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-226695</wp:posOffset>
            </wp:positionV>
            <wp:extent cx="123190" cy="1231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3190" cy="123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5253355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3974465</wp:posOffset>
            </wp:positionH>
            <wp:positionV relativeFrom="paragraph">
              <wp:posOffset>-626745</wp:posOffset>
            </wp:positionV>
            <wp:extent cx="58420" cy="640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744855</wp:posOffset>
            </wp:positionV>
            <wp:extent cx="6993255" cy="571436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255" cy="571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Marecic Thomas C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1100 CASSATT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AMETEK INC/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AME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03/18/2025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3" w:right="640" w:firstLine="3"/>
        <w:spacing w:after="0" w:line="259" w:lineRule="auto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5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PRES. - ELECTRONIC INSTRUMENTS</w:t>
      </w:r>
    </w:p>
    <w:p>
      <w:pPr>
        <w:spacing w:after="0" w:line="32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3" w:space="720"/>
            <w:col w:w="3357"/>
          </w:cols>
          <w:pgMar w:left="460" w:top="217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00" w:type="dxa"/>
            <w:vAlign w:val="bottom"/>
            <w:gridSpan w:val="8"/>
            <w:vMerge w:val="restart"/>
          </w:tcPr>
          <w:p>
            <w:pPr>
              <w:jc w:val="center"/>
              <w:ind w:righ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9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BERWYN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82"/>
              </w:rPr>
              <w:t>PA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19312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1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ind w:left="7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03/18/2025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1,740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176.08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43,372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03/19/2025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F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143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177.07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43,229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348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Wife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401k Plan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3,029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Common Stock/ Serp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13,553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0" w:type="dxa"/>
            <w:vAlign w:val="bottom"/>
            <w:gridSpan w:val="12"/>
          </w:tcPr>
          <w:p>
            <w:pPr>
              <w:jc w:val="center"/>
              <w:ind w:left="3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176.08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03/18/2025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5,330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03/18/2026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(3)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03/18/2035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5,330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5,330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-2004060</wp:posOffset>
            </wp:positionV>
            <wp:extent cx="29210" cy="200914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0091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Constitutes restricted stock issued under the AMETEK, Inc. 2020 Omnibus Incentive Compensation Plan.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withholding of shares to pay taxes.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stock options will become exercisable in three equal annual installments beginning on March 18, 2026.</w:t>
      </w:r>
    </w:p>
    <w:p>
      <w:pPr>
        <w:spacing w:after="0" w:line="55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Lynn Carino, attorney-in-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03/20/2025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92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 for Mr. Marecic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1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3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623855" TargetMode="External"/><Relationship Id="rId14" Type="http://schemas.openxmlformats.org/officeDocument/2006/relationships/hyperlink" Target="http://www.sec.gov/cgi-bin/browse-edgar?action=getcompany&amp;CIK=00010378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2025-03-20T08:32:48Z</dcterms:created>
  <dcterms:modified xsi:type="dcterms:W3CDTF">2025-03-20T08:32:48Z</dcterms:modified>
</cp:coreProperties>
</file>