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5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AMETEK,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1100 Cassatt Road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Berwyn, Pennsylvania</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19312-1177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2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right="10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80"/>
          </w:cols>
          <w:pgMar w:left="320" w:top="229" w:right="399" w:bottom="19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outstanding as of the latest practicable date was: Common Stock, $0.01 Par Value, outstanding at October 29, 2026 was 229,317,998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0" w:type="dxa"/>
            <w:vAlign w:val="bottom"/>
            <w:gridSpan w:val="18"/>
            <w:vMerge w:val="continue"/>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3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 of Income for the three and nine months ended September 30, 2026 and 2025</w:t>
            </w:r>
          </w:p>
        </w:tc>
        <w:tc>
          <w:tcPr>
            <w:tcW w:w="242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three and nine months ended September 30, 2026 and 2025</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 at September 30, 2026 and December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 of Stockholders’ Equity for the three and nine months ended September 30, 2026 and 2025</w:t>
            </w:r>
          </w:p>
        </w:tc>
        <w:tc>
          <w:tcPr>
            <w:tcW w:w="1440" w:type="dxa"/>
            <w:vAlign w:val="bottom"/>
            <w:gridSpan w:val="2"/>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7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nine months ended September 30, 2026 and 2025</w:t>
            </w:r>
          </w:p>
        </w:tc>
        <w:tc>
          <w:tcPr>
            <w:tcW w:w="1980" w:type="dxa"/>
            <w:vAlign w:val="bottom"/>
            <w:gridSpan w:val="3"/>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2.Management’s Discussion and Analysis of Financial Condition and Results of Operations</w:t>
            </w:r>
          </w:p>
        </w:tc>
        <w:tc>
          <w:tcPr>
            <w:tcW w:w="298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7660" w:type="dxa"/>
            <w:vAlign w:val="bottom"/>
            <w:gridSpan w:val="11"/>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1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8080" w:type="dxa"/>
            <w:vAlign w:val="bottom"/>
            <w:gridSpan w:val="13"/>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4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4"/>
                <w:szCs w:val="24"/>
                <w:color w:val="auto"/>
              </w:rPr>
            </w:pPr>
          </w:p>
        </w:tc>
        <w:tc>
          <w:tcPr>
            <w:tcW w:w="4940" w:type="dxa"/>
            <w:vAlign w:val="bottom"/>
            <w:gridSpan w:val="9"/>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2,220,306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1,892,641</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6,193,140</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5,402,668</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1,409,872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1,206,505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3,930,106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3,455,643</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225,485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197,756</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634,956</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542,190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1,635,357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1,404,261</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4,565,062</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3,997,833</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584,949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488,380</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1,628,078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1,404,835</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(90,832)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(58,364)</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(29,979)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521,915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447,965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1,507,267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1,324,356</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95,615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76,549</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274,714</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242,815</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426,300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371,416</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1,232,553</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1,081,541</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1.85</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5.36</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229,159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230,733</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229,049</w:t>
            </w: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230,740</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230,040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231,670</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229,910</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231,561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Dividends declared and paid per share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0.34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1.02</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9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426,300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371,416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1,232,553</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1,081,541</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arising during the period – gains (losses), net of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201,697</w:t>
            </w:r>
          </w:p>
        </w:tc>
        <w:tc>
          <w:tcPr>
            <w:tcW w:w="0" w:type="dxa"/>
            <w:vAlign w:val="bottom"/>
          </w:tcPr>
          <w:p>
            <w:pPr>
              <w:spacing w:after="0"/>
              <w:rPr>
                <w:sz w:val="1"/>
                <w:szCs w:val="1"/>
                <w:color w:val="auto"/>
              </w:rPr>
            </w:pPr>
          </w:p>
        </w:tc>
      </w:tr>
      <w:tr>
        <w:trPr>
          <w:trHeight w:val="243"/>
        </w:trPr>
        <w:tc>
          <w:tcPr>
            <w:tcW w:w="5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 in long-term intercompany notes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investment hedge instruments gain (loss), net of tax of $(6,385) and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$(2,022) for the quarter ended September 30, 2026 and 2025, and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$(11,763) and $23,934 for the nine months ended September 30, 2026</w:t>
            </w: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20,342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37,478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and 2025,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(76,253)</w:t>
            </w:r>
          </w:p>
        </w:tc>
        <w:tc>
          <w:tcPr>
            <w:tcW w:w="0" w:type="dxa"/>
            <w:vAlign w:val="bottom"/>
          </w:tcPr>
          <w:p>
            <w:pPr>
              <w:spacing w:after="0"/>
              <w:rPr>
                <w:sz w:val="1"/>
                <w:szCs w:val="1"/>
                <w:color w:val="auto"/>
              </w:rPr>
            </w:pP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9"/>
              </w:rPr>
              <w:t>Amortization of net actuarial loss, net of tax of $(167) and $(296) for the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quarter ended September 30, 2026 and 2025 and $(501) and $(888)</w:t>
            </w: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9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for the nine months ended September 30, 2026 and 2025, respectively</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68,759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(26,767)</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23,206</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122,571</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495,059</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344,649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1,255,759</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1,204,112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5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457,951</w:t>
            </w: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1,348,449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1,119,257</w:t>
            </w: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1,366,845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1,106,405</w:t>
            </w:r>
          </w:p>
        </w:tc>
      </w:tr>
      <w:tr>
        <w:trPr>
          <w:trHeight w:val="23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393,853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336,229</w:t>
            </w: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3,775,299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3,019,842</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901,486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855,215</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284,603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273,142</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10,210,706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7,170,770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6,522,300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4,128,394</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694,141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620,180</w:t>
            </w: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22,388,535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16,067,543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639,822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1,208,975</w:t>
            </w: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731,615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617,950</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advanced payments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498,907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396,177</w:t>
            </w: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82,682</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620,835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536,968</w:t>
            </w:r>
          </w:p>
        </w:tc>
      </w:tr>
      <w:tr>
        <w:trPr>
          <w:trHeight w:val="22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2,638,226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2,842,752</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6,029,565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1,074,334</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1,240,187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788,915</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784,349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732,756</w:t>
            </w:r>
          </w:p>
        </w:tc>
      </w:tr>
      <w:tr>
        <w:trPr>
          <w:trHeight w:val="223"/>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10,692,327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5,438,757</w:t>
            </w: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1,357,891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1,317,288</w:t>
            </w: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13,251,498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12,252,480</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(376,014)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(399,220)</w:t>
            </w:r>
          </w:p>
        </w:tc>
      </w:tr>
      <w:tr>
        <w:trPr>
          <w:trHeight w:val="23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(2,539,896)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(2,544,487)</w:t>
            </w: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11,696,208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10,628,786</w:t>
            </w:r>
          </w:p>
        </w:tc>
      </w:tr>
      <w:tr>
        <w:trPr>
          <w:trHeight w:val="22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22,388,535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16,067,543</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AMETEK, Inc.</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1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 in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vMerge w:val="restart"/>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excess of par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8"/>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(loss) income</w:t>
            </w:r>
          </w:p>
        </w:tc>
        <w:tc>
          <w:tcPr>
            <w:tcW w:w="130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80" w:type="dxa"/>
            <w:vAlign w:val="bottom"/>
            <w:tcBorders>
              <w:top w:val="single" w:sz="8" w:color="CCEEFF"/>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June 30, 2026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1,339,427</w:t>
            </w:r>
          </w:p>
        </w:tc>
        <w:tc>
          <w:tcPr>
            <w:tcW w:w="80" w:type="dxa"/>
            <w:vAlign w:val="bottom"/>
          </w:tcPr>
          <w:p>
            <w:pPr>
              <w:spacing w:after="0"/>
              <w:rPr>
                <w:sz w:val="18"/>
                <w:szCs w:val="18"/>
                <w:color w:val="auto"/>
              </w:rPr>
            </w:pP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12,903,079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(444,773)</w:t>
            </w:r>
          </w:p>
        </w:tc>
        <w:tc>
          <w:tcPr>
            <w:tcW w:w="8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(2,539,699)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11,260,763</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426,300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426,300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Shares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120"/>
              <w:spacing w:after="0" w:line="164"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4,390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4,241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14,074</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paid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(77,879)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(77,879)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68,759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68,759</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0" w:type="dxa"/>
            <w:vAlign w:val="bottom"/>
          </w:tcPr>
          <w:p>
            <w:pPr>
              <w:spacing w:after="0"/>
              <w:rPr>
                <w:sz w:val="1"/>
                <w:szCs w:val="1"/>
                <w:color w:val="auto"/>
              </w:rPr>
            </w:pP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1,357,891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13,251,498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(376,014)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(2,539,896)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11,696,208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2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1,275,795</w:t>
            </w:r>
          </w:p>
        </w:tc>
        <w:tc>
          <w:tcPr>
            <w:tcW w:w="80" w:type="dxa"/>
            <w:vAlign w:val="bottom"/>
          </w:tcPr>
          <w:p>
            <w:pPr>
              <w:spacing w:after="0"/>
              <w:rPr>
                <w:sz w:val="18"/>
                <w:szCs w:val="18"/>
                <w:color w:val="auto"/>
              </w:rPr>
            </w:pP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11,624,849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(406,401)</w:t>
            </w:r>
          </w:p>
        </w:tc>
        <w:tc>
          <w:tcPr>
            <w:tcW w:w="8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(2,108,294)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10,388,672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Shares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paid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(150,501)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1,291,456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11,924,855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(2,258,990)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10,526,876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ind w:left="520"/>
              <w:spacing w:after="0"/>
              <w:rPr>
                <w:sz w:val="20"/>
                <w:szCs w:val="20"/>
                <w:color w:val="auto"/>
              </w:rPr>
            </w:pPr>
            <w:r>
              <w:rPr>
                <w:rFonts w:ascii="Times New Roman" w:cs="Times New Roman" w:eastAsia="Times New Roman" w:hAnsi="Times New Roman"/>
                <w:sz w:val="18"/>
                <w:szCs w:val="18"/>
                <w:b w:val="1"/>
                <w:bCs w:val="1"/>
                <w:color w:val="auto"/>
              </w:rPr>
              <w:t>AMETEK, Inc.</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60" w:type="dxa"/>
            <w:vAlign w:val="bottom"/>
            <w:gridSpan w:val="17"/>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 (continued)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 in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vMerge w:val="restart"/>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excess of par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8"/>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(loss) income</w:t>
            </w:r>
          </w:p>
        </w:tc>
        <w:tc>
          <w:tcPr>
            <w:tcW w:w="130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3200" w:type="dxa"/>
            <w:vAlign w:val="bottom"/>
            <w:tcBorders>
              <w:top w:val="single" w:sz="8" w:color="CCEE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2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2,725</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1,317,288</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12,252,480</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(399,220)</w:t>
            </w: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(2,544,487)</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10,628,786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1,232,553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1,232,553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Shares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120"/>
              <w:spacing w:after="0" w:line="164"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12,739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15,668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37,674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37,674</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paid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(233,530)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(233,530)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23,206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23,206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0" w:type="dxa"/>
            <w:vAlign w:val="bottom"/>
          </w:tcPr>
          <w:p>
            <w:pPr>
              <w:spacing w:after="0"/>
              <w:rPr>
                <w:sz w:val="1"/>
                <w:szCs w:val="1"/>
                <w:color w:val="auto"/>
              </w:rPr>
            </w:pP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1,357,891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13,251,498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(376,014)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(2,539,896)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11,696,208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32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20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1,264,670</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11,057,684</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(555,739)</w:t>
            </w: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9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(2,114,031)</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9,655,304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1,081,541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Shares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paid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(214,370)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122,571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122,571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(157,578)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1,291,456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11,924,855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(2,258,990)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10,526,876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1,081,541</w:t>
            </w:r>
          </w:p>
        </w:tc>
      </w:tr>
      <w:tr>
        <w:trPr>
          <w:trHeight w:val="229"/>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Adjustments to reconcile net income to total operating activities: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317,146</w:t>
            </w:r>
          </w:p>
        </w:tc>
      </w:tr>
      <w:tr>
        <w:trPr>
          <w:trHeight w:val="230"/>
        </w:trPr>
        <w:tc>
          <w:tcPr>
            <w:tcW w:w="82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(66,548)</w:t>
            </w:r>
          </w:p>
        </w:tc>
      </w:tr>
      <w:tr>
        <w:trPr>
          <w:trHeight w:val="229"/>
        </w:trPr>
        <w:tc>
          <w:tcPr>
            <w:tcW w:w="8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35,229</w:t>
            </w:r>
          </w:p>
        </w:tc>
      </w:tr>
      <w:tr>
        <w:trPr>
          <w:trHeight w:val="230"/>
        </w:trPr>
        <w:tc>
          <w:tcPr>
            <w:tcW w:w="82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Loss (Gain) on sale of facilities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8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(138,519)</w:t>
            </w:r>
          </w:p>
        </w:tc>
      </w:tr>
      <w:tr>
        <w:trPr>
          <w:trHeight w:val="229"/>
        </w:trPr>
        <w:tc>
          <w:tcPr>
            <w:tcW w:w="82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Pension contributions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r>
      <w:tr>
        <w:trPr>
          <w:trHeight w:val="230"/>
        </w:trPr>
        <w:tc>
          <w:tcPr>
            <w:tcW w:w="8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r>
      <w:tr>
        <w:trPr>
          <w:trHeight w:val="223"/>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1,495,857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1,217,499</w:t>
            </w: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(73,251)</w:t>
            </w: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(5,345,848)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(933,242)</w:t>
            </w: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facilities</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3"/>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investing activities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(5,436,097)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(1,005,772)</w:t>
            </w: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427,684</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4,975,726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(239,942)</w:t>
            </w: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(163,623)</w:t>
            </w: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(214,370)</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w:t>
            </w: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financing costs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r>
      <w:tr>
        <w:trPr>
          <w:trHeight w:val="223"/>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financing activities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4,158,042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(176,666)</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30,177</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65,238</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373,999</w:t>
            </w: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439,237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September 30, 2026, the consolidated results of its operations for the three and nine months ended September 30, 2026 and 2025 and its cash flows for the nine months ended September 30, 2026 and 2025 have been included. The Company has two reportable segments, Electronic Instruments Group (“EIG”) and Electromechanical Group (“EMG”). The Company identifies its operating segments for segment reporting purposes primarily on the basis of product type, production processes, distribution methods and management organizations.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2025 as filed with the U.S. Securities and Exchange Commission.</w:t>
      </w:r>
    </w:p>
    <w:p>
      <w:pPr>
        <w:spacing w:after="0" w:line="2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 Hedge Accounting Improvements ("ASU 2025-09"). The amendments in this update aim to better align financial reporting with an entity's risk management strategies. It makes improvements in five key areas to help entities achieve and maintain hedge accounting for highly effective economic hedges. Improvements include changes to similar risk assessment for cash flow hedges, a new model for Choose-Your-Rate debt instruments, a principles-based approach for nonfinancial forecasted transactions, clarification on net written options, and addressing the mismatch in dual-hedge accounting. ASU 2025-09 is effective for annual periods beginning after December 15, 2026, and interim reporting periods within those annual reporting periods. The adoption of ASU 2025-09 is not expected to impact the Company’s consolidated results of operations, financial position, cash flows or financial statement disclosures.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(ASU 2025-06) updating guidance on accounting for internal-use software. The amendments modernize guidance to consider different methods of software development, updating the requirements for capitalization of software costs. ASU 2025-06 is effective for annual and interim reporting periods beginning after December 15, 2027. Prospective, modified prospective, or retrospective application is allowed and early adoption is permitted. The Company has not determined the impact ASU 2025-06 may have on the Company’s consolidated financial statements.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 —Expense Disaggregation Disclosures (Subtopic 220-40): Disaggregation of Income Statement Expenses, which requires additional disclosures about significant expenses included in certain expense captions presented on the face of the income statement. ASU 2024-03 is effective for annual periods beginning after December 15, 2026, and interim reporting periods beginning after December 15, 2027. Prospective or retrospective application is allowed and early adoption is permitted. The Company has not determined the impact ASU 2024-03 may have on the Company’s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contract asset and liability accounts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136,432</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 September 30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201,267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173,363</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448,849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400,689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September 30</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542,265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466,983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contract liabilities – (increase) decrease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(93,416)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change for the nine months ended September 30, 2026 was primarily driven by an increase in customer advance payments primarily from the acquisition of Indicor. For the nine months ended September 30, 2026 and 2025, the Company recognized revenue of $349.6 million and $276.7 million, respectively, that was previously included in the beginning balance of contract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assets are reported as a component of Other current assets in the consolidated balance sheet. At September 30, 2026 and December 31, 2025, $43.4 million and $52.7 million of Customer advanced payments (contract liabilities), respectively, were recorded in Other long-term liabilities in the consolidated balance sheets.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remaining performance obligations not expected to be completed within one year as of September 30, 2026 and December 31, 2025 were $767.7 million and $627.4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Areas</w:t>
      </w:r>
    </w:p>
    <w:p>
      <w:pPr>
        <w:spacing w:after="0" w:line="1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were attributed to geographic areas based on the location of the customer. Information about the Company’s operations in different geographic areas was as follows for the three and nine months ended September 30: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20" w:type="dxa"/>
            <w:vAlign w:val="bottom"/>
          </w:tcPr>
          <w:p>
            <w:pPr>
              <w:spacing w:after="0"/>
              <w:rPr>
                <w:sz w:val="16"/>
                <w:szCs w:val="16"/>
                <w:color w:val="auto"/>
              </w:rPr>
            </w:pPr>
          </w:p>
        </w:tc>
        <w:tc>
          <w:tcPr>
            <w:tcW w:w="3380" w:type="dxa"/>
            <w:vAlign w:val="bottom"/>
            <w:gridSpan w:val="7"/>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r>
      <w:tr>
        <w:trPr>
          <w:trHeight w:val="2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3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695,980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463,438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1,159,418</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1,969,933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1,275,003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3,244,936</w:t>
            </w:r>
          </w:p>
        </w:tc>
      </w:tr>
      <w:tr>
        <w:trPr>
          <w:trHeight w:val="210"/>
        </w:trPr>
        <w:tc>
          <w:tcPr>
            <w:tcW w:w="392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77,603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102,078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111,328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213,406</w:t>
            </w:r>
          </w:p>
        </w:tc>
      </w:tr>
      <w:tr>
        <w:trPr>
          <w:trHeight w:val="229"/>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171,159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298,981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496,268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384,459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880,727</w:t>
            </w:r>
          </w:p>
        </w:tc>
      </w:tr>
      <w:tr>
        <w:trPr>
          <w:trHeight w:val="230"/>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382,056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475,465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1,042,307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241,818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1,284,125</w:t>
            </w:r>
          </w:p>
        </w:tc>
      </w:tr>
      <w:tr>
        <w:trPr>
          <w:trHeight w:val="230"/>
        </w:trPr>
        <w:tc>
          <w:tcPr>
            <w:tcW w:w="3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208,839</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417,424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152,522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569,946</w:t>
            </w:r>
          </w:p>
        </w:tc>
      </w:tr>
      <w:tr>
        <w:trPr>
          <w:trHeight w:val="223"/>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746,341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314,547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1,060,888</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2,058,077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890,127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2,948,204</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1,442,321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777,985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2,220,306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4,028,010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2,165,130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6,193,140</w:t>
            </w: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$653.8 million and $1,757.7 million for the three and nine months ended September 30, 2026, respectively.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20" w:type="dxa"/>
            <w:vAlign w:val="bottom"/>
          </w:tcPr>
          <w:p>
            <w:pPr>
              <w:spacing w:after="0"/>
              <w:rPr>
                <w:sz w:val="16"/>
                <w:szCs w:val="16"/>
                <w:color w:val="auto"/>
              </w:rPr>
            </w:pPr>
          </w:p>
        </w:tc>
        <w:tc>
          <w:tcPr>
            <w:tcW w:w="3420" w:type="dxa"/>
            <w:vAlign w:val="bottom"/>
            <w:gridSpan w:val="7"/>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23"/>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38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605,310</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381,254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986,564</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1,761,703</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1,087,397</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2,849,100</w:t>
            </w:r>
          </w:p>
        </w:tc>
      </w:tr>
      <w:tr>
        <w:trPr>
          <w:trHeight w:val="210"/>
        </w:trPr>
        <w:tc>
          <w:tcPr>
            <w:tcW w:w="388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198,277</w:t>
            </w:r>
          </w:p>
        </w:tc>
      </w:tr>
      <w:tr>
        <w:trPr>
          <w:trHeight w:val="229"/>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442,678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772,401</w:t>
            </w:r>
          </w:p>
        </w:tc>
      </w:tr>
      <w:tr>
        <w:trPr>
          <w:trHeight w:val="230"/>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855,893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1,040,093</w:t>
            </w:r>
          </w:p>
        </w:tc>
      </w:tr>
      <w:tr>
        <w:trPr>
          <w:trHeight w:val="229"/>
        </w:trPr>
        <w:tc>
          <w:tcPr>
            <w:tcW w:w="3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199,801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403,946</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138,851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542,797</w:t>
            </w:r>
          </w:p>
        </w:tc>
      </w:tr>
      <w:tr>
        <w:trPr>
          <w:trHeight w:val="223"/>
        </w:trPr>
        <w:tc>
          <w:tcPr>
            <w:tcW w:w="3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906,077</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1,787,873</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765,695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2,553,568</w:t>
            </w: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1,246,332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1,892,641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3,549,576</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1,853,092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5,402,668</w:t>
            </w:r>
          </w:p>
        </w:tc>
      </w:tr>
      <w:tr>
        <w:trPr>
          <w:trHeight w:val="21"/>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$512.8 million and $1,461.1 million for the three and nine months ended September 30, 2025.</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Products and Services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major products and services in the reportable segments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20" w:type="dxa"/>
            <w:vAlign w:val="bottom"/>
          </w:tcPr>
          <w:p>
            <w:pPr>
              <w:spacing w:after="0"/>
              <w:rPr>
                <w:sz w:val="16"/>
                <w:szCs w:val="16"/>
                <w:color w:val="auto"/>
              </w:rPr>
            </w:pPr>
          </w:p>
        </w:tc>
        <w:tc>
          <w:tcPr>
            <w:tcW w:w="3300" w:type="dxa"/>
            <w:vAlign w:val="bottom"/>
            <w:gridSpan w:val="7"/>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r>
      <w:tr>
        <w:trPr>
          <w:trHeight w:val="2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40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1,041,379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1,041,379</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2,876,974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2,876,974</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400,942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233,901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634,843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1,151,036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652,414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1,803,450</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544,084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544,084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1,512,716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1,512,716</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1,442,321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777,985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2,220,306</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4,028,010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2,165,130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6,193,140</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537"/>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20" w:type="dxa"/>
            <w:vAlign w:val="bottom"/>
          </w:tcPr>
          <w:p>
            <w:pPr>
              <w:spacing w:after="0"/>
              <w:rPr>
                <w:sz w:val="24"/>
                <w:szCs w:val="24"/>
                <w:color w:val="auto"/>
              </w:rPr>
            </w:pPr>
          </w:p>
        </w:tc>
        <w:tc>
          <w:tcPr>
            <w:tcW w:w="3300" w:type="dxa"/>
            <w:vAlign w:val="bottom"/>
            <w:gridSpan w:val="7"/>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2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40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883,483</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2,463,220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2,463,220</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552,742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1,628,880</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456,416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1,310,568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1,310,568</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1,246,332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646,309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1,892,641</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3,549,576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1,853,092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5,402,668</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140"/>
        <w:spacing w:after="0" w:line="289" w:lineRule="auto"/>
        <w:rPr>
          <w:sz w:val="20"/>
          <w:szCs w:val="20"/>
          <w:color w:val="auto"/>
        </w:rPr>
      </w:pPr>
      <w:r>
        <w:rPr>
          <w:rFonts w:ascii="Times New Roman" w:cs="Times New Roman" w:eastAsia="Times New Roman" w:hAnsi="Times New Roman"/>
          <w:sz w:val="18"/>
          <w:szCs w:val="18"/>
          <w:color w:val="auto"/>
        </w:rPr>
        <w:t>Products transferred at a point in time Products and services transferred over time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20" w:type="dxa"/>
            <w:vAlign w:val="bottom"/>
          </w:tcPr>
          <w:p>
            <w:pPr>
              <w:spacing w:after="0"/>
              <w:rPr>
                <w:sz w:val="16"/>
                <w:szCs w:val="16"/>
                <w:color w:val="auto"/>
              </w:rPr>
            </w:pPr>
          </w:p>
        </w:tc>
        <w:tc>
          <w:tcPr>
            <w:tcW w:w="3300" w:type="dxa"/>
            <w:vAlign w:val="bottom"/>
            <w:gridSpan w:val="7"/>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r>
      <w:tr>
        <w:trPr>
          <w:trHeight w:val="23"/>
        </w:trPr>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22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8"/>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1,166,165</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691,737</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1,857,902</w:t>
            </w:r>
          </w:p>
        </w:tc>
        <w:tc>
          <w:tcPr>
            <w:tcW w:w="2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3,233,344</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1,909,192</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5,142,536</w:t>
            </w:r>
          </w:p>
        </w:tc>
      </w:tr>
      <w:tr>
        <w:trPr>
          <w:trHeight w:val="238"/>
        </w:trPr>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276,156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86,248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362,404</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794,666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255,938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1,050,604</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1,442,321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777,985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2,220,306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4,028,010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2,165,130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6,193,140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-479425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-187960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20" w:type="dxa"/>
            <w:vAlign w:val="bottom"/>
          </w:tcPr>
          <w:p>
            <w:pPr>
              <w:spacing w:after="0"/>
              <w:rPr>
                <w:sz w:val="16"/>
                <w:szCs w:val="16"/>
                <w:color w:val="auto"/>
              </w:rPr>
            </w:pPr>
          </w:p>
        </w:tc>
        <w:tc>
          <w:tcPr>
            <w:tcW w:w="3300" w:type="dxa"/>
            <w:vAlign w:val="bottom"/>
            <w:gridSpan w:val="7"/>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23"/>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1,570,319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4,494,245</w:t>
            </w: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322,322</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908,423</w:t>
            </w: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1,892,641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1,853,092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5,402,668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accrued product warranty obligation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38,555</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12,796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(13,851)</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Warranty accruals related to acquired businesses and other during the period</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2026, the Company had $1,348.4 million of accounts receivable, net of allowances of $14.9 million. At December 31, 2025, the Company had $1,119.3 million of accounts receivable, net of allowance of $13.7 million. Changes in the allowance were not material for the three and nine months ended September 30, 2026.</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8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3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20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33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229,159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230,733</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229,049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230,740</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plans</w:t>
            </w:r>
          </w:p>
        </w:tc>
        <w:tc>
          <w:tcPr>
            <w:tcW w:w="33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881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20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230,040</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231,670</w:t>
            </w:r>
          </w:p>
        </w:tc>
        <w:tc>
          <w:tcPr>
            <w:tcW w:w="2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229,910</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231,561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9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antidilutive shares for the three and nine months ended September 30, 2026 and 2025.</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Company’s assets that are measured at fair value on a recurring basis, consistent with the fair value hierarchy,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December 31,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102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8,704</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8,704</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395"/>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102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8,199</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8,199</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fair value of mutual fund investments is based on quoted market prices. The mutual fund investments are shown as a component of investments and other assets on the consolidated balance sheet.</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and 2025, gains and losses on the investments noted above were not significant. No transfers between level 1 and level 2 investments occurred during the nine months ended September 30, 2026 and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cash equivalents and mutual fund investments are recorded at fair value at September 30, 2026 and December 31, 2025 in the accompanying consolidated balance sheet.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estimated fair values of the Company’s financial instrument liabilities, for which fair value is measured for disclosure purposes only, compared to the recorded amounts at September 30, 2026 and December 31, 2025:</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40" w:type="dxa"/>
            <w:vAlign w:val="bottom"/>
          </w:tcPr>
          <w:p>
            <w:pPr>
              <w:spacing w:after="0"/>
              <w:rPr>
                <w:sz w:val="16"/>
                <w:szCs w:val="16"/>
                <w:color w:val="auto"/>
              </w:rPr>
            </w:pPr>
          </w:p>
        </w:tc>
        <w:tc>
          <w:tcPr>
            <w:tcW w:w="276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8"/>
        </w:trPr>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26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center"/>
              <w:ind w:right="40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4"/>
        </w:trPr>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7"/>
                <w:szCs w:val="17"/>
                <w:color w:val="auto"/>
              </w:rPr>
            </w:pP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(6,376,471)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(6,344,444)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(1,527,238)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(1,488,009)</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net short-term borrowings approximates the carrying value. The Company’s net long-term debt is all privately held with no public market for this debt, therefore, the fair value of net long-term debt was computed based on comparable current market data for similar debt instruments and is considered a level 3 liability.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Hedging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foreign-currency-denominated long-term borrowings as hedges of the net investment in certain foreign operations. As of September 30, 2026, these net investment hedges included British pound sterling-, Euro-, and Canadian dollar-denominated long-term debt. These borrowings are intended to offset translation gains and losses on the Company's net investments arising from changes in foreign currency exchange rates. The Company's hedge designations are supported by contemporaneous documentation maintained by management. Gains and losses on the designated debt instruments subsequent to hedge designation are recorded in Accumulated Other Comprehensive Income ("AOCI") as part of the foreign currency translation adjustment, consistent with the treatment of the related hedged net investments. Spot exchange rates are used to assess hedge effectiveness.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2026, the Company had $298.5 million of British pound sterling-denominated borrowings, $351.8 million of Canadian dollar-denominated borrowings and $1,276.2 million in Euro-denominated borrowings, designated as hedges of net investments in British pound sterling-, Canadian dollar-, and Euro-functional foreign subsidiaries. As a result of these net investment hedges, which were fully effective during the period, the Company recorded pre-tax foreign currency gains of $49.2 million in the foreign currency translation component of AOCI during the nine months ended September 30, 2026.</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Inventories,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and parts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165,447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112,300</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222,351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179,792</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979,047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814,313</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1,366,845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1,106,405</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Leases and Other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vehicles and equipment used in its operations. Cash used in operations for operating leases was not materially different from operating lease expense for the nine months ended September 30, 2026 and 2025. The Company's leases have a weighted average remaining lease term of approximately six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5"/>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7"/>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18,611</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4,551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11,857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23,162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73,601</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284,603</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Liabilities and other</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73,646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61,133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long-term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223,679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297,325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September 30, 2026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Liability Maturity Analysis</w:t>
            </w:r>
          </w:p>
        </w:tc>
        <w:tc>
          <w:tcPr>
            <w:tcW w:w="160" w:type="dxa"/>
            <w:vAlign w:val="bottom"/>
          </w:tcPr>
          <w:p>
            <w:pPr>
              <w:spacing w:after="0"/>
              <w:rPr>
                <w:sz w:val="16"/>
                <w:szCs w:val="16"/>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7"/>
        </w:trPr>
        <w:tc>
          <w:tcPr>
            <w:tcW w:w="96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9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77,844</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61,368</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49,226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38,162</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94,700</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344,097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46,772</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297,325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significant leases that have not yet commenced.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its business, the Company issues guarantees, stand-by letters of credit and surety bonds to provide financial or performance assurance to third parties on behalf of its consolidated subsidiaries to support or enhance the subsidiary's stand-alone creditworthiness. At September 30, 2026, the maximum amount of future payment obligations relative to these various guarantees was $518.0 million and the outstanding liability under certain of those guarantees was $193.9 million.</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spent $5,345.8 million in cash, net of cash acquired, to acquire LKC Technologies ("LKC") in January 2026, First Aviation Services, Inc. ("First Aviation") in May 2026, and Indicor Instrumentation ("Indicor") in August 2026. LKC is a leading provider of innovative technologies to enable the effective diagnosis and management of ophthalmic conditions. LKC is part of EIG. First Aviation is a leading provider of highly engineered, mission-critical defense and aviation maintenance, repair and overhaul services and a manufacturer of related proprietary components. First Aviation has annual sales of approximately $80 million. First Aviation is part of EMG. Indicor is a collection of leading businesses that design and manufacture mission critical solutions for demanding industrial and scientific applications. Indicor has annual sales of approximately $1.1 billion. Indicor businesses are part of EIG and EMG based on product offerings and market alignment.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allocation of the purchase price for the net assets of the LKC, First Aviation, and Indicor acquisitions based on the estimated fair values at acquisition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Indicor</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300" w:type="dxa"/>
            <w:vAlign w:val="bottom"/>
          </w:tcPr>
          <w:p>
            <w:pPr>
              <w:spacing w:after="0"/>
              <w:rPr>
                <w:sz w:val="16"/>
                <w:szCs w:val="16"/>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Acquisitions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2,920.2</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2,639.6</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(412.7)</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working capital and other</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364.4</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5,589.6</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Acquisition date fair value of cash acquired</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paid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5,345.8</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$157.7 million in accounts receivable, whose fair value, contractual cash flows and expected cash flows are approximately equal.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allocated to goodwill is reflective of the benefits the Company expects to realize from the acquisitions. LKC's design and engineering capabilities complement the Company's existing ultra precision technologies business. First Aviation's proprietary products and services complement the Company's existing maintenance, repair and overhaul business. Indicor's products serve customers across end markets that closely align with the Company's existing portfolio of instrumentation businesses.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2026, the purchase price allocated to other intangible assets of $2,639.6 million consists of $374.2 million of indefinite-lived intangible trade names, which are not subject to amortization. The remaining $2,265.4 million of other intangible assets consists of $1,835.6 million of customer relationships, which are being amortized over a period of 17 to 20 years, and $429.8 million of purchased technology, which is being amortized over a period of 15 to 17 years. Amortization expense for each of the next five years for the 2026 acquisitions is expected to approximate $133 million per year.</w:t>
      </w:r>
    </w:p>
    <w:p>
      <w:pPr>
        <w:spacing w:after="0" w:line="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acquisitions had an immaterial impact on reported net sales, net income, and diluted earnings per share for the three and nine months ended September 30, 2026.</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Unaudited pro forma information for the three and nine months ended September 30, 2026 and 2025 gives effect to the Indicor, LKC, and First Aviation acquisitions as if they had occurred as of January 1, 2025, including the results from operations for the acquired businesses. The pro forma information is presented for informational purposes only and is not necessarily indicative of the results of operations that actually would have been achieved had the acquisitions been consummated as of that time.</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Had the Indicor, LKC, and First Aviation acquisitions been made at the beginning of 2026, unaudited pro forma net sales would have been approximately 8% and 11% higher than reported amounts for the three and nine months ended September 30, 2026, respectively. Had the acquisitions been made at the beginning of 2025, unaudited pro forma net sales would have been approximately 15% higher than reported amounts for the three and nine months ended September 30, 2025.</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Unaudited pro forma net income and diluted earnings per share would not have been materially different than reported amounts for the three and nine months ended September 30, 2026 and 2025, considering the impacts of assumed financing of the transactions and the amortization of acquired intangible assets.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its measurements of tangible and intangible assets and liabilities, as well as the associated income tax considerations, for its July 2025 acquisition of FARO Technologies and its January 2026 acquisition of LKC and May 2026 acquisition of First Aviation, which had no material impact to the consolidated statement of income.</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initial accounting for the Indicor acquisition is incomplete, related to finalizing the measurement of the acquired tangible and intangible assets and liabilities. All amounts could change, potentially materially, as there is significant additional information that the Company must obtain to finalize the valuations of the tangible assets acquired and liabilities assumed, and to finalize the value of the intangible assets, primarily due to the proximity of the acquisition date to the balance sheet date of September 30, 2026. As of September 30, 2026, the Company is in the process of finalizing the tax valuations and purchase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 allocations across local tax jurisdictions. While a portion of the recorded goodwill is expected to be deductible for income tax purposes, the final allocation and exact tax-deductible goodwill amount cannot be reasonably estimated at this time.</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2025, the Company acquired Kern Microtechnik ("Kern"). The Kern acquisition included an $8.9 million estimated fair value contingent payment due upon Kern achieving certain cumulative revenue and EBITDA targets over the period January 1, 2025 to January 1, 2027. The contingent liability was based on a probabilistic approach using level 3 inputs. At September 30, 2026, we have adjusted the estimated fair value of the contingent payment liability to $10.5 million. For the three and nine months ended September 30, 2026, the change in the fair value of the contingent consideration liability was recorded in "Other (expense) income, net" in the consolidated statement of income.</w:t>
      </w:r>
    </w:p>
    <w:p>
      <w:pPr>
        <w:spacing w:after="0" w:line="2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amounts of goodwill by segment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EIG</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EMG</w:t>
            </w:r>
          </w:p>
        </w:tc>
        <w:tc>
          <w:tcPr>
            <w:tcW w:w="36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5,008.2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7,170.8</w:t>
            </w:r>
          </w:p>
        </w:tc>
      </w:tr>
      <w:tr>
        <w:trPr>
          <w:trHeight w:val="229"/>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acquired from 2026 acquisitions</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2,920.2</w:t>
            </w:r>
          </w:p>
        </w:tc>
      </w:tr>
      <w:tr>
        <w:trPr>
          <w:trHeight w:val="229"/>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price allocation adjustments and other</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r>
      <w:tr>
        <w:trPr>
          <w:trHeight w:val="230"/>
        </w:trPr>
        <w:tc>
          <w:tcPr>
            <w:tcW w:w="6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7,119.2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10,210.7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2026 was 18.3%, compared with 17.1% for the three months ended September 30, 2025. The lower effective tax rate in the third quarter of 2025 primarily reflects the remeasurement of deferred tax liabilities following the enactment of a lower corporate tax rate in Germany.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2026, the Company had gross uncertain tax benefits of $271.8 million, of which $219.9 million, if recognized, would impact the effective tax rate.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is a reconciliation of the liability for uncertain tax positions (in millions):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Reductions for tax positions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1028" w:hanging="1028"/>
        <w:spacing w:after="0"/>
        <w:tabs>
          <w:tab w:leader="none" w:pos="10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229.3</w:t>
      </w:r>
    </w:p>
    <w:p>
      <w:pPr>
        <w:spacing w:after="0" w:line="27"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52.8</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7" w:lineRule="exact"/>
        <w:rPr>
          <w:sz w:val="20"/>
          <w:szCs w:val="20"/>
          <w:color w:val="auto"/>
        </w:rPr>
      </w:pPr>
    </w:p>
    <w:p>
      <w:pPr>
        <w:ind w:left="1028" w:hanging="1028"/>
        <w:spacing w:after="0"/>
        <w:tabs>
          <w:tab w:leader="none" w:pos="102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683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683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p>
      <w:pPr>
        <w:spacing w:after="0" w:line="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and nine months ended September 30, 2026 and 2025 were not significant.</w:t>
      </w:r>
    </w:p>
    <w:p>
      <w:pPr>
        <w:spacing w:after="0" w:line="68"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The Organization for Economic Cooperation and Development’s (“OECD”) Pillar Two initiative set a 15% global minimum tax for certain multinationals, effective January 1, 2024, in most countries where the Company operates. In January 2026, new OECD guidance proposed a Side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(“SbS”) framework to limit Pillar Two taxes for U.S.-parented groups. Relief is contingent upon the implementation of the SbS framework within each respective jurisdiction's domestic legislation. As of September 30, 2026, the SbS regime had not been enacted in any significant jurisdictions, as a result the Company is accruing for all Pillar 2 tax exposures, including QDMTT, IIR, and UTPR. For the nine months ended September 30, 2026, the Company has recorded $12.5 million of top-up tax in its income tax expense, based on the currently enacted Pillar Two framework, in jurisdictions where the effective tax rate does not meet the 15% minimum threshold. The Company continues to monitor global legislative developments and will adjust financial reporting upon formal enactment in relevant jurisdictions.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9, 2026, the Company, along with certain of its foreign subsidiaries, entered into an amended and restated revolving credit agreement (the “Revolving Credit Agreement”) and a separate term loan credit agreement (the “Term Loan Agreement”). The Revolving Credit Agreement increased the aggregate commitments from $2.3 billion to $3.5 billion and extended the maturity to June 9, 2031. The facility is subject to customary financial and restrictive covenants and may be used for general corporate purposes, including working capital, debt refinancing, and up to $1.0 billion to fund a portion of the consideration for the previously announced acquisition of Indicor. In the third quarter of 2026, the Company borrowed 550 million Euros and 500 million Canadian dollars under its revolving credit agreement. The revolver bears interest at variable rates and matures in June 2031. At September 30, 2026, the Company had $975.7 million borrowings outstanding under the revolver.</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Loan Agreement provides for a senior unsecured term loan facility of up to $4.0 billion, consisting of three tranches: $1.625 billion maturing three years after funding, $1.625 billion maturing four years after funding, and $750 million maturing five years after funding. In the third quarter of 2026, the Company borrowed $4.0 billion in three tranches to fund the Indicor acquisition. At September 30, 2026, the Company had $4.0 billion borrowings outstanding under the term loans.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Both agreements contain customary affirmative and negative covenants, financial maintenance covenants, and events of default. Borrowings under the facilities bear interest at variable rates based on either a secured overnight financing rate (“SOFR”) or an alternate base rate, in each case plus an applicable margin determined by reference to the Company’s credit rating or leverage. The Company may prepay borrowings at any time without premium or penalty, subject to customary breakage costs.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entering into the purchase agreement for the Indicor acquisition, the Company previously obtained $5.0 billion in bridge financing commitments. Upon execution of the Revolving Credit Agreement and the Term Loan Agreement, these bridge commitments were automatically reduced and terminated in full.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2026, the Company had $306.0 million outstanding under its commercial paper program.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third quarter of 2026, the Company paid in full, at maturity, a $100.0 million in aggregate principal amount of 3.83% senior notes.</w:t>
      </w:r>
    </w:p>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plans are described in Note 11, Share-Based Compensation, to the consolidated financial statements in Part II, Item 8, filed on the Company’s Annual Report on Form 10-K for the year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6"/>
        </w:trPr>
        <w:tc>
          <w:tcPr>
            <w:tcW w:w="47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4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2,647</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8,022</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expense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17,146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15,768</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expense</w:t>
            </w: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14,074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37,674</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35,229</w:t>
            </w: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7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7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7"/>
                <w:szCs w:val="17"/>
                <w:color w:val="auto"/>
              </w:rPr>
            </w:pPr>
          </w:p>
        </w:tc>
        <w:tc>
          <w:tcPr>
            <w:tcW w:w="176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Black-Scholes-Merton fair value per stock option granted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51.29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and related information: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7"/>
                <w:szCs w:val="17"/>
                <w:color w:val="auto"/>
              </w:rPr>
            </w:pPr>
          </w:p>
        </w:tc>
        <w:tc>
          <w:tcPr>
            <w:tcW w:w="12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54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212.77</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186.61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137.09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210.8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2026</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vMerge w:val="continue"/>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1,466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119.61</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
              <w:spacing w:after="0" w:line="203" w:lineRule="exact"/>
              <w:rPr>
                <w:sz w:val="20"/>
                <w:szCs w:val="20"/>
                <w:color w:val="auto"/>
              </w:rPr>
            </w:pPr>
            <w:r>
              <w:rPr>
                <w:rFonts w:ascii="Times New Roman" w:cs="Times New Roman" w:eastAsia="Times New Roman" w:hAnsi="Times New Roman"/>
                <w:sz w:val="18"/>
                <w:szCs w:val="18"/>
                <w:b w:val="1"/>
                <w:bCs w:val="1"/>
                <w:color w:val="auto"/>
              </w:rPr>
              <w:t>187.8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nine months ended September 30, 2026 was $29.2 million. The total fair value of stock options vested during the nine months ended September 30, 2026 was $11.7 million. As of September 30, 2026, there was approximately $16.1 million of expected future pre-tax compensation expense related to the 0.5 million non-vested stock options outstanding, which is expected to be recognized over a weighted average period of approximately two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restricted stock activity and related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9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0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26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December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213.99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167.52</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188.19</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September 30,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vested during the nine months ended September 30, 2026 was $21.1 million. As of September 30, 2026, there was approximately $38.8 million of expected future pre-tax compensation expense related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0.3 million non-vested restricted shares outstanding, which is expected to be recognized over a weighted average period of approximately two years.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performance restricted stock activity and related information: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26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December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166.06</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212.77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Performance assumption change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138.46</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138.46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185.47</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September 30, 2026</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189.77</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120" w:hanging="112"/>
        <w:spacing w:after="0" w:line="220" w:lineRule="auto"/>
        <w:tabs>
          <w:tab w:leader="none" w:pos="1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number of PRSUs above target levels based on performance metrics.</w:t>
      </w:r>
    </w:p>
    <w:p>
      <w:pPr>
        <w:spacing w:after="0" w:line="1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approximately $12.1 million of expected future pre-tax compensation expense related to the 0.2 million non-vested restricted shares outstanding, which is expected to be recognized over a weighted average period of less than one year.</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periodic pension benefit expense (income)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5"/>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1,514</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21,372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(14,445)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(43,339)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(9,803)</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13,070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39,669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34,074</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14,866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45,066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38,631</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pension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29,025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defined benefit plans, the net periodic benefit income, other than the service cost component, is included in “Other (expense) income, net” in the consolidated statement of income.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and 2025, contributions to the Company’s defined benefit pension plans were $3.8 million and $4.5 million, respectively. The Company’s current estimate of 2026 contributions to its worldwide defined benefit pension plans is in line with the range disclosed in Note 12 of the Company’s Annual Report on Form 10-K for the year ended December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tab/>
        <w:t>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historic processes in the manufacture of products have resulted in environmentally hazardous waste by-products as defined by federal and state laws and regulations. At September 30, 2026, the Company is named a Potentially Responsible Party (“PRP”) at 13 non-AMETEK-owned former waste disposal or treatment sites (the “non-owned” sites). The Company is identified as a “de minimis” party in a majority of these sites based on the low volume of waste attributed to the Company relative to the amounts attributed to other named PRPs.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environmental reserves at September 30, 2026 and December 31, 2025 were $39.5 million and $37.4 million, respectively, for both non-owned and owned sites. For the nine months ended September 30, 2026, the Company recorded $8.8 million in reserves. Additionally, the Company spent $6.7 million on environmental matters for the nine months ended September 30, 2026.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Reportable Segments</w:t>
      </w:r>
    </w:p>
    <w:p>
      <w:pPr>
        <w:spacing w:after="0" w:line="67"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The Company has two reportable segments, Electronic Instruments Group and Electromechanical Group. The Company identifies its operating segments for segment reporting purposes primarily on the basis of product type, production processes, distribution methods and management organizations.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Reportable Segment Financial Information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180" w:type="dxa"/>
            <w:vAlign w:val="bottom"/>
          </w:tcPr>
          <w:p>
            <w:pPr>
              <w:spacing w:after="0"/>
              <w:rPr>
                <w:sz w:val="16"/>
                <w:szCs w:val="16"/>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6"/>
                <w:szCs w:val="16"/>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777,985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1,442,321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2,220,306</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541,090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868,782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1,409,872</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166,796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193,682</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210,009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406,743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616,752</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31,803</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210,009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406,743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(31,803)</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584,949</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(39,822)</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(23,212)</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521,915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35,534</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80,099</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115,633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5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105,416</w:t>
            </w:r>
          </w:p>
        </w:tc>
      </w:tr>
      <w:tr>
        <w:trPr>
          <w:trHeight w:val="95"/>
        </w:trPr>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6,696,443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14,819,458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872,634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22,388,535</w:t>
            </w:r>
          </w:p>
        </w:tc>
      </w:tr>
      <w:tr>
        <w:trPr>
          <w:trHeight w:val="54"/>
        </w:trPr>
        <w:tc>
          <w:tcPr>
            <w:tcW w:w="5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33,243</w:t>
            </w:r>
          </w:p>
        </w:tc>
      </w:tr>
    </w:tbl>
    <w:p>
      <w:pPr>
        <w:spacing w:after="0" w:line="130"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$9.8 million of acquisition-related integration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$18.1 million of acquisition-related transaction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180" w:type="dxa"/>
            <w:vAlign w:val="bottom"/>
          </w:tcPr>
          <w:p>
            <w:pPr>
              <w:spacing w:after="0"/>
              <w:rPr>
                <w:sz w:val="16"/>
                <w:szCs w:val="16"/>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6"/>
                <w:szCs w:val="16"/>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1,892,641</w:t>
            </w: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1,206,505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169,824</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163,875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352,437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516,312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27,932</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163,875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352,437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(27,932)</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488,380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(17,901)</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447,965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67,298</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5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94,681</w:t>
            </w:r>
          </w:p>
        </w:tc>
      </w:tr>
      <w:tr>
        <w:trPr>
          <w:trHeight w:val="95"/>
        </w:trPr>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4,837,524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10,717,580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16,182,257</w:t>
            </w:r>
          </w:p>
        </w:tc>
      </w:tr>
      <w:tr>
        <w:trPr>
          <w:trHeight w:val="54"/>
        </w:trPr>
        <w:tc>
          <w:tcPr>
            <w:tcW w:w="5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20,913</w:t>
            </w:r>
          </w:p>
        </w:tc>
      </w:tr>
    </w:tbl>
    <w:p>
      <w:pPr>
        <w:spacing w:after="0" w:line="130"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$7.8 million of acquisition-related integration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 million of acquisition-related transaction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4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EMG</w:t>
            </w:r>
          </w:p>
        </w:tc>
        <w:tc>
          <w:tcPr>
            <w:tcW w:w="140" w:type="dxa"/>
            <w:vAlign w:val="bottom"/>
          </w:tcPr>
          <w:p>
            <w:pPr>
              <w:spacing w:after="0"/>
              <w:rPr>
                <w:sz w:val="16"/>
                <w:szCs w:val="16"/>
                <w:color w:val="auto"/>
              </w:rPr>
            </w:pP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EIG</w:t>
            </w: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2,165,130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4,028,010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6,193,140</w:t>
            </w:r>
          </w:p>
        </w:tc>
      </w:tr>
      <w:tr>
        <w:trPr>
          <w:trHeight w:val="230"/>
        </w:trPr>
        <w:tc>
          <w:tcPr>
            <w:tcW w:w="4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1,520,307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2,409,799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3,930,106</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467,808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542,539</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570,092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1,150,403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1,720,495</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92,417</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570,092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1,150,403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(92,417)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1,628,078</w:t>
            </w:r>
          </w:p>
        </w:tc>
      </w:tr>
      <w:tr>
        <w:trPr>
          <w:trHeight w:val="230"/>
        </w:trPr>
        <w:tc>
          <w:tcPr>
            <w:tcW w:w="4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(90,832)</w:t>
            </w:r>
          </w:p>
        </w:tc>
      </w:tr>
      <w:tr>
        <w:trPr>
          <w:trHeight w:val="229"/>
        </w:trPr>
        <w:tc>
          <w:tcPr>
            <w:tcW w:w="4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(29,979)</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1,507,267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108,599</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159,436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218,455</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327,054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4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0"/>
        </w:trPr>
        <w:tc>
          <w:tcPr>
            <w:tcW w:w="4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327,913</w:t>
            </w:r>
          </w:p>
        </w:tc>
      </w:tr>
      <w:tr>
        <w:trPr>
          <w:trHeight w:val="95"/>
        </w:trPr>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90,722</w:t>
            </w:r>
          </w:p>
        </w:tc>
      </w:tr>
    </w:tbl>
    <w:p>
      <w:pPr>
        <w:spacing w:after="0" w:line="117"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$27.6 million of acquisition-related integration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million of acquisition-related financing fees.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$18.1 million of acquisition-related transaction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6"/>
                <w:szCs w:val="16"/>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1,853,092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3,549,576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5,402,668</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1,349,981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2,105,662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3,455,643</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459,629</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436,481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1,050,915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1,487,396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82,561</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436,481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1,050,915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(82,561)</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1,404,835</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(58,364)</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(22,115)</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1,324,356</w:t>
            </w:r>
          </w:p>
        </w:tc>
      </w:tr>
      <w:tr>
        <w:trPr>
          <w:trHeight w:val="21"/>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107,642</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209,504</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317,146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5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283,773</w:t>
            </w:r>
          </w:p>
        </w:tc>
      </w:tr>
      <w:tr>
        <w:trPr>
          <w:trHeight w:val="95"/>
        </w:trPr>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73,251</w:t>
            </w:r>
          </w:p>
        </w:tc>
      </w:tr>
    </w:tbl>
    <w:p>
      <w:pPr>
        <w:spacing w:after="0" w:line="130"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$7.8 million of acquisition-related integration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 million of acquisition-related transaction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820"/>
        <w:spacing w:after="0" w:line="32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Recent Trends</w:t>
      </w: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Recent geopolitical developments, including the conflict involving Iran, have contributed to increased uncertainty in global markets. Although we have limited Middle East sales exposure and do not have material operations or assets located in the region, we are not immune to the broader macroeconomic uncertainty an extended conflict may create on the global economy.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businesses have been proactive in addressing the impacts of tariffs, including targeted pricing initiatives, strategic adjustments to our global supply chains, and leveraging our worldwide manufacturing footprint to localize production and adapt to changing demand patterns. While recent tariff-related changes did not have a material impact on our results of operations for the nine months ended September 30, 2026, as the situation continues to evolve, we cannot be certain of the outcome, which could adversely impact demand for our products, costs, inflationary pressures, customers, suppliers, and the overall global economy. We continue to monitor and analyze the impacts of the tariffs and the evolving macroeconomic environment and will continue to implement appropriate actions as necessary to mitigate their effects on our businesses.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quarter ended September 30, 2026, the Company delivered record sales, operating income, net income, and diluted EPS, supported by strong operating margins. Contributions from the acquisitions of FARO Technologies ("FARO") in July 2025, LKC Technologies ("LKC") in January 2026, First Aviation Services ("First Aviation") in May 2026, and Indicor Instrumentation ("Indicor") in August 2026 (collectively, the "recent acquisitions"), together with the Company's Operational Excellence initiatives, contributed favorably to the Company's third-quarter 2026 results. In the third quarter of 2026, the Company recorded $27.8 million of pre-tax acquisition-related costs associated with the Indicor acquisition, which are comprised of one-time transaction costs and ongoing integration costs. Integration costs of $9.8 million are recorded in Cost of sales and primarily include fair-value inventory adjustments. Transaction costs of $18.1 million are recorded in Other (expense) income, net and primarily include representation and warranty insurance costs.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third quarter of 2026 compared with the third quarter of 2025</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for the third quarter of 2026 were a record $2,220.3 million, an increase of $327.7 million or 17.3%, compared with net sales of $1,892.6 million for the third quarter of 2025. The increase in net sales for the third quarter of 2026 was due to a 10% increase in organic sales, as well as a 7% increase from acquisitions.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third quarter of 2026 were $1,060.9 million or 47.8% of net sales, an increase of $154.8 million or 17.1%, compared with international sales of $906.1 million or 47.9% of net sales for the third quarter of 2025. The increase in international sales was primarily driven by higher demand in Asia, as well as contributions from recent acquisitions.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Orders for the third quarter of 2026 were a record $2,650.6 million, an increase of $682.8 million or 34.7%, compared with $1,967.8 million for the third quarter of 2025. The increase in orders for the third quarter of 2026 was due to a 17% increase in organic orders and an 18% increase from acquisitions. The Company's backlog of unfilled orders at September 30, 2026 was a record $4,540.5 million, an increase of $959.0 million or 26.8% compared with $3,581.5 million at December 31, 2025.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sales for the third quarter of 2026 was $1,409.9 million or 63.5% of net sales, an increase of $203.4 million or 16.9%, compared with $1,206.5 million or 63.7% of net sales for the third quarter of 2025. The cost of sales increase was primarily due to the net sales increase discussed above, partially offset by continued benefits from the Company's Operational Excellence initiatives.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Segment operating income for the third quarter of 2026 was $616.8 million, an increase of $100.5 million or 19.5%, compared with segment operating income of $516.3 million for the third quarter of 2025. Segment operating margins, as a percentage of net sales, increased to 27.8% for the third quarter of 2026, compared with 27.3% for the third quarter of 2025. Operating income and operating margins for the third quarter of 2026 included $9.8 million of acquisition-related integration costs related to the Indicor acquisition, which negatively impacted operating margins by 40 basis points. In the third quarter of 2026, segment operating margins were negatively impacted 40 basis points by the dilutive impact of recent acquisitions. Excluding the dilutive impact of recent acquisitions and acquisition-related costs, segment operating margins increased 130 basis points compared to the third quarter of 2025 due to the sales increase discussed above, as well as continued benefits from the Company's Operational Excellence initiatives.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third quarter of 2026 were $225.5 million or 10.2% of net sales, an increase of $27.7 million or 14.0%, compared with $197.8 million or 10.4% of net sales for the third quarter of 2025. Selling expenses increased primarily due to the net sales increase discussed above. General and administrative expenses for the third quarter of 2026 were $31.8 million, compared with $27.9 million for the third quarter of 2025.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Consolidated operating income was a record $584.9 million or 26.3% of net sales for the third quarter of 2026, an increase of $96.5 million or 19.8%, compared with $488.4 million or 25.8% of net sales for the third quarter of 2025.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third quarter of 2026 was $39.8 million, an increase of $17.3 million or 76.9%, compared with $22.5 million for the third quarter of 2025. Interest expense increased in the third quarter of 2026 primarily due to higher interest associated with the revolving credit and term loan borrowings in connection with the Indicor acquisition. See Note 12 for additional information.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 net was $23.2 million for the third quarter of 2026, compared with $17.9 million for the third quarter of 2025. Other expense, net in the third quarter of 2026 includes $18.1 million of acquisition-related costs, primarily representation and warranty insurance costs. Other expense, net in the third quarter of 2025 included $12.0 million of acquisition-related costs, primarily investment banker fees.</w:t>
      </w:r>
    </w:p>
    <w:p>
      <w:pPr>
        <w:spacing w:after="0" w:line="176" w:lineRule="exact"/>
        <w:rPr>
          <w:sz w:val="20"/>
          <w:szCs w:val="20"/>
          <w:color w:val="auto"/>
        </w:rPr>
      </w:pPr>
    </w:p>
    <w:p>
      <w:pPr>
        <w:jc w:val="both"/>
        <w:ind w:right="206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third quarter of 2026 was 18.3%, compared with 17.1% for the third quarter of 2025. The lower effective tax rate in the third quarter of 2025 primarily reflects the remeasurement of deferred tax liabilities following the enactment of a lower corporate tax rate in Germany.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third quarter of 2026 was a record $426.3 million, an increase of $54.9 million or 14.8%, compared with $371.4 million for the third quarter of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third quarter of 2026 were a record $1.85, an increase of $0.25 or 15.6%, compared with $1.60 per diluted share for the third quarter of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 net sales were a record $1,442.3 million for the third quarter of 2026, an increase of $196.0 million or 15.7%, compared with $1,246.3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third quarter of 2025. The net sales increase was due to a 9% organic sales increase as well as a 7% increase from recent acquisitions.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EIG’s operating income was a record $406.7 million for the third quarter of 2026, an increase of $54.3 million or 15.4%, compared with $352.4 million for the third quarter of 2025. EIG’s operating margins were 28.2% of net sales for the third quarter of 2026, compared with 28.3% for the third quarter of 2025. EIG's operating income and operating margins for the third quarter of 2026 included $7.8 million of acquisition-related integration costs related to the Indicor acquisition, which negatively impacted EIG's operating margins by 50 basis points. EIG's operating margins were negatively impacted 60 basis points in the third quarter of 2026 by the dilutive impact of recent acquisitions. Excluding the dilutive impact of recent acquisitions and acquisition-related costs, EIG's operating margins increased 100 basis points compared to the third quarter of 2025 due to the sales increase discussed above, as well as continued benefits from the Company's Operational Excellence initiatives.</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a record $778.0 million for the third quarter of 2026, an increase of $131.7 million or 20.4%, compared with $646.3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third quarter of 2025. The net sales increase was due to a 13% organic sales increase as well as a 7% increase from recent acquisitions.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EMG’s operating income was a record $210.0 million for the third quarter of 2026, an increase of $46.1 million or 28.2%, compared with $163.9 million for the third quarter of 2025. EMG’s operating margins were 27.0% of net sales for the third quarter of 2026, compared with 25.4% for the third quarter of 2025. EMG's operating income and operating margins for the third quarter of 2026 included $2.0 million of acquisition-related integration costs related to the Indicor acquisition, which negatively impacted operating margins by 20 basis points. EMG's operating margins were negatively impacted by 10 basis points in the third quarter of 2026 by the dilutive impact of recent acquisitions. Excluding the dilutive impact of recent acquisitions and acquisition-related costs, EMG's operating margins increased 190 basis points compared to the third quarter of 2025 due to the sales increase discussed above, as well as continued benefits from the Company's Operational Excellence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first nine months of 2026 compared with the first nine months of 2025</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for the first nine months of 2026 were $6,193.1 million, an increase of $790.4 million or 14.6%, compared with net sales of $5,402.7 million for the first nine months of 2025. The increase in net sales for the first nine months of 2026 was due to an 8% organic sales increase, 6% increase from acquisitions, as well as a 1% favorable effect of foreign currency translation.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first nine months of 2026 were $2,948.2 million or 47.6% of net sales, an increase of $394.6 million or 15.5%, compared with international sales of $2,553.6 million or 47.3% of net sales for the first nine months of 2025. The increase in international sales was primarily driven by increased demand in Asia and Europe, as well as contributions from recent acquisitions.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Orders for the first nine months of 2026 were $7,152.1 million, an increase of $1,606.4 million or 29.0%, compared with $5,545.7 million for the first nine months of 2025. The increase in orders for the first nine months of 2026 was due to a 21% organic order increase, a 9% increase from acquisitions, partially offset by a 1% unfavorable effect of foreign currency translation.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sales for the first nine months of 2026 was $3,930.1 million or 63.5% of net sales, an increase of $474.5 million or 13.7%, compared with $3,455.6 million or 64.0% of net sales for the first nine months of 2025. The cost of sales increase was primarily due to the net sales increase discussed above, partially offset by continued benefits from the Company's Operational Excellence initiatives.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Segment operating income for the first nine months of 2026 was $1,720.5 million, an increase of $233.1 million or 15.7%, compared with segment operating income of $1,487.4 million for the first nine months of 2025. Segment operating margins, as a percentage of net sales, increased to 27.8% for the first nine months of 2026, compared with 27.5% for the first nine months of 2025. Operating income and operating margins for the first nine months of 2026 included $27.6 million of acquisition-related integration costs related to recent acquisitions, which negatively impacted operating margins by 40 basis points. Segment operating margins were negatively impacted 70 basis points in the first nine months of 2026 by the dilutive impact of recent acquisitions. Excluding the dilutive impact of the recent acquisitions and acquisition-related costs, segment operating margins increased 140 basis points compared to the first nine months of 2025, due to the sales increase discussed above, as well as continued benefits from the Company's Operational Excellence initiatives.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first nine months of 2026 were $635.0 million or 10.3% of net sales, an increase of $92.8 million or 17.1%, compared with $542.2 million or 10.0% of net sales for the first nine months of 2025. Selling expenses increased primarily due to the net sales increase discussed above, as well as higher selling expense related to recent acquisitions. General and administrative expenses for the first nine months of 2026 were $92.4 million, compared with $82.6 million for the first nine months of 2025.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Consolidated operating income was $1,628.1 million or 26.3% of net sales for the first nine months of 2026, an increase of $223.3 million or 15.9%, compared with $1,404.8 million or 26.0% of net sales for the first nine months of 2025.</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for the first nine months of 2026 was $90.8 million, an increase of $32.4 million or 55.6%, compared with $58.4 million for the first nine months of 2025. Interest expense for the first nine months of 2026 includes $10.0 million of fees related to bridge loan financing entered into in connection with the definitive agreement to acquire Indicor. The bridge loan was terminated in June 2026 following the execution of the Revolving Credit Agreement and the Term Loan Agreement. The remaining increase for the first nine months of 2026 was primarily due to higher interest associated with the revolving credit and term loan borrowings in connection with the Indicor acquisition. See Note 12 for additional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expense, net was $30.0 million for the first nine months of 2026, compared with $22.1 million of other expense, net for the first nine months of 2025. Other expense, net in the first nine months of 2026 included $18.1 million of acquisition-related costs, primarily representation and warranty insurance costs associated with the Indicor acquisition. Other expense, net in the first nine months of 2025 included $12.0 million of acquisition-related costs, primarily investment banking fees.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tax rate for the first nine months of 2026 was 18.2%, compared with 18.3% for the first nine months of 2025.</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first nine months of 2026 was $1,232.6 million, an increase of $151.1 million or 14.0%, compared with $1,081.5 million for the first nine months of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first nine months of 2026 were $5.36, an increase of $0.69 or 14.8%, compared with $4.67 per diluted share for the first nine months of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color w:val="auto"/>
        </w:rPr>
        <w:t>s net sales totaled $4,028.0 million for the first nine months of 2026, an increase of $478.4 million or 13.5%, compared with $3,549.6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nine months of 2025. The net sales increase was due to a 7% increase from acquisitions, as well as a 6% increase in organic sales.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EIG’s operating income was $1,150.4 million for the first nine months of 2026, an increase of $99.5 million or 9.5%, compared with $1,050.9 million for the first nine months of 2025. EIG’s operating margins were 28.6% of net sales for the first nine months of 2026, compared with 29.6% for the first nine months of 2025. EIG's operating income and operating margins for the first nine months of 2026 included $24.4 million of acquisition-related integration costs related to the Indicor, FARO and LKC acquisitions, which negatively impacted EIG's operating margins by 60 basis points. EIG's operating margins were negatively impacted 100 basis points in the first nine months of 2026 by the dilutive impact of recent acquisitions. Excluding the dilutive impact of recent acquisitions and acquisition-related costs, EIG's operating margins increased 60 basis points in the first nine months of 2026 compared to the first nine months of 2025 due to the sales increase discussed above, as well as continued benefits from the Company's Operational Excellence initiatives.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$2,165.1 million for the first nine months of 2026, an increase of $312.0 million or 16.8%, compared with $1,853.1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first nine months of 2025. The net sales increase was due to a 13% increase in organic sales, a 3% increase from acquisitions, as well as a 1% favorable effect of foreign currency translation.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EMG’s operating income was $570.1 million for the first nine months of 2026, an increase of $133.6 million or 30.6%, compared with $436.5 million for the first nine months of 2025. EMG’s operating margins were 26.3% of net sales for the first nine months of 2026, compared with 23.6% for the first nine months of 2025. EMG's operating income and operating margins for the first nine months of 2026 included $3.2 million of acquisition-related integration costs related to the Indicor acquisition, which negatively impacted EMG's operating margins by 20 basis points. Excluding the acquisition-related costs, EMG's operating margins increased 290 basis points compared to the first nine months of 2025, due to the sales increase discussed above, as well as continued benefits from the Company's Operational Excellence initiatives.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totaled $1,495.9 million for the first nine months of 2026, an increase of $278.4 million or 22.9%, compared with $1,217.5 million for the first nine months of 2025. The increase in cash provided by operating activities for the first nine months of 2026 was primarily due to higher net income, as well as lower working capital requirements.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Free cash flow (cash flow provided by operating activities less capital expenditures) was $1,405.2 million for the first nine months of 2026, compared with $1,144.2 million for the first nine months of 2025. EBITDA (earnings before interest, income taxes, depreciation and amortization) was $1,921.7 million for the first nine months of 2026, compared with $1,696.0 million for the first nine months of 2025. Free cash flow and EBITDA are presented because the Company is aware that they are measures used by third parties in evaluating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used by investing activities totaled $5,436.1 million for the first nine months of 2026, compared with cash used by investing activities of $1,005.8 million for the first nine months of 2025. For the first nine months of 2026, the Company paid $5,345.8 million, net of cash acquired, to purchase LKC Technologies in January 2026, First Aviation Services, Inc. in May 2026, and Indicor in August 2026. For the first nine months of 2025, the Company paid $933.2 million, net of cash acquired, to purchase Kern Microtechnik and FARO. Additions to property, plant and equipment totaled $90.7 million for the first nine months of 2026, compared with $73.3 million for the first nine months of 2025.</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totaled $4,158.0 million for the first nine months of 2026, compared with cash used by financing activities of $176.7 million for the first nine months of 2025. At September 30, 2026, total debt, net was $6,669.4 million, compared with $2,283.3 million at December 31, 2025. For the first nine months of 2026, total borrowings increased by $4,428.0 million compared with a $187.7 million increase for the first nine months of 2025.</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9, 2026, the Company along with certain of its foreign subsidiaries entered into an amended and restated revolving credit agreement (the “Revolving Credit Agreement”) and a separate term loan credit agreement (the “Term Loan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Agreement”). The Revolving Credit Agreement increased the aggregate commitments from $2.3 billion to $3.5 billion and extended the maturity to June 9, 2031. The facility is subject to customary financial and restrictive covenants and may be used for general corporate purposes, including working capital, debt refinancing, and up to $1.0 billion to fund a portion of the consideration for the Indicor acquisition. At September 30, 2026, the Company had available borrowing capacity of $2,168.1 million under its revolving credit facility.</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Term Loan Agreement provides for a senior unsecured term loan facility of up to $4.0 billion, consisting of three tranches: $1.625 billion maturing three years after funding, $1.625 billion maturing four years after funding, and $750 million maturing five years after funding. At September 30, 2026, the Company had $4.0 billion borrowings outstanding under the term loans.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debt-to-capital ratio was 36.3% at September 30, 2026, compared with 17.7% at December 31, 2025. The net debt-to-capital ratio (total debt, net less cash and cash equivalents divided by the sum of net debt and stockholders’ equity) was 33.9% at September 30, 2026, compared with 14.7% at December 31, 2025. The net debt-to-capital ratio is presented because the Company is aware that this measure is used by third parties in evaluating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 financing activities for the first nine months of 2026 included cash dividends paid of $233.5 million, compared with $214.4 million for the first nine months of 2025. Effective February 12, 2026, the Company’s Board of Directors approved a 10% increase in the quarterly cash dividend on the Company’s common stock to $0.34 per common share from $0.31 per common share. The Company used $28.2 million to repurchase its common stock for the first nine months of 2026, compared with $163.6 million for the first nine months of 2025. Proceeds from stock option exercises were $28.1 million for the first nine months of 2026, compared with $21.6 million for the first nine months of 2025.</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all of the Company’s cash flow activities for the first nine months of 2026, cash and cash equivalents at September 30, 2026 totaled $666.2 million, compared with $458.0 million at December 31, 2025. At September 30, 2026, the Company had $482.4 million in cash outside the United States, compared with $374.5 million at December 31, 2025.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EBITDA represents earnings before interest, income taxes, depreciation and amortization. EBITDA is presented because the Company is aware that it is used by rating agencies, securities analysts, investors and other parties in evaluating the Company. It should not be considered, however, as an alternative to operating income as an indicator of the Company’s operating performance or as an alternative to cash flows as a measure of the Company’s overall liquidity as presented in the Company’s consolidated financial statements. Furthermore, EBITDA measures shown for the Company may not be comparable to similarly titled measures used by other companies. The following table presents the reconciliation of net income reported in accordance with U.S. generally accepted accounting principles (“GAAP”) to EBITDA: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r>
      <w:tr>
        <w:trPr>
          <w:trHeight w:val="37"/>
        </w:trPr>
        <w:tc>
          <w:tcPr>
            <w:tcW w:w="8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4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4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37"/>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w:t>
            </w:r>
          </w:p>
        </w:tc>
      </w:tr>
      <w:tr>
        <w:trPr>
          <w:trHeight w:val="27"/>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1,921.7</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represents cash flow from operating activities less capital expenditures. Free cash flow is presented because the Company is aware that it is used by rating agencies, securities analysts, investors and other parties in evaluating the Company. The following table presents the reconciliation of cash flow from operating activities reported in accordance with U.S. GAAP to free cash flow: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r>
      <w:tr>
        <w:trPr>
          <w:trHeight w:val="37"/>
        </w:trPr>
        <w:tc>
          <w:tcPr>
            <w:tcW w:w="8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 Capital expenditures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7"/>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1,405.2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debt represents total debt, net minus cash and cash equivalents. Net debt is presented because the Company is aware that it is used by rating agencies, securities analysts, investors and other parties in evaluating the Company. The following table presents the reconciliation of total debt, net reported in accordance with U.S. GAAP to net debt:</w:t>
      </w:r>
    </w:p>
    <w:p>
      <w:pPr>
        <w:spacing w:after="0" w:line="102" w:lineRule="exact"/>
        <w:rPr>
          <w:sz w:val="20"/>
          <w:szCs w:val="20"/>
          <w:color w:val="auto"/>
        </w:rPr>
      </w:pPr>
    </w:p>
    <w:p>
      <w:pPr>
        <w:ind w:left="8380"/>
        <w:spacing w:after="0"/>
        <w:tabs>
          <w:tab w:leader="none" w:pos="1004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9" w:lineRule="exact"/>
        <w:rPr>
          <w:sz w:val="20"/>
          <w:szCs w:val="20"/>
          <w:color w:val="auto"/>
        </w:rPr>
      </w:pPr>
    </w:p>
    <w:p>
      <w:pPr>
        <w:ind w:left="8660"/>
        <w:spacing w:after="0"/>
        <w:tabs>
          <w:tab w:leader="none" w:pos="103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41910</wp:posOffset>
            </wp:positionV>
            <wp:extent cx="2040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6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debt,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debt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Capitalization (net debt plus stockholders’ equity)</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debt as a percentage of capitalization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755" w:hanging="755"/>
        <w:spacing w:after="0"/>
        <w:tabs>
          <w:tab w:leader="none" w:pos="7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6,669.4</w:t>
      </w:r>
    </w:p>
    <w:p>
      <w:pPr>
        <w:spacing w:after="0" w:line="63" w:lineRule="exact"/>
        <w:rPr>
          <w:rFonts w:ascii="Times New Roman" w:cs="Times New Roman" w:eastAsia="Times New Roman" w:hAnsi="Times New Roman"/>
          <w:sz w:val="18"/>
          <w:szCs w:val="18"/>
          <w:b w:val="1"/>
          <w:bCs w:val="1"/>
          <w:color w:val="auto"/>
        </w:rPr>
      </w:pPr>
    </w:p>
    <w:p>
      <w:pPr>
        <w:ind w:left="815"/>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(666.2)</w:t>
      </w:r>
    </w:p>
    <w:p>
      <w:pPr>
        <w:spacing w:after="0" w:line="77" w:lineRule="exact"/>
        <w:rPr>
          <w:sz w:val="20"/>
          <w:szCs w:val="20"/>
          <w:color w:val="auto"/>
        </w:rPr>
      </w:pPr>
    </w:p>
    <w:p>
      <w:pPr>
        <w:ind w:left="755"/>
        <w:spacing w:after="0"/>
        <w:rPr>
          <w:sz w:val="20"/>
          <w:szCs w:val="20"/>
          <w:color w:val="auto"/>
        </w:rPr>
      </w:pPr>
      <w:r>
        <w:rPr>
          <w:rFonts w:ascii="Times New Roman" w:cs="Times New Roman" w:eastAsia="Times New Roman" w:hAnsi="Times New Roman"/>
          <w:sz w:val="18"/>
          <w:szCs w:val="18"/>
          <w:b w:val="1"/>
          <w:bCs w:val="1"/>
          <w:color w:val="auto"/>
        </w:rPr>
        <w:t>6,003.2</w:t>
      </w:r>
    </w:p>
    <w:p>
      <w:pPr>
        <w:spacing w:after="0" w:line="63" w:lineRule="exact"/>
        <w:rPr>
          <w:sz w:val="20"/>
          <w:szCs w:val="20"/>
          <w:color w:val="auto"/>
        </w:rPr>
      </w:pPr>
    </w:p>
    <w:p>
      <w:pPr>
        <w:ind w:left="675"/>
        <w:spacing w:after="0"/>
        <w:rPr>
          <w:sz w:val="20"/>
          <w:szCs w:val="20"/>
          <w:color w:val="auto"/>
        </w:rPr>
      </w:pPr>
      <w:r>
        <w:rPr>
          <w:rFonts w:ascii="Times New Roman" w:cs="Times New Roman" w:eastAsia="Times New Roman" w:hAnsi="Times New Roman"/>
          <w:sz w:val="18"/>
          <w:szCs w:val="18"/>
          <w:b w:val="1"/>
          <w:bCs w:val="1"/>
          <w:color w:val="auto"/>
        </w:rPr>
        <w:t>11,696.2</w:t>
      </w:r>
    </w:p>
    <w:p>
      <w:pPr>
        <w:spacing w:after="0" w:line="77" w:lineRule="exact"/>
        <w:rPr>
          <w:sz w:val="20"/>
          <w:szCs w:val="20"/>
          <w:color w:val="auto"/>
        </w:rPr>
      </w:pPr>
    </w:p>
    <w:p>
      <w:pPr>
        <w:ind w:left="675" w:hanging="675"/>
        <w:spacing w:after="0"/>
        <w:tabs>
          <w:tab w:leader="none" w:pos="67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17,699.4</w:t>
      </w:r>
    </w:p>
    <w:p>
      <w:pPr>
        <w:spacing w:after="0" w:line="117" w:lineRule="exact"/>
        <w:rPr>
          <w:rFonts w:ascii="Times New Roman" w:cs="Times New Roman" w:eastAsia="Times New Roman" w:hAnsi="Times New Roman"/>
          <w:sz w:val="18"/>
          <w:szCs w:val="18"/>
          <w:b w:val="1"/>
          <w:bCs w:val="1"/>
          <w:color w:val="auto"/>
        </w:rPr>
      </w:pPr>
    </w:p>
    <w:p>
      <w:pPr>
        <w:ind w:left="995"/>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33.9 %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44450</wp:posOffset>
            </wp:positionV>
            <wp:extent cx="9944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69850</wp:posOffset>
            </wp:positionV>
            <wp:extent cx="9944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-135255</wp:posOffset>
            </wp:positionV>
            <wp:extent cx="9944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761" w:hanging="761"/>
        <w:spacing w:after="0"/>
        <w:tabs>
          <w:tab w:leader="none" w:pos="7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2,283.3</w:t>
      </w:r>
    </w:p>
    <w:p>
      <w:pPr>
        <w:spacing w:after="0" w:line="63" w:lineRule="exact"/>
        <w:rPr>
          <w:rFonts w:ascii="Times New Roman" w:cs="Times New Roman" w:eastAsia="Times New Roman" w:hAnsi="Times New Roman"/>
          <w:sz w:val="18"/>
          <w:szCs w:val="18"/>
          <w:color w:val="auto"/>
        </w:rPr>
      </w:pPr>
    </w:p>
    <w:p>
      <w:pPr>
        <w:ind w:left="8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(458.0)</w:t>
      </w:r>
    </w:p>
    <w:p>
      <w:pPr>
        <w:spacing w:after="0" w:line="77" w:lineRule="exact"/>
        <w:rPr>
          <w:sz w:val="20"/>
          <w:szCs w:val="20"/>
          <w:color w:val="auto"/>
        </w:rPr>
      </w:pPr>
    </w:p>
    <w:p>
      <w:pPr>
        <w:ind w:left="761"/>
        <w:spacing w:after="0"/>
        <w:rPr>
          <w:sz w:val="20"/>
          <w:szCs w:val="20"/>
          <w:color w:val="auto"/>
        </w:rPr>
      </w:pPr>
      <w:r>
        <w:rPr>
          <w:rFonts w:ascii="Times New Roman" w:cs="Times New Roman" w:eastAsia="Times New Roman" w:hAnsi="Times New Roman"/>
          <w:sz w:val="18"/>
          <w:szCs w:val="18"/>
          <w:color w:val="auto"/>
        </w:rPr>
        <w:t>1,825.3</w:t>
      </w:r>
    </w:p>
    <w:p>
      <w:pPr>
        <w:spacing w:after="0" w:line="63" w:lineRule="exact"/>
        <w:rPr>
          <w:sz w:val="20"/>
          <w:szCs w:val="20"/>
          <w:color w:val="auto"/>
        </w:rPr>
      </w:pPr>
    </w:p>
    <w:p>
      <w:pPr>
        <w:ind w:left="681"/>
        <w:spacing w:after="0"/>
        <w:rPr>
          <w:sz w:val="20"/>
          <w:szCs w:val="20"/>
          <w:color w:val="auto"/>
        </w:rPr>
      </w:pPr>
      <w:r>
        <w:rPr>
          <w:rFonts w:ascii="Times New Roman" w:cs="Times New Roman" w:eastAsia="Times New Roman" w:hAnsi="Times New Roman"/>
          <w:sz w:val="18"/>
          <w:szCs w:val="18"/>
          <w:color w:val="auto"/>
        </w:rPr>
        <w:t>10,628.8</w:t>
      </w:r>
    </w:p>
    <w:p>
      <w:pPr>
        <w:spacing w:after="0" w:line="77" w:lineRule="exact"/>
        <w:rPr>
          <w:sz w:val="20"/>
          <w:szCs w:val="20"/>
          <w:color w:val="auto"/>
        </w:rPr>
      </w:pPr>
    </w:p>
    <w:p>
      <w:pPr>
        <w:ind w:left="681" w:hanging="681"/>
        <w:spacing w:after="0"/>
        <w:tabs>
          <w:tab w:leader="none" w:pos="6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12,454.1</w:t>
      </w:r>
    </w:p>
    <w:p>
      <w:pPr>
        <w:spacing w:after="0" w:line="117" w:lineRule="exact"/>
        <w:rPr>
          <w:rFonts w:ascii="Times New Roman" w:cs="Times New Roman" w:eastAsia="Times New Roman" w:hAnsi="Times New Roman"/>
          <w:sz w:val="18"/>
          <w:szCs w:val="18"/>
          <w:color w:val="auto"/>
        </w:rPr>
      </w:pPr>
    </w:p>
    <w:p>
      <w:pPr>
        <w:ind w:left="98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9772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60325</wp:posOffset>
            </wp:positionV>
            <wp:extent cx="9772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-144780</wp:posOffset>
            </wp:positionV>
            <wp:extent cx="9772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724" w:lineRule="exact"/>
        <w:rPr>
          <w:sz w:val="20"/>
          <w:szCs w:val="20"/>
          <w:color w:val="auto"/>
        </w:rPr>
      </w:pPr>
    </w:p>
    <w:p>
      <w:pPr>
        <w:sectPr>
          <w:pgSz w:w="11900" w:h="16838" w:orient="portrait"/>
          <w:cols w:equalWidth="0" w:num="3">
            <w:col w:w="7325" w:space="720"/>
            <w:col w:w="1535" w:space="139"/>
            <w:col w:w="1521"/>
          </w:cols>
          <w:pgMar w:left="320" w:top="121"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critical accounting policies are detailed in Part II, Item 7, Management’s Discussion and Analysis of Financial Condition of its Annual Report on Form 10-K for the year ended December 31, 2025. Primary disclosure of the Company’s significant accounting policies is also included in Note 1 to the Consolidated Financial Statements included in Part II, Item 8 of its Annual Report on Form 10-K.</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Information contained in this discussion, other than historical information, constitutes “forward-looking statements” within the meaning of the Private Securities Litigation Reform Act of 1995, as amended. These statements reflect management's current expectations, estimates and projections regarding future events and are subject to known and unknown risks, uncertainties, and other factors that may cause actual results and outcomes to differ materially from expectations. These factors and uncertainties include, among others, risks related to the Company’s ability to consummate and successfully integrate future acquisitions; risks associated with international sales and operations, including supply chain disruptions; tariffs, trade disputes, foreign currency fluctuations and geopolitical developments; the Company’s ability to successfully develop new products, open new facilities or transfer product lines; the price and availability of raw materials; cybersecurity and information technology risks; compliance with government regulations, including environmental regulations; changes in the competitive environment; the effects of competition in the Company’s markets; the ability to maintain adequate liquidity and financing sources; and general economic conditions affecting the industries the Company serves. A detailed discussion of these and other factors that may affect the Company’s future results is contained in AMETEK’s filings with the U.S. Securities and Exchange Commission, including its most recent reports on Forms 10-K, 10-Q, and 8-K. AMETEK disclaims any intention or obligation to update or revise any forward-looking statements, unless required by the securities laws to do so.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September 30, 2026. Based on that evaluation, the Company’s principal executive officer and principal financial officer concluded that the Company’s disclosure controls and procedures are effective at the reasonable assurance level.</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Such evaluation did not identify any change in the Company’s internal control over financial reporting during the quarter ended September 30, 2026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Purchase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purchases of AMETEK, Inc. common stock by the Company during the three months ended September 30,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 (1)(2)</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Plan (2)</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37"/>
        </w:trPr>
        <w:tc>
          <w:tcPr>
            <w:tcW w:w="474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to July 31, 2026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798,896,645</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2026 to August 31, 2026</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798,896,645</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to September 30,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798,847,675</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233.19</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60" w:lineRule="auto"/>
        <w:tabs>
          <w:tab w:leader="none" w:pos="5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surrendered to the Company to satisfy tax withholding obligations in connection with employees’ share-based compensation awards.</w:t>
      </w:r>
    </w:p>
    <w:p>
      <w:pPr>
        <w:spacing w:after="0" w:line="194" w:lineRule="exact"/>
        <w:rPr>
          <w:rFonts w:ascii="Times New Roman" w:cs="Times New Roman" w:eastAsia="Times New Roman" w:hAnsi="Times New Roman"/>
          <w:sz w:val="18"/>
          <w:szCs w:val="18"/>
          <w:color w:val="auto"/>
        </w:rPr>
      </w:pPr>
    </w:p>
    <w:p>
      <w:pPr>
        <w:ind w:left="660" w:hanging="652"/>
        <w:spacing w:after="0" w:line="250" w:lineRule="auto"/>
        <w:tabs>
          <w:tab w:leader="none" w:pos="5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number of shares purchased pursuant to the Company’s Board of Directors $1.25 billion authorization for the repurchase of its common stock. Such purchases may be effected from time to time in the open market or in private transactions, subject to market conditions and at management’s discretion.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5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40" w:type="dxa"/>
            <w:vAlign w:val="bottom"/>
            <w:gridSpan w:val="3"/>
            <w:vMerge w:val="restart"/>
          </w:tcPr>
          <w:p>
            <w:pPr>
              <w:ind w:left="4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4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40" w:type="dxa"/>
            <w:vAlign w:val="bottom"/>
            <w:tcBorders>
              <w:top w:val="single" w:sz="8" w:color="auto"/>
            </w:tcBorders>
            <w:gridSpan w:val="2"/>
          </w:tcPr>
          <w:p>
            <w:pPr>
              <w:jc w:val="center"/>
              <w:ind w:left="334"/>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jc w:val="center"/>
              <w:ind w:left="334"/>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7"/>
              </w:rPr>
              <w:t>101.SCH*</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60" w:right="640" w:hanging="1266"/>
        <w:spacing w:after="0" w:line="237" w:lineRule="auto"/>
        <w:tabs>
          <w:tab w:leader="none" w:pos="1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Filed electronically herewith.</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u w:val="single" w:color="auto"/>
          <w:color w:val="auto"/>
        </w:rPr>
        <w:t>AMETEK, Inc.</w:t>
      </w:r>
    </w:p>
    <w:p>
      <w:pPr>
        <w:spacing w:after="0" w:line="200" w:lineRule="exact"/>
        <w:rPr>
          <w:sz w:val="20"/>
          <w:szCs w:val="20"/>
          <w:color w:val="auto"/>
        </w:rPr>
      </w:pPr>
    </w:p>
    <w:p>
      <w:pPr>
        <w:spacing w:after="0" w:line="336"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ROBERT J. AMODEI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Robert J. Amodei</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 Controller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AMETEK, Inc. (the “registrant”);</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99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Dalip M. Puri, certify that:</w:t>
      </w:r>
    </w:p>
    <w:p>
      <w:pPr>
        <w:spacing w:after="0" w:line="117" w:lineRule="exact"/>
        <w:rPr>
          <w:sz w:val="20"/>
          <w:szCs w:val="20"/>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ectPr>
          <w:pgSz w:w="11900" w:h="16838" w:orient="portrait"/>
          <w:cols w:equalWidth="0" w:num="1">
            <w:col w:w="11240"/>
          </w:cols>
          <w:pgMar w:left="320" w:top="99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September 30, 2026 as filed with the Securities and Exchange Commission on the date hereof (the “Report”), I, David A. Zapico, Chairman of the Board and Chief Executive Officer of the Company, certify to such officer's knowledge, pursuant to 18 U.S.C. Section 1350, as adopted pursuant to Section 906 of the Sarbanes-Oxley Act of 2002, that:</w:t>
      </w:r>
    </w:p>
    <w:p>
      <w:pPr>
        <w:spacing w:after="0" w:line="72"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A. ZAPICO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ectPr>
          <w:pgSz w:w="11900" w:h="16838" w:orient="portrait"/>
          <w:cols w:equalWidth="0" w:num="1">
            <w:col w:w="11240"/>
          </w:cols>
          <w:pgMar w:left="320" w:top="99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September 30, 2026 as filed with the Securities and Exchange Commission on the date hereof (the “Report”), I, Dalip M. Puri, Executive Vice President – Chief Financial Officer of the Company, certify to such officer's knowledge, pursuant to 18 U.S.C. Section 1350, as adopted pursuant to Section 906 of the Sarbanes-Oxley Act of 2002, that:</w:t>
      </w:r>
    </w:p>
    <w:p>
      <w:pPr>
        <w:spacing w:after="0" w:line="72"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4"/>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2026-11-03T12:51:01Z</dcterms:created>
  <dcterms:modified xsi:type="dcterms:W3CDTF">2026-11-03T12:51:01Z</dcterms:modified>
</cp:coreProperties>
</file>