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80"/>
          </w:cols>
          <w:pgMar w:left="320" w:top="229" w:right="3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July 25, 2025 was 230,953,960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six months ended June 30, 2025 and 2024</w:t>
            </w:r>
          </w:p>
        </w:tc>
        <w:tc>
          <w:tcPr>
            <w:tcW w:w="29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six months ended June 30, 2025 and 2024</w:t>
            </w:r>
          </w:p>
        </w:tc>
        <w:tc>
          <w:tcPr>
            <w:tcW w:w="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June 30, 2025 and December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and six months ended June 30, 2025 and 2024</w:t>
            </w:r>
          </w:p>
        </w:tc>
        <w:tc>
          <w:tcPr>
            <w:tcW w:w="19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2025 and 2024</w:t>
            </w:r>
          </w:p>
        </w:tc>
        <w:tc>
          <w:tcPr>
            <w:tcW w:w="252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50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1,778,056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1,734,834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3,510,027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3,471,014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1,142,167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1,110,425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2,249,138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2,255,106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174,263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344,434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1,316,430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1,287,320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2,593,572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2,606,284</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916,455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864,730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442,169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876,391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798,339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358,367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337,683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710,125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648,626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230,818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231,437</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230,743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231,267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231,472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0.62</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469,902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325,618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859,463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611,175</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619,712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373,999</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1,020,967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948,830</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1,110,502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1,021,713</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3,051,837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818,611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6,723,879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6,555,877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3,880,465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3,915,173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528,301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502,810</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15,266,546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654,346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363,555</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453,512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472,926</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1,868,435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2,098,587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1,425,375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666,948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4,877,874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4,975,865</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1,275,795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1,264,670</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11,624,849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11,057,684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(555,739)</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(2,108,294)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(2,114,031)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10,388,672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9,655,304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15,266,546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1,275,795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1,275,795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1,210,414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10,186,621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358,367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648,626</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11,624,849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10,459,556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11,624,849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10,459,556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0" w:type="dxa"/>
            <w:vAlign w:val="bottom"/>
          </w:tcPr>
          <w:p>
            <w:pPr>
              <w:spacing w:after="0"/>
              <w:rPr>
                <w:sz w:val="1"/>
                <w:szCs w:val="1"/>
                <w:color w:val="auto"/>
              </w:rPr>
            </w:pPr>
          </w:p>
        </w:tc>
      </w:tr>
      <w:tr>
        <w:trPr>
          <w:trHeight w:val="229"/>
        </w:trPr>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170,213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(loss) gain , net of tax of $17,857 and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$(930) for the quarter ended June 30, 2025 and 2024 and $25,956 and</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(56,893)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(82,694)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$(4,917) for the six months ended June 30, 2025 and 2024,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(338,606)</w:t>
            </w:r>
          </w:p>
        </w:tc>
        <w:tc>
          <w:tcPr>
            <w:tcW w:w="0" w:type="dxa"/>
            <w:vAlign w:val="bottom"/>
          </w:tcPr>
          <w:p>
            <w:pPr>
              <w:spacing w:after="0"/>
              <w:rPr>
                <w:sz w:val="1"/>
                <w:szCs w:val="1"/>
                <w:color w:val="auto"/>
              </w:rPr>
            </w:pPr>
          </w:p>
        </w:tc>
      </w:tr>
      <w:tr>
        <w:trPr>
          <w:trHeight w:val="20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(186,107)</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$(296) and $(365)</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June 30, 2025 and 2024 and $(592) and $(730) for the</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six months ended June 30, 2025 and 2024,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(183,787)</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(522,393)</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(1,896,613)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(2,108,294)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(2,108,294)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(1,897,889)</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10,388,672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9,252,404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10,388,672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9,252,404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648,626</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196,681</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(41,144)</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791,662</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business/investment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(640,611)</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(129,411)</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34,524</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(751,650)</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619,712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396,573</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2025, the consolidated results of its operations for the three and six months ended June 30, 2025 and 2024 and its cash flows for the six months ended June 30, 2025 and 2024 have been included. 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2024 as filed with the U.S. Securities and Exchange Commission.</w:t>
      </w: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The ASU indicates that all entities will apply its guidance prospectively with an option for retroactive application to each period in the financial statements. ASU 2023-09 will require additional disclosures in the Income Taxes footnote, but it will not have a material impact on the Company's consolidated financial statements.</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June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400,689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432,830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June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recognized revenue of $243.7 million and $285.5 million, respectively, that was previously included in the beginning balance of contract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June 30, 2025 and December 31, 2024, $40.2 million and $37.1 million of Customer advanced payments (contract liabilities), respectively, were recorded in Other long-term liabilities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June 30, 2025 and December 31, 2024 were $627.3 million and $541.8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six months ended June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20" w:type="dxa"/>
            <w:vAlign w:val="bottom"/>
          </w:tcPr>
          <w:p>
            <w:pPr>
              <w:spacing w:after="0"/>
              <w:rPr>
                <w:sz w:val="16"/>
                <w:szCs w:val="16"/>
                <w:color w:val="auto"/>
              </w:rPr>
            </w:pPr>
          </w:p>
        </w:tc>
        <w:tc>
          <w:tcPr>
            <w:tcW w:w="2580" w:type="dxa"/>
            <w:vAlign w:val="bottom"/>
            <w:gridSpan w:val="6"/>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00" w:type="dxa"/>
            <w:vAlign w:val="bottom"/>
          </w:tcPr>
          <w:p>
            <w:pPr>
              <w:spacing w:after="0"/>
              <w:rPr>
                <w:sz w:val="16"/>
                <w:szCs w:val="16"/>
                <w:color w:val="auto"/>
              </w:rPr>
            </w:pP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9"/>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300" w:type="dxa"/>
            <w:vAlign w:val="bottom"/>
          </w:tcPr>
          <w:p>
            <w:pPr>
              <w:spacing w:after="0"/>
              <w:rPr>
                <w:sz w:val="17"/>
                <w:szCs w:val="17"/>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935,006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1,156,393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706,143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1,862,536</w:t>
            </w:r>
          </w:p>
        </w:tc>
      </w:tr>
      <w:tr>
        <w:trPr>
          <w:trHeight w:val="210"/>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62,342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130,965</w:t>
            </w:r>
          </w:p>
        </w:tc>
      </w:tr>
      <w:tr>
        <w:trPr>
          <w:trHeight w:val="229"/>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254,590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277,919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491,241</w:t>
            </w: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352,246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564,830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682,289</w:t>
            </w:r>
          </w:p>
        </w:tc>
      </w:tr>
      <w:tr>
        <w:trPr>
          <w:trHeight w:val="229"/>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173,872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248,546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94,450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342,996</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583,303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843,050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1,146,851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500,640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1,647,491</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1,159,571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618,485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1,778,056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2,303,244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1,206,783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3,510,027</w:t>
            </w:r>
          </w:p>
        </w:tc>
      </w:tr>
      <w:tr>
        <w:trPr>
          <w:trHeight w:val="21"/>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$472.9 million and $942.9 million for the three and six months ended June 30, 2025, respectively.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16"/>
                <w:szCs w:val="16"/>
                <w:color w:val="auto"/>
              </w:rPr>
            </w:pPr>
          </w:p>
        </w:tc>
        <w:tc>
          <w:tcPr>
            <w:tcW w:w="2600" w:type="dxa"/>
            <w:vAlign w:val="bottom"/>
            <w:gridSpan w:val="6"/>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342,201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944,878</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1,171,574</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686,061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1,857,635</w:t>
            </w:r>
          </w:p>
        </w:tc>
      </w:tr>
      <w:tr>
        <w:trPr>
          <w:trHeight w:val="210"/>
        </w:trPr>
        <w:tc>
          <w:tcPr>
            <w:tcW w:w="38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118,413</w:t>
            </w: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492,646</w:t>
            </w: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686,544</w:t>
            </w:r>
          </w:p>
        </w:tc>
      </w:tr>
      <w:tr>
        <w:trPr>
          <w:trHeight w:val="230"/>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152,724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233,647</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315,776</w:t>
            </w: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1,138,818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1,613,379</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1,734,834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2,310,392</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1,160,622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3,471,014</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$435.6 million and $909.3 million for the three and six months ended June 30, 2024,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12"/>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EIG</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5"/>
              </w:rPr>
              <w:t>EMG</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802,866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802,866</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1,579,737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1,579,737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537,428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723,507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1,076,138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437,762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437,762</w:t>
            </w:r>
          </w:p>
        </w:tc>
        <w:tc>
          <w:tcPr>
            <w:tcW w:w="2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854,152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1,159,571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618,485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1,778,056</w:t>
            </w:r>
          </w:p>
        </w:tc>
        <w:tc>
          <w:tcPr>
            <w:tcW w:w="2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2,303,244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1,206,783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3,510,027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1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EMG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6"/>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802,724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1,594,262</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505,352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716,130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306,915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1,023,045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853,707</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1,153,613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581,221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1,734,834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2,310,392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1,160,622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3,471,014</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1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EMG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6"/>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919,601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564,030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1,483,631</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1,826,488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1,097,438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2,923,926</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239,970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54,455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294,425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476,756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109,345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586,101</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1,159,571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618,485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1,778,056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2,303,244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1,206,783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3,510,027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-479425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246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40" w:type="dxa"/>
            <w:vAlign w:val="bottom"/>
          </w:tcPr>
          <w:p>
            <w:pPr>
              <w:spacing w:after="0"/>
              <w:rPr>
                <w:sz w:val="16"/>
                <w:szCs w:val="16"/>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EIG</w:t>
            </w:r>
          </w:p>
        </w:tc>
        <w:tc>
          <w:tcPr>
            <w:tcW w:w="168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EMG</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1,419,931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2,869,514</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314,903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601,500</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1,734,834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6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Company had $1,021.0 million of accounts receivable, net of allowances of $13.1 million. At December 31, 2024, the Company had $948.8 million of accounts receivable, net of allowance of $13.0 million. Changes in the allowance were not material for the three and six months ended June 30, 2025.</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8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230,818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231,437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231,267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231,472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232,304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231,507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232,170</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and six months ended June 30, 2025 and 2024 excluded an immaterial number of stock options because the exercise prices of these stock options exceeded the average market price of the Company’s common shares, and the effect of their inclusion would have been antidilutive.</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measure assets and liabilities at fair value. A financial asset or liability’s classification within the hierarchy is determined based on the lowest level input that is significant to the fair value measurement.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9,787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9,787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9,124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9,124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gains and losses on the investments noted above were not significant. No transfers between level 1 and level 2 investments occurred during the six months ended June 30, 2025 and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June 30, 2025 and December 31, 2024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June 30, 2025 and December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(1,910,540)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(1,858,979)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(1,851,873)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(1,778,719)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June 30, 2025,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Company had $308.7 million of British-pound-denominated loans and $676.8 million in Euro-denominated loans, which were designated as a hedge against the net investment in British pound and Euro functional currency foreign subsidiaries. As a result of the British-pound-and Euro-denominated loans designated and 100% effective as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hedges, $108.7 million of pre-tax currency remeasurement losses have been included in the foreign currency translation component of other comprehensive income for the six months ended June 30, 2025.</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825,730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770,138</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1,110,502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1,021,713</w:t>
            </w: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2025 and 2024. The Company's leases have a weighted average remaining lease term of approximately six years. Certain lease agreements contain provisions for future rent increases.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55,955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54,736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190,017</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June 30, 2025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59,106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37,271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31,017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93,763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302,069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45,368</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256,701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June 30, 2025, the maximum amount of future payment obligations relative to these various guarantees was $296.2 million and the outstanding liability under certain of those guarantees was $176.1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spent $104.1 million in cash, net of cash acquired, to acquire Kern Microtechnik ("Kern") in January 2025. Kern is a leading manufacturer of high-precision machining and optical inspection solutions supporting a wide range of applications within the medical, semiconductor, research, and space markets. Kern has annual sales of approximately 50 million Euros. Kern is part of EIG.</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Kern acquisition based on the estimated fair values at acquisition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3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r>
      <w:tr>
        <w:trPr>
          <w:trHeight w:val="229"/>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30"/>
        </w:trPr>
        <w:tc>
          <w:tcPr>
            <w:tcW w:w="9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contingent payment liability</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 million in accounts receivable, whose fair value, contractual cash flows and expected cash flows are approximately equal.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acquisition. Kern's design and engineering capabilities complement the Company's existing ultra precision technologies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June 30, 2025, the purchase price allocated to other intangible assets of $59.6 million consists of $9.6 million of indefinite-lived intangible trade names, which are not subject to amortization. The remaining $50.0 million of other intangible assets consists of $40.4 million of customer relationships, which are being amortized over a period of 17 years, and $9.6 million of purchased technology, which is being amortized over a period of 17 years. Amortization expense for each of the next five years for the 2025 acquisition is expected to approximate $3 million per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Kern acquisition includes an $8.9 million estimated fair value contingent payment due upon Kern achieving certain cumulative revenue and EBITDA targets over the period January 1, 2025 to January 1, 2027. The contingent liability was based on a probabilistic approach using level 3 inputs. At June 30, 2025, there was no change to the estimated fair value of the contingent payment liability.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Kern acquisition had an immaterial impact on reported net sales, net income, and diluted earnings per share for the three and six months ended June 30, 2025. Had the acquisition been made at the beginning of 2025 or 2024, pro forma net sales, net income, and diluted earnings per share for the three and six months ended June 30, 2025 and 2024, would not have been materially different than the amounts reported.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for its October 2024 acquisition of Virtek Vision International, which had no material impact to the consolidated statement of income and balance sheet. The Company has not finalized its measurements of certain tangible and intangible assets and liabilities or the accounting for income taxes for its January 2025 acquisition of Kern.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June 30, 2025</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2025, the Company acquired all outstanding shares of FARO Technologies ("FARO") common stock for approximately $920.0 million, net of cash acquired. The transaction was completed following the approval of FARO's stockholders and receipt of all regulatory approvals. FARO has annual sales of approximately $340 million. FARO is a leading provider of 3D measurement and imaging solutions, including portable measurement arms, laser scanners and trackers, software solutions, and comprehensive service offerings. FARO will join the Electronic Instruments Group segment.</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6,555.9</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 from 2025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4,556.8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6,723.9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2025, the Company had gross uncertain tax benefits of $223.1 million, of which $178.5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23.2</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six months ended June 30, 2025 and 2024 were not significant.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three months ended June 30, 2025 and 2024 was 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(“OBBBA”), enacting permanent extensions of most expiring Tax Cuts and Jobs Act provisions and international tax changes, including modifications to bonus depreciation, R&amp;D expensing, and interest expense limitations. The Company is currently evaluating the potential impacts of the OBBBA.</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2025, the Company established a commercial paper program under which it may issue short-term, unsecured commercial paper notes. Amounts available under the commercial paper program may be borrowed, repaid and re-borrowed, with the aggregate face or principal amount of the notes outstanding under the commercial paper program at any time not to exceed $2.3 billion. The notes will have maturities of up to 364 days from the date of issue. The Company intends the commercial paper program to provide additional financing flexibility for various purposes including acquisitions. The Company expects that outstanding indebtedness of the Company under both the revolving credit facility and the commercial paper program will not exceed $2.3 billion at any time. At June 30, 2025, there were no borrowings outstanding under the commercial paper program.</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the second quarter of 2025, the Company paid in full, at maturity, a $50.0 million in aggregate principal amount of 3.91% senior notes.</w:t>
      </w:r>
    </w:p>
    <w:p>
      <w:pPr>
        <w:spacing w:after="0" w:line="3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5"/>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5"/>
        </w:trPr>
        <w:tc>
          <w:tcPr>
            <w:tcW w:w="4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22,313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7"/>
                <w:szCs w:val="17"/>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46.21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1"/>
                <w:szCs w:val="11"/>
                <w:color w:val="auto"/>
              </w:rPr>
            </w:pPr>
          </w:p>
        </w:tc>
        <w:tc>
          <w:tcPr>
            <w:tcW w:w="13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1"/>
                <w:szCs w:val="11"/>
                <w:color w:val="auto"/>
              </w:rPr>
            </w:pPr>
          </w:p>
        </w:tc>
        <w:tc>
          <w:tcPr>
            <w:tcW w:w="12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133.0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107.70</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126.7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six months ended June 30, 2025 was $10.1 million. The total fair value of stock options vested during the six months ended June 30, 2025 was $13.7 million. As of June 30, 2025, there was approximately $20.2 million of expected future pre-tax compensation expense related to the 0.5 million non-vested stock options outstanding, which is expected to be recognized over a weighted average period of approximately two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176.25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six months ended June 30, 2025 was $20.3 million. As of June 30, 2025, there was approximately $41.1 million of expected future pre-tax compensation expense related to the 0.3 million non-vested restricted shares outstanding, which is expected to be recognized over a weighted average period of approximately two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June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$15.9 million of expected future pre-tax compensation expense related to the 0.2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29,556</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contributions to the Company’s defined benefit pension plans were $3.0 million and $2.9 million, respectively. The Company’s current estimate of 2025 contributions to its worldwide defined benefit pension plans is in line with the range disclosed in Note 12 of the Company’s Annual Report on Form 10-K for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June 30, 2025,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June 30, 2025 and December 31, 2024 were $29.1 million and $29.8 million, respectively, for both non-owned and owned sites. For the six months ended June 30, 2025, the Company recorded $3.5 million in reserves. Additionally, the Company spent $4.2 million on environmental matters for the six months ended June 30,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121"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has two reportable segments, Electronic Instruments Group and Electromechanical Group. The Company identifies its operating segments for segment reporting purposes primarily on the basis of product type, production processes, distribution methods and management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Reportable Segment Financial Information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6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1,159,571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1,778,056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1,142,167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147,573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344,428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488,316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344,428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(26,690)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461,626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442,169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36,276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71,425</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107,701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94,227</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4,847,262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9,541,110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15,266,546</w:t>
            </w: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10,193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11,266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29,269</w:t>
            </w:r>
          </w:p>
        </w:tc>
      </w:tr>
    </w:tbl>
    <w:p>
      <w:pPr>
        <w:spacing w:after="0" w:line="121"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6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1,734,834</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1,110,425</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151,450</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349,857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472,959</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349,857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447,514</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417,010</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62,821</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98,682</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3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90,212</w:t>
            </w:r>
          </w:p>
        </w:tc>
      </w:tr>
      <w:tr>
        <w:trPr>
          <w:trHeight w:val="95"/>
        </w:trPr>
        <w:tc>
          <w:tcPr>
            <w:tcW w:w="52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9,368,934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14,795,866</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w:t>
            </w:r>
          </w:p>
        </w:tc>
      </w:tr>
      <w:tr>
        <w:trPr>
          <w:trHeight w:val="34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10"/>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EMG</w:t>
            </w:r>
          </w:p>
        </w:tc>
        <w:tc>
          <w:tcPr>
            <w:tcW w:w="2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1,206,783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2,303,244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3,510,027</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889,920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1,359,218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2,249,138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289,805</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272,606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698,478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971,084</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54,629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272,606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698,478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916,455</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(35,850)</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(4,214)</w:t>
            </w: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876,391</w:t>
            </w:r>
          </w:p>
        </w:tc>
      </w:tr>
      <w:tr>
        <w:trPr>
          <w:trHeight w:val="21"/>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71,862</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142,206</w:t>
            </w: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214,068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189,092</w:t>
            </w:r>
          </w:p>
        </w:tc>
      </w:tr>
      <w:tr>
        <w:trPr>
          <w:trHeight w:val="94"/>
        </w:trPr>
        <w:tc>
          <w:tcPr>
            <w:tcW w:w="4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52,338</w:t>
            </w:r>
          </w:p>
        </w:tc>
      </w:tr>
    </w:tbl>
    <w:p>
      <w:pPr>
        <w:spacing w:after="0" w:line="130"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 million in EIG from an acquired business.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30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3,471,014</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2,255,106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702,797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916,590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702,797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864,730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798,339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125,534</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186,337</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r>
    </w:tbl>
    <w:p>
      <w:pPr>
        <w:spacing w:after="0" w:line="117"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$29.2 million in EMG for Paragon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Recent Trends</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months, the United States government announced additional tariffs and trade restrictions on goods imported into the U.S. from various nations. In response, some nations countered with or are considering reciprocal tariffs and other actions. The U.S. government is negotiating with several of these nations regarding the tariffs, however, the outcome of these negotiations is still uncertain. Our businesses have been proactive in addressing the potential impacts of tariffs, including targeted pricing initiatives, strategic adjustments to our global supply chains, and leveraging our worldwide manufacturing footprint to localize production. As the situation continues to evolve, we cannot be certain of the outcome, which could adversely impact demand for our products, costs, inflation, customers, suppliers, and the overall global economy. We continue to monitor and analyze the impacts of the tariffs and will continue to implement appropriate actions as necessary to attempt to mitigate their effects.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2025, the Company posted record sales as well as strong orders, operating income, and operating margins. Contributions from the acquisitions of Virtek Vision International ("Virtek") in October 2024 and Kern Microtechnik ("Kern") in January 2025 as well as our Operational Excellence initiatives had a positive impact on the second quarter of 2025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second quarter of 2025 compared with the second quarter of 2024</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second quarter of 2025 were a record $1,778.1 million, an increase of $43.3 million or 2.5%, compared with net sales of $1,734.8 million for the second quarter of 2024. The increase in net sales for the second quarter of 2025 was due to a 2% increase from acquisitions as well as a 1% 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second quarter of 2025 were $843.0 million or 47.4% of net sales, an increase of $53.0 million or 6.7%, compared with international sales of $790.0 million or 45.5% of net sales for the second quarter of 2024. The increase in international sales was primarily driven by higher demand in all markets, as well as contributions from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second quarter of 2025 were $1,782.1 million, an increase of $104.9 million or 6.3%, compared with $1,677.2 million for the second quarter of 2024. The increase in orders for the second quarter of 2025 was due to a 2% increase from acquisitions as well as a 5% favorable effect of foreign currency translation. The Company's backlog of unfilled orders at June 30, 2025 was $3,473.1 million, an increase of $69.9 million or 2.1% compared with $3,403.2 million at December 31,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sales for the second quarter of 2025 was $1,142.2 million or 64.2% of net sales, an increase of $31.8 million or 2.9%, compared with $1,110.4 million or 64.0% of net sales for the second quarter of 2024.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Segment operating income for the second quarter of 2025 was $488.3 million, an increase of $15.3 million or 3.2%, compared with segment operating income of $473.0 million for the second quarter of 2024. Segment operating margins, as a percentage of net sales, increased to 27.5% for the second quarter of 2025, compared with 27.3% for the second quarter of 2024. In the second quarter of 2025, segment operating margins were negatively impacted 30 basis points by the dilutive impact of recent acquisitions and 50 basis points from foreign currency translation headwinds. Excluding the dilutive impact of recent acquisitions and the effect of foreign currency translation, segment operating margins increased 100 basis points compared to the second quarter of 2024 due to the sales increase discussed above, as well as continued benefits from the Company's Operational Excellence initiatives.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second quarter of 2025 were $174.3 million or 9.8% of net sales, a decrease of $2.6 million or 1.5%, compared with $176.9 million or 10.2% of net sales for the second quarter of 2024. General and administrative expenses for the second quarter of 2025 were $26.7 million, compared with $25.4 million for the second quarter of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operating income was $461.6 million or 26.0% of net sales for the second quarter of 2025, an increase of $14.1 million or 3.2%, compared with $447.5 million or 25.8% of net sales for the second quarter of 2024. In the second quarter of 2025, operating margins were negatively impacted 20 basis points by the dilutive impact of recent acquisitions and 50 basis points from foreign currency translation headwinds. Excluding the dilutive impact of recent acquisitions and the effect of foreign currency translation, operating margins increased 90 basis points compared to the second quarter of 2024 due to the sales increase discussed above, as well as continued benefits from the Company's Operational Excellence initiatives.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second quarter of 2025 was $16.9 million, a decrease of $13.7 million or 44.9%, compared with $30.6 million for the second quarter of 2024. Higher borrowings under the revolving credit facility related to the Paragon acquisition resulted in higher interest expense in the second quarter of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was $2.6 million for the second quarter of 2025, compared with $0.1 million of other income, net for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second quarter of 2025 and 2024 was 19.0%.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of 2025 was $358.4 million, an increase of $20.7 million or 6.1%, compared with $337.7 million for the second quarter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second quarter of 2025 were $1.55, an increase of $0.10 or 6.9%, compared with $1.45 per diluted share for the second quarter of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$1,159.6 million for the second quarter of 2025, an increase of $6.0 million or 0.5%, compared with $1,153.6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2024. The net sales increase was due to a 2% increase from recent acquisitions, as well as a 1% favorable effect of foreign currency translation, partially offset by a 3% organic sales decrease.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EIG’s operating income was $344.4 million for the second quarter of 2025, a decrease of $5.5 million or 1.6%, compared with $349.9 million for the second quarter of 2024. EIG’s operating margins were 29.7% of net sales for the second quarter of 2025, compared with 30.3% for the second quarter of 2024. In the second quarter of 2025, EIG's operating margins were negatively impacted 50 basis points by the dilutive impact of recent acquisitions and foreign currency exchange headwinds of 50 basis points. Excluding the dilutive impact of recent acquisitions and the effect of foreign currency translation, EIG's operating margins increased 40 basis points compared to the second quarter of 2024 due to the continued benefits from the Company's Operational Excellence initiatives.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$618.5 million for the second quarter of 2025, an increase of $37.3 million or 6.4%,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$581.2 million for the second quarter of 2024. The net sales increase was due to a 5% organic sales increase as well as a 1% favorable effect of foreign currency translation.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EMG’s operating income was a record $143.9 million for the second quarter of 2025, an increase of $20.8 million or 16.9%, compared with $123.1 million for the second quarter of 2024. EMG’s operating margins were 23.3% of net sales for the second quarter of 2025, compared with 21.2% for the second quarter of 2024. Foreign currency exchange headwinds negatively impacted EMG's operating margins in the second quarter of 2025 by 50 basis points. Excluding the effect of foreign currency translation, EMG's operating margins increased 260 basis points compared to the second quarter of 2024 due to the sales increase discussed above, as well as continued benefits from the Company's Operational Excellence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six months of 2025 compared with the first six months of 2024</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first six months of 2025 were $3,510.0 million, an increase of $39.0 million or 1.1%, compared with net sales of $3,471.0 million for the first six months of 2024. The increase in net sales for the first six months of 2025 was due to a 1% increase from acquisitions.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six months of 2025 were $1,647.5 million or 46.9% of net sales, an increase of $34.1 million or 2.1%, compared with international sales of $1,613.4 million or 46.5% of net sales for the first six months of 2024. The increase in international sales was primarily driven by contributions from recent acquisitions and increased demand in the Americas, partially offset by lower demand in Asia.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Orders for the first six months of 2025 were $3,579.8 million, an increase of $239.9 million or 7.2%, compared with $3,339.9 million for the first six months of 2024. The increase in orders for the first six months of 2025 was due to a 2% increase from acquisitions, a 4% favorable effect of foreign currency translation, as well as a 1% organic order increase.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sales for the first six months of 2025 was $2,249.1 million or 64.1% of net sales, a decrease of $6.0 million or 0.3%, compared with $2,255.1 million or 65.0% of net sales for the first six months of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six months of 2025 was $971.1 million, an increase of $54.5 million or 5.9%, compared with segment operating income of $916.6 million for the first six months of 2024. Segment operating margins, as a percentage of net sales, increased to 27.7% for the first six months of 2025, compared with 26.4% for the first six months of 2024. In the first six months of 2025, the dilutive impact of recent acquisitions negatively impacted segment operating margins by 30 basis points. In the first six months of 2024, segment operating income and operating margins included $29.2 million of integration costs related to the Paragon acquisition, which negatively impacted segment operating margins by 80 basis points. Excluding the dilutive impact of the recent acquisitions and the Paragon integration costs, segment operating margins increased 80 basis points compared to the first six months of 2024, due to the continued benefits from the Company's Operational Excellence initiatives.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six months of 2025 were $344.4 million or 9.8% of net sales, a decrease of $6.8 million or 1.9%, compared with $351.2 million or 10.1% of net sales for the first six months of 2024. General and administrative expenses for the first six months of 2025 were $54.6 million, compared with $51.9 million for the first six months of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Consolidated operating income was $916.5 million or 26.1% of net sales for the first six months of 2025, an increase of $51.8 million or 6.0%, compared with $864.7 million or 24.9% of net sales for the first six months of 2024. In the first six months of 2025, the dilutive impact of recent acquisitions negatively impacted operating margins by 30 basis points. In the first six months of 2024, operating income and operating margins included $29.2 million of integration costs related to the Paragon acquisition, which negatively impacted operating margins by 90 basis points. Excluding the dilutive impact of the recent acquisitions and the Paragon integration costs, operating margins increased 60 basis points compared to the first six months of 2024, due to the continued benefits from the Company's Operational Excellence initiatives.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first six months of 2025 was $35.9 million, a decrease of $29.9 million or 45.4%, compared with $65.8 million for the first six months of 2024. Higher borrowings under the revolving credit facility related to the Paragon acquisition resulted in higher interest expense in the first six months of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was $4.2 million for the first six months of 2025, compared with $0.5 million of other expense, net for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first six months of 2025 was 19.0%, compared with 18.8% for the first six months of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six months of 2025 was $710.1 million, an increase of $61.5 million or 9.5%, compared with $648.6 million for the first six months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six months of 2025 were $3.07, an increase of $0.28 or 10.0%, compared with $2.79 per diluted share for the first six months of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$2,303.2 million for the first six months of 2025, a decrease of $7.2 million or 0.3%, compared with $2,310.4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six months of 2024. The net sales decrease was due to a 2% organic sales decrease, partially offset by a 2% increase from acquisitions.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EIG’s operating income was $698.5 million for the first six months of 2025, a decrease of $4.3 million or 0.6%, compared with $702.8 million for the first six months of 2024. EIG’s operating margins were 30.3% of net sales for the first six months of 2025, compared with 30.4% for the first six months of 2024. The dilutive impact of recent acquisitions in the first six months of 2025 negatively impacted EIG's operating margins by 60 basis points. Excluding the dilutive impact of recent acquisitions, EIG's operating margins increased 50 basis points in the first six months of 2025 compared to the first six months of 2024 due to the continued benefits from the Company's Operational Excellence initiatives.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$1,206.8 million for the first six months of 2025, an increase of $46.2 million or 4.0%, compared with $1,160.6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six months of 2024. The net sales increase was due to a 4% organic sales increase.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EMG’s operating income was $272.6 million for the first six months of 2025, an increase of $58.8 million or 27.5%, compared with $213.8 million for the first six months of 2024. EMG’s operating margins were 22.6% of net sales for the first six months of 2025, compared with 18.4% for the first six months of 2024. EMG's operating income and operating margins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first six months of 2024 included $29.2 million of integration costs related to the Paragon acquisition, which negatively impacted segment operating margins by 250 basis points. Excluding the Paragon integration costs, segment operating margins increased 170 basis points compared to the first six months of 2024, due to the sales increase discussed above, as well as to the continued benefits from the Company's Operational Excellence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$776.6 million for the first six months of 2025, a decrease of $15.1 million or 1.9%, compared with $791.7 million for the first six months of 2024. The decrease in cash provided by operating activities for the first six months of 2025 was primarily due to higher working capital investments, partially offset by higher net income.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$724.3 million for the first six months of 2025, compared with $742.6 million for the first six months of 2024. EBITDA (earnings before interest, income taxes, depreciation and amortization) was $1,123.6 million for the first six months of 2025, compared with $1,057.5 million for the first six months of 2024.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totaled $155.7 million for the first six months of 2025, compared with cash used by investing activities of $43.5 million for the first six months of 2024. For the first six months of 2025, the Company paid $104.1 million, net of cash acquired, to purchase Kern Microtechnik ("Kern"). For the first six months of 2024, the Company received $4.2 million from the sale of a facility. Additions to property, plant and equipment totaled $52.3 million for the first six months of 2025, compared with $49.1 million for the first six months of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by financing activities totaled $409.4 million for the first six months of 2025, compared with cash used by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$751.7 million for the first six months of 2024. At June 30, 2025, total debt, net was $1,942.0 million, compared with $2,079.7 million at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For the first six months of 2025, total borrowings decreased by $252.7 million compared with a $640.6 million decrease for the first six months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In the second quarter of 2025, the Company paid in full, at maturity, a $50.0 million in aggregate principal amount of 3.91% senior notes. At June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Company had available borrowing capacity of $2,221.7 million under its revolving credit facility, excluding the $700 million accordion feature.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debt-to-capital ratio was 15.7% at June 30, 2025, compared with 17.7% at December 31, 2024. The net debt-to-capital ratio (total debt, net less cash and cash equivalents divided by the sum of net debt and stockholders’ equity) was 11.3% at June 30, 2025, compared with 15.0% at December 31, 2024. The net debt-to-capital ratio is presented because the Company is aware that this measure is used by third parties in evaluating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six months of 2025 included cash dividends paid of $143.0 million, compared with $129.4 million for the first six months of 2024. Effective February 7, 2025, the Company’s Board of Directors approved an 11% increase in the quarterly cash dividend on the Company’s common stock to $0.31 per common share from $0.28 per common share. The Company repurchased $18.1 million of its common stock for the first six months of 2025, compared with $7.6 million for the first six months of 2024. Proceeds from stock option exercises were $12.3 million for the first six months of 2025, compared with $34.5 million for the first six months of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six months of 2025, cash and cash equivalents at June 30, 2025 totaled $619.7 million, compared with $374.0 million at December 31, 2024. At June 30, 2025, the Company had $388.7 million in cash outside the United States, compared with $361.5 million at December 31, 2024.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2025, the Company acquired all outstanding shares of FARO Technologies ("FARO") common stock for approximately $920.0 million, net of cash acquired. The transaction was completed following the approval of FARO's stockholders and receipt of all regulatory approvals. FARO has annual sales of approximately $340 million. FARO is a leading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provider of 3D measurement and imaging solutions, including portable measurement arms, laser scanners and trackers, software solutions, and comprehensive service offerings. FARO will join the Electronic Instruments Group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2024.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tariffs, trade disputes and currency conditions;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2025.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June 30,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1,243,033,673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1,242,985,104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1,242,922,017</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7, 2025, the Company's Board of Directors approved a $1.25 billion share repurchase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authorization. This new authorization replaces the previous $1 billion share repurchase authorization approved in</w:t>
      </w:r>
    </w:p>
    <w:p>
      <w:pPr>
        <w:spacing w:after="0" w:line="9"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May 2022.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2025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2025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2025-07-31T13:51:49Z</dcterms:created>
  <dcterms:modified xsi:type="dcterms:W3CDTF">2025-07-31T13:51:49Z</dcterms:modified>
</cp:coreProperties>
</file>