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40" w:right="120" w:hanging="436"/>
        <w:spacing w:after="0" w:line="237" w:lineRule="auto"/>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40" w:right="100" w:hanging="436"/>
        <w:spacing w:after="0" w:line="256" w:lineRule="auto"/>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72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20" w:type="dxa"/>
            <w:vAlign w:val="bottom"/>
            <w:tcBorders>
              <w:bottom w:val="single" w:sz="8" w:color="auto"/>
            </w:tcBorders>
          </w:tcPr>
          <w:p>
            <w:pPr>
              <w:spacing w:after="0"/>
              <w:rPr>
                <w:sz w:val="17"/>
                <w:szCs w:val="17"/>
                <w:color w:val="auto"/>
              </w:rPr>
            </w:pPr>
          </w:p>
        </w:tc>
      </w:tr>
      <w:tr>
        <w:trPr>
          <w:trHeight w:val="453"/>
        </w:trPr>
        <w:tc>
          <w:tcPr>
            <w:tcW w:w="3920" w:type="dxa"/>
            <w:vAlign w:val="bottom"/>
            <w:gridSpan w:val="4"/>
          </w:tcPr>
          <w:p>
            <w:pPr>
              <w:ind w:left="640"/>
              <w:spacing w:after="0"/>
              <w:rPr>
                <w:sz w:val="20"/>
                <w:szCs w:val="20"/>
                <w:color w:val="auto"/>
              </w:rPr>
            </w:pPr>
            <w:r>
              <w:rPr>
                <w:rFonts w:ascii="Arial" w:cs="Arial" w:eastAsia="Arial" w:hAnsi="Arial"/>
                <w:sz w:val="18"/>
                <w:szCs w:val="18"/>
                <w:b w:val="1"/>
                <w:bCs w:val="1"/>
                <w:color w:val="auto"/>
              </w:rPr>
              <w:t>Commission File Number 1-12981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14-1682544</w:t>
            </w:r>
          </w:p>
        </w:tc>
      </w:tr>
      <w:tr>
        <w:trPr>
          <w:trHeight w:val="149"/>
        </w:trPr>
        <w:tc>
          <w:tcPr>
            <w:tcW w:w="42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280" w:type="dxa"/>
            <w:vAlign w:val="bottom"/>
          </w:tcPr>
          <w:p>
            <w:pPr>
              <w:jc w:val="center"/>
              <w:ind w:right="1819"/>
              <w:spacing w:after="0"/>
              <w:rPr>
                <w:sz w:val="20"/>
                <w:szCs w:val="20"/>
                <w:color w:val="auto"/>
              </w:rPr>
            </w:pPr>
            <w:r>
              <w:rPr>
                <w:rFonts w:ascii="Arial" w:cs="Arial" w:eastAsia="Arial" w:hAnsi="Arial"/>
                <w:sz w:val="18"/>
                <w:szCs w:val="18"/>
                <w:b w:val="1"/>
                <w:bCs w:val="1"/>
                <w:color w:val="auto"/>
                <w:w w:val="88"/>
              </w:rPr>
              <w:t>1100 Cassatt Road</w:t>
            </w:r>
          </w:p>
        </w:tc>
        <w:tc>
          <w:tcPr>
            <w:tcW w:w="3040" w:type="dxa"/>
            <w:vAlign w:val="bottom"/>
          </w:tcPr>
          <w:p>
            <w:pPr>
              <w:spacing w:after="0"/>
              <w:rPr>
                <w:sz w:val="24"/>
                <w:szCs w:val="24"/>
                <w:color w:val="auto"/>
              </w:rPr>
            </w:pPr>
          </w:p>
        </w:tc>
      </w:tr>
      <w:tr>
        <w:trPr>
          <w:trHeight w:val="212"/>
        </w:trPr>
        <w:tc>
          <w:tcPr>
            <w:tcW w:w="428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Berwyn, Pennsylvania</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19312-1177</w:t>
            </w:r>
          </w:p>
        </w:tc>
      </w:tr>
      <w:tr>
        <w:trPr>
          <w:trHeight w:val="186"/>
        </w:trPr>
        <w:tc>
          <w:tcPr>
            <w:tcW w:w="42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3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6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3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20"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ind w:right="660" w:firstLine="441"/>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October 29, 2019 was 228,592,872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24130</wp:posOffset>
            </wp:positionH>
            <wp:positionV relativeFrom="paragraph">
              <wp:posOffset>91440</wp:posOffset>
            </wp:positionV>
            <wp:extent cx="6929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120" cy="8890"/>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134620</wp:posOffset>
            </wp:positionV>
            <wp:extent cx="6929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ectPr>
          <w:pgSz w:w="11900" w:h="16838" w:orient="portrait"/>
          <w:cols w:equalWidth="0" w:num="1">
            <w:col w:w="11040"/>
          </w:cols>
          <w:pgMar w:left="440" w:top="341" w:right="419" w:bottom="0"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gridSpan w:val="19"/>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360" w:type="dxa"/>
            <w:vAlign w:val="bottom"/>
            <w:gridSpan w:val="19"/>
            <w:vMerge w:val="continue"/>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60" w:type="dxa"/>
            <w:vAlign w:val="bottom"/>
            <w:tcBorders>
              <w:top w:val="single" w:sz="8" w:color="0000EE"/>
            </w:tcBorders>
          </w:tcPr>
          <w:p>
            <w:pPr>
              <w:spacing w:after="0"/>
              <w:rPr>
                <w:sz w:val="24"/>
                <w:szCs w:val="24"/>
                <w:color w:val="auto"/>
              </w:rPr>
            </w:pPr>
          </w:p>
        </w:tc>
        <w:tc>
          <w:tcPr>
            <w:tcW w:w="2700" w:type="dxa"/>
            <w:vAlign w:val="bottom"/>
            <w:tcBorders>
              <w:top w:val="single" w:sz="8" w:color="0000EE"/>
            </w:tcBorders>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300" w:type="dxa"/>
            <w:vAlign w:val="bottom"/>
            <w:gridSpan w:val="9"/>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 of Income for the three and nine months ended September 30, 2019 and 2018</w:t>
              </w:r>
            </w:hyperlink>
          </w:p>
        </w:tc>
        <w:tc>
          <w:tcPr>
            <w:tcW w:w="2300" w:type="dxa"/>
            <w:vAlign w:val="bottom"/>
            <w:gridSpan w:val="4"/>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Comprehensive Income for the three and nine months ended September 30, 2019 and 2018</w:t>
              </w:r>
            </w:hyperlink>
          </w:p>
        </w:tc>
        <w:tc>
          <w:tcPr>
            <w:tcW w:w="280" w:type="dxa"/>
            <w:vAlign w:val="bottom"/>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 at September 30, 2019 and December 31, 2018</w:t>
              </w:r>
            </w:hyperlink>
          </w:p>
        </w:tc>
        <w:tc>
          <w:tcPr>
            <w:tcW w:w="4180" w:type="dxa"/>
            <w:vAlign w:val="bottom"/>
            <w:gridSpan w:val="6"/>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3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Stockholders’ Equity for the three and nine months ended September 30, 2019 and 2018</w:t>
              </w:r>
            </w:hyperlink>
          </w:p>
        </w:tc>
        <w:tc>
          <w:tcPr>
            <w:tcW w:w="1320" w:type="dxa"/>
            <w:vAlign w:val="bottom"/>
            <w:gridSpan w:val="2"/>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7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 of Cash Flows for the nine months ended September 30, 2019 and 2018</w:t>
              </w:r>
            </w:hyperlink>
          </w:p>
        </w:tc>
        <w:tc>
          <w:tcPr>
            <w:tcW w:w="1860" w:type="dxa"/>
            <w:vAlign w:val="bottom"/>
            <w:gridSpan w:val="3"/>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2.</w:t>
              </w:r>
            </w:hyperlink>
          </w:p>
        </w:tc>
        <w:tc>
          <w:tcPr>
            <w:tcW w:w="6480" w:type="dxa"/>
            <w:vAlign w:val="bottom"/>
            <w:tcBorders>
              <w:bottom w:val="single" w:sz="8" w:color="0000EE"/>
            </w:tcBorders>
            <w:gridSpan w:val="10"/>
          </w:tcPr>
          <w:p>
            <w:pPr>
              <w:ind w:left="20"/>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5"/>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 w:type="dxa"/>
            <w:vAlign w:val="bottom"/>
            <w:gridSpan w:val="3"/>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4.</w:t>
              </w:r>
            </w:hyperlink>
          </w:p>
        </w:tc>
        <w:tc>
          <w:tcPr>
            <w:tcW w:w="9460" w:type="dxa"/>
            <w:vAlign w:val="bottom"/>
            <w:gridSpan w:val="15"/>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360" w:type="dxa"/>
            <w:vAlign w:val="bottom"/>
            <w:gridSpan w:val="1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2.</w:t>
              </w:r>
            </w:hyperlink>
          </w:p>
        </w:tc>
        <w:tc>
          <w:tcPr>
            <w:tcW w:w="9460" w:type="dxa"/>
            <w:vAlign w:val="bottom"/>
            <w:gridSpan w:val="15"/>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2"/>
          </w:tcPr>
          <w:p>
            <w:pPr>
              <w:ind w:left="20"/>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3740" w:type="dxa"/>
            <w:vAlign w:val="bottom"/>
            <w:tcBorders>
              <w:top w:val="single" w:sz="8" w:color="0000EE"/>
            </w:tcBorders>
            <w:gridSpan w:val="6"/>
          </w:tcPr>
          <w:p>
            <w:pPr>
              <w:spacing w:after="0"/>
              <w:rPr>
                <w:sz w:val="24"/>
                <w:szCs w:val="24"/>
                <w:color w:val="auto"/>
              </w:rPr>
            </w:pPr>
          </w:p>
        </w:tc>
        <w:tc>
          <w:tcPr>
            <w:tcW w:w="5100" w:type="dxa"/>
            <w:vAlign w:val="bottom"/>
            <w:gridSpan w:val="7"/>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360" w:type="dxa"/>
            <w:vAlign w:val="bottom"/>
            <w:gridSpan w:val="19"/>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0"/>
          </w:cols>
          <w:pgMar w:left="440" w:top="648" w:right="5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8580"/>
                    </a:xfrm>
                    <a:prstGeom prst="rect">
                      <a:avLst/>
                    </a:prstGeom>
                    <a:noFill/>
                  </pic:spPr>
                </pic:pic>
              </a:graphicData>
            </a:graphic>
          </wp:anchor>
        </w:drawing>
        <w:t>PART I.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1,276,633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1,192,962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3,853,736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3,574,544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Cost of sales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823,262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782,994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2,512,722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2,351,042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152,315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461,289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975,577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927,696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2,974,011</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2,781,024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301,056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879,725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(21,308)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(19,391)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(65,436)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(12,521)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274,231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244,930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801,768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161,248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220,749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191,213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640,520</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566,413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1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2.82</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17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CCEEFF"/>
            </w:tcBorders>
            <w:vMerge w:val="continue"/>
          </w:tcPr>
          <w:p>
            <w:pPr>
              <w:spacing w:after="0"/>
              <w:rPr>
                <w:sz w:val="20"/>
                <w:szCs w:val="20"/>
                <w:color w:val="auto"/>
              </w:rPr>
            </w:pPr>
          </w:p>
        </w:tc>
        <w:tc>
          <w:tcPr>
            <w:tcW w:w="17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0.96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2.79</w:t>
            </w:r>
          </w:p>
        </w:tc>
        <w:tc>
          <w:tcPr>
            <w:tcW w:w="3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Weighted average common shares outstanding:</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Basic shares</w:t>
            </w:r>
          </w:p>
        </w:tc>
        <w:tc>
          <w:tcPr>
            <w:tcW w:w="17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228,041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231,502</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227,493</w:t>
            </w: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231,227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shd w:val="clear" w:color="auto" w:fill="CCEEFF"/>
          </w:tcPr>
          <w:p>
            <w:pPr>
              <w:ind w:left="340"/>
              <w:spacing w:after="0" w:line="190" w:lineRule="exact"/>
              <w:rPr>
                <w:sz w:val="20"/>
                <w:szCs w:val="20"/>
                <w:color w:val="auto"/>
              </w:rPr>
            </w:pPr>
            <w:r>
              <w:rPr>
                <w:rFonts w:ascii="Arial" w:cs="Arial" w:eastAsia="Arial" w:hAnsi="Arial"/>
                <w:sz w:val="18"/>
                <w:szCs w:val="18"/>
                <w:color w:val="auto"/>
              </w:rPr>
              <w:t>Diluted shares</w:t>
            </w:r>
          </w:p>
        </w:tc>
        <w:tc>
          <w:tcPr>
            <w:tcW w:w="17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229,560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233,250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229,191</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233,171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Dividends declared and paid per share</w:t>
            </w:r>
          </w:p>
        </w:tc>
        <w:tc>
          <w:tcPr>
            <w:tcW w:w="17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2"/>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0.14</w:t>
            </w: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0.42</w:t>
            </w:r>
          </w:p>
        </w:tc>
        <w:tc>
          <w:tcPr>
            <w:tcW w:w="3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648" w:right="4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176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0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6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2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198,102</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189,089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633,135</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539,385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648" w:right="4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980" w:type="dxa"/>
            <w:vAlign w:val="bottom"/>
            <w:gridSpan w:val="4"/>
          </w:tcPr>
          <w:p>
            <w:pPr>
              <w:jc w:val="center"/>
              <w:ind w:left="1676"/>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735,376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761,961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732,839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623,675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19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151,172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2,272,184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1,836,144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537,157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3,668,445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3,612,033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2,310,152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2,403,771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and other assets</w:t>
            </w:r>
          </w:p>
        </w:tc>
        <w:tc>
          <w:tcPr>
            <w:tcW w:w="19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257,333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9,219,709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8,662,288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Short-term borrowings and current portion of long-term debt, net</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199,533</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381,945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Customer advanced payments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144,181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liabilities and other</w:t>
            </w:r>
          </w:p>
        </w:tc>
        <w:tc>
          <w:tcPr>
            <w:tcW w:w="19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342,956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1,110,519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1,258,704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debt, net</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2,229,252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2,273,837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549,178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9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464,795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4,353,744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4,420,366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Stockholders’ equity:</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792,680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6,198,836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5,653,811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(558,473)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(1,569,735)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(1,570,184)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stockholders’ equity</w:t>
            </w:r>
          </w:p>
        </w:tc>
        <w:tc>
          <w:tcPr>
            <w:tcW w:w="19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4,865,965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4,241,922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9,219,709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8,662,288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621"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Capital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Preferred stock, $0.01 par value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Common stock, $0.01 par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Shares issued</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759,775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706,743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Issuance of common stock under employee stock plans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56,933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29,004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792,680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697,894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792,680</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6,009,968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5,315,232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5,653,811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5,002,419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220,749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640,520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(31,883)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(95,498)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6,198,836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5,474,070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6,198,836</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5,474,070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(292,790)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(302,138)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Translation adjustments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(44,543)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(7,771)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(38,368)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long-term intercompany notes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700"/>
              <w:spacing w:after="0" w:line="201" w:lineRule="exact"/>
              <w:rPr>
                <w:sz w:val="20"/>
                <w:szCs w:val="20"/>
                <w:color w:val="auto"/>
              </w:rPr>
            </w:pPr>
            <w:r>
              <w:rPr>
                <w:rFonts w:ascii="Arial" w:cs="Arial" w:eastAsia="Arial" w:hAnsi="Arial"/>
                <w:sz w:val="18"/>
                <w:szCs w:val="18"/>
                <w:color w:val="auto"/>
                <w:w w:val="99"/>
              </w:rPr>
              <w:t>Net investment hedge instruments gain (loss), net of tax of ($9,736)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80"/>
              <w:spacing w:after="0"/>
              <w:rPr>
                <w:sz w:val="20"/>
                <w:szCs w:val="20"/>
                <w:color w:val="auto"/>
              </w:rPr>
            </w:pPr>
            <w:r>
              <w:rPr>
                <w:rFonts w:ascii="Arial" w:cs="Arial" w:eastAsia="Arial" w:hAnsi="Arial"/>
                <w:sz w:val="18"/>
                <w:szCs w:val="18"/>
                <w:color w:val="auto"/>
                <w:w w:val="90"/>
              </w:rPr>
              <w:t>($1,649) for the quarter ended September 30, 2019 and 2018 and ($11,086)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80"/>
              <w:spacing w:after="0"/>
              <w:rPr>
                <w:sz w:val="20"/>
                <w:szCs w:val="20"/>
                <w:color w:val="auto"/>
              </w:rPr>
            </w:pPr>
            <w:r>
              <w:rPr>
                <w:rFonts w:ascii="Arial" w:cs="Arial" w:eastAsia="Arial" w:hAnsi="Arial"/>
                <w:sz w:val="18"/>
                <w:szCs w:val="18"/>
                <w:color w:val="auto"/>
                <w:w w:val="96"/>
              </w:rPr>
              <w:t>and ($8,274) for the nine months ended September 30, 2019 and 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34,424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(318,394)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(318,394)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Defined benefit pension plans: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(243,036)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(248,950)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700"/>
              <w:spacing w:after="0" w:line="201" w:lineRule="exact"/>
              <w:rPr>
                <w:sz w:val="20"/>
                <w:szCs w:val="20"/>
                <w:color w:val="auto"/>
              </w:rPr>
            </w:pPr>
            <w:r>
              <w:rPr>
                <w:rFonts w:ascii="Arial" w:cs="Arial" w:eastAsia="Arial" w:hAnsi="Arial"/>
                <w:sz w:val="18"/>
                <w:szCs w:val="18"/>
                <w:color w:val="auto"/>
                <w:w w:val="96"/>
              </w:rPr>
              <w:t>Amortization of net actuarial loss (gain) and other, net of tax of ($873)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80"/>
              <w:spacing w:after="0"/>
              <w:rPr>
                <w:sz w:val="20"/>
                <w:szCs w:val="20"/>
                <w:color w:val="auto"/>
              </w:rPr>
            </w:pPr>
            <w:r>
              <w:rPr>
                <w:rFonts w:ascii="Arial" w:cs="Arial" w:eastAsia="Arial" w:hAnsi="Arial"/>
                <w:sz w:val="18"/>
                <w:szCs w:val="18"/>
                <w:color w:val="auto"/>
                <w:w w:val="93"/>
              </w:rPr>
              <w:t>($719) for the quarter ended September 30, 2019 and 2018, and ($2,620)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80"/>
              <w:spacing w:after="0"/>
              <w:rPr>
                <w:sz w:val="20"/>
                <w:szCs w:val="20"/>
                <w:color w:val="auto"/>
              </w:rPr>
            </w:pPr>
            <w:r>
              <w:rPr>
                <w:rFonts w:ascii="Arial" w:cs="Arial" w:eastAsia="Arial" w:hAnsi="Arial"/>
                <w:sz w:val="18"/>
                <w:szCs w:val="18"/>
                <w:color w:val="auto"/>
                <w:w w:val="96"/>
              </w:rPr>
              <w:t>and ($2,157) for the nine months ended September 30, 2019 and 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8,871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respectively</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(240,079)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(240,079)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Unrealized holding gain (loss) on available-for-sale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Decrease during the year, net of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1420"/>
              <w:spacing w:after="0"/>
              <w:rPr>
                <w:sz w:val="20"/>
                <w:szCs w:val="20"/>
                <w:color w:val="auto"/>
              </w:rPr>
            </w:pPr>
            <w:r>
              <w:rPr>
                <w:rFonts w:ascii="Arial" w:cs="Arial" w:eastAsia="Arial" w:hAnsi="Arial"/>
                <w:sz w:val="18"/>
                <w:szCs w:val="18"/>
                <w:color w:val="auto"/>
                <w:w w:val="98"/>
              </w:rPr>
              <w:t>Accumulated other comprehensive loss at the end of the period</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(558,473)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(456,204)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(558,473)</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(456,204)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9"/>
              </w:rPr>
              <w:t>(1,569,790)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(1,206,556)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(1,570,184)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9"/>
              </w:rPr>
              <w:t>(1,209,135)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under employee stock plans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Balance at the end of the period</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(1,569,735</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(1,206,491</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(1,569,735</w:t>
            </w:r>
          </w:p>
        </w:tc>
        <w:tc>
          <w:tcPr>
            <w:tcW w:w="280" w:type="dxa"/>
            <w:vAlign w:val="bottom"/>
            <w:tcBorders>
              <w:top w:val="single" w:sz="8" w:color="CCEEFF"/>
            </w:tcBorders>
            <w:shd w:val="clear" w:color="auto" w:fill="CCEEFF"/>
          </w:tcPr>
          <w:p>
            <w:pPr>
              <w:jc w:val="right"/>
              <w:ind w:right="200"/>
              <w:spacing w:after="0"/>
              <w:rPr>
                <w:sz w:val="20"/>
                <w:szCs w:val="20"/>
                <w:color w:val="auto"/>
              </w:rPr>
            </w:pPr>
            <w:r>
              <w:rPr>
                <w:rFonts w:ascii="Arial" w:cs="Arial" w:eastAsia="Arial" w:hAnsi="Arial"/>
                <w:sz w:val="8"/>
                <w:szCs w:val="8"/>
                <w:b w:val="1"/>
                <w:bCs w:val="1"/>
                <w:color w:val="auto"/>
                <w:w w:val="73"/>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(1,206,491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4,865,965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4,511,909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4,865,965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4,511,909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648"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Nine Months Ended</w:t>
      </w:r>
    </w:p>
    <w:p>
      <w:pPr>
        <w:jc w:val="center"/>
        <w:ind w:left="92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74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provided by (used for):</w:t>
            </w:r>
          </w:p>
        </w:tc>
        <w:tc>
          <w:tcPr>
            <w:tcW w:w="19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$ 640,520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$ 566,413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70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Depreciation and amortization</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169,935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60"/>
              <w:spacing w:after="0"/>
              <w:rPr>
                <w:sz w:val="20"/>
                <w:szCs w:val="20"/>
                <w:color w:val="auto"/>
              </w:rPr>
            </w:pPr>
            <w:r>
              <w:rPr>
                <w:rFonts w:ascii="Arial" w:cs="Arial" w:eastAsia="Arial" w:hAnsi="Arial"/>
                <w:sz w:val="18"/>
                <w:szCs w:val="18"/>
                <w:color w:val="auto"/>
              </w:rPr>
              <w:t>Deferred income taxes</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13,397</w:t>
            </w:r>
          </w:p>
        </w:tc>
        <w:tc>
          <w:tcPr>
            <w:tcW w:w="1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(5,574)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Share-based compensation expense</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29,004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60"/>
              <w:spacing w:after="0"/>
              <w:rPr>
                <w:sz w:val="20"/>
                <w:szCs w:val="20"/>
                <w:color w:val="auto"/>
              </w:rPr>
            </w:pPr>
            <w:r>
              <w:rPr>
                <w:rFonts w:ascii="Arial" w:cs="Arial" w:eastAsia="Arial" w:hAnsi="Arial"/>
                <w:sz w:val="18"/>
                <w:szCs w:val="18"/>
                <w:color w:val="auto"/>
              </w:rPr>
              <w:t>Gain on sale of facilities</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(4,529)</w:t>
            </w: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assets and liabilities, net of acquisitions</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(82,604)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(89,877)</w:t>
            </w:r>
          </w:p>
        </w:tc>
      </w:tr>
      <w:tr>
        <w:trPr>
          <w:trHeight w:val="216"/>
        </w:trPr>
        <w:tc>
          <w:tcPr>
            <w:tcW w:w="20" w:type="dxa"/>
            <w:vAlign w:val="bottom"/>
          </w:tcPr>
          <w:p>
            <w:pPr>
              <w:spacing w:after="0"/>
              <w:rPr>
                <w:sz w:val="18"/>
                <w:szCs w:val="18"/>
                <w:color w:val="auto"/>
              </w:rPr>
            </w:pPr>
          </w:p>
        </w:tc>
        <w:tc>
          <w:tcPr>
            <w:tcW w:w="7300" w:type="dxa"/>
            <w:vAlign w:val="bottom"/>
          </w:tcPr>
          <w:p>
            <w:pPr>
              <w:ind w:left="1060"/>
              <w:spacing w:after="0"/>
              <w:rPr>
                <w:sz w:val="20"/>
                <w:szCs w:val="20"/>
                <w:color w:val="auto"/>
              </w:rPr>
            </w:pPr>
            <w:r>
              <w:rPr>
                <w:rFonts w:ascii="Arial" w:cs="Arial" w:eastAsia="Arial" w:hAnsi="Arial"/>
                <w:sz w:val="18"/>
                <w:szCs w:val="18"/>
                <w:color w:val="auto"/>
              </w:rPr>
              <w:t>Pension contributions</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(2,505)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(2,194)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net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8,996</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(5,420)</w:t>
            </w: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operating activities</w:t>
            </w:r>
          </w:p>
        </w:tc>
        <w:tc>
          <w:tcPr>
            <w:tcW w:w="19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772,214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629,355</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(61,525)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(47,488)</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businesses, net of cash acquired</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(122,149)</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(376,248)</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Proceeds from sale of facilities</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8,263</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2,059</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(1,234)</w:t>
            </w: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 investing activities</w:t>
            </w:r>
          </w:p>
        </w:tc>
        <w:tc>
          <w:tcPr>
            <w:tcW w:w="196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(173,352</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(424,253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Net change in short-term borrowings</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(258,211)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borrowings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Repayments of long-term borrowings</w:t>
            </w:r>
          </w:p>
        </w:tc>
        <w:tc>
          <w:tcPr>
            <w:tcW w:w="19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(240,000)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2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(6,613)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(4,034)</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(95,498)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(97,027)</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59,645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(7,249)</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(5,749)</w:t>
            </w: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financing activities</w:t>
            </w:r>
          </w:p>
        </w:tc>
        <w:tc>
          <w:tcPr>
            <w:tcW w:w="19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(207,926</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(317,228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9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9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381,401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(127,579)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Beginning of period</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353,975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646,300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00" w:type="dxa"/>
            <w:vAlign w:val="bottom"/>
          </w:tcPr>
          <w:p>
            <w:pPr>
              <w:ind w:left="700"/>
              <w:spacing w:after="0"/>
              <w:rPr>
                <w:sz w:val="20"/>
                <w:szCs w:val="20"/>
                <w:color w:val="auto"/>
              </w:rPr>
            </w:pPr>
            <w:r>
              <w:rPr>
                <w:rFonts w:ascii="Arial" w:cs="Arial" w:eastAsia="Arial" w:hAnsi="Arial"/>
                <w:sz w:val="18"/>
                <w:szCs w:val="18"/>
                <w:color w:val="auto"/>
              </w:rPr>
              <w:t>End of period</w:t>
            </w:r>
          </w:p>
        </w:tc>
        <w:tc>
          <w:tcPr>
            <w:tcW w:w="19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$ 735,376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$ 518,721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440" w:top="648"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2019, the consolidated results of its operations for the three and nine months ended September 30, 2019 and 2018 and its cash flows for the nine months ended September 30, 2019 and 2018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2018 as filed with the U.S. Securities and Exchange Commission.</w:t>
      </w:r>
    </w:p>
    <w:p>
      <w:pPr>
        <w:spacing w:after="0" w:line="189" w:lineRule="exact"/>
        <w:rPr>
          <w:sz w:val="20"/>
          <w:szCs w:val="20"/>
          <w:color w:val="auto"/>
        </w:rPr>
      </w:pPr>
    </w:p>
    <w:p>
      <w:pPr>
        <w:jc w:val="both"/>
        <w:ind w:right="580" w:firstLine="441"/>
        <w:spacing w:after="0" w:line="264" w:lineRule="auto"/>
        <w:rPr>
          <w:sz w:val="20"/>
          <w:szCs w:val="20"/>
          <w:color w:val="auto"/>
        </w:rPr>
      </w:pPr>
      <w:r>
        <w:rPr>
          <w:rFonts w:ascii="Arial" w:cs="Arial" w:eastAsia="Arial" w:hAnsi="Arial"/>
          <w:sz w:val="18"/>
          <w:szCs w:val="18"/>
          <w:color w:val="auto"/>
        </w:rPr>
        <w:t xml:space="preserve">As discussed below in Note 2, effective January 1, 2019, the Company adopted the requirements of Financial Accounting Standards Board (“FASB”) Accounting Standards Update (“ASU”) No. 2016-02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using the effective date transition method. Amounts and disclosures set forth in this Form 10-Q reflect this change.</w:t>
      </w:r>
    </w:p>
    <w:p>
      <w:pPr>
        <w:spacing w:after="0" w:line="285" w:lineRule="exact"/>
        <w:rPr>
          <w:sz w:val="20"/>
          <w:szCs w:val="20"/>
          <w:color w:val="auto"/>
        </w:rPr>
      </w:pPr>
    </w:p>
    <w:p>
      <w:pPr>
        <w:ind w:left="540" w:hanging="536"/>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In February 2016, the FASB issued ASU No. 2016-02 Leases (ASC 842). In July 2018, the FASB issued ASU No. 2018-10, “Codification Improvements to Topic 842, Leases” (ASU 2018-10), which provides narrow 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Accounting Standards Codification Topic 840, Leases (ASC 840). ASC 842 establishes a right-of-use model that requires a lessee to record a right-of-use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The Company adopted ASC 842 on January 1, 2019 using the effective date transition method. Prior period results continue to be presented under ASC 840 based on the accounting standards originally in effect for such periods.</w:t>
      </w:r>
    </w:p>
    <w:p>
      <w:pPr>
        <w:spacing w:after="0" w:line="178" w:lineRule="exact"/>
        <w:rPr>
          <w:sz w:val="20"/>
          <w:szCs w:val="20"/>
          <w:color w:val="auto"/>
        </w:rPr>
      </w:pPr>
    </w:p>
    <w:p>
      <w:pPr>
        <w:ind w:right="220" w:firstLine="441"/>
        <w:spacing w:after="0" w:line="293" w:lineRule="auto"/>
        <w:rPr>
          <w:sz w:val="20"/>
          <w:szCs w:val="20"/>
          <w:color w:val="auto"/>
        </w:rPr>
      </w:pPr>
      <w:r>
        <w:rPr>
          <w:rFonts w:ascii="Arial" w:cs="Arial" w:eastAsia="Arial" w:hAnsi="Arial"/>
          <w:sz w:val="16"/>
          <w:szCs w:val="16"/>
          <w:color w:val="auto"/>
        </w:rPr>
        <w:t>The Company has elected certain practical expedients permitted under the transition guidance within ASC 842 to leases that commenced before January 1, 2019,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2019. The Company did not elect the practical expedient to not record short-term leases on its consolidated balance sheet. The adoption of ASU 2016-02 did not have a significant impact on the Company’s consolidated results of operations or cash flows. Upon adoption, the Company recognized a ROU asset and lease liability of $192.4 million and $198.6 million, respectively. See Note 8.</w:t>
      </w:r>
    </w:p>
    <w:p>
      <w:pPr>
        <w:spacing w:after="0" w:line="165"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w:t>
      </w:r>
      <w:r>
        <w:rPr>
          <w:rFonts w:ascii="Arial" w:cs="Arial" w:eastAsia="Arial" w:hAnsi="Arial"/>
          <w:sz w:val="18"/>
          <w:szCs w:val="18"/>
          <w:color w:val="auto"/>
        </w:rPr>
        <w:t>(“ASU 2018-02”). ASU 2018-02 addresses a specific consequence of the Tax Act</w:t>
      </w:r>
      <w:r>
        <w:rPr>
          <w:rFonts w:ascii="Arial" w:cs="Arial" w:eastAsia="Arial" w:hAnsi="Arial"/>
          <w:sz w:val="18"/>
          <w:szCs w:val="18"/>
          <w:i w:val="1"/>
          <w:iCs w:val="1"/>
          <w:color w:val="auto"/>
        </w:rPr>
        <w:t xml:space="preserve"> </w:t>
      </w:r>
      <w:r>
        <w:rPr>
          <w:rFonts w:ascii="Arial" w:cs="Arial" w:eastAsia="Arial" w:hAnsi="Arial"/>
          <w:sz w:val="18"/>
          <w:szCs w:val="18"/>
          <w:color w:val="auto"/>
        </w:rPr>
        <w:t>by allowing an election to reclassify from accumulated other comprehensive income (loss) to retained earnings for stranded tax effects resulting from the Tax Act’s reduction of the U.S federal corporate income tax rate. ASU 2018-02 is effective for all entities for annual reporting periods beginning after December 15, 2018, with early adoption permitted, and is to be applied either in the period of adoption or retrospectively to each period in which the effect of the change in the U.S. federal income tax rate in the Tax Act is recognized. The Company adopted ASU 2018-02 on January 1, 2019, and upon adoption, the Company did not elect to reclassify the stranded income tax effects of the Tax Act from accumulated other comprehensive income to retained earnings.</w:t>
      </w:r>
    </w:p>
    <w:p>
      <w:pPr>
        <w:spacing w:after="0" w:line="192"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(“ASU 2018-13”), which changes the fair value measurement disclosure requirements of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by eliminating, modifying and adding to those requirements. ASU 2018-13 also modifies the disclosure objective paragraphs of ASC 820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648" w:right="4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eliminate (1) “at a minimum” from the phrase “an entity shall disclose at a minimum” and (2) other similar “open ended” disclosure requirements to promote the appropriate exercise of discretion by entities. ASU 2018-13 is effective for fiscal years beginning after December 15, 2019, including interim periods therein. Early adoption is permitted. The Company has not determined the impact ASU 2018-13 may have on the Company’s consolidated financial statement disclosures.</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w:t>
      </w:r>
      <w:r>
        <w:rPr>
          <w:rFonts w:ascii="Arial" w:cs="Arial" w:eastAsia="Arial" w:hAnsi="Arial"/>
          <w:sz w:val="18"/>
          <w:szCs w:val="18"/>
          <w:color w:val="auto"/>
        </w:rPr>
        <w:t xml:space="preserve"> (“ASU 2018-14”), which changes the disclosure requirements of ASC Topic 715, </w:t>
      </w:r>
      <w:r>
        <w:rPr>
          <w:rFonts w:ascii="Arial" w:cs="Arial" w:eastAsia="Arial" w:hAnsi="Arial"/>
          <w:sz w:val="18"/>
          <w:szCs w:val="18"/>
          <w:i w:val="1"/>
          <w:iCs w:val="1"/>
          <w:color w:val="auto"/>
        </w:rPr>
        <w:t>Compensation – Retirement Benefits</w:t>
      </w:r>
      <w:r>
        <w:rPr>
          <w:rFonts w:ascii="Arial" w:cs="Arial" w:eastAsia="Arial" w:hAnsi="Arial"/>
          <w:sz w:val="18"/>
          <w:szCs w:val="18"/>
          <w:color w:val="auto"/>
        </w:rPr>
        <w:t>, by eliminating, modifying and adding to certain of those requirements. ASU 2018-14 is effective for fiscal years beginning after December 15, 2020. Early adoption is permitted and the amendments in this ASU should be applied on a retrospective basis to all periods presented. The Company has not determined the impact ASU 2018-14 may have on the Company’s consolidated financial statement disclosures.</w:t>
      </w:r>
    </w:p>
    <w:p>
      <w:pPr>
        <w:spacing w:after="0" w:line="188" w:lineRule="exact"/>
        <w:rPr>
          <w:sz w:val="20"/>
          <w:szCs w:val="20"/>
          <w:color w:val="auto"/>
        </w:rPr>
      </w:pPr>
    </w:p>
    <w:p>
      <w:pPr>
        <w:jc w:val="both"/>
        <w:ind w:firstLine="441"/>
        <w:spacing w:after="0" w:line="288"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–Internal-Use Software</w:t>
      </w:r>
      <w:r>
        <w:rPr>
          <w:rFonts w:ascii="Arial" w:cs="Arial" w:eastAsia="Arial" w:hAnsi="Arial"/>
          <w:sz w:val="16"/>
          <w:szCs w:val="16"/>
          <w:color w:val="auto"/>
        </w:rPr>
        <w:t xml:space="preserve"> (“ASU 2018-15”), that requires implementation costs incurred by customers in cloud computing arrangements to be deferred and recognized over the term of the arrangement, if those costs would be capitalized by the customer in a software licensing arrangement under the internal-use software guidance in ASC Topic 350, </w:t>
      </w:r>
      <w:r>
        <w:rPr>
          <w:rFonts w:ascii="Arial" w:cs="Arial" w:eastAsia="Arial" w:hAnsi="Arial"/>
          <w:sz w:val="16"/>
          <w:szCs w:val="16"/>
          <w:i w:val="1"/>
          <w:iCs w:val="1"/>
          <w:color w:val="auto"/>
        </w:rPr>
        <w:t>Intangibles</w:t>
      </w:r>
    </w:p>
    <w:p>
      <w:pPr>
        <w:ind w:right="140"/>
        <w:spacing w:after="0" w:line="273" w:lineRule="auto"/>
        <w:rPr>
          <w:sz w:val="20"/>
          <w:szCs w:val="20"/>
          <w:color w:val="auto"/>
        </w:rPr>
      </w:pPr>
      <w:r>
        <w:rPr>
          <w:rFonts w:ascii="Arial" w:cs="Arial" w:eastAsia="Arial" w:hAnsi="Arial"/>
          <w:sz w:val="17"/>
          <w:szCs w:val="17"/>
          <w:i w:val="1"/>
          <w:iCs w:val="1"/>
          <w:color w:val="auto"/>
        </w:rPr>
        <w:t>– Goodwill and Other</w:t>
      </w:r>
      <w:r>
        <w:rPr>
          <w:rFonts w:ascii="Arial" w:cs="Arial" w:eastAsia="Arial" w:hAnsi="Arial"/>
          <w:sz w:val="17"/>
          <w:szCs w:val="17"/>
          <w:color w:val="auto"/>
        </w:rPr>
        <w:t>. ASU 2018-15 requires a customer to disclose the nature of its hosting arrangements that are service contracts and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as if the deferred implementation costs were a separate, major depreciable asset class. ASU 2018-15 is effective for interim and annual periods beginning after December 15, 2019. Early adoption is permitted. The Company has not determined the impact ASU 2018-15 may have on the Company’s consolidated results of operations, financial position, cash flows and financial statement disclosures.</w:t>
      </w:r>
    </w:p>
    <w:p>
      <w:pPr>
        <w:spacing w:after="0" w:line="281" w:lineRule="exact"/>
        <w:rPr>
          <w:sz w:val="20"/>
          <w:szCs w:val="20"/>
          <w:color w:val="auto"/>
        </w:rPr>
      </w:pPr>
    </w:p>
    <w:p>
      <w:pPr>
        <w:ind w:left="540" w:hanging="536"/>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The Company adopted ASC 606 as of January 1, 2018 using the modified retrospective method. The cumulative adjustment made to the January 1, 2018 consolidated balance sheet for the adoption of ASC 606 was to increase Retained earnings by $4.2 million, increase Total assets by $7.9 million and increase Total liabilities by $3.7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right"/>
              <w:ind w:right="372"/>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 January 1</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assets – September 30</w:t>
            </w:r>
          </w:p>
        </w:tc>
        <w:tc>
          <w:tcPr>
            <w:tcW w:w="1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78,010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Change in contract assets – increase</w:t>
            </w:r>
          </w:p>
        </w:tc>
        <w:tc>
          <w:tcPr>
            <w:tcW w:w="1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spacing w:after="0"/>
              <w:rPr>
                <w:sz w:val="20"/>
                <w:szCs w:val="20"/>
                <w:color w:val="auto"/>
              </w:rPr>
            </w:pPr>
            <w:r>
              <w:rPr>
                <w:rFonts w:ascii="Arial" w:cs="Arial" w:eastAsia="Arial" w:hAnsi="Arial"/>
                <w:sz w:val="18"/>
                <w:szCs w:val="18"/>
                <w:color w:val="auto"/>
              </w:rPr>
              <w:t>Contract liabilities – January 1</w:t>
            </w:r>
          </w:p>
        </w:tc>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89"/>
              </w:rPr>
              <w:t>146,162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89"/>
              </w:rPr>
              <w:t>117,058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 September 30</w:t>
            </w:r>
          </w:p>
        </w:tc>
        <w:tc>
          <w:tcPr>
            <w:tcW w:w="1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152,897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contract liabilities – increase</w:t>
            </w:r>
          </w:p>
        </w:tc>
        <w:tc>
          <w:tcPr>
            <w:tcW w:w="18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(6,735)</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(28,189)</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change</w:t>
            </w:r>
          </w:p>
        </w:tc>
        <w:tc>
          <w:tcPr>
            <w:tcW w:w="1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13,009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net change for the nine months ended September 30, 2019 was primarily driven by the recognition of revenue as performance obligations were satisfied prior to billing and exceeded receipt of advance payments from customers. For the nine months ended September 30, 2019 and 2018, the Company recognized revenue of $123.6 million and $95.0 million, respectively, that was previously included in the beginning balance of contract liabilities.</w:t>
      </w:r>
    </w:p>
    <w:p>
      <w:pPr>
        <w:spacing w:after="0" w:line="187"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September 30, 2019 and December 31, 2018, $8.7 million and $8.9 million of Customer advanced payments (contract liabilities), respectively, were recorded in Other long-term liabilities in the consolidated balance sheets.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648" w:right="5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Applying the practical expedient available under ASC 606, the remaining performance obligations exceeding one year as of September 30, 2019 and December 31, 2018 were $196.6 million and $187.2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Information about the Company’s operations in different geographic areas is shown below. Net sales were attributed to geographic areas based on the location of the customer.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60" w:type="dxa"/>
            <w:vAlign w:val="bottom"/>
            <w:gridSpan w:val="5"/>
          </w:tcPr>
          <w:p>
            <w:pPr>
              <w:jc w:val="right"/>
              <w:ind w:right="634"/>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EMG</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EIG</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EMG</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right"/>
              <w:ind w:right="296"/>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421,629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252,343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673,972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1,250,564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764,001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2,014,565</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International (1):</w:t>
            </w:r>
          </w:p>
        </w:tc>
        <w:tc>
          <w:tcPr>
            <w:tcW w:w="1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47,885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100,657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148,542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European Union countries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99,180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98,357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197,537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302,800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308,138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610,938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Asia</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190,419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46,347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236,766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569,553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142,035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711,588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Other foreign countries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84,786</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29,715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114,501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271,908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96,195</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368,103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international</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393,923</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208,738</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602,661</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1,192,146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647,025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1,839,171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13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815,552</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461,081</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1,276,633</w:t>
            </w: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2,442,710</w:t>
            </w: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1,411,026</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3,853,736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3"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U.S. export sales of $317.6 million and $965.1 million for the three months ended and the nine months ended, respectively.</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Information about the Company’s operations in different geographic areas is shown below. Net sales were attributed to geographic areas based on the location of the customer.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60" w:type="dxa"/>
            <w:vAlign w:val="bottom"/>
            <w:gridSpan w:val="5"/>
          </w:tcPr>
          <w:p>
            <w:pPr>
              <w:jc w:val="right"/>
              <w:ind w:right="634"/>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EMG</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EMG</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right"/>
              <w:ind w:right="296"/>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358,335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237,831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596,166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1,044,971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710,630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1,755,601</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International (1):</w:t>
            </w:r>
          </w:p>
        </w:tc>
        <w:tc>
          <w:tcPr>
            <w:tcW w:w="1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33,364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46,974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101,913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148,887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European Union countries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93,248</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97,595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190,843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281,328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303,994</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585,322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Asia</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193,986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51,136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245,122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576,640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157,634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734,274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340"/>
              <w:spacing w:after="0"/>
              <w:rPr>
                <w:sz w:val="20"/>
                <w:szCs w:val="20"/>
                <w:color w:val="auto"/>
              </w:rPr>
            </w:pPr>
            <w:r>
              <w:rPr>
                <w:rFonts w:ascii="Arial" w:cs="Arial" w:eastAsia="Arial" w:hAnsi="Arial"/>
                <w:sz w:val="18"/>
                <w:szCs w:val="18"/>
                <w:color w:val="auto"/>
              </w:rPr>
              <w:t>Other foreign countries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78,826</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30,995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109,821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253,012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97,448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350,460</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Total international</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383,706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213,090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596,796</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1,157,954</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660,989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1,818,943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13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742,041</w:t>
            </w:r>
          </w:p>
        </w:tc>
        <w:tc>
          <w:tcPr>
            <w:tcW w:w="2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450,921</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1,192,962</w:t>
            </w: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2,202,925</w:t>
            </w: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1,371,619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3,574,544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3" w:lineRule="exact"/>
        <w:rPr>
          <w:sz w:val="20"/>
          <w:szCs w:val="20"/>
          <w:color w:val="auto"/>
        </w:rPr>
      </w:pPr>
    </w:p>
    <w:p>
      <w:pPr>
        <w:ind w:left="5460" w:right="1080" w:hanging="5456"/>
        <w:spacing w:after="0" w:line="528" w:lineRule="auto"/>
        <w:tabs>
          <w:tab w:leader="none" w:pos="42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U.S. export sales of $308.4 million and $944.0 million for the three months ended and the nine months ended, respectively. 9</w:t>
      </w:r>
    </w:p>
    <w:p>
      <w:pPr>
        <w:sectPr>
          <w:pgSz w:w="11900" w:h="16838" w:orient="portrait"/>
          <w:cols w:equalWidth="0" w:num="1">
            <w:col w:w="11040"/>
          </w:cols>
          <w:pgMar w:left="440" w:top="621"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major products and services in the reportable segments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September 30, 2019</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2019</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EIG</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EMG</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EMG</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tcPr>
          <w:p>
            <w:pPr>
              <w:jc w:val="right"/>
              <w:ind w:right="316"/>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Process and analytical instrumentation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$586,430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586,430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$1,747,708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$1,747,708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Aerospace and Power</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229,122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123,228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352,350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695,002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362,498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1,057,500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Automation and engineered solutions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337,853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337,853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1,048,528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1,048,528</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Consolidated net sales</w:t>
            </w:r>
          </w:p>
        </w:tc>
        <w:tc>
          <w:tcPr>
            <w:tcW w:w="10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815,552</w:t>
            </w:r>
          </w:p>
        </w:tc>
        <w:tc>
          <w:tcPr>
            <w:tcW w:w="30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461,081</w:t>
            </w:r>
          </w:p>
        </w:tc>
        <w:tc>
          <w:tcPr>
            <w:tcW w:w="2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1,276,633</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2,442,710</w:t>
            </w:r>
          </w:p>
        </w:tc>
        <w:tc>
          <w:tcPr>
            <w:tcW w:w="28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 xml:space="preserve"> 1,411,026</w:t>
            </w: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3,853,736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5"/>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September 30, 2018</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EIG</w:t>
            </w: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EMG</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EMG</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tcPr>
          <w:p>
            <w:pPr>
              <w:jc w:val="right"/>
              <w:ind w:right="316"/>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Process and analytical instrumentation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$514,513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514,513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$1,530,004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$1,530,004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Aerospace and Power</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227,528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112,578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340,106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672,921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334,638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1,007,559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Automation and engineered solutions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338,343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338,343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1,036,981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1,036,981</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Consolidated net sales</w:t>
            </w:r>
          </w:p>
        </w:tc>
        <w:tc>
          <w:tcPr>
            <w:tcW w:w="10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742,041</w:t>
            </w: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450,921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1,192,962</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2,202,925</w:t>
            </w:r>
          </w:p>
        </w:tc>
        <w:tc>
          <w:tcPr>
            <w:tcW w:w="28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1,371,619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3,574,544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Recognition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timing of revenue recognition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center"/>
              <w:ind w:right="622"/>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622"/>
              <w:spacing w:after="0"/>
              <w:rPr>
                <w:sz w:val="20"/>
                <w:szCs w:val="20"/>
                <w:color w:val="auto"/>
              </w:rPr>
            </w:pPr>
            <w:r>
              <w:rPr>
                <w:rFonts w:ascii="Arial" w:cs="Arial" w:eastAsia="Arial" w:hAnsi="Arial"/>
                <w:sz w:val="14"/>
                <w:szCs w:val="14"/>
                <w:b w:val="1"/>
                <w:bCs w:val="1"/>
                <w:color w:val="auto"/>
                <w:w w:val="91"/>
              </w:rPr>
              <w:t>September 30, 2019</w:t>
            </w: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EMG</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EMG</w:t>
            </w: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jc w:val="right"/>
              <w:ind w:right="299"/>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15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$652,950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$416,280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$1,069,230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$1,984,938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$1,286,060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$3,270,998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Products and services transferred over time</w:t>
            </w:r>
          </w:p>
        </w:tc>
        <w:tc>
          <w:tcPr>
            <w:tcW w:w="1580" w:type="dxa"/>
            <w:vAlign w:val="bottom"/>
            <w:gridSpan w:val="4"/>
          </w:tcPr>
          <w:p>
            <w:pPr>
              <w:jc w:val="right"/>
              <w:spacing w:after="0"/>
              <w:rPr>
                <w:sz w:val="20"/>
                <w:szCs w:val="20"/>
                <w:color w:val="auto"/>
              </w:rPr>
            </w:pPr>
            <w:r>
              <w:rPr>
                <w:rFonts w:ascii="Arial" w:cs="Arial" w:eastAsia="Arial" w:hAnsi="Arial"/>
                <w:sz w:val="18"/>
                <w:szCs w:val="18"/>
                <w:b w:val="1"/>
                <w:bCs w:val="1"/>
                <w:color w:val="auto"/>
              </w:rPr>
              <w:t>162,602</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44,801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207,403</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457,772</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124,966</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582,738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sales</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815,552</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461,081</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1,276,633</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2,442,710</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 xml:space="preserve"> 1,411,026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3,853,736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4"/>
          </w:tcPr>
          <w:p>
            <w:pPr>
              <w:jc w:val="center"/>
              <w:ind w:right="622"/>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right="622"/>
              <w:spacing w:after="0"/>
              <w:rPr>
                <w:sz w:val="20"/>
                <w:szCs w:val="20"/>
                <w:color w:val="auto"/>
              </w:rPr>
            </w:pPr>
            <w:r>
              <w:rPr>
                <w:rFonts w:ascii="Arial" w:cs="Arial" w:eastAsia="Arial" w:hAnsi="Arial"/>
                <w:sz w:val="14"/>
                <w:szCs w:val="14"/>
                <w:b w:val="1"/>
                <w:bCs w:val="1"/>
                <w:color w:val="auto"/>
                <w:w w:val="91"/>
              </w:rPr>
              <w:t>September 30, 2018</w:t>
            </w: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EMG</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EIG</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EMG</w:t>
            </w: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3"/>
          </w:tcPr>
          <w:p>
            <w:pPr>
              <w:jc w:val="right"/>
              <w:ind w:right="319"/>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$620,221</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$414,666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$1,034,887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$1,848,828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$1,281,378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$3,130,206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Products and services transferred over time</w:t>
            </w: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121,820</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36,255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158,075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354,097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90,241</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444,338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sales</w:t>
            </w:r>
          </w:p>
        </w:tc>
        <w:tc>
          <w:tcPr>
            <w:tcW w:w="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742,041</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450,921</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1,192,962</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2,202,925</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1,371,619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3,574,544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in the consolidated balance sheet.</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648" w:right="4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217"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Nine Months Ended</w:t>
      </w:r>
    </w:p>
    <w:p>
      <w:pPr>
        <w:jc w:val="center"/>
        <w:ind w:left="6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gridSpan w:val="4"/>
          </w:tcPr>
          <w:p>
            <w:pPr>
              <w:jc w:val="right"/>
              <w:ind w:right="29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$ 23,482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14,342</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8,166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(13,335)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(9,477)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8"/>
              </w:rPr>
              <w:t>Warranty accruals related to acquired businesses and other during the period</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617</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end of the period</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$ 25,106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22,822</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536"/>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8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6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Basic shares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228,041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231,502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5"/>
              </w:rPr>
              <w:t>227,493</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231,227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 plans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w:t>
            </w: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w:t>
            </w: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Diluted shares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229,560</w:t>
            </w:r>
          </w:p>
        </w:tc>
        <w:tc>
          <w:tcPr>
            <w:tcW w:w="3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233,250</w:t>
            </w:r>
          </w:p>
        </w:tc>
        <w:tc>
          <w:tcPr>
            <w:tcW w:w="2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229,191</w:t>
            </w:r>
          </w:p>
        </w:tc>
        <w:tc>
          <w:tcPr>
            <w:tcW w:w="2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233,171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536"/>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621" w:right="4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December 31, 2018:</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40" w:type="dxa"/>
            <w:vAlign w:val="bottom"/>
            <w:gridSpan w:val="4"/>
          </w:tcPr>
          <w:p>
            <w:pPr>
              <w:ind w:left="1560"/>
              <w:spacing w:after="0"/>
              <w:rPr>
                <w:sz w:val="20"/>
                <w:szCs w:val="20"/>
                <w:color w:val="auto"/>
              </w:rPr>
            </w:pPr>
            <w:r>
              <w:rPr>
                <w:rFonts w:ascii="Arial" w:cs="Arial" w:eastAsia="Arial" w:hAnsi="Arial"/>
                <w:sz w:val="14"/>
                <w:szCs w:val="14"/>
                <w:b w:val="1"/>
                <w:bCs w:val="1"/>
                <w:color w:val="auto"/>
              </w:rPr>
              <w:t>September 30, 2019</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December 31, 2018</w:t>
            </w: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Fair Value</w:t>
            </w: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ind w:left="10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Fixed-income investments</w:t>
            </w:r>
          </w:p>
        </w:tc>
        <w:tc>
          <w:tcPr>
            <w:tcW w:w="174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8,108</w:t>
            </w:r>
          </w:p>
        </w:tc>
        <w:tc>
          <w:tcPr>
            <w:tcW w:w="8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The fair value of fixed-income investments, which are valued as level 1 investments, was based on quoted market prices. The fixed-income investments are shown as a component of investments and other assets on the consolidated balance sheet.</w:t>
      </w:r>
    </w:p>
    <w:p>
      <w:pPr>
        <w:spacing w:after="0" w:line="170" w:lineRule="exact"/>
        <w:rPr>
          <w:sz w:val="20"/>
          <w:szCs w:val="20"/>
          <w:color w:val="auto"/>
        </w:rPr>
      </w:pPr>
    </w:p>
    <w:p>
      <w:pPr>
        <w:ind w:right="400" w:firstLine="441"/>
        <w:spacing w:after="0" w:line="308" w:lineRule="auto"/>
        <w:rPr>
          <w:sz w:val="20"/>
          <w:szCs w:val="20"/>
          <w:color w:val="auto"/>
        </w:rPr>
      </w:pPr>
      <w:r>
        <w:rPr>
          <w:rFonts w:ascii="Arial" w:cs="Arial" w:eastAsia="Arial" w:hAnsi="Arial"/>
          <w:sz w:val="17"/>
          <w:szCs w:val="17"/>
          <w:color w:val="auto"/>
        </w:rPr>
        <w:t>For the nine months ended September 30, 2019 and 2018, gains and losses on the investments noted above were not significant. No transfers between level 1 and level 2 investments occurred during the nine months ended September 30, 2019 and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960" w:firstLine="441"/>
        <w:spacing w:after="0" w:line="277" w:lineRule="auto"/>
        <w:rPr>
          <w:sz w:val="20"/>
          <w:szCs w:val="20"/>
          <w:color w:val="auto"/>
        </w:rPr>
      </w:pPr>
      <w:r>
        <w:rPr>
          <w:rFonts w:ascii="Arial" w:cs="Arial" w:eastAsia="Arial" w:hAnsi="Arial"/>
          <w:sz w:val="18"/>
          <w:szCs w:val="18"/>
          <w:color w:val="auto"/>
        </w:rPr>
        <w:t>Cash, cash equivalents and fixed-income investments are recorded at fair value at September 30, 2019 and December 31, 2018 in the accompanying consolidated balance sheet.</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September 30, 2019 and December 31, 2018:</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4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jc w:val="center"/>
              <w:ind w:right="13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1040" w:type="dxa"/>
            <w:vAlign w:val="bottom"/>
          </w:tcPr>
          <w:p>
            <w:pPr>
              <w:jc w:val="center"/>
              <w:ind w:right="90"/>
              <w:spacing w:after="0" w:line="119" w:lineRule="exact"/>
              <w:rPr>
                <w:sz w:val="20"/>
                <w:szCs w:val="20"/>
                <w:color w:val="auto"/>
              </w:rPr>
            </w:pPr>
            <w:r>
              <w:rPr>
                <w:rFonts w:ascii="Arial" w:cs="Arial" w:eastAsia="Arial" w:hAnsi="Arial"/>
                <w:sz w:val="13"/>
                <w:szCs w:val="13"/>
                <w:b w:val="1"/>
                <w:bCs w:val="1"/>
                <w:color w:val="auto"/>
                <w:w w:val="99"/>
              </w:rPr>
              <w:t>Recorded</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center"/>
              <w:ind w:right="130"/>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10"/>
              <w:spacing w:after="0"/>
              <w:rPr>
                <w:sz w:val="20"/>
                <w:szCs w:val="20"/>
                <w:color w:val="auto"/>
              </w:rPr>
            </w:pPr>
            <w:r>
              <w:rPr>
                <w:rFonts w:ascii="Arial" w:cs="Arial" w:eastAsia="Arial" w:hAnsi="Arial"/>
                <w:sz w:val="14"/>
                <w:szCs w:val="14"/>
                <w:b w:val="1"/>
                <w:bCs w:val="1"/>
                <w:color w:val="auto"/>
                <w:w w:val="94"/>
              </w:rPr>
              <w:t>Amount</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4"/>
          </w:tcPr>
          <w:p>
            <w:pPr>
              <w:jc w:val="right"/>
              <w:ind w:right="730"/>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(including current portion)</w:t>
            </w:r>
          </w:p>
        </w:tc>
        <w:tc>
          <w:tcPr>
            <w:tcW w:w="2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(2,432,451)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(2,612,882)</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$(2,378,809)</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$(2,368,676)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At September 30, 2019, the Company had no forward contracts outstanding. For the nine months ended September 30, 2019 and 2018, realized gains and losses on foreign currency forward contracts were not significant. The Company does not typically designate its foreign currency forward contracts as hedges.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648" w:right="4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40" w:hanging="53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Hedging Activities</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The Company has designated certain foreign-currency-denominated long-term borrowings as hedges of the net investment in certain foreign operations. As of September 30, 2019, these net investment hedges included British-pound-and Euro-denominated long-term debt. These borrowings were designed to create net investment hedges in each of the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92"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At September 30, 2019, the Company had $375.2 million of British-pound-denominated loans, which were designated as a hedge against the net investment in British pound functional currency foreign subsidiaries. At September 30, 2019, the Company had $627.1 million in Euro-denominated loans, which were designated as a hedge against the net investment in Euro functional currency foreign subsidiaries. As a result of the British-pound-and Euro-denominated loans designated and 100% effective as net investment hedges, $45.5 million of pre-tax currency remeasurement gains have been included in the foreign currency translation component of other comprehensive income for the nine months ended September 30,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52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 net</w:t>
            </w: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42"/>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20" w:type="dxa"/>
            <w:vAlign w:val="bottom"/>
            <w:gridSpan w:val="4"/>
          </w:tcPr>
          <w:p>
            <w:pPr>
              <w:ind w:left="17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42"/>
        </w:trPr>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and parts</w:t>
            </w:r>
          </w:p>
        </w:tc>
        <w:tc>
          <w:tcPr>
            <w:tcW w:w="1920" w:type="dxa"/>
            <w:vAlign w:val="bottom"/>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89"/>
              </w:rPr>
              <w:t>101,242</w:t>
            </w:r>
          </w:p>
        </w:tc>
        <w:tc>
          <w:tcPr>
            <w:tcW w:w="6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107,289</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Work in process</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w w:val="89"/>
              </w:rPr>
              <w:t>122,532</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117,899</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parts</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89"/>
              </w:rPr>
              <w:t>399,901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399,556</w:t>
            </w:r>
          </w:p>
        </w:tc>
        <w:tc>
          <w:tcPr>
            <w:tcW w:w="80" w:type="dxa"/>
            <w:vAlign w:val="bottom"/>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Total inventories, net</w:t>
            </w:r>
          </w:p>
        </w:tc>
        <w:tc>
          <w:tcPr>
            <w:tcW w:w="17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89"/>
              </w:rPr>
              <w:t>623,675</w:t>
            </w: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624,744</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0" w:hanging="536"/>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193"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Operating leases are included in ROU assets, accrued liabilities and other, and other long-term liabilities on our consolidated balance sheets. Operating lease ROU assets and liabilities are recognized at commencement date based on the present value of lease payments over the lease term. Operating lease payments are recognized as lease expense on a straight-line basis over the lease term. The Company has no material finance leases. The Company primarily leases buildings (real estate) and automobiles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our leases, we use our incremental borrowing rate based on the information available at commencement date in determining the present value of lease payments.</w:t>
      </w:r>
    </w:p>
    <w:p>
      <w:pPr>
        <w:spacing w:after="0" w:line="17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621" w:right="4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been excluded from the lease term (and lease liability) for the majority of the Company’s leases as the reasonably certain threshold is not met. In a small number of the Company’s leases, the options for renewals have been included in the lease term as the reasonably certain threshold is met due to the Company having significant economic incentive for extending the lease.</w:t>
      </w:r>
    </w:p>
    <w:p>
      <w:pPr>
        <w:spacing w:after="0" w:line="181"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124"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income statement in the same line item as expense arising from fixed lease payments.</w:t>
      </w:r>
    </w:p>
    <w:p>
      <w:pPr>
        <w:spacing w:after="0" w:line="181"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The Company has commitments under operating leases for certain facilities, vehicles and equipment used in its operations. Our leases have initial lease terms ranging from one month to 14 years. Certain lease agreements contain provisions for future rent increases.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lease expense were as follows: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8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7"/>
          </w:tcPr>
          <w:p>
            <w:pPr>
              <w:ind w:left="4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30, 2019</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September 30, 2019</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10,500</w:t>
            </w:r>
          </w:p>
        </w:tc>
        <w:tc>
          <w:tcPr>
            <w:tcW w:w="1000" w:type="dxa"/>
            <w:vAlign w:val="bottom"/>
            <w:gridSpan w:val="4"/>
            <w:shd w:val="clear" w:color="auto" w:fill="CCEEFF"/>
          </w:tcPr>
          <w:p>
            <w:pPr>
              <w:ind w:left="88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29,209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Variable lease cost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3,073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32,282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3"/>
            <w:vMerge w:val="restart"/>
          </w:tcPr>
          <w:p>
            <w:pPr>
              <w:spacing w:after="0"/>
              <w:rPr>
                <w:sz w:val="20"/>
                <w:szCs w:val="20"/>
                <w:color w:val="auto"/>
              </w:rPr>
            </w:pPr>
            <w:r>
              <w:rPr>
                <w:rFonts w:ascii="Arial" w:cs="Arial" w:eastAsia="Arial" w:hAnsi="Arial"/>
                <w:sz w:val="18"/>
                <w:szCs w:val="18"/>
                <w:color w:val="auto"/>
                <w:w w:val="95"/>
              </w:rPr>
              <w:t>Supplemental balance sheet information related to leases was as follows:</w:t>
            </w: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8"/>
          </w:tcPr>
          <w:p>
            <w:pPr>
              <w:ind w:left="1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52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net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7"/>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174,438</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6"/>
              </w:rPr>
              <w:t>Lease liabilities included in Accrued liabilities and other</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40,822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included in Other long-term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139,595</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180,417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6"/>
            <w:vMerge w:val="restart"/>
          </w:tcPr>
          <w:p>
            <w:pPr>
              <w:spacing w:after="0"/>
              <w:rPr>
                <w:sz w:val="20"/>
                <w:szCs w:val="20"/>
                <w:color w:val="auto"/>
              </w:rPr>
            </w:pPr>
            <w:r>
              <w:rPr>
                <w:rFonts w:ascii="Arial" w:cs="Arial" w:eastAsia="Arial" w:hAnsi="Arial"/>
                <w:sz w:val="18"/>
                <w:szCs w:val="18"/>
                <w:color w:val="auto"/>
                <w:w w:val="97"/>
              </w:rPr>
              <w:t>Supplemental cash flow information and other information related to leases was as follows:</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gridSpan w:val="6"/>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gridSpan w:val="9"/>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8"/>
          </w:tcPr>
          <w:p>
            <w:pPr>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9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operations for operating leases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32,521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w w:val="92"/>
              </w:rPr>
              <w:t>Right-of-use assets obtained in exchange for new operating liabilities</w:t>
            </w:r>
          </w:p>
        </w:tc>
        <w:tc>
          <w:tcPr>
            <w:tcW w:w="62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12,952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Weighted-average remaining lease terms - operating leases (years)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3.81%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580" w:type="dxa"/>
            <w:vAlign w:val="bottom"/>
            <w:gridSpan w:val="3"/>
          </w:tcPr>
          <w:p>
            <w:pPr>
              <w:jc w:val="right"/>
              <w:ind w:right="3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648" w:right="47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6858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5860" w:type="dxa"/>
            <w:vAlign w:val="bottom"/>
          </w:tcPr>
          <w:p>
            <w:pPr>
              <w:jc w:val="center"/>
              <w:ind w:left="1510"/>
              <w:spacing w:after="0"/>
              <w:rPr>
                <w:sz w:val="20"/>
                <w:szCs w:val="20"/>
                <w:color w:val="auto"/>
              </w:rPr>
            </w:pPr>
            <w:r>
              <w:rPr>
                <w:rFonts w:ascii="Arial" w:cs="Arial" w:eastAsia="Arial" w:hAnsi="Arial"/>
                <w:sz w:val="18"/>
                <w:szCs w:val="18"/>
                <w:b w:val="1"/>
                <w:bCs w:val="1"/>
                <w:color w:val="auto"/>
              </w:rPr>
              <w:t>AMETEK, Inc.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tcPr>
          <w:p>
            <w:pPr>
              <w:jc w:val="center"/>
              <w:ind w:left="151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tcPr>
          <w:p>
            <w:pPr>
              <w:jc w:val="center"/>
              <w:ind w:left="1510"/>
              <w:spacing w:after="0"/>
              <w:rPr>
                <w:sz w:val="20"/>
                <w:szCs w:val="20"/>
                <w:color w:val="auto"/>
              </w:rPr>
            </w:pPr>
            <w:r>
              <w:rPr>
                <w:rFonts w:ascii="Arial" w:cs="Arial" w:eastAsia="Arial" w:hAnsi="Arial"/>
                <w:sz w:val="18"/>
                <w:szCs w:val="18"/>
                <w:b w:val="1"/>
                <w:bCs w:val="1"/>
                <w:color w:val="auto"/>
                <w:w w:val="89"/>
              </w:rPr>
              <w:t>September 30, 2019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60" w:type="dxa"/>
            <w:vAlign w:val="bottom"/>
          </w:tcPr>
          <w:p>
            <w:pPr>
              <w:jc w:val="center"/>
              <w:ind w:left="1510"/>
              <w:spacing w:after="0"/>
              <w:rPr>
                <w:sz w:val="20"/>
                <w:szCs w:val="20"/>
                <w:color w:val="auto"/>
              </w:rPr>
            </w:pPr>
            <w:r>
              <w:rPr>
                <w:rFonts w:ascii="Arial" w:cs="Arial" w:eastAsia="Arial" w:hAnsi="Arial"/>
                <w:sz w:val="18"/>
                <w:szCs w:val="18"/>
                <w:b w:val="1"/>
                <w:bCs w:val="1"/>
                <w:color w:val="auto"/>
                <w:w w:val="93"/>
              </w:rPr>
              <w:t>(Unaudited)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September 30, 2019 were as follows: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0" w:type="dxa"/>
            <w:vAlign w:val="bottom"/>
            <w:gridSpan w:val="2"/>
            <w:vMerge w:val="restart"/>
          </w:tcPr>
          <w:p>
            <w:pPr>
              <w:ind w:left="1340"/>
              <w:spacing w:after="0"/>
              <w:rPr>
                <w:sz w:val="20"/>
                <w:szCs w:val="20"/>
                <w:color w:val="auto"/>
              </w:rPr>
            </w:pPr>
            <w:r>
              <w:rPr>
                <w:rFonts w:ascii="Arial" w:cs="Arial" w:eastAsia="Arial" w:hAnsi="Arial"/>
                <w:sz w:val="14"/>
                <w:szCs w:val="14"/>
                <w:b w:val="1"/>
                <w:bCs w:val="1"/>
                <w:color w:val="auto"/>
              </w:rPr>
              <w:t>Lease Liability Maturity Analysis</w:t>
            </w:r>
          </w:p>
        </w:tc>
        <w:tc>
          <w:tcPr>
            <w:tcW w:w="162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Operating Leases</w:t>
            </w:r>
          </w:p>
        </w:tc>
        <w:tc>
          <w:tcPr>
            <w:tcW w:w="0" w:type="dxa"/>
            <w:vAlign w:val="bottom"/>
          </w:tcPr>
          <w:p>
            <w:pPr>
              <w:spacing w:after="0"/>
              <w:rPr>
                <w:sz w:val="1"/>
                <w:szCs w:val="1"/>
                <w:color w:val="auto"/>
              </w:rPr>
            </w:pPr>
          </w:p>
        </w:tc>
      </w:tr>
      <w:tr>
        <w:trPr>
          <w:trHeight w:val="142"/>
        </w:trPr>
        <w:tc>
          <w:tcPr>
            <w:tcW w:w="72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Remaining 2019</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52,890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22,259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leases that have not yet commenced which are significant.</w:t>
      </w:r>
    </w:p>
    <w:p>
      <w:pPr>
        <w:spacing w:after="0" w:line="329" w:lineRule="exact"/>
        <w:rPr>
          <w:sz w:val="20"/>
          <w:szCs w:val="20"/>
          <w:color w:val="auto"/>
        </w:rPr>
      </w:pPr>
    </w:p>
    <w:p>
      <w:pPr>
        <w:ind w:left="540" w:hanging="536"/>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Company spent $122.1 million in cash, net of cash acquired, to acquire Pacific Design Technologies, Inc. (“PDT”) in September 2019. PDT designs and manufactures a complete range of custom-engineered, liquid cooling systems and components used in a broad set of current and next-generation commercial aerospace, defense and space platforms. PDT was privately held and is headquartered in Goleta, California. PDT is part of EMG.</w:t>
      </w:r>
    </w:p>
    <w:p>
      <w:pPr>
        <w:spacing w:after="0" w:line="14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following table represents the preliminary allocation of the purchase price for the net assets of the PDT acquisition based on the estimated fair values at acquisition (in millions):</w:t>
      </w:r>
    </w:p>
    <w:p>
      <w:pPr>
        <w:spacing w:after="0" w:line="185"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Goodwill</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8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line="216" w:lineRule="exact"/>
              <w:rPr>
                <w:sz w:val="20"/>
                <w:szCs w:val="20"/>
                <w:color w:val="auto"/>
              </w:rPr>
            </w:pPr>
            <w:r>
              <w:rPr>
                <w:rFonts w:ascii="Arial" w:cs="Arial" w:eastAsia="Arial" w:hAnsi="Arial"/>
                <w:sz w:val="17"/>
                <w:szCs w:val="17"/>
                <w:color w:val="auto"/>
              </w:rPr>
              <w:t>Net working capital and other</w:t>
            </w:r>
            <w:r>
              <w:rPr>
                <w:rFonts w:ascii="Arial" w:cs="Arial" w:eastAsia="Arial" w:hAnsi="Arial"/>
                <w:sz w:val="25"/>
                <w:szCs w:val="25"/>
                <w:color w:val="auto"/>
                <w:vertAlign w:val="superscript"/>
              </w:rPr>
              <w:t>(1)</w:t>
            </w:r>
          </w:p>
        </w:tc>
        <w:tc>
          <w:tcPr>
            <w:tcW w:w="2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w:t>
            </w:r>
          </w:p>
        </w:tc>
        <w:tc>
          <w:tcPr>
            <w:tcW w:w="2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122.1</w:t>
            </w:r>
          </w:p>
        </w:tc>
        <w:tc>
          <w:tcPr>
            <w:tcW w:w="80" w:type="dxa"/>
            <w:vAlign w:val="bottom"/>
            <w:shd w:val="clear" w:color="auto" w:fill="CCEEFF"/>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40" w:hanging="436"/>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$7.4 million in accounts receivable, whose fair value, contractual cash flows and expected cash flows are approximately equal.</w:t>
      </w:r>
    </w:p>
    <w:p>
      <w:pPr>
        <w:spacing w:after="0" w:line="237" w:lineRule="exact"/>
        <w:rPr>
          <w:sz w:val="20"/>
          <w:szCs w:val="20"/>
          <w:color w:val="auto"/>
        </w:rPr>
      </w:pPr>
    </w:p>
    <w:p>
      <w:pPr>
        <w:ind w:right="520" w:firstLine="441"/>
        <w:spacing w:after="0" w:line="264" w:lineRule="auto"/>
        <w:rPr>
          <w:sz w:val="20"/>
          <w:szCs w:val="20"/>
          <w:color w:val="auto"/>
        </w:rPr>
      </w:pPr>
      <w:r>
        <w:rPr>
          <w:rFonts w:ascii="Arial" w:cs="Arial" w:eastAsia="Arial" w:hAnsi="Arial"/>
          <w:sz w:val="18"/>
          <w:szCs w:val="18"/>
          <w:color w:val="auto"/>
        </w:rPr>
        <w:t>The amount allocated to goodwill is reflective of the benefits the Company expects to realize from the 2019 acquisition as follows: PDT’s products and solutions enhance the Company’s position and broaden the Company’s differentiated product offerings in the aerospace and defense sectors.</w:t>
      </w:r>
    </w:p>
    <w:p>
      <w:pPr>
        <w:spacing w:after="0" w:line="181"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At September 30, 2019, the purchase price allocated to other intangible assets of $63.7 million consists of $10.0 million of indefinite-lived intangible trade names, which are not subject to amortization. The remaining $53.7 million of other intangible assets consists of $43.7 million of customer relationships, which are being amortized over a period of 18 years, and $10.0 million of purchased technology, which is being amortized over a period of 18 years. Amortization expense for each of the next five years for the 2019 acquisition is expected to approximate $3 million per year.</w:t>
      </w:r>
    </w:p>
    <w:p>
      <w:pPr>
        <w:spacing w:after="0" w:line="154"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Company is in the process of finalizing the measurement of certain tangible and intangible assets and liabilities for its 2019 acquisition including inventory, property, plant and equipment, goodwill, trade names, customer relationships and purchased technology and the accounting for income taxes. The Company finalized the measurement of its goodwill and other intangible assets related to its fourth quarter of 2018 acquisitions, which had no material impact to the consolidated statement of income. The Company is in the process of finalizing the accounting for income taxes for its fourth quarter of 2018 acquisitions of Telular and Spectro Scientific.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648" w:right="4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The 2019 acquisition had an immaterial impact on reported net sales, net income and diluted earnings per share for the three and nine months ended September 30, 2019. Had the acquisition been made at the beginning of 2019 or 2018, unaudited pro forma net sales, net income and diluted earnings per share for the three and nine months ended September 30, 2019 and 2018, respectively, would not have been materially different than the amounts reported.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subsequent to September 30, 2019</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October 2019, the Company acquired Gatan from Roper Technologies, Inc. for approximately $925 million in cash. Gatan has annual sales of approximately $180 million. Gatan is a leading manufacturer of instrumentation and software used to enhance and extend the operation and performance of electron microscopes. Gatan will join EIG.</w:t>
      </w:r>
    </w:p>
    <w:p>
      <w:pPr>
        <w:spacing w:after="0" w:line="285" w:lineRule="exact"/>
        <w:rPr>
          <w:sz w:val="20"/>
          <w:szCs w:val="20"/>
          <w:color w:val="auto"/>
        </w:rPr>
      </w:pPr>
    </w:p>
    <w:p>
      <w:pPr>
        <w:ind w:left="440" w:hanging="436"/>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amounts of goodwill by segment were as follows:</w:t>
      </w:r>
    </w:p>
    <w:p>
      <w:pPr>
        <w:spacing w:after="0" w:line="217"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EIG</w:t>
            </w:r>
          </w:p>
        </w:tc>
        <w:tc>
          <w:tcPr>
            <w:tcW w:w="22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EMG</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42"/>
        </w:trPr>
        <w:tc>
          <w:tcPr>
            <w:tcW w:w="64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$2,452.0</w:t>
            </w: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$1,160.0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$3,612.0</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47.0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47.0</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34.9</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34.6</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(11.5)</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(13.7)</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(25.2)</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2,475.4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1,193.0</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3,668.4</w:t>
            </w:r>
          </w:p>
        </w:tc>
        <w:tc>
          <w:tcPr>
            <w:tcW w:w="80" w:type="dxa"/>
            <w:vAlign w:val="bottom"/>
            <w:tcBorders>
              <w:top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 w:hanging="436"/>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At September 30, 2019, the Company had gross unrecognized tax benefits of $104.8 million, of which $63.1 million, if recognized, would impact the effective tax rate.</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The following is a reconciliation of the liability for uncertain tax positions (in millions):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Additions for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Balance at September 30, 2019</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41"/>
        <w:spacing w:after="0" w:line="342" w:lineRule="auto"/>
        <w:rPr>
          <w:sz w:val="20"/>
          <w:szCs w:val="20"/>
          <w:color w:val="auto"/>
        </w:rPr>
      </w:pPr>
      <w:r>
        <w:rPr>
          <w:rFonts w:ascii="Arial" w:cs="Arial" w:eastAsia="Arial" w:hAnsi="Arial"/>
          <w:sz w:val="16"/>
          <w:szCs w:val="16"/>
          <w:color w:val="auto"/>
        </w:rPr>
        <w:t>The Company recognizes interest and penalties accrued related to uncertain tax positions in income tax expense. The amounts recognized in income tax expense for interest and penalties during the three and nine months ended September 30, 2019 and 2018 were not significant.</w:t>
      </w:r>
    </w:p>
    <w:p>
      <w:pPr>
        <w:spacing w:after="0" w:line="124"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The effective tax rate for the three months ended September 30, 2019 was 19.5%, compared with 21.9% for the three months ended September 30, 2018. The effective tax rate for the nine months ended September 30, 2019 was 20.1%, compared with 22.3% for the nine months ended September 30, 2018. Both comparative quarters effective tax rates include the impact of the 2017 U.S. Tax Cuts and Jobs Act (the “Act”) including the reduction of the U.S. corporate income tax rate and the current impact of the global intangible low-taxed income (“GILTI”) and the foreign-derived intangible income (“FDII”) provisions. The lower rates for 2019 reflects higher year over year tax benefits related to share-based payment transactions as well as the release of uncertain tax position liabilities primarily relating to statute expirations for U.S. Federal and State jurisdictions totaling $21.9 million.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648" w:right="4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40" w:hanging="436"/>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December 2018, the Company completed a private placement agreement to sell $575 million and 75 million Euros in senior notes to a group of institutional investors (the “2018 Private Placement”). There were two funding dates under the 2018 Private Placement. The first funding occurred in December 2018 for $475 million and 75 million Euros ($85.1 million). The second funding occurred in January 2019 for $100 million. The 2018 Private Placement senior notes carry a weighted average interest rate of 3.93% and are subject to certain customary covenants, including financial covenants that, among other things, require the Company to maintain certain debt-to-EBITDA (earnings before interest, income taxes, depreciation and amortization) and interest coverage ratios. The proceeds from the 2018 Private Placement were used to pay down domestic borrowings under the Company’s revolving credit facility.</w:t>
      </w:r>
    </w:p>
    <w:p>
      <w:pPr>
        <w:spacing w:after="0" w:line="293" w:lineRule="exact"/>
        <w:rPr>
          <w:sz w:val="20"/>
          <w:szCs w:val="20"/>
          <w:color w:val="auto"/>
        </w:rPr>
      </w:pPr>
    </w:p>
    <w:p>
      <w:pPr>
        <w:ind w:left="440" w:hanging="436"/>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Under the terms of the Company’s stockholder-approved share-based plans, performance restricted stock units (“PRSUs”), incentive and non-qualified stock options and restricted stock have been, and may be, issued to the Company’s officers, management-level employees and members of its Board of Directors. Stock options granted prior to 2018 generally vest at a rate of one-fourth on each of the first four anniversaries of the grant date and have a maximum contractual term of seven years. Beginning in 2018, stock options granted generally vest at a rate of one-third on each of the first three anniversaries of the grant date and have a maximum contractual term of ten years. Restricted stock granted to employees prior to 2018 generally vests four years after the grant date (cliff vesting) and is subject to accelerated vesting due to certain events, including doubling of the grant price of the Company’s common stock as of the close of business during any five consecutive trading days. Beginning in 2018, restricted stock granted to employees generally vests one-third on each of the first three anniversaries of the grant date. Restricted stock granted to non-employee directors generally vests two years after the grant date (cliff vesting) and is subject to accelerated vesting due to certain events, including doubling of the grant price of the Company’s common stock as of the close of business during any five consecutive trading days.</w:t>
      </w:r>
    </w:p>
    <w:p>
      <w:pPr>
        <w:spacing w:after="0" w:line="16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March 2019, the Company granted PRSUs to officers and certain key management-level employees an aggregate target award of approximately 102,000 shares of its common stock.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2019 through December 31, 2021.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 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621" w:right="43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share-based compensation expense was as follows: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9,594</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Restricted stock expense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3,995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3,738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11,112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PRSU expense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8,298</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pre-tax expense</w:t>
            </w:r>
          </w:p>
        </w:tc>
        <w:tc>
          <w:tcPr>
            <w:tcW w:w="2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13,558</w:t>
            </w:r>
          </w:p>
        </w:tc>
        <w:tc>
          <w:tcPr>
            <w:tcW w:w="3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$ 7,145</w:t>
            </w:r>
          </w:p>
        </w:tc>
        <w:tc>
          <w:tcPr>
            <w:tcW w:w="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29,004</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20,100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70"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16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16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September 30, 2019</w:t>
            </w:r>
          </w:p>
        </w:tc>
        <w:tc>
          <w:tcPr>
            <w:tcW w:w="440" w:type="dxa"/>
            <w:vAlign w:val="bottom"/>
          </w:tcPr>
          <w:p>
            <w:pPr>
              <w:spacing w:after="0"/>
              <w:rPr>
                <w:sz w:val="14"/>
                <w:szCs w:val="14"/>
                <w:color w:val="auto"/>
              </w:rPr>
            </w:pPr>
          </w:p>
        </w:tc>
        <w:tc>
          <w:tcPr>
            <w:tcW w:w="160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Expected term (years)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 fair value per stock option granted</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Expected volatility is based on the historical volatility of the Company’s stock over the stock options’ expected term. The Company used historical exercise data to estimate the stock options’ expected term, which represents the period of time that the stock options granted are expected to be outstanding. Management anticipates that the future stock option holding periods will be similar to the historical stock option holding periods. The risk-free interest rate for periods within the expected term of the stock option is based on the U.S. Treasury yield curve at the time of grant. The expected dividend yield is calculated by dividing the Company’s annual dividend, based on the most recent quarterly dividend rate, by the Company’s closing common stock price on the grant date. Compensation expense recognized for all share-based awards is net of estimated forfeitures. The Company’s estimated forfeiture rates are based on its historical experience.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560" w:type="dxa"/>
            <w:vAlign w:val="bottom"/>
          </w:tcPr>
          <w:p>
            <w:pPr>
              <w:spacing w:after="0"/>
              <w:rPr>
                <w:sz w:val="14"/>
                <w:szCs w:val="14"/>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826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85.43</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42.95</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6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66.81</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2019</w:t>
            </w:r>
          </w:p>
        </w:tc>
        <w:tc>
          <w:tcPr>
            <w:tcW w:w="1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4,878</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61.35</w:t>
            </w:r>
          </w:p>
        </w:tc>
        <w:tc>
          <w:tcPr>
            <w:tcW w:w="1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2019</w:t>
            </w:r>
          </w:p>
        </w:tc>
        <w:tc>
          <w:tcPr>
            <w:tcW w:w="1420" w:type="dxa"/>
            <w:vAlign w:val="bottom"/>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2,781</w:t>
            </w:r>
          </w:p>
        </w:tc>
        <w:tc>
          <w:tcPr>
            <w:tcW w:w="3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53.75</w:t>
            </w:r>
          </w:p>
        </w:tc>
        <w:tc>
          <w:tcPr>
            <w:tcW w:w="56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3.4</w:t>
            </w:r>
          </w:p>
        </w:tc>
        <w:tc>
          <w:tcPr>
            <w:tcW w:w="5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aggregate intrinsic value of stock options exercised during the nine months ended September 30, 2019 was $59.7 million. The total fair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stock options vested during the nine months ended September 30, 2019 was $11.7 million. As of September 30, 2019, there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$22.3 million of expected future pre-tax compensation expense related to the 2.1 million nonvested stock options outstanding, which is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over a weighted average period of approximately two years.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648" w:right="519" w:bottom="1440" w:gutter="0" w:footer="0" w:header="0"/>
        </w:sectPr>
      </w:pPr>
    </w:p>
    <w:bookmarkStart w:id="20" w:name="page21"/>
    <w:bookmarkEnd w:id="2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The fair value of restricted shares under the Company’s restricted stock arrangement is determined by the product of the number of shares granted and the Company’s closing common stock price on the grant date. Upon the grant of restricted stock, the fair value of the restricted shares (unearned compensation) at the grant date is charged as a reduction of capital in excess of par value in the Company’s consolidated balance sheet and is amortized to expense on a straight-line basis over the vesting period, which is the same as the calculated derived service period as determined on the grant date.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20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Nonvested restricted stock outstanding at December 31, 2018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85.28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20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outstanding at September 30, 2019</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734</w:t>
            </w: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The total fair value of restricted stock vested during the nine months ended September 30, 2019 was $16.5 million. As of September 30, 2019, there was approximately $29.4 million of expected future pre-tax compensation expense related to the 0.7 million nonvested restricted shares outstanding, which is expected to be recognized over a weighted average period of approximately two years.</w:t>
      </w:r>
    </w:p>
    <w:p>
      <w:pPr>
        <w:spacing w:after="0" w:line="270" w:lineRule="exact"/>
        <w:rPr>
          <w:sz w:val="20"/>
          <w:szCs w:val="20"/>
          <w:color w:val="auto"/>
        </w:rPr>
      </w:pPr>
    </w:p>
    <w:p>
      <w:pPr>
        <w:ind w:left="440" w:hanging="436"/>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and Pension Plans</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net periodic pension benefit expense (income) were as follows: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right"/>
              <w:ind w:right="6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Defined benefit plans: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Service cost</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1,678</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5,093</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19,214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(13,061)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(14,734)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2"/>
              </w:rPr>
              <w:t>(39,272)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(44,581)</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 and other</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Pension expense (income)</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(3,705)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(2,162)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(11,138)</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plans: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Defined contribution plans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7,614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24,876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22,220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plans and other</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plans</w:t>
            </w: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11,430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31,797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26,908</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pension expense</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10,626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15,770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periodic benefit cost, other than the service cost component, is included in “Other expense, net” in the consolidated statement of income.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nine months ended September 30, 2019 and 2018, contributions to the Company’s defined benefit pension plans were $2.5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 million, respectively. The Company’s current estimate of 2019 contributions to its worldwide defined benefit pension plans is in line with the range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disclosed in the Company’s Annual Report on Form 10-K for the year ended December 31, 2018.</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621" w:right="4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40" w:hanging="436"/>
        <w:spacing w:after="0"/>
        <w:tabs>
          <w:tab w:leader="none" w:pos="4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September 30, 2019,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3" w:lineRule="exact"/>
        <w:rPr>
          <w:sz w:val="20"/>
          <w:szCs w:val="20"/>
          <w:color w:val="auto"/>
        </w:rPr>
      </w:pPr>
    </w:p>
    <w:p>
      <w:pPr>
        <w:ind w:right="120" w:firstLine="441"/>
        <w:spacing w:after="0" w:line="270" w:lineRule="auto"/>
        <w:rPr>
          <w:sz w:val="20"/>
          <w:szCs w:val="20"/>
          <w:color w:val="auto"/>
        </w:rPr>
      </w:pPr>
      <w:r>
        <w:rPr>
          <w:rFonts w:ascii="Arial" w:cs="Arial" w:eastAsia="Arial" w:hAnsi="Arial"/>
          <w:sz w:val="17"/>
          <w:szCs w:val="17"/>
          <w:color w:val="auto"/>
        </w:rPr>
        <w:t>Total environmental reserves at September 30, 2019 and December 31, 2018 were $28.5 million and $27.8 million, respectively, for both non-owned and owned sites. For the nine months ended September 30, 2019, the Company recorded $5.3 million in reserves. Additionally, the Company spent $4.3 million on environmental matters and the reserve decreased $0.3 million due to foreign currency translation for the nine months ended September 30, 2019. The Company’s reserves for environmental liabilities at September 30, 2019 and December 31, 2018 included reserves of $9.1 million and $9.6 million, respectively, for an owned site acquired in connection with the 2005 acquisition of HCC Industries (“HCC”). The Company is the designated performing party for the performance of remedial activities for one of several operating units making up a Superfund site in the San Gabriel Valley of California. The Company has obtained indemnifications and other financial assurances from the former owners of HCC related to the costs of the required remedial activities. At September 30, 2019, the Company had $12.4 million in receivables related to HCC for probable recoveries from third-party escrow funds and other committed third-party funds to support the required remediation. Also, the Company is indemnified by HCC’s former owners for approximately $19 million of additional costs.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648" w:right="439" w:bottom="1440" w:gutter="0" w:footer="0" w:header="0"/>
        </w:sectPr>
      </w:pPr>
    </w:p>
    <w:bookmarkStart w:id="22" w:name="page23"/>
    <w:bookmarkEnd w:id="2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AMETEK,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To date, these parties have met their obligations in all material respects.</w:t>
      </w:r>
    </w:p>
    <w:p>
      <w:pPr>
        <w:spacing w:after="0" w:line="171"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The Company believes it has established reserves for the environmental matters described above, which are sufficient to perform all known responsibilities under existing claims and consent orders. The Company has no reason to believe that other third parties would fail to perform their obligations in the future.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73"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The Company has been remediating groundwater contamination for several contaminants, including trichloroethylene (“TCE”), at a formerly owned site in El Cajon, California. Several lawsuits have been filed against the Company alleging damages resulting from the groundwater contamination, including property damages and personal injury, and seeking compensatory and punitive damages. The Company believes that it has good and valid defenses to each of these claims and intends to defend them vigorously. The Company believes it has established reserves for these lawsuits that are sufficient to satisfy its expected exposure. The Company does not expect the outcome of these matters, either individually or in the aggregate, to materially affect the consolidated results of operations, financial position or cash flows of the Company.</w:t>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80"/>
          </w:cols>
          <w:pgMar w:left="440" w:top="621" w:right="6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68580"/>
                    </a:xfrm>
                    <a:prstGeom prst="rect">
                      <a:avLst/>
                    </a:prstGeom>
                    <a:noFill/>
                  </pic:spPr>
                </pic:pic>
              </a:graphicData>
            </a:graphic>
          </wp:anchor>
        </w:drawing>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and income by reportable segment and on a consolidated basis: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tcPr>
          <w:p>
            <w:pPr>
              <w:jc w:val="right"/>
              <w:ind w:right="9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Electronic Instruments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815,552</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742,041</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7"/>
              </w:rPr>
              <w:t>2,442,710</w:t>
            </w:r>
          </w:p>
        </w:tc>
        <w:tc>
          <w:tcPr>
            <w:tcW w:w="3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2,202,925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Electromechanical</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461,081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450,921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1,411,026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1,371,619</w:t>
            </w:r>
          </w:p>
        </w:tc>
        <w:tc>
          <w:tcPr>
            <w:tcW w:w="80" w:type="dxa"/>
            <w:vAlign w:val="bottom"/>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net sales</w:t>
            </w: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1,276,633</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1,192,962</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3,853,736</w:t>
            </w:r>
          </w:p>
        </w:tc>
        <w:tc>
          <w:tcPr>
            <w:tcW w:w="3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3,574,544</w:t>
            </w:r>
          </w:p>
        </w:tc>
        <w:tc>
          <w:tcPr>
            <w:tcW w:w="8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7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Operating income and income before income taxes: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Electronic Instruments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219,451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190,313</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635,448</w:t>
            </w:r>
          </w:p>
        </w:tc>
        <w:tc>
          <w:tcPr>
            <w:tcW w:w="3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567,503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Electromechanical</w:t>
            </w:r>
          </w:p>
        </w:tc>
        <w:tc>
          <w:tcPr>
            <w:tcW w:w="8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103,451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303,329</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277,919</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segment operating income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322,902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938,777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Arial" w:cs="Arial" w:eastAsia="Arial" w:hAnsi="Arial"/>
                <w:sz w:val="18"/>
                <w:szCs w:val="18"/>
                <w:color w:val="auto"/>
              </w:rPr>
              <w:t>Corporate administrative expenses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(21,846)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(17,714)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(59,052)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(51,902)</w:t>
            </w: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Consolidated operating income</w:t>
            </w:r>
          </w:p>
        </w:tc>
        <w:tc>
          <w:tcPr>
            <w:tcW w:w="8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301,056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265,266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879,725</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793,520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(19,391)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(65,436)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(61,861)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(12,521)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(2,684)</w:t>
            </w: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Consolidated income before income taxes</w:t>
            </w:r>
          </w:p>
        </w:tc>
        <w:tc>
          <w:tcPr>
            <w:tcW w:w="8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274,231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801,768</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728,975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For the quarter ended September 30, 2019, the Company posted record operating income and operating cash flow, as well as strong sales, backlog, operating income margins, net income, and diluted earnings per share. The Company achieved these results from organic sales growth in both EIG and EMG, contributions from the 2019 acquisition of Pacific Design Technologies, Inc. (“PDT”) in September 2019, the 2018 acquisitions of Spectro Scientific Corporation in November 2018, Forza Silicon Corporation (“Forza”) and Telular Corporation in October 2018, as well as our Operational Excellence initiatives.</w:t>
      </w:r>
    </w:p>
    <w:p>
      <w:pPr>
        <w:spacing w:after="0" w:line="188"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For 2019, the Company’s strong backlog, the full year impact of the 2018 and 2019 acquisitions and continued focus on and implementation of Operational Excellence initiatives are expected to have a positive impact on the remainder of the Company’s 2019 results.</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Results of operations for the third quarter of 2019 compared with the third quarter of 2018</w:t>
      </w:r>
    </w:p>
    <w:p>
      <w:pPr>
        <w:spacing w:after="0" w:line="11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Net sales for the third quarter of 2019 were $1,276.6 million, an increase of $83.6 million or 7.0%, compared with net sales of $1,193.0 million for the third quarter of 2018. The increase in net sales for the third quarter of 2019 was due to 3% organic sales growth and a 5% increase from acquisitions, partially offset by an unfavorable 1% effect of foreign currency translation.</w:t>
      </w:r>
    </w:p>
    <w:p>
      <w:pPr>
        <w:spacing w:after="0" w:line="181"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Total international sales for the third quarter of 2019 were $602.7 million or 47.2% of net sales, an increase of $5.9 million or 1.0%, compared with international sales of $596.8 million or 50.0% of net sales for the third quarter of 2018. The $5.9 million increase in international sales was primarily driven from recent acquisitions. Both reportable segments of the Company maintain strong international sales presences in Europe and Asia.</w:t>
      </w:r>
    </w:p>
    <w:p>
      <w:pPr>
        <w:spacing w:after="0" w:line="147" w:lineRule="exact"/>
        <w:rPr>
          <w:sz w:val="20"/>
          <w:szCs w:val="20"/>
          <w:color w:val="auto"/>
        </w:rPr>
      </w:pPr>
    </w:p>
    <w:p>
      <w:pPr>
        <w:jc w:val="both"/>
        <w:ind w:right="320" w:firstLine="441"/>
        <w:spacing w:after="0" w:line="264" w:lineRule="auto"/>
        <w:rPr>
          <w:sz w:val="20"/>
          <w:szCs w:val="20"/>
          <w:color w:val="auto"/>
        </w:rPr>
      </w:pPr>
      <w:r>
        <w:rPr>
          <w:rFonts w:ascii="Arial" w:cs="Arial" w:eastAsia="Arial" w:hAnsi="Arial"/>
          <w:sz w:val="18"/>
          <w:szCs w:val="18"/>
          <w:color w:val="auto"/>
        </w:rPr>
        <w:t>Orders for the third quarter of 2019 were $1,227.7 million, an increase of $35.7 million or 3.0%, compared with $1,192.0 million for the third quarter of 2018. The increase in orders for the third quarter of 2019 was due to an 8% increase from acquisitions partially offset by a 3% decrease in organic growth and an unfavorable 2% effect of foreign currency translation.</w:t>
      </w:r>
    </w:p>
    <w:p>
      <w:pPr>
        <w:spacing w:after="0" w:line="18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Segment operating income for the third quarter of 2019 was $322.9 million, an increase of $39.9 million or 14.1%, compared with segment operating income of $283.0 million for the third quarter of 2018. Segment operating income, as a percentage of net sales, increased to 25.3% for the third quarter of 2019, compared with 23.7% for the third quarter of 2018.</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621" w:right="45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68580"/>
                    </a:xfrm>
                    <a:prstGeom prst="rect">
                      <a:avLst/>
                    </a:prstGeom>
                    <a:noFill/>
                  </pic:spPr>
                </pic:pic>
              </a:graphicData>
            </a:graphic>
          </wp:anchor>
        </w:drawing>
        <w:t>The increase in segment operating income and segment operating margins for the third quarter of 2019 resulted primarily from the increase in net sales noted above, as well as the benefits of the Company’s Operational Excellence initiatives.</w:t>
      </w:r>
    </w:p>
    <w:p>
      <w:pPr>
        <w:spacing w:after="0" w:line="170"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Cost of sales for the third quarter of 2019 was $823.3 million or 64.5% of net sales, an increase of $40.3 million or 5.1%, compared with $783.0 million or 65.6% of net sales for the third quarter of 2018.</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Selling, general and administrative expenses for the third quarter of 2019 were $152.3 million or 11.9% of net sales, an increase of $7.6 million or 5.3%, compared with $144.7 million or 12.1% of net sales for the third quarter of 2018. Selling, general and administrative expenses increased primarily due to the increase in net sales noted above.</w:t>
      </w:r>
    </w:p>
    <w:p>
      <w:pPr>
        <w:spacing w:after="0" w:line="18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Consolidated operating income was a record $301.1 million or 23.6% of net sales for the third quarter of 2019, an increase of $35.8 million or 13.5%, compared with $265.3 million or 22.2% of net sales for the third quarter of 2018.</w:t>
      </w:r>
    </w:p>
    <w:p>
      <w:pPr>
        <w:spacing w:after="0" w:line="17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Interest expense was $21.3 million for the third quarter of 2019, an increase of $1.9 million or 9.9%, compared with $19.4 million for the third quarter of 2018. The change in interest expense is largely driven by the 2018 private placement senior notes issued in December 2018 ($475 million and 75 million Euros) and January 2019 ($100 million), partially offset by a decrease related to the repayment in full, at maturity, of $80 million in aggregate principal amount of 6.35% private placement senior notes and $160 million in aggregate principal amount of 7.08% private placement senior notes in the third quarter of 2018, and $65 million in aggregate principal amount of 7.18% private placement senior notes in the fourth quarter of 2018.</w:t>
      </w:r>
    </w:p>
    <w:p>
      <w:pPr>
        <w:spacing w:after="0" w:line="158"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Other expense, net was $5.5 million for the third quarter of 2019, an increase of $4.6 million, compared with $0.9 million for the third quarter of 2018. The Other expense, net increase for 2019 was primarily due to lower defined benefit pension income, compared to the same period in 2018.</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effective tax rate for the third quarter of 2019 was 19.5%, compared with 21.9% for the third quarter of 2018. The 2019 and 2018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rates reflect the release of uncertain tax position liabilities primarily relating to statute expirations for U.S. Federal and State jurisdictions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$21.9 million and $11.4 million, respectively. See Note 11 to the Consolidated Financial Statements included in Part I, Item 1 of this Quarterly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Form 10-Q.</w:t>
      </w:r>
    </w:p>
    <w:p>
      <w:pPr>
        <w:spacing w:after="0" w:line="21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Net income for the third quarter of 2019 was $220.7 million, an increase of $29.5 million or 15.4%, compared with $191.2 million for the third quarter of 2018.</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Diluted earnings per share for the third quarter of 2019 were $0.96, an increase of $0.14 or 17.1%, compared with $0.82 per diluted share for the third quarter of 2018.</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3"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EIG’s </w:t>
      </w:r>
      <w:r>
        <w:rPr>
          <w:rFonts w:ascii="Arial" w:cs="Arial" w:eastAsia="Arial" w:hAnsi="Arial"/>
          <w:sz w:val="18"/>
          <w:szCs w:val="18"/>
          <w:color w:val="auto"/>
        </w:rPr>
        <w:t>net sales totaled $815.6 million for the third quarter of 2019, an increase of $73.5 million or 9.9%, compared with $742.0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2018. The net sales increase was due to a 7% increase from acquisitions and 3% organic sales growth, partially offset by an unfavorable 1% effect of foreign currency translation.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EIG’s operating income was a record $219.5 million for the third quarter of 2019, an increase of $29.1 million or 15.3%, compared with</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$190.3 million for the third quarter of 2018. EIG’s operating margins were 26.9% of net sales for the third quarter of 2019, compared with 25.6% for the third quarter of 2018. The increase in EIG’s operating income and operating margins for the third quarter of 2019 were primarily due to the increase in net sales noted above, as well as the benefits of the Group’s Operational Excellence initiatives.</w:t>
      </w:r>
    </w:p>
    <w:p>
      <w:pPr>
        <w:spacing w:after="0" w:line="186"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$461.1 million for the third quarter of 2019, an increase of $10.2 million or 2.3%, compared with $450.9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2018. The net sales increase was due to 3% organic sales growth, partially offset by an unfavorable 1% effect of foreign currency translation.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EMG’s operating income was a record at $103.5 million for the third quarter of 2019, an increase of $10.8 million or 11.6%,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$92.7 million for the third quarter of 2018. EMG’s operating margins were 22.4% of net sales for the third quarter of 2019, compared with 20.6%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third quarter of 2018. The increase in EMG’s operating income and operating margins for the first quarter of 2019 were primarily due to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sales noted above, as well as the benefits of the Group’s Operational Excellence initiatives.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625"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68580"/>
                    </a:xfrm>
                    <a:prstGeom prst="rect">
                      <a:avLst/>
                    </a:prstGeom>
                    <a:noFill/>
                  </pic:spPr>
                </pic:pic>
              </a:graphicData>
            </a:graphic>
          </wp:anchor>
        </w:drawing>
        <w:t>Results of operations for the first nine months of 2019 compared with the first nine months of 2018</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for the first nine months of 2019 were $3,853.7 million, an increase of $279.2 million or 7.8%, compared with net sales of</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$3,574.5 million for the first nine months of 2018. The increase in net sales for the first nine months of 2019 was due to 4% organic sales growth, a 5% increase from acquisitions and an unfavorable 1% effect of foreign currency translation.</w:t>
      </w:r>
    </w:p>
    <w:p>
      <w:pPr>
        <w:spacing w:after="0" w:line="184" w:lineRule="exact"/>
        <w:rPr>
          <w:sz w:val="20"/>
          <w:szCs w:val="20"/>
          <w:color w:val="auto"/>
        </w:rPr>
      </w:pPr>
    </w:p>
    <w:p>
      <w:pPr>
        <w:ind w:right="340" w:firstLine="441"/>
        <w:spacing w:after="0" w:line="312" w:lineRule="auto"/>
        <w:rPr>
          <w:sz w:val="20"/>
          <w:szCs w:val="20"/>
          <w:color w:val="auto"/>
        </w:rPr>
      </w:pPr>
      <w:r>
        <w:rPr>
          <w:rFonts w:ascii="Arial" w:cs="Arial" w:eastAsia="Arial" w:hAnsi="Arial"/>
          <w:sz w:val="16"/>
          <w:szCs w:val="16"/>
          <w:color w:val="auto"/>
        </w:rPr>
        <w:t>Total international sales for the first nine months of 2019 were $1,839.2 million or 47.7% of net sales, an increase of $20.2 million or 1.1%, compared with international sales of $1,818.9 million or 50.9% of net sales for the first nine months of 2018. The increase in international sales was primarily driven by recent acquisitions. Both reportable segments of the Company maintain strong international sales presences in Europe and Asia.</w:t>
      </w:r>
    </w:p>
    <w:p>
      <w:pPr>
        <w:spacing w:after="0" w:line="14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Orders for the first nine months of 2019 were $3,884.0 million, an increase of $116.3 million or 3.1%, compared with $3,767.7 million for the first nine months of 2018. The increase in orders for the first nine months of 2019 was due to a 4% increase from acquisitions, partially offset by an unfavorable 1% effect of foreign currency translation. As a result, the Company’s backlog of unfilled orders at September 30, 2019 was $1,632.3 million, an increase of $30.2 million or 1.9%, compared with $1,602.1 million at December 31, 2018.</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Segment operating income for the first nine months of 2019 was $938.8 million, an increase of $93.4 million or 11.0%, compared with segment operating income of $845.4 million for the first nine months of 2018. Segment operating income, as a percentage of net sales, increased to 24.4% for the first nine months of 2019, compared with 23.7% for the first nine months of 2018. The increase in segment operating income and segment operating margins for the first nine months of 2019 resulted primarily from the increase in net sales noted above, as well as the benefits of the Company’s Operational Excellence initiatives.</w:t>
      </w:r>
    </w:p>
    <w:p>
      <w:pPr>
        <w:spacing w:after="0" w:line="188" w:lineRule="exact"/>
        <w:rPr>
          <w:sz w:val="20"/>
          <w:szCs w:val="20"/>
          <w:color w:val="auto"/>
        </w:rPr>
      </w:pPr>
    </w:p>
    <w:p>
      <w:pPr>
        <w:jc w:val="both"/>
        <w:ind w:right="180" w:firstLine="441"/>
        <w:spacing w:after="0" w:line="342" w:lineRule="auto"/>
        <w:rPr>
          <w:sz w:val="20"/>
          <w:szCs w:val="20"/>
          <w:color w:val="auto"/>
        </w:rPr>
      </w:pPr>
      <w:r>
        <w:rPr>
          <w:rFonts w:ascii="Arial" w:cs="Arial" w:eastAsia="Arial" w:hAnsi="Arial"/>
          <w:sz w:val="16"/>
          <w:szCs w:val="16"/>
          <w:color w:val="auto"/>
        </w:rPr>
        <w:t>Cost of sales for the first nine months of 2019 was $2,512.7 million or 65.2% of net sales, an increase of $161.7 million or 6.9%, compared with $2,351.0 million or 65.8% of net sales for the first nine months of 2018. Cost of sales increased primarily due to the increase in net sales noted above.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Selling, general and administrative expenses for the first nine months of 2019 were $461.3 million or 12.0% of net sales, an increase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$31.3 million or 7.3%, compared with $430.0 million or 12.0% of net sales for the first nine months of 2018. Selling, general and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primarily due to the increase in net sales noted above.</w:t>
      </w:r>
    </w:p>
    <w:p>
      <w:pPr>
        <w:spacing w:after="0" w:line="21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Consolidated operating income was $879.7 million or 22.8% of net sales for the first nine months of 2019, an increase of $86.2 million or 10.9%, compared with $793.5 million or 22.2% of net sales for the first nine months of 2018.</w:t>
      </w:r>
    </w:p>
    <w:p>
      <w:pPr>
        <w:spacing w:after="0" w:line="170" w:lineRule="exact"/>
        <w:rPr>
          <w:sz w:val="20"/>
          <w:szCs w:val="20"/>
          <w:color w:val="auto"/>
        </w:rPr>
      </w:pPr>
    </w:p>
    <w:p>
      <w:pPr>
        <w:ind w:right="20" w:firstLine="441"/>
        <w:spacing w:after="0" w:line="274" w:lineRule="auto"/>
        <w:rPr>
          <w:sz w:val="20"/>
          <w:szCs w:val="20"/>
          <w:color w:val="auto"/>
        </w:rPr>
      </w:pPr>
      <w:r>
        <w:rPr>
          <w:rFonts w:ascii="Arial" w:cs="Arial" w:eastAsia="Arial" w:hAnsi="Arial"/>
          <w:sz w:val="17"/>
          <w:szCs w:val="17"/>
          <w:color w:val="auto"/>
        </w:rPr>
        <w:t>Interest expense was $65.4 million for the first nine months of 2019, an increase of $3.6 million or 5.8%, compared with $61.9 million for the first nine months of 2018. The change in interest expense is largely driven by the 2018 private placement senior notes issued in December 2018</w:t>
      </w:r>
    </w:p>
    <w:p>
      <w:pPr>
        <w:ind w:right="60"/>
        <w:spacing w:after="0" w:line="254" w:lineRule="auto"/>
        <w:rPr>
          <w:sz w:val="20"/>
          <w:szCs w:val="20"/>
          <w:color w:val="auto"/>
        </w:rPr>
      </w:pPr>
      <w:r>
        <w:rPr>
          <w:rFonts w:ascii="Arial" w:cs="Arial" w:eastAsia="Arial" w:hAnsi="Arial"/>
          <w:sz w:val="18"/>
          <w:szCs w:val="18"/>
          <w:color w:val="auto"/>
        </w:rPr>
        <w:t>($475 million and 75 million Euros) and January 2019 ($100 million), partially offset by a decrease related to the repayment in full, at maturity, of $80 million in aggregate principal amount of 6.35% private placement senior notes and $160 million in aggregate principal amount of 7.08% private placement senior notes in the third quarter of 2018, and $65 million in aggregate principal amount of 7.18% private placement senior notes in the fourth quarter of 2018.</w:t>
      </w:r>
    </w:p>
    <w:p>
      <w:pPr>
        <w:spacing w:after="0" w:line="190"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Other expense, net was $12.5 million for the first nine months of 2019, an increase of $9.8 million compared with $2.7 million for the first nine months of 2018. The Other expense, net increase for 2019 was primarily due to lower defined benefit pension income, compared to the same period in 2018.</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effective tax rate for the first nine months of 2019 was 20.1%, compared with 22.3% for the first nine months of 2018. The lower rate for</w:t>
      </w:r>
    </w:p>
    <w:p>
      <w:pPr>
        <w:spacing w:after="0" w:line="35"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2019 mainly reflects higher year over year tax benefits related to share-based payment transactions as well as lower tax cost on foreign source income. The third quarter of 2019 and 2018 effective tax rates also reflect the release of uncertain tax position liabilities primarily relating to statute expirations for U.S. Federal and State jurisdictions totaling $21.9 and $11.4 million, respectively. See Note 11 to the Consolidated Financial Statements included in Part I, Item 1 of this Quarterly Report on Form 10-Q.</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625" w:right="439" w:bottom="1440" w:gutter="0" w:footer="0" w:header="0"/>
        </w:sectPr>
      </w:pPr>
    </w:p>
    <w:bookmarkStart w:id="26" w:name="page27"/>
    <w:bookmarkEnd w:id="26"/>
    <w:p>
      <w:pPr>
        <w:ind w:right="3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68580"/>
                    </a:xfrm>
                    <a:prstGeom prst="rect">
                      <a:avLst/>
                    </a:prstGeom>
                    <a:noFill/>
                  </pic:spPr>
                </pic:pic>
              </a:graphicData>
            </a:graphic>
          </wp:anchor>
        </w:drawing>
        <w:t>Net income for the first nine months of 2019 was $640.5 million, an increase of $74.1 million or 13.1%, compared with $566.4 million for the first nine months of 2018.</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Diluted earnings per share for the first nine months of 2019 were $2.79, an increase of $0.36 or 14.8%, compared with $2.43 per diluted share for the first nine months of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3" w:lineRule="exact"/>
        <w:rPr>
          <w:sz w:val="20"/>
          <w:szCs w:val="20"/>
          <w:color w:val="auto"/>
        </w:rPr>
      </w:pPr>
    </w:p>
    <w:p>
      <w:pPr>
        <w:ind w:firstLine="441"/>
        <w:spacing w:after="0" w:line="289" w:lineRule="auto"/>
        <w:rPr>
          <w:sz w:val="20"/>
          <w:szCs w:val="20"/>
          <w:color w:val="auto"/>
        </w:rPr>
      </w:pPr>
      <w:r>
        <w:rPr>
          <w:rFonts w:ascii="Arial" w:cs="Arial" w:eastAsia="Arial" w:hAnsi="Arial"/>
          <w:sz w:val="17"/>
          <w:szCs w:val="17"/>
          <w:b w:val="1"/>
          <w:bCs w:val="1"/>
          <w:color w:val="auto"/>
        </w:rPr>
        <w:t xml:space="preserve">EIG’s </w:t>
      </w:r>
      <w:r>
        <w:rPr>
          <w:rFonts w:ascii="Arial" w:cs="Arial" w:eastAsia="Arial" w:hAnsi="Arial"/>
          <w:sz w:val="17"/>
          <w:szCs w:val="17"/>
          <w:color w:val="auto"/>
        </w:rPr>
        <w:t>net sales totaled $2,442.7 million for the first nine months of 2019, an increase of $239.8 million or 10.9%, compared with $2,202.9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first nine months of 2018. The net sales increase was due to 3% organic sales growth, a 9% increase from the 2018 acquisitions of Motec, Spectro Scientific Corporation, Forza and Telular Corporation, partially offset by an unfavorable 1% effect of foreign currency translation.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EIG’s operating income was $635.4 million for the first nine months of 2019, an increase of $67.9 million or 12.0%, compared with</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$567.5 million for the first nine months of 2018. The increase in EIG’s operating income for the first nine months of 2019 was primarily due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in net sales noted above. EIG’s operating margins were 26.0% of net sales for the first nine months of 2019, compared with 25.8% of net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first nine months of 2018. EIG’s operating margins for the first nine months of 2019 increased slightly due to the benefits of the Group’s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Operational Excellence initiatives, partially offset by a negative 1% impact of lower margins on recent acquisitions.</w:t>
      </w:r>
    </w:p>
    <w:p>
      <w:pPr>
        <w:spacing w:after="0" w:line="207" w:lineRule="exact"/>
        <w:rPr>
          <w:sz w:val="20"/>
          <w:szCs w:val="20"/>
          <w:color w:val="auto"/>
        </w:rPr>
      </w:pPr>
    </w:p>
    <w:p>
      <w:pPr>
        <w:jc w:val="both"/>
        <w:ind w:right="20" w:firstLine="441"/>
        <w:spacing w:after="0" w:line="347" w:lineRule="auto"/>
        <w:rPr>
          <w:sz w:val="20"/>
          <w:szCs w:val="20"/>
          <w:color w:val="auto"/>
        </w:rPr>
      </w:pPr>
      <w:r>
        <w:rPr>
          <w:rFonts w:ascii="Arial" w:cs="Arial" w:eastAsia="Arial" w:hAnsi="Arial"/>
          <w:sz w:val="16"/>
          <w:szCs w:val="16"/>
          <w:b w:val="1"/>
          <w:bCs w:val="1"/>
          <w:color w:val="auto"/>
        </w:rPr>
        <w:t xml:space="preserve">EMG’s </w:t>
      </w:r>
      <w:r>
        <w:rPr>
          <w:rFonts w:ascii="Arial" w:cs="Arial" w:eastAsia="Arial" w:hAnsi="Arial"/>
          <w:sz w:val="16"/>
          <w:szCs w:val="16"/>
          <w:color w:val="auto"/>
        </w:rPr>
        <w:t>net sales totaled $1,411.0 million for the first nine months of 2019, an increase of $39.4 million or 2.9%, compared with $1,371.6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first nine months of 2018. The net sales increase was due to 4% organic sales growth and a 2% unfavorable effect of foreign currency translation.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EMG’s operating income was $303.3 million for the first nine months of 2019, an increase of $25.4 million or 9.1%, compared with</w:t>
      </w:r>
    </w:p>
    <w:p>
      <w:pPr>
        <w:spacing w:after="0" w:line="23"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$277.9 million for the first nine months of 2018. EMG’s operating margins were 21.5% of net sales for the first nine months of 2019, compared with 20.3% of net sales for the first nine months of 2018. The increase in EMG’s operating income and operating margins for the first nine months of 2019 was primarily due to the increase in net sales noted above, as well as the benefits of the Group’s Operational Excellence initiatives.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Cash provided by operating activities totaled $772.2 million for the first nine months of 2019, an increase of $142.8 million or 22.7%, compared with $629.4 million for the first nine months of 2018. The increase in cash provided by operating activities for the first nine months of 2019 was primarily due to higher net income and better working capital management.</w:t>
      </w:r>
    </w:p>
    <w:p>
      <w:pPr>
        <w:spacing w:after="0" w:line="181"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Free cash flow (cash flow provided by operating activities less capital expenditures) was $710.7 million for the first nine months of 2019, compared with $581.9 million for the first nine months of 2018. EBITDA (earnings before interest, income taxes, depreciation and amortization) was $1,034.5 million for the first nine months of 2019, compared with $935.5 million for the first nine months of 2018. Free cash flow and EBITDA are presented because the Company is aware that they are measures used by third parties in evaluating the Company.</w:t>
      </w:r>
    </w:p>
    <w:p>
      <w:pPr>
        <w:spacing w:after="0" w:line="17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Cash used for investing activities totaled $173.4 million for the first nine months of 2019, compared with $424.3 million for the first nine months of 2018. Additions to property, plant and equipment totaled $61.5 million for the first nine months of 2019, compared with $47.5 million for the first nine months of 2018. For the first nine months of 2019, the Company paid $122.1 million, net of cash acquired, to acquire PDT in September 2019. For the first nine months of 2018, the Company paid $376.2 million, net of cash acquired, to acquire Motec in June 2018, SoundCom in April 2018 and FMH in January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625" w:right="439" w:bottom="1440" w:gutter="0" w:footer="0" w:header="0"/>
        </w:sectPr>
      </w:pPr>
    </w:p>
    <w:bookmarkStart w:id="27" w:name="page28"/>
    <w:bookmarkEnd w:id="27"/>
    <w:p>
      <w:pPr>
        <w:ind w:right="6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68580"/>
                    </a:xfrm>
                    <a:prstGeom prst="rect">
                      <a:avLst/>
                    </a:prstGeom>
                    <a:noFill/>
                  </pic:spPr>
                </pic:pic>
              </a:graphicData>
            </a:graphic>
          </wp:anchor>
        </w:drawing>
        <w:t>Cash used for financing activities totaled $207.9 million for the first nine months of 2019, compared with $317.2 million for the first nine months of 2018. At September 30, 2019, total debt, net was $2,428.8 million, compared with $2,632.7 million at December 31, 2018. For the first nine months of 2019, short-term borrowings decreased by $258.2 million, compared with a $0.9 million increase for the first nine months of 2018. At September 30, 2019, the Company had available borrowing capacity of $1,970.2 million under its revolving credit facility, including the $500 million accordion feature.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December 2018, the Company completed the 2018 private placement agreement to sell $575 million and 75 million Euros in senior notes to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group of institutional investors utilizing two funding dates. The first funding occurred in December 2018 for $475 million and 75 million Euros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($85.1 million). The third funding occurred in January 2019 for $100 million. The 2018 Private Placement senior notes carry a weighted average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3.93% and are subject to certain customary covenants, including financial covenants that, among other things, require the Company to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debt-to-EBITDA (earnings before interest, income taxes, depreciation and amortization) and interest coverage ratios. The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funding from the 2018 Private Placement were used to pay down domestic borrowings under the Company’s revolving credit facility.</w:t>
      </w:r>
    </w:p>
    <w:p>
      <w:pPr>
        <w:spacing w:after="0" w:line="21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the third quarter of 2018, $80 million of 6.35% senior notes and $160 million of 7.08% senior notes matured and were paid. In the fourth quarter of 2018, $65 million of 7.18% senior notes matured and were paid. The debt-to-capital ratio was 33.3% at September 30, 2019, compared with 38.3% at December 31, 2018. The net debt-to-capital ratio (total debt, net less cash and cash equivalents divided by the sum of net debt and stockholders’ equity) was 25.8% at September 30, 2019, compared with 34.9% at December 31, 2018. The net debt-to-capital ratio is presented because the Company is aware that this measure is used by third parties in evaluating the Company.</w:t>
      </w:r>
    </w:p>
    <w:p>
      <w:pPr>
        <w:spacing w:after="0" w:line="188"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Additional financing activities for the first nine months of 2019 included cash dividends paid of $95.5 million, compared with $97.0 million for the first nine months of 2018. Effective February 12, 2019, the Company’s Board of Directors approved an increase of $500 million in the authorization for the repurchase of the Company’s common stock. Proceeds from stock option exercises were $59.6 million for the first nine months of 2019, compared with $28.7 million for the first nine months of 2018.</w:t>
      </w:r>
    </w:p>
    <w:p>
      <w:pPr>
        <w:spacing w:after="0" w:line="187"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As a result of all the Company’s cash flow activities for the first nine months of 2019, cash and cash equivalents at September 30, 2019 totaled $735.4 million, compared with $354.0 million at December 31, 2018. At September 30, 2019, the Company had $363.0 million in cash outside the United States, compared with $311.2 million at December 31, 2018.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2018. Primary disclosure of the Company’s significant accounting policies is also included in Note 1 to the Consolidated Financial Statements included in Part II, Item 8 of its Annual Report on Form 10-K.</w:t>
      </w:r>
    </w:p>
    <w:p>
      <w:pPr>
        <w:spacing w:after="0" w:line="16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majority of the Company’s revenues on product sales are recognized at a point in time when the customer obtains</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the product. The transfer in control of the product to the customer is typically evidenced by one or more of the following: the customer having legal title to the product, the Company’s present right to payment, the customer’s physical possession of the product, the customer accepting the product, or the customer has the benefits of ownership or risk of loss. Legal title transfers to the customer in accordance with the delivery terms of the order, usually upon shipment, which is the point that control transfers. For a small percentage of sales where title and risk of loss transfers at the point of delivery, the Company recognizes revenue upon delivery to the customer, which is the point that control transfers, assuming all other criteria for revenue recognition are met.</w:t>
      </w:r>
    </w:p>
    <w:p>
      <w:pPr>
        <w:spacing w:after="0" w:line="18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Under ASC 606, the Company determined that revenues from certain of its customer contracts met the criteria of satisfying its performance obligations over time, primarily in the areas of the manufacture of custom-made equipment and for service repairs of customer-owned equipment. Prior to the adoption of the new standard, these revenues were recorded upon shipment or, in the case of those sales where title and risk of loss passes at the point of delivery, the Company recognized revenue upon delivery to the customer. Recognizing revenue over time for custom-manufactured equipment is based on the Company’s judgment that, in certain contracts, the product does not have an alternative use and the Company has an enforceable right to payment for performance completed to date. This change in revenue recognition accelerated the revenue recognition and costs on the impacted contracts.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625" w:right="459" w:bottom="1440" w:gutter="0" w:footer="0" w:header="0"/>
        </w:sectPr>
      </w:pPr>
    </w:p>
    <w:bookmarkStart w:id="28" w:name="page29"/>
    <w:bookmarkEnd w:id="28"/>
    <w:p>
      <w:pPr>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68580"/>
                    </a:xfrm>
                    <a:prstGeom prst="rect">
                      <a:avLst/>
                    </a:prstGeom>
                    <a:noFill/>
                  </pic:spPr>
                </pic:pic>
              </a:graphicData>
            </a:graphic>
          </wp:anchor>
        </w:drawing>
        <w:t>Applying the practical expedient available under ASC 606, the Company recognizes incremental cost of obtaining contracts as an expense when incurred if the amortization period of the assets that the Company would have otherwise recognized is one year or less. These costs are included in Selling, general and administrative expenses in the consolidated statement of income.</w:t>
      </w:r>
    </w:p>
    <w:p>
      <w:pPr>
        <w:spacing w:after="0" w:line="181"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Revenues associated with repairs of customer-owned assets were previously recorded upon completion and shipment of the repaired equipment to the customer. Under ASC 606, if the Company’s performance enhances an asset that the customer controls as the asset is enhanced, revenue must be recognized over time. The revenue associated with the repair of a customer-owned asset meets this criterion.</w:t>
      </w:r>
    </w:p>
    <w:p>
      <w:pPr>
        <w:spacing w:after="0" w:line="16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determination of the revenue to be recognized in a given period for performance obligations satisfied over time is based on the input method. The Company recognizes revenue over time as it performs on these contracts because the transfer of control to the customer occurs over time, revenue is recognized based on the extent of progress towards completion of the performance obligation. The Company generally uses the total cost-to-cost input method of progress because it best depicts the transfer of control to the customer that occurs as costs are incurred. Under the cost-to-cost method, the extent of progress towards completion is measured based on the proportion of costs incurred to date to the total estimated costs at completion of the performance obligation. On certain contracts, labor hours is used as the measure of progress when it is determined to be a better depiction of the transfer of control to the customer due to the timing and pattern of labor hours incurred.</w:t>
      </w:r>
    </w:p>
    <w:p>
      <w:pPr>
        <w:spacing w:after="0" w:line="178"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Performance obligations also include post-delivery service, installation and training. Post-delivery service revenues are recognized over the contract term. Installation and training revenues are recognized over the period the service is provided. Warranty terms in customer contracts can also be considered separate performance obligations if the warranty provides services beyond assurance that a product complies with agreed-upon specification or if a warranty can be purchased separately. The Company does not incur significant obligations for customer returns and refunds.</w:t>
      </w:r>
    </w:p>
    <w:p>
      <w:pPr>
        <w:spacing w:after="0" w:line="154"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Payment terms generally begin upon shipment of the product. The Company does have contracts with multiple billing terms that are all due within one year from when the product is delivered. No significant financing component exists. Payment terms are generally 30-60 days from the time of shipment or customer acceptance, but terms can be shorter or longer. For customer contracts that have revenue recognized over time, revenue is generally recognized prior to a payment being due from the customer. In such cases, the Company recognizes a contract asset at the time the revenue is recognized. When payment becomes due based on the contract terms, the Company reduces the contract asset and records a receivable. In contracts with billing milestones or in other instances with a long production cycle or concerns about credit, customer advance payments are received. The Company may receive a payment in excess of revenue recognized to that date. In these circumstances, a contract liability is recorded.</w:t>
      </w:r>
    </w:p>
    <w:p>
      <w:pPr>
        <w:spacing w:after="0" w:line="16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Company has certain contracts with variable consideration in the form of volume discounts, rebates and early payment options, which may affect the transaction price used as the basis for revenue recognition. In these contracts, the amount of the variable consideration is not considered constrained and is allocated among the various performance obligations in the customer contract based on the relative standalone selling price of each performance obligation to the total standalone value of all the performance obligations.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652"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68580"/>
                    </a:xfrm>
                    <a:prstGeom prst="rect">
                      <a:avLst/>
                    </a:prstGeom>
                    <a:noFill/>
                  </pic:spPr>
                </pic:pic>
              </a:graphicData>
            </a:graphic>
          </wp:anchor>
        </w:drawing>
        <w:t>Item 4. Controls and Procedures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2019. Based on that evaluation, the Company’s principal executive officer and principal financial officer concluded that the Company’s disclosure controls and procedures are effective at the reasonable assurance level.</w:t>
      </w:r>
    </w:p>
    <w:p>
      <w:pPr>
        <w:spacing w:after="0" w:line="193"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Such evaluation did not identify any change in the Company’s internal control over financial reporting during the quarter ended September 30, 2019 that has materially affected, or is reasonably likely to materially affect, the Company’s internal control over financial reporting.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40" w:top="648" w:right="539" w:bottom="1440" w:gutter="0" w:footer="0" w:header="0"/>
        </w:sectPr>
      </w:pPr>
    </w:p>
    <w:bookmarkStart w:id="30" w:name="page31"/>
    <w:bookmarkEnd w:id="30"/>
    <w:p>
      <w:pPr>
        <w:ind w:left="4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68580"/>
                    </a:xfrm>
                    <a:prstGeom prst="rect">
                      <a:avLst/>
                    </a:prstGeom>
                    <a:noFill/>
                  </pic:spPr>
                </pic:pic>
              </a:graphicData>
            </a:graphic>
          </wp:anchor>
        </w:drawing>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reflects purchases of AMETEK, Inc. common stock by the Company during the three months ended September 30, 2019:</w:t>
      </w:r>
    </w:p>
    <w:p>
      <w:pPr>
        <w:sectPr>
          <w:pgSz w:w="11900" w:h="16838" w:orient="portrait"/>
          <w:cols w:equalWidth="0" w:num="1">
            <w:col w:w="10740"/>
          </w:cols>
          <w:pgMar w:left="440" w:top="648"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auto"/>
        </w:rPr>
        <w:t>Period</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July 1, 2019 to July 31, 2019</w:t>
      </w:r>
    </w:p>
    <w:p>
      <w:pPr>
        <w:spacing w:after="0" w:line="8" w:lineRule="exact"/>
        <w:rPr>
          <w:sz w:val="20"/>
          <w:szCs w:val="20"/>
          <w:color w:val="auto"/>
        </w:rPr>
      </w:pPr>
    </w:p>
    <w:p>
      <w:pPr>
        <w:ind w:left="440" w:right="560"/>
        <w:spacing w:after="0" w:line="263" w:lineRule="auto"/>
        <w:rPr>
          <w:sz w:val="20"/>
          <w:szCs w:val="20"/>
          <w:color w:val="auto"/>
        </w:rPr>
      </w:pPr>
      <w:r>
        <w:rPr>
          <w:rFonts w:ascii="Arial" w:cs="Arial" w:eastAsia="Arial" w:hAnsi="Arial"/>
          <w:sz w:val="18"/>
          <w:szCs w:val="18"/>
          <w:color w:val="auto"/>
        </w:rPr>
        <w:t>August 1, 2019 to August 31, 2019 September 1, 2019 to September 30, 2019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5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5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5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Average Price</w:t>
            </w:r>
          </w:p>
        </w:tc>
        <w:tc>
          <w:tcPr>
            <w:tcW w:w="1560" w:type="dxa"/>
            <w:vAlign w:val="bottom"/>
            <w:gridSpan w:val="2"/>
          </w:tcPr>
          <w:p>
            <w:pPr>
              <w:jc w:val="center"/>
              <w:ind w:left="499"/>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5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5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660" w:type="dxa"/>
            <w:vAlign w:val="bottom"/>
            <w:gridSpan w:val="2"/>
          </w:tcPr>
          <w:p>
            <w:pPr>
              <w:jc w:val="center"/>
              <w:ind w:left="496"/>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Purchased (1)(2)</w:t>
            </w: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Paid per Share</w:t>
            </w:r>
          </w:p>
        </w:tc>
        <w:tc>
          <w:tcPr>
            <w:tcW w:w="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Plan (2)</w:t>
            </w:r>
          </w:p>
        </w:tc>
        <w:tc>
          <w:tcPr>
            <w:tcW w:w="5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the Plan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2,579</w:t>
            </w:r>
          </w:p>
        </w:tc>
        <w:tc>
          <w:tcPr>
            <w:tcW w:w="580" w:type="dxa"/>
            <w:vAlign w:val="bottom"/>
          </w:tcPr>
          <w:p>
            <w:pPr>
              <w:spacing w:after="0"/>
              <w:rPr>
                <w:sz w:val="16"/>
                <w:szCs w:val="16"/>
                <w:color w:val="auto"/>
              </w:rPr>
            </w:pPr>
          </w:p>
        </w:tc>
        <w:tc>
          <w:tcPr>
            <w:tcW w:w="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90.97</w:t>
            </w:r>
          </w:p>
        </w:tc>
        <w:tc>
          <w:tcPr>
            <w:tcW w:w="60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2,579</w:t>
            </w:r>
          </w:p>
        </w:tc>
        <w:tc>
          <w:tcPr>
            <w:tcW w:w="580" w:type="dxa"/>
            <w:vAlign w:val="bottom"/>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$ 494,493,031</w:t>
            </w:r>
          </w:p>
        </w:tc>
        <w:tc>
          <w:tcPr>
            <w:tcW w:w="0" w:type="dxa"/>
            <w:vAlign w:val="bottom"/>
          </w:tcPr>
          <w:p>
            <w:pPr>
              <w:spacing w:after="0"/>
              <w:rPr>
                <w:sz w:val="1"/>
                <w:szCs w:val="1"/>
                <w:color w:val="auto"/>
              </w:rPr>
            </w:pPr>
          </w:p>
        </w:tc>
      </w:tr>
      <w:tr>
        <w:trPr>
          <w:trHeight w:val="216"/>
        </w:trPr>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86.26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494,436,704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494,436,704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90.02</w:t>
            </w:r>
          </w:p>
        </w:tc>
        <w:tc>
          <w:tcPr>
            <w:tcW w:w="6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-591185</wp:posOffset>
            </wp:positionV>
            <wp:extent cx="64319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1915" cy="1460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-307975</wp:posOffset>
            </wp:positionV>
            <wp:extent cx="643191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4040" w:space="720"/>
            <w:col w:w="5980"/>
          </w:cols>
          <w:pgMar w:left="440" w:top="648" w:right="719" w:bottom="1440" w:gutter="0" w:footer="0" w:header="0"/>
          <w:type w:val="continuous"/>
        </w:sectPr>
      </w:pPr>
    </w:p>
    <w:p>
      <w:pPr>
        <w:ind w:left="440" w:hanging="436"/>
        <w:spacing w:after="0" w:line="25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1" w:lineRule="exact"/>
        <w:rPr>
          <w:rFonts w:ascii="Arial" w:cs="Arial" w:eastAsia="Arial" w:hAnsi="Arial"/>
          <w:sz w:val="18"/>
          <w:szCs w:val="18"/>
          <w:color w:val="auto"/>
        </w:rPr>
      </w:pPr>
    </w:p>
    <w:p>
      <w:pPr>
        <w:ind w:left="440" w:right="80" w:hanging="436"/>
        <w:spacing w:after="0" w:line="25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the number of shares purchased pursuant to the Company’s Board of Directors $500 million authorization for the repurchase of its common stock announced in February 2019. Such purchases may be affected from time to time in the open market or in private transactions, subject to market conditions and at management’s discretion.</w:t>
      </w:r>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440" w:top="648" w:right="7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68580"/>
                    </a:xfrm>
                    <a:prstGeom prst="rect">
                      <a:avLst/>
                    </a:prstGeom>
                    <a:noFill/>
                  </pic:spPr>
                </pic:pic>
              </a:graphicData>
            </a:graphic>
          </wp:anchor>
        </w:drawing>
        <w:t>Item 6. Exhibits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9820" w:type="dxa"/>
            <w:vAlign w:val="bottom"/>
            <w:gridSpan w:val="7"/>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98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820" w:type="dxa"/>
            <w:vAlign w:val="bottom"/>
          </w:tcPr>
          <w:p>
            <w:pPr>
              <w:ind w:left="4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2"/>
                <w:szCs w:val="22"/>
                <w:color w:val="auto"/>
              </w:rPr>
            </w:pPr>
          </w:p>
        </w:tc>
        <w:tc>
          <w:tcPr>
            <w:tcW w:w="60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Form of Performance Restricted Stock Unit Agreement for Chief Executive Officer</w:t>
              </w:r>
            </w:hyperlink>
          </w:p>
        </w:tc>
        <w:tc>
          <w:tcPr>
            <w:tcW w:w="38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4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98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Form of Performance Restricted Stock Unit Agreement for US Employees</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3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ind w:left="40"/>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57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Form of Performance Restricted Stock Unit Agreement for Non-US Employees</w:t>
              </w:r>
            </w:hyperlink>
          </w:p>
        </w:tc>
        <w:tc>
          <w:tcPr>
            <w:tcW w:w="40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40"/>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72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Certification of Chief Executive Officer, Pursuant to Section 302 of the Sarbanes-Oxley Act of 2002.</w:t>
              </w:r>
            </w:hyperlink>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72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Certification of Chief Financial Officer, Pursuant to Section 302 of the Sarbanes-Oxley Act of 2002.</w:t>
              </w:r>
            </w:hyperlink>
          </w:p>
        </w:tc>
        <w:tc>
          <w:tcPr>
            <w:tcW w:w="2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72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9">
              <w:r>
                <w:rPr>
                  <w:rFonts w:ascii="Arial" w:cs="Arial" w:eastAsia="Arial" w:hAnsi="Arial"/>
                  <w:sz w:val="18"/>
                  <w:szCs w:val="18"/>
                  <w:color w:val="0000EE"/>
                  <w:w w:val="91"/>
                </w:rPr>
                <w:t>Certification of Chief Executive Officer, Pursuant to Section 906 of the Sarbanes-Oxley Act of 2002.</w:t>
              </w:r>
            </w:hyperlink>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ind w:left="40"/>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24"/>
                <w:szCs w:val="24"/>
                <w:color w:val="auto"/>
              </w:rPr>
            </w:pPr>
          </w:p>
        </w:tc>
        <w:tc>
          <w:tcPr>
            <w:tcW w:w="9820" w:type="dxa"/>
            <w:vAlign w:val="bottom"/>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345"/>
        </w:trPr>
        <w:tc>
          <w:tcPr>
            <w:tcW w:w="820" w:type="dxa"/>
            <w:vAlign w:val="bottom"/>
          </w:tcPr>
          <w:p>
            <w:pPr>
              <w:ind w:left="40"/>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24"/>
                <w:szCs w:val="24"/>
                <w:color w:val="auto"/>
              </w:rPr>
            </w:pPr>
          </w:p>
        </w:tc>
        <w:tc>
          <w:tcPr>
            <w:tcW w:w="7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color w:val="auto"/>
                <w:w w:val="94"/>
              </w:rPr>
              <w:t>101.SCH*</w:t>
            </w:r>
          </w:p>
        </w:tc>
        <w:tc>
          <w:tcPr>
            <w:tcW w:w="38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color w:val="auto"/>
                <w:w w:val="98"/>
              </w:rPr>
              <w:t>101.CAL*</w:t>
            </w:r>
          </w:p>
        </w:tc>
        <w:tc>
          <w:tcPr>
            <w:tcW w:w="38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color w:val="auto"/>
                <w:w w:val="97"/>
              </w:rPr>
              <w:t>101.DEF*</w:t>
            </w:r>
          </w:p>
        </w:tc>
        <w:tc>
          <w:tcPr>
            <w:tcW w:w="38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color w:val="auto"/>
                <w:w w:val="99"/>
              </w:rPr>
              <w:t>101.LAB*</w:t>
            </w:r>
          </w:p>
        </w:tc>
        <w:tc>
          <w:tcPr>
            <w:tcW w:w="38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Arial" w:cs="Arial" w:eastAsia="Arial" w:hAnsi="Arial"/>
                <w:sz w:val="18"/>
                <w:szCs w:val="18"/>
                <w:color w:val="auto"/>
                <w:w w:val="96"/>
              </w:rPr>
              <w:t>101.PRE*</w:t>
            </w:r>
          </w:p>
        </w:tc>
        <w:tc>
          <w:tcPr>
            <w:tcW w:w="380" w:type="dxa"/>
            <w:vAlign w:val="bottom"/>
          </w:tcPr>
          <w:p>
            <w:pPr>
              <w:spacing w:after="0"/>
              <w:rPr>
                <w:sz w:val="24"/>
                <w:szCs w:val="24"/>
                <w:color w:val="auto"/>
              </w:rPr>
            </w:pPr>
          </w:p>
        </w:tc>
        <w:tc>
          <w:tcPr>
            <w:tcW w:w="98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20" w:right="360" w:hanging="1162"/>
        <w:spacing w:after="0" w:line="277" w:lineRule="auto"/>
        <w:tabs>
          <w:tab w:leader="none" w:pos="12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2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-147320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440" w:top="648" w:right="419" w:bottom="1440" w:gutter="0" w:footer="0" w:header="0"/>
        </w:sectPr>
      </w:pPr>
    </w:p>
    <w:bookmarkStart w:id="32" w:name="page33"/>
    <w:bookmarkEnd w:id="3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685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AMETEK,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w:t>
      </w:r>
      <w:r>
        <w:rPr>
          <w:rFonts w:ascii="Arial" w:cs="Arial" w:eastAsia="Arial" w:hAnsi="Arial"/>
          <w:sz w:val="12"/>
          <w:szCs w:val="12"/>
          <w:color w:val="auto"/>
        </w:rPr>
        <w:t>HOMAS</w:t>
      </w:r>
      <w:r>
        <w:rPr>
          <w:rFonts w:ascii="Arial" w:cs="Arial" w:eastAsia="Arial" w:hAnsi="Arial"/>
          <w:sz w:val="18"/>
          <w:szCs w:val="18"/>
          <w:color w:val="auto"/>
        </w:rPr>
        <w:t xml:space="preserve"> M. M</w:t>
      </w:r>
      <w:r>
        <w:rPr>
          <w:rFonts w:ascii="Arial" w:cs="Arial" w:eastAsia="Arial" w:hAnsi="Arial"/>
          <w:sz w:val="12"/>
          <w:szCs w:val="12"/>
          <w:color w:val="auto"/>
        </w:rPr>
        <w:t>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M. Montgomery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 Comptroller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 2019</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20"/>
          </w:cols>
          <w:pgMar w:left="440" w:top="648" w:right="7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OMNIBUS INCENTIVE COMPENSATION PLAN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AMETEK,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PERFORMANCE RESTRICTED STOCK UNIT AGREEMENT</w:t>
      </w:r>
    </w:p>
    <w:p>
      <w:pPr>
        <w:spacing w:after="0" w:line="225" w:lineRule="exact"/>
        <w:rPr>
          <w:sz w:val="20"/>
          <w:szCs w:val="20"/>
          <w:color w:val="auto"/>
        </w:rPr>
      </w:pPr>
    </w:p>
    <w:p>
      <w:pPr>
        <w:ind w:right="80" w:firstLine="992"/>
        <w:spacing w:after="0" w:line="277" w:lineRule="auto"/>
        <w:rPr>
          <w:sz w:val="20"/>
          <w:szCs w:val="20"/>
          <w:color w:val="auto"/>
        </w:rPr>
      </w:pPr>
      <w:r>
        <w:rPr>
          <w:rFonts w:ascii="Arial" w:cs="Arial" w:eastAsia="Arial" w:hAnsi="Arial"/>
          <w:sz w:val="18"/>
          <w:szCs w:val="18"/>
          <w:color w:val="auto"/>
        </w:rPr>
        <w:t>PERFORMANCE RESTRICTED STOCK UNIT AGREEMENT (“Agreement”), made as of the Award Date, by and between AMETEK, Inc., a Delaware corporation (the “Company” or “AMETEK”), and the Recipient.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jc w:val="both"/>
        <w:ind w:firstLine="992"/>
        <w:spacing w:after="0" w:line="259" w:lineRule="auto"/>
        <w:rPr>
          <w:sz w:val="20"/>
          <w:szCs w:val="20"/>
          <w:color w:val="auto"/>
        </w:rPr>
      </w:pPr>
      <w:r>
        <w:rPr>
          <w:rFonts w:ascii="Arial" w:cs="Arial" w:eastAsia="Arial" w:hAnsi="Arial"/>
          <w:sz w:val="18"/>
          <w:szCs w:val="18"/>
          <w:color w:val="auto"/>
        </w:rPr>
        <w:t>WHEREAS, the Company has adopted the 2011 Omnibus Incentive Compensation Plan of AMETEK, Inc. (the “Plan”), pursuant to which the Compensation Committee of the Board of Directors of the Company (the “Committee”) may, inter alia, award Performance Restricted Stock Units to such employees or non-employee directors of the Company and its Affiliates as the Committee may determine, and subject to such terms, conditions and restrictions as the Committee may deem advisable; and</w:t>
      </w:r>
    </w:p>
    <w:p>
      <w:pPr>
        <w:spacing w:after="0" w:line="187"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WHEREAS, pursuant to the Plan, the Committee has awarded to the Recipient a Performance Restricted Stock Unit, subject to the terms, conditions and restrictions set forth in the Plan and in this Agreement;</w:t>
      </w:r>
    </w:p>
    <w:p>
      <w:pPr>
        <w:spacing w:after="0" w:line="170" w:lineRule="exact"/>
        <w:rPr>
          <w:sz w:val="20"/>
          <w:szCs w:val="20"/>
          <w:color w:val="auto"/>
        </w:rPr>
      </w:pPr>
    </w:p>
    <w:p>
      <w:pPr>
        <w:ind w:right="680" w:firstLine="992"/>
        <w:spacing w:after="0" w:line="277" w:lineRule="auto"/>
        <w:rPr>
          <w:sz w:val="20"/>
          <w:szCs w:val="20"/>
          <w:color w:val="auto"/>
        </w:rPr>
      </w:pPr>
      <w:r>
        <w:rPr>
          <w:rFonts w:ascii="Arial" w:cs="Arial" w:eastAsia="Arial" w:hAnsi="Arial"/>
          <w:sz w:val="18"/>
          <w:szCs w:val="18"/>
          <w:color w:val="auto"/>
        </w:rPr>
        <w:t>NOW, THEREFORE, in consideration of the mutual covenants herein contained and other valuable consideration, the receipt and sufficiency of which are hereby acknowledged, the parties agree as follows:</w:t>
      </w:r>
    </w:p>
    <w:p>
      <w:pPr>
        <w:spacing w:after="0" w:line="62" w:lineRule="exact"/>
        <w:rPr>
          <w:sz w:val="20"/>
          <w:szCs w:val="20"/>
          <w:color w:val="auto"/>
        </w:rPr>
      </w:pPr>
    </w:p>
    <w:p>
      <w:pPr>
        <w:ind w:right="180" w:firstLine="996"/>
        <w:spacing w:after="0" w:line="286" w:lineRule="auto"/>
        <w:tabs>
          <w:tab w:leader="none" w:pos="1172"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the Plan, the Company hereby grants to the Recipient on the Award Date, a Performance Restricted Stock Unit award, and such units, the “Performance Restricted Stock Units,” are subject to the terms, conditions and restrictions set forth in the Plan and in this Agreement. Capitalized terms not otherwise defined in this Agreement shall have the same meanings as defined in the Plan.</w:t>
      </w:r>
    </w:p>
    <w:p>
      <w:pPr>
        <w:spacing w:after="0" w:line="57" w:lineRule="exact"/>
        <w:rPr>
          <w:rFonts w:ascii="Arial" w:cs="Arial" w:eastAsia="Arial" w:hAnsi="Arial"/>
          <w:sz w:val="17"/>
          <w:szCs w:val="17"/>
          <w:color w:val="auto"/>
        </w:rPr>
      </w:pPr>
    </w:p>
    <w:p>
      <w:pPr>
        <w:ind w:firstLine="996"/>
        <w:spacing w:after="0" w:line="255" w:lineRule="auto"/>
        <w:tabs>
          <w:tab w:leader="none" w:pos="11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such time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(“PRSU Shares”) or an equivalent cash amount based on the value of a share of Company Stock, or a combination of the two, as determined by the Committee, in its discretion. The applicable date of delivery of the PRSU Shares or cash shall be no later than sixty (60) days after the date or event on which the Performance Restricted Stock Units become vested and nonforfeitable pursuant to Paragraph 3, except as set forth in Paragraph 17.</w:t>
      </w:r>
    </w:p>
    <w:p>
      <w:pPr>
        <w:spacing w:after="0" w:line="85" w:lineRule="exact"/>
        <w:rPr>
          <w:rFonts w:ascii="Arial" w:cs="Arial" w:eastAsia="Arial" w:hAnsi="Arial"/>
          <w:sz w:val="18"/>
          <w:szCs w:val="18"/>
          <w:color w:val="auto"/>
        </w:rPr>
      </w:pPr>
    </w:p>
    <w:p>
      <w:pPr>
        <w:ind w:right="20" w:firstLine="996"/>
        <w:spacing w:after="0" w:line="264" w:lineRule="auto"/>
        <w:tabs>
          <w:tab w:leader="none" w:pos="11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Restricted Stock Units (to the extent earned pursuant to Paragraph 4 below) shall become vested and nonforfeitable on the date the results are certified by the Committee which shall in any event occur within three months following the end of the Performance Period (the “Vest Date”). Vesting is contingent on continued employment throughout the Vest Date, except that:</w:t>
      </w:r>
    </w:p>
    <w:p>
      <w:pPr>
        <w:sectPr>
          <w:pgSz w:w="11900" w:h="16838" w:orient="portrait"/>
          <w:cols w:equalWidth="0" w:num="1">
            <w:col w:w="11020"/>
          </w:cols>
          <w:pgMar w:left="440" w:top="121" w:right="4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DZ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11UZP1 PRSU-ZAPICO-2011 Legal Plan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Page 1 of 8</w:t>
      </w:r>
    </w:p>
    <w:p>
      <w:pPr>
        <w:sectPr>
          <w:pgSz w:w="11900" w:h="16838" w:orient="portrait"/>
          <w:cols w:equalWidth="0" w:num="2">
            <w:col w:w="9480" w:space="720"/>
            <w:col w:w="820"/>
          </w:cols>
          <w:pgMar w:left="440" w:top="121" w:right="439" w:bottom="1440" w:gutter="0" w:footer="0" w:header="0"/>
          <w:type w:val="continuous"/>
        </w:sectPr>
      </w:pPr>
    </w:p>
    <w:bookmarkStart w:id="34" w:name="page35"/>
    <w:bookmarkEnd w:id="34"/>
    <w:p>
      <w:pPr>
        <w:ind w:left="1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in the event of death or disability (as defined in the Termination and Change of Control Agreement, dated as of May 8, 2017)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Recipient; or</w:t>
      </w:r>
    </w:p>
    <w:p>
      <w:pPr>
        <w:spacing w:after="0" w:line="103" w:lineRule="exact"/>
        <w:rPr>
          <w:sz w:val="20"/>
          <w:szCs w:val="20"/>
          <w:color w:val="auto"/>
        </w:rPr>
      </w:pPr>
    </w:p>
    <w:p>
      <w:pPr>
        <w:ind w:right="420" w:firstLine="1436"/>
        <w:spacing w:after="0" w:line="277" w:lineRule="auto"/>
        <w:tabs>
          <w:tab w:leader="none" w:pos="16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Recipient’s Separation from Service with the Company (or any successor or Affiliate of the Company) as a result of and concurrent with a Change of Control (as defined in the Plan)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Performance Restricted Stock Units shall become vested and nonforfeitable on the Vest Date in an amount equal to the initial Performance Restricted Stock Unit award (the “Target Award”).</w:t>
      </w:r>
    </w:p>
    <w:p>
      <w:pPr>
        <w:spacing w:after="0" w:line="170" w:lineRule="exact"/>
        <w:rPr>
          <w:sz w:val="20"/>
          <w:szCs w:val="20"/>
          <w:color w:val="auto"/>
        </w:rPr>
      </w:pPr>
    </w:p>
    <w:p>
      <w:pPr>
        <w:ind w:right="140" w:firstLine="992"/>
        <w:spacing w:after="0" w:line="259" w:lineRule="auto"/>
        <w:rPr>
          <w:sz w:val="20"/>
          <w:szCs w:val="20"/>
          <w:color w:val="auto"/>
        </w:rPr>
      </w:pPr>
      <w:r>
        <w:rPr>
          <w:rFonts w:ascii="Arial" w:cs="Arial" w:eastAsia="Arial" w:hAnsi="Arial"/>
          <w:sz w:val="18"/>
          <w:szCs w:val="18"/>
          <w:color w:val="auto"/>
        </w:rPr>
        <w:t>In addition, in the event of the Recipient’s attainment of at least fifty-five (55) years of age and at least ten (10) years of service with the Company (or any successor or Affiliate of the Company) at the Recipient’s termination of employment date occurring on or after December 31st of the first year of the “Performance Period” (as such term is defined in Exhibit A), then the Performance Restricted Stock Units shall become vested and nonforfeitable on the Vest Date, to the extent that the performance goals are achieved.</w:t>
      </w:r>
    </w:p>
    <w:p>
      <w:pPr>
        <w:spacing w:after="0" w:line="187" w:lineRule="exact"/>
        <w:rPr>
          <w:sz w:val="20"/>
          <w:szCs w:val="20"/>
          <w:color w:val="auto"/>
        </w:rPr>
      </w:pPr>
    </w:p>
    <w:p>
      <w:pPr>
        <w:ind w:right="200" w:firstLine="992"/>
        <w:spacing w:after="0" w:line="259" w:lineRule="auto"/>
        <w:rPr>
          <w:sz w:val="20"/>
          <w:szCs w:val="20"/>
          <w:color w:val="auto"/>
        </w:rPr>
      </w:pPr>
      <w:r>
        <w:rPr>
          <w:rFonts w:ascii="Arial" w:cs="Arial" w:eastAsia="Arial" w:hAnsi="Arial"/>
          <w:sz w:val="18"/>
          <w:szCs w:val="18"/>
          <w:color w:val="auto"/>
        </w:rPr>
        <w:t>Except to the extent, if any, that the Performance Restricted Stock Unit shall have become nonforfeitable pursuant to the foregoing provisions of this Paragraph 3, if the Recipient shall voluntarily or involuntarily leave the employ of the Company and its Affiliates prior to the Vest Date, the Performance Restricted Stock Unit (and any dividends, distributions and adjustments retained by the Company with respect thereto) shall be forfeited.</w:t>
      </w:r>
    </w:p>
    <w:p>
      <w:pPr>
        <w:spacing w:after="0" w:line="79" w:lineRule="exact"/>
        <w:rPr>
          <w:sz w:val="20"/>
          <w:szCs w:val="20"/>
          <w:color w:val="auto"/>
        </w:rPr>
      </w:pPr>
    </w:p>
    <w:p>
      <w:pPr>
        <w:ind w:firstLine="996"/>
        <w:spacing w:after="0" w:line="293" w:lineRule="auto"/>
        <w:tabs>
          <w:tab w:leader="none" w:pos="11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Agreement and subject to adjustments permitted by the Plan, the number of Performance Restricted Stock Units which will vest under this Agreement, if any, will be determined by multiplying (a) the sum of (i) 0.5 times the vested percentage applicable to Return on Tangible Capital (“ROTC”) plus (ii) 0.5 times the vested percentage applicable to Relative Total Shareholder Return (“TSR”) by (b) the Target Award. The maximum number of Performance Restricted Stock Units which can vest is 200% of the Target Award and the minimum number of Performance Restricted Stock Units which can vest is 0% of the Target Award. The vested percentage applicable to ROTC and TSR will each be determined over the “Performance Period” (as such term is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illustrated in the schedules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right="40" w:firstLine="996"/>
        <w:spacing w:after="0" w:line="264" w:lineRule="auto"/>
        <w:tabs>
          <w:tab w:leader="none" w:pos="11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Recipient shall not sell, assign, transfer, pledge, hypothecate or otherwise dispose of, by operation of law or otherwise (collectively, “transfer”) any Performance Restricted Stock Units, or any interest therein other than by will or the laws of descent and distribution, unless and until the Performance Restricted Stock Units have been settled as provided in this Agreement.</w:t>
      </w:r>
    </w:p>
    <w:p>
      <w:pPr>
        <w:spacing w:after="0" w:line="73" w:lineRule="exact"/>
        <w:rPr>
          <w:rFonts w:ascii="Arial" w:cs="Arial" w:eastAsia="Arial" w:hAnsi="Arial"/>
          <w:sz w:val="18"/>
          <w:szCs w:val="18"/>
          <w:color w:val="auto"/>
        </w:rPr>
      </w:pPr>
    </w:p>
    <w:p>
      <w:pPr>
        <w:ind w:right="220" w:firstLine="996"/>
        <w:spacing w:after="0" w:line="277" w:lineRule="auto"/>
        <w:tabs>
          <w:tab w:leader="none" w:pos="11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issuance of PRSU Shares, Recipient will have no rights as a shareholder of the Company with respect to this Performance Restricted Stock Unit award or the Performance Restricted Stock Units.</w:t>
      </w:r>
    </w:p>
    <w:p>
      <w:pPr>
        <w:spacing w:after="0" w:line="62" w:lineRule="exact"/>
        <w:rPr>
          <w:rFonts w:ascii="Arial" w:cs="Arial" w:eastAsia="Arial" w:hAnsi="Arial"/>
          <w:sz w:val="18"/>
          <w:szCs w:val="18"/>
          <w:color w:val="auto"/>
        </w:rPr>
      </w:pPr>
    </w:p>
    <w:p>
      <w:pPr>
        <w:ind w:right="180" w:firstLine="996"/>
        <w:spacing w:after="0" w:line="259" w:lineRule="auto"/>
        <w:tabs>
          <w:tab w:leader="none" w:pos="11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number of outstanding shares of Company Stock changes through the declaration of stock dividends or stock splits prior to the vesting date, the Restricted Stock Units subject to this Award automatically will be adjusted, according to the provisions of Section 5(e) of the Plan. In the event of any other change in the capital structure or the Company Stock or other corporate events or transactions involving the Company, the Committee is authorized to make appropriate adjustments to this award.</w:t>
      </w:r>
    </w:p>
    <w:p>
      <w:pPr>
        <w:sectPr>
          <w:pgSz w:w="11900" w:h="16838" w:orient="portrait"/>
          <w:cols w:equalWidth="0" w:num="1">
            <w:col w:w="11020"/>
          </w:cols>
          <w:pgMar w:left="440" w:top="274" w:right="4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DZ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11UZP1 PRSU-ZAPICO-2011 Legal Plan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Page 2 of 8</w:t>
      </w:r>
    </w:p>
    <w:p>
      <w:pPr>
        <w:sectPr>
          <w:pgSz w:w="11900" w:h="16838" w:orient="portrait"/>
          <w:cols w:equalWidth="0" w:num="2">
            <w:col w:w="9480" w:space="720"/>
            <w:col w:w="820"/>
          </w:cols>
          <w:pgMar w:left="440" w:top="274" w:right="439" w:bottom="1440" w:gutter="0" w:footer="0" w:header="0"/>
          <w:type w:val="continuous"/>
        </w:sectPr>
      </w:pPr>
    </w:p>
    <w:bookmarkStart w:id="35" w:name="page36"/>
    <w:bookmarkEnd w:id="35"/>
    <w:p>
      <w:pPr>
        <w:ind w:right="200" w:firstLine="996"/>
        <w:spacing w:after="0" w:line="286" w:lineRule="auto"/>
        <w:tabs>
          <w:tab w:leader="none" w:pos="1172"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w:t>
      </w:r>
    </w:p>
    <w:p>
      <w:pPr>
        <w:spacing w:after="0" w:line="1" w:lineRule="exact"/>
        <w:rPr>
          <w:rFonts w:ascii="Arial" w:cs="Arial" w:eastAsia="Arial" w:hAnsi="Arial"/>
          <w:sz w:val="16"/>
          <w:szCs w:val="16"/>
          <w:color w:val="auto"/>
        </w:rPr>
      </w:pPr>
    </w:p>
    <w:p>
      <w:pPr>
        <w:jc w:val="both"/>
        <w:ind w:right="80"/>
        <w:spacing w:after="0" w:line="323" w:lineRule="auto"/>
        <w:rPr>
          <w:rFonts w:ascii="Arial" w:cs="Arial" w:eastAsia="Arial" w:hAnsi="Arial"/>
          <w:sz w:val="16"/>
          <w:szCs w:val="16"/>
          <w:color w:val="auto"/>
        </w:rPr>
      </w:pPr>
      <w:r>
        <w:rPr>
          <w:rFonts w:ascii="Arial" w:cs="Arial" w:eastAsia="Arial" w:hAnsi="Arial"/>
          <w:sz w:val="16"/>
          <w:szCs w:val="16"/>
          <w:color w:val="auto"/>
        </w:rPr>
        <w:t>0.5% as such rate is set forth in the Wall Street Journal as of the first business day of each calendar quarter. Dividend Equivalents shall be subject to the same terms and conditions, and shall vest and be paid, or be forfeited (if applicable), at the same time as the Restricted Stock Units to which they relate.</w:t>
      </w:r>
    </w:p>
    <w:p>
      <w:pPr>
        <w:spacing w:after="0" w:line="30" w:lineRule="exact"/>
        <w:rPr>
          <w:rFonts w:ascii="Arial" w:cs="Arial" w:eastAsia="Arial" w:hAnsi="Arial"/>
          <w:sz w:val="16"/>
          <w:szCs w:val="16"/>
          <w:color w:val="auto"/>
        </w:rPr>
      </w:pPr>
    </w:p>
    <w:p>
      <w:pPr>
        <w:ind w:right="60" w:firstLine="996"/>
        <w:spacing w:after="0" w:line="269" w:lineRule="auto"/>
        <w:tabs>
          <w:tab w:leader="none" w:pos="117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in connection with the grant, vesting or settlement of the Performance Restricted Stock Unit award or issuance of PRSU Shares with respect to vested Performance Restricted Stock Units, the Company (or any successor or Affiliate) shall be required to withhold amounts under applicable federal, state, local or foreign laws, rules or regulations, including income tax, social insurance, payroll tax, fringe benefits tax, payment on account or other tax- related items related to the Recipient’s participation in the Plan and legally applicable to the Recipient (“Tax-Related Items”), the Company will withhold such number of shares of Company Stock (thus reducing the number of shares to be issued to the Recipient) as shall have a Fair Market Value, valued on the date on which Tax-Related Items are determined, equal to the amount required to be withheld to satisfy the Company (or successor or Affiliate’s) withholding obligations. Notwithstanding anything in this Paragraph 9 to the contrary, to avoid a prohibited acceleration under Section 409A,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74" w:lineRule="exact"/>
        <w:rPr>
          <w:rFonts w:ascii="Arial" w:cs="Arial" w:eastAsia="Arial" w:hAnsi="Arial"/>
          <w:sz w:val="17"/>
          <w:szCs w:val="17"/>
          <w:color w:val="auto"/>
        </w:rPr>
      </w:pPr>
    </w:p>
    <w:p>
      <w:pPr>
        <w:ind w:left="1260" w:hanging="264"/>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and the Recipient each hereby agrees to be bound by the terms and conditions set forth in the Plan.</w:t>
      </w:r>
    </w:p>
    <w:p>
      <w:pPr>
        <w:spacing w:after="0" w:line="117" w:lineRule="exact"/>
        <w:rPr>
          <w:rFonts w:ascii="Arial" w:cs="Arial" w:eastAsia="Arial" w:hAnsi="Arial"/>
          <w:sz w:val="18"/>
          <w:szCs w:val="18"/>
          <w:color w:val="auto"/>
        </w:rPr>
      </w:pPr>
    </w:p>
    <w:p>
      <w:pPr>
        <w:ind w:right="40" w:firstLine="996"/>
        <w:spacing w:after="0" w:line="257" w:lineRule="auto"/>
        <w:tabs>
          <w:tab w:leader="none" w:pos="1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notices or other communications given in connection with this Agreement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80" w:lineRule="exact"/>
        <w:rPr>
          <w:rFonts w:ascii="Arial" w:cs="Arial" w:eastAsia="Arial" w:hAnsi="Arial"/>
          <w:sz w:val="18"/>
          <w:szCs w:val="18"/>
          <w:color w:val="auto"/>
        </w:rPr>
      </w:pPr>
    </w:p>
    <w:p>
      <w:pPr>
        <w:ind w:right="320" w:firstLine="996"/>
        <w:spacing w:after="0" w:line="277" w:lineRule="auto"/>
        <w:tabs>
          <w:tab w:leader="none" w:pos="12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and the Plan constitute the whole agreement between the parties hereto with respect to the Performance Restricted Stock Unit award.</w:t>
      </w:r>
    </w:p>
    <w:p>
      <w:pPr>
        <w:sectPr>
          <w:pgSz w:w="11900" w:h="16838" w:orient="portrait"/>
          <w:cols w:equalWidth="0" w:num="1">
            <w:col w:w="11020"/>
          </w:cols>
          <w:pgMar w:left="440" w:top="274" w:right="4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DZ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11UZP1 PRSU-ZAPICO-2011 Legal Plan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Page 3 of 8</w:t>
      </w:r>
    </w:p>
    <w:p>
      <w:pPr>
        <w:sectPr>
          <w:pgSz w:w="11900" w:h="16838" w:orient="portrait"/>
          <w:cols w:equalWidth="0" w:num="2">
            <w:col w:w="9480" w:space="720"/>
            <w:col w:w="820"/>
          </w:cols>
          <w:pgMar w:left="440" w:top="274" w:right="439" w:bottom="1440" w:gutter="0" w:footer="0" w:header="0"/>
          <w:type w:val="continuous"/>
        </w:sectPr>
      </w:pPr>
    </w:p>
    <w:bookmarkStart w:id="36" w:name="page37"/>
    <w:bookmarkEnd w:id="36"/>
    <w:p>
      <w:pPr>
        <w:ind w:right="160" w:firstLine="996"/>
        <w:spacing w:after="0" w:line="277" w:lineRule="auto"/>
        <w:tabs>
          <w:tab w:leader="none" w:pos="1262"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not be construed as creating any contract of employment between the Company and the Recipient and does not entitle the Recipient to any benefit other than that granted under this Agreement.</w:t>
      </w:r>
    </w:p>
    <w:p>
      <w:pPr>
        <w:spacing w:after="0" w:line="62" w:lineRule="exact"/>
        <w:rPr>
          <w:rFonts w:ascii="Arial" w:cs="Arial" w:eastAsia="Arial" w:hAnsi="Arial"/>
          <w:sz w:val="18"/>
          <w:szCs w:val="18"/>
          <w:color w:val="auto"/>
        </w:rPr>
      </w:pPr>
    </w:p>
    <w:p>
      <w:pPr>
        <w:ind w:right="80" w:firstLine="996"/>
        <w:spacing w:after="0" w:line="264" w:lineRule="auto"/>
        <w:tabs>
          <w:tab w:leader="none" w:pos="12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on, the Company and its successors and assigns, and shall inure to the benefit of, and be binding on, the Recipient and his heirs, executors, administrators and legal representatives. This Agreement shall not be assignable by the Recipient.</w:t>
      </w:r>
    </w:p>
    <w:p>
      <w:pPr>
        <w:spacing w:after="0" w:line="73" w:lineRule="exact"/>
        <w:rPr>
          <w:rFonts w:ascii="Arial" w:cs="Arial" w:eastAsia="Arial" w:hAnsi="Arial"/>
          <w:sz w:val="18"/>
          <w:szCs w:val="18"/>
          <w:color w:val="auto"/>
        </w:rPr>
      </w:pPr>
    </w:p>
    <w:p>
      <w:pPr>
        <w:ind w:firstLine="996"/>
        <w:spacing w:after="0" w:line="270" w:lineRule="auto"/>
        <w:tabs>
          <w:tab w:leader="none" w:pos="1262"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73" w:lineRule="exact"/>
        <w:rPr>
          <w:rFonts w:ascii="Arial" w:cs="Arial" w:eastAsia="Arial" w:hAnsi="Arial"/>
          <w:sz w:val="17"/>
          <w:szCs w:val="17"/>
          <w:color w:val="auto"/>
        </w:rPr>
      </w:pPr>
    </w:p>
    <w:p>
      <w:pPr>
        <w:ind w:right="580" w:firstLine="996"/>
        <w:spacing w:after="0" w:line="277" w:lineRule="auto"/>
        <w:tabs>
          <w:tab w:leader="none" w:pos="12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Agreement shall be subject to and construed in accordance with, the laws of the State of Delaware without giving effect to principles of conflicts of law.</w:t>
      </w:r>
    </w:p>
    <w:p>
      <w:pPr>
        <w:spacing w:after="0" w:line="62" w:lineRule="exact"/>
        <w:rPr>
          <w:rFonts w:ascii="Arial" w:cs="Arial" w:eastAsia="Arial" w:hAnsi="Arial"/>
          <w:sz w:val="18"/>
          <w:szCs w:val="18"/>
          <w:color w:val="auto"/>
        </w:rPr>
      </w:pPr>
    </w:p>
    <w:p>
      <w:pPr>
        <w:ind w:right="20" w:firstLine="996"/>
        <w:spacing w:after="0" w:line="286" w:lineRule="auto"/>
        <w:tabs>
          <w:tab w:leader="none" w:pos="12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Agreement is intended to comply with Section 409A of the Internal Revenue Code of 1986, as amended, and the regulations and guidance issued thereunder (“Section 409A”), to the extent subject thereto, and accordingly, to the maximum extent permitted, this Agreement shall be interpreted and administered to be in compliance therewith. Notwithstanding anything to the contrary in the Plan or this Agreement, the Company reserves the right to revise this Agreement as it deems necessary or advisable, in its sole discretion and without the Recipient’s consent, to comply with Section 409A or to otherwise avoid imposition of any additional tax or income recognition under Section 409A prior to the actual payment of cash or Company Stock pursuant to the Performance Restricted Stock Unit. The Company (including its Affiliates) shall not have any liability under the Plan or this Agreement for any taxes, penalties or interest due on amounts paid or payable pursuant to the Plan or this Agreement, including any taxes, penalties or interest imposed under Section 409A. Each amount to be paid under this Agreement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ectPr>
          <w:pgSz w:w="11900" w:h="16838" w:orient="portrait"/>
          <w:cols w:equalWidth="0" w:num="1">
            <w:col w:w="11020"/>
          </w:cols>
          <w:pgMar w:left="440" w:top="274" w:right="4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DZ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11UZP1 PRSU-ZAPICO-2011 Legal Plan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Page 4 of 8</w:t>
      </w:r>
    </w:p>
    <w:p>
      <w:pPr>
        <w:sectPr>
          <w:pgSz w:w="11900" w:h="16838" w:orient="portrait"/>
          <w:cols w:equalWidth="0" w:num="2">
            <w:col w:w="9480" w:space="720"/>
            <w:col w:w="820"/>
          </w:cols>
          <w:pgMar w:left="440" w:top="274" w:right="439" w:bottom="1440" w:gutter="0" w:footer="0" w:header="0"/>
          <w:type w:val="continuous"/>
        </w:sectPr>
      </w:pPr>
    </w:p>
    <w:bookmarkStart w:id="37" w:name="page38"/>
    <w:bookmarkEnd w:id="37"/>
    <w:p>
      <w:pPr>
        <w:ind w:firstLine="996"/>
        <w:spacing w:after="0" w:line="267" w:lineRule="auto"/>
        <w:tabs>
          <w:tab w:leader="none" w:pos="1262"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84" w:lineRule="exact"/>
        <w:rPr>
          <w:rFonts w:ascii="Arial" w:cs="Arial" w:eastAsia="Arial" w:hAnsi="Arial"/>
          <w:sz w:val="17"/>
          <w:szCs w:val="17"/>
          <w:color w:val="auto"/>
        </w:rPr>
      </w:pPr>
    </w:p>
    <w:p>
      <w:pPr>
        <w:ind w:right="120" w:firstLine="996"/>
        <w:spacing w:after="0" w:line="269" w:lineRule="auto"/>
        <w:tabs>
          <w:tab w:leader="none" w:pos="1262"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Agreement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Agreement;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w:t>
      </w:r>
    </w:p>
    <w:p>
      <w:pPr>
        <w:sectPr>
          <w:pgSz w:w="11900" w:h="16838" w:orient="portrait"/>
          <w:cols w:equalWidth="0" w:num="1">
            <w:col w:w="11020"/>
          </w:cols>
          <w:pgMar w:left="440" w:top="274" w:right="4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DZ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11UZP1 PRSU-ZAPICO-2011 Legal Plan</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Page 5 of 8</w:t>
      </w:r>
    </w:p>
    <w:p>
      <w:pPr>
        <w:sectPr>
          <w:pgSz w:w="11900" w:h="16838" w:orient="portrait"/>
          <w:cols w:equalWidth="0" w:num="2">
            <w:col w:w="9480" w:space="720"/>
            <w:col w:w="820"/>
          </w:cols>
          <w:pgMar w:left="440" w:top="274" w:right="439" w:bottom="1440" w:gutter="0" w:footer="0" w:header="0"/>
          <w:type w:val="continuous"/>
        </w:sectPr>
      </w:pPr>
    </w:p>
    <w:bookmarkStart w:id="38" w:name="page39"/>
    <w:bookmarkEnd w:id="3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ectPr>
          <w:pgSz w:w="11900" w:h="16838" w:orient="portrait"/>
          <w:cols w:equalWidth="0" w:num="1">
            <w:col w:w="11020"/>
          </w:cols>
          <w:pgMar w:left="440" w:top="274" w:right="4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DZ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11UZP1 PRSU-ZAPICO-2011 Legal Plan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Page 6 of 8</w:t>
      </w:r>
    </w:p>
    <w:p>
      <w:pPr>
        <w:sectPr>
          <w:pgSz w:w="11900" w:h="16838" w:orient="portrait"/>
          <w:cols w:equalWidth="0" w:num="2">
            <w:col w:w="9480" w:space="720"/>
            <w:col w:w="820"/>
          </w:cols>
          <w:pgMar w:left="440" w:top="274" w:right="4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OMNIBUS INCENTIVE COMPENSATION PLAN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PERFORMANCE RESTRICTED STOCK UNIT AGREEMENT</w:t>
      </w:r>
    </w:p>
    <w:p>
      <w:pPr>
        <w:spacing w:after="0" w:line="211"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Except as otherwise provided in this Agreement and subject to adjustments permitted by the Plan, the number of Performance Restricted Stock Units which will vest under this Agreement, if any, will be determined by multiplying (a) the sum of (i) 0.5 times the vested percentage applicable to Return on Tangible Capital (“ROTC”) plus (ii) 0.5 times the vested percentage applicable to Relative Total Shareholder Return (“TSR”) by (b) the number of initial Performance Restricted Stock Units granted (the “Target Award”). The maximum number of Performance Restricted Stock Units which can vest is 200% of the Target Award and the minimum number of Performance Restricted Stock Units which can vest is 0% of the Target Award.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vested percentage applicable to ROTC and TSR will each be determined over the Performance Period as illustrated in the schedules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“Performance Period” means the period beginning January 1, 2019 and ending December 31, 2021.</w:t>
      </w:r>
    </w:p>
    <w:p>
      <w:pPr>
        <w:spacing w:after="0" w:line="211"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u w:val="single" w:color="auto"/>
          <w:color w:val="auto"/>
        </w:rPr>
        <w:t>Calculating ROTC</w:t>
      </w:r>
      <w:r>
        <w:rPr>
          <w:rFonts w:ascii="Arial" w:cs="Arial" w:eastAsia="Arial" w:hAnsi="Arial"/>
          <w:sz w:val="16"/>
          <w:szCs w:val="16"/>
          <w:color w:val="auto"/>
        </w:rPr>
        <w:t>. Annual ROTC is calculated by dividing EBITDA (earnings before interest, income taxes, depreciation and amortization), and adjusting for certain non-GAAP charges (i.e., realignment costs) and trailing EBITDA of acquisitions, by average net tangible capital. Average net tangible capital is the simple average calculation of beginning and ending net tangible assets (total assets less cash, less goodwill and less other intangibles, net), less net current liabilities (current liabilities, less short-term borrowings and current portion of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will make adjustments, on a case-by-case basis, to modify the calculation of ROTC to fairly represent changes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occurring during the target and/or performance periods in the measurement of ROTC performance against target.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Return on Tangible Capital (ROTC)</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vested percentage applicable to ROTC will be determined based on AMETEK, Inc. average annual ROTC (“Average ROTC”) as calculated below for the Performance Period in accordance with the following schedule: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gridSpan w:val="4"/>
          </w:tcPr>
          <w:p>
            <w:pPr>
              <w:ind w:left="1780"/>
              <w:spacing w:after="0"/>
              <w:rPr>
                <w:sz w:val="20"/>
                <w:szCs w:val="20"/>
                <w:color w:val="auto"/>
              </w:rPr>
            </w:pPr>
            <w:r>
              <w:rPr>
                <w:rFonts w:ascii="Arial" w:cs="Arial" w:eastAsia="Arial" w:hAnsi="Arial"/>
                <w:sz w:val="14"/>
                <w:szCs w:val="14"/>
                <w:color w:val="auto"/>
              </w:rPr>
              <w:t>Average ROTC</w:t>
            </w:r>
          </w:p>
        </w:tc>
        <w:tc>
          <w:tcPr>
            <w:tcW w:w="5280" w:type="dxa"/>
            <w:vAlign w:val="bottom"/>
            <w:gridSpan w:val="4"/>
          </w:tcPr>
          <w:p>
            <w:pPr>
              <w:ind w:left="1840"/>
              <w:spacing w:after="0"/>
              <w:rPr>
                <w:sz w:val="20"/>
                <w:szCs w:val="20"/>
                <w:color w:val="auto"/>
              </w:rPr>
            </w:pPr>
            <w:r>
              <w:rPr>
                <w:rFonts w:ascii="Arial" w:cs="Arial" w:eastAsia="Arial" w:hAnsi="Arial"/>
                <w:sz w:val="14"/>
                <w:szCs w:val="14"/>
                <w:color w:val="auto"/>
              </w:rPr>
              <w:t>ROTC Vested Percentage</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0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&lt; 52%</w:t>
            </w:r>
          </w:p>
        </w:tc>
        <w:tc>
          <w:tcPr>
            <w:tcW w:w="3060" w:type="dxa"/>
            <w:vAlign w:val="bottom"/>
            <w:shd w:val="clear" w:color="auto" w:fill="CCEEFF"/>
          </w:tcPr>
          <w:p>
            <w:pPr>
              <w:spacing w:after="0" w:line="20" w:lineRule="exact"/>
              <w:rPr>
                <w:sz w:val="1"/>
                <w:szCs w:val="1"/>
                <w:color w:val="auto"/>
              </w:rPr>
            </w:pPr>
          </w:p>
        </w:tc>
        <w:tc>
          <w:tcPr>
            <w:tcW w:w="184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80" w:type="dxa"/>
            <w:vAlign w:val="bottom"/>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52%</w:t>
            </w:r>
          </w:p>
        </w:tc>
        <w:tc>
          <w:tcPr>
            <w:tcW w:w="3060" w:type="dxa"/>
            <w:vAlign w:val="bottom"/>
          </w:tcPr>
          <w:p>
            <w:pPr>
              <w:spacing w:after="0"/>
              <w:rPr>
                <w:sz w:val="18"/>
                <w:szCs w:val="18"/>
                <w:color w:val="auto"/>
              </w:rPr>
            </w:pPr>
          </w:p>
        </w:tc>
        <w:tc>
          <w:tcPr>
            <w:tcW w:w="35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92%</w:t>
            </w:r>
          </w:p>
        </w:tc>
        <w:tc>
          <w:tcPr>
            <w:tcW w:w="3060" w:type="dxa"/>
            <w:vAlign w:val="bottom"/>
            <w:shd w:val="clear" w:color="auto" w:fill="CCEEFF"/>
          </w:tcPr>
          <w:p>
            <w:pPr>
              <w:spacing w:after="0"/>
              <w:rPr>
                <w:sz w:val="18"/>
                <w:szCs w:val="18"/>
                <w:color w:val="auto"/>
              </w:rPr>
            </w:pPr>
          </w:p>
        </w:tc>
        <w:tc>
          <w:tcPr>
            <w:tcW w:w="3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&gt;112%</w:t>
            </w:r>
          </w:p>
        </w:tc>
        <w:tc>
          <w:tcPr>
            <w:tcW w:w="3060" w:type="dxa"/>
            <w:vAlign w:val="bottom"/>
          </w:tcPr>
          <w:p>
            <w:pPr>
              <w:spacing w:after="0"/>
              <w:rPr>
                <w:sz w:val="15"/>
                <w:szCs w:val="15"/>
                <w:color w:val="auto"/>
              </w:rPr>
            </w:pPr>
          </w:p>
        </w:tc>
        <w:tc>
          <w:tcPr>
            <w:tcW w:w="35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200%</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780" w:type="dxa"/>
            <w:vAlign w:val="bottom"/>
          </w:tcPr>
          <w:p>
            <w:pPr>
              <w:spacing w:after="0"/>
              <w:rPr>
                <w:sz w:val="20"/>
                <w:szCs w:val="20"/>
                <w:color w:val="auto"/>
              </w:rPr>
            </w:pPr>
            <w:r>
              <w:rPr>
                <w:rFonts w:ascii="Arial" w:cs="Arial" w:eastAsia="Arial" w:hAnsi="Arial"/>
                <w:sz w:val="18"/>
                <w:szCs w:val="18"/>
                <w:color w:val="auto"/>
              </w:rPr>
              <w:t>DZ Perf RSU 2019</w:t>
            </w:r>
          </w:p>
        </w:tc>
        <w:tc>
          <w:tcPr>
            <w:tcW w:w="100" w:type="dxa"/>
            <w:vAlign w:val="bottom"/>
            <w:tcBorders>
              <w:top w:val="single" w:sz="8" w:color="auto"/>
            </w:tcBorders>
          </w:tcPr>
          <w:p>
            <w:pPr>
              <w:spacing w:after="0"/>
              <w:rPr>
                <w:sz w:val="24"/>
                <w:szCs w:val="24"/>
                <w:color w:val="auto"/>
              </w:rPr>
            </w:pPr>
          </w:p>
        </w:tc>
        <w:tc>
          <w:tcPr>
            <w:tcW w:w="3860" w:type="dxa"/>
            <w:vAlign w:val="bottom"/>
            <w:gridSpan w:val="2"/>
          </w:tcPr>
          <w:p>
            <w:pPr>
              <w:spacing w:after="0"/>
              <w:rPr>
                <w:sz w:val="24"/>
                <w:szCs w:val="24"/>
                <w:color w:val="auto"/>
              </w:rPr>
            </w:pPr>
          </w:p>
        </w:tc>
        <w:tc>
          <w:tcPr>
            <w:tcW w:w="1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ind w:left="940"/>
              <w:spacing w:after="0"/>
              <w:rPr>
                <w:sz w:val="20"/>
                <w:szCs w:val="20"/>
                <w:color w:val="auto"/>
              </w:rPr>
            </w:pPr>
            <w:r>
              <w:rPr>
                <w:rFonts w:ascii="Arial" w:cs="Arial" w:eastAsia="Arial" w:hAnsi="Arial"/>
                <w:sz w:val="18"/>
                <w:szCs w:val="18"/>
                <w:color w:val="auto"/>
                <w:w w:val="86"/>
              </w:rPr>
              <w:t>Page 7 of 8</w:t>
            </w:r>
          </w:p>
        </w:tc>
        <w:tc>
          <w:tcPr>
            <w:tcW w:w="0" w:type="dxa"/>
            <w:vAlign w:val="bottom"/>
          </w:tcPr>
          <w:p>
            <w:pPr>
              <w:spacing w:after="0"/>
              <w:rPr>
                <w:sz w:val="1"/>
                <w:szCs w:val="1"/>
                <w:color w:val="auto"/>
              </w:rPr>
            </w:pPr>
          </w:p>
        </w:tc>
      </w:tr>
      <w:tr>
        <w:trPr>
          <w:trHeight w:val="230"/>
        </w:trPr>
        <w:tc>
          <w:tcPr>
            <w:tcW w:w="5740" w:type="dxa"/>
            <w:vAlign w:val="bottom"/>
            <w:gridSpan w:val="4"/>
          </w:tcPr>
          <w:p>
            <w:pPr>
              <w:spacing w:after="0"/>
              <w:rPr>
                <w:sz w:val="20"/>
                <w:szCs w:val="20"/>
                <w:color w:val="auto"/>
              </w:rPr>
            </w:pPr>
            <w:r>
              <w:rPr>
                <w:rFonts w:ascii="Arial" w:cs="Arial" w:eastAsia="Arial" w:hAnsi="Arial"/>
                <w:sz w:val="18"/>
                <w:szCs w:val="18"/>
                <w:color w:val="auto"/>
              </w:rPr>
              <w:t>Grant Plan: 11UZP1 PRSU-ZAPICO-2011 Legal Plan</w:t>
            </w:r>
          </w:p>
        </w:tc>
        <w:tc>
          <w:tcPr>
            <w:tcW w:w="1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0" w:name="page41"/>
    <w:bookmarkEnd w:id="40"/>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Vested percentages between the amounts shown will be calculated by linear interpolation. The vested percentage applicable to ROTC will be 0% if the Average ROTC for the Performance Period is below 52%. In no event will the vested percentage applicable to ROTC be greater than 200%.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Average ROTC will equal the sum of the three annual ROTC calculations during the Performance Period divided by three.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Shareholder Return (TSR)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vested percentage applicable to TSR will be determined based on AMETEK TSR (as defined below) over the Performance Period relative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TSR of the S&amp;P 500 Industrials Index during the same period in accordance with the following schedule:</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TSR Ranking Relative to S&amp;P 500 Industrials</w:t>
            </w:r>
          </w:p>
        </w:tc>
        <w:tc>
          <w:tcPr>
            <w:tcW w:w="4820" w:type="dxa"/>
            <w:vAlign w:val="bottom"/>
            <w:gridSpan w:val="3"/>
          </w:tcPr>
          <w:p>
            <w:pPr>
              <w:jc w:val="right"/>
              <w:ind w:right="200"/>
              <w:spacing w:after="0"/>
              <w:rPr>
                <w:sz w:val="20"/>
                <w:szCs w:val="20"/>
                <w:color w:val="auto"/>
              </w:rPr>
            </w:pPr>
            <w:r>
              <w:rPr>
                <w:rFonts w:ascii="Arial" w:cs="Arial" w:eastAsia="Arial" w:hAnsi="Arial"/>
                <w:sz w:val="14"/>
                <w:szCs w:val="14"/>
                <w:color w:val="auto"/>
              </w:rPr>
              <w:t>TSR Vested Percentage</w:t>
            </w:r>
          </w:p>
        </w:tc>
        <w:tc>
          <w:tcPr>
            <w:tcW w:w="0" w:type="dxa"/>
            <w:vAlign w:val="bottom"/>
          </w:tcPr>
          <w:p>
            <w:pPr>
              <w:spacing w:after="0"/>
              <w:rPr>
                <w:sz w:val="1"/>
                <w:szCs w:val="1"/>
                <w:color w:val="auto"/>
              </w:rPr>
            </w:pPr>
          </w:p>
        </w:tc>
      </w:tr>
      <w:tr>
        <w:trPr>
          <w:trHeight w:val="20"/>
        </w:trPr>
        <w:tc>
          <w:tcPr>
            <w:tcW w:w="2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&lt;30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vMerge w:val="continue"/>
            <w:shd w:val="clear" w:color="auto" w:fill="CCEEFF"/>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30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2660" w:type="dxa"/>
            <w:vAlign w:val="bottom"/>
            <w:gridSpan w:val="2"/>
          </w:tcPr>
          <w:p>
            <w:pPr>
              <w:spacing w:after="0" w:line="176" w:lineRule="exact"/>
              <w:rPr>
                <w:sz w:val="20"/>
                <w:szCs w:val="20"/>
                <w:color w:val="auto"/>
              </w:rPr>
            </w:pPr>
            <w:r>
              <w:rPr>
                <w:rFonts w:ascii="Arial" w:cs="Arial" w:eastAsia="Arial" w:hAnsi="Arial"/>
                <w:sz w:val="18"/>
                <w:szCs w:val="18"/>
                <w:color w:val="auto"/>
              </w:rPr>
              <w:t>&gt;80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Vested percentages between the amounts shown will be calculated by linear interpolation. The vested percentage applicable to TSR will be 0% if AMETEK TSR ranks lower than the 30th percentile relative to the S&amp;P 500 Industrials. In no event will the vested percentage applicable to TSR be greater than 200%.</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purposes of this Agreement, the term “TSR” means [(a) – (b) + (c)] / (b), where (a) is the Stock Price (as defined below) on the last business day of the Performance Period, (b) is the Stock Price on the first business day of the Performance Period and (c) is dividends paid during the Performance Period. The term Stock Price means the average daily closing price of a share of common stock of the Company or the companies comprising the S&amp;P 500 Industrials, as applicable, during the preceding 10 trading days. The Stock Price for the Company shall be adjusted to reflect a stock split, reverse stock split, spin-off or other similar extraordinary event affecting the shares in question without the issuer’s receipt of consideration occurring during the Performance Period.</w:t>
      </w:r>
    </w:p>
    <w:p>
      <w:pPr>
        <w:sectPr>
          <w:pgSz w:w="11900" w:h="16838" w:orient="portrait"/>
          <w:cols w:equalWidth="0" w:num="1">
            <w:col w:w="11020"/>
          </w:cols>
          <w:pgMar w:left="440" w:top="274"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DZ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11UZP1 PRSU-ZAPICO-2011 Legal Plan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Page 8 of 8</w:t>
      </w:r>
    </w:p>
    <w:p>
      <w:pPr>
        <w:sectPr>
          <w:pgSz w:w="11900" w:h="16838" w:orient="portrait"/>
          <w:cols w:equalWidth="0" w:num="2">
            <w:col w:w="9480" w:space="720"/>
            <w:col w:w="820"/>
          </w:cols>
          <w:pgMar w:left="440" w:top="274" w:right="4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OMNIBUS INCENTIVE COMPENSATION PLAN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AMETEK,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PERFORMANCE RESTRICTED STOCK UNIT AGREEMENT</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PERFORMANCE RESTRICTED STOCK UNIT AGREEMENT (“Agreement”), made as of the Award Date, by and between AMETEK, Inc., a Delaware corporation (the “Company” or “AMETEK”), and the Recipient.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WHEREAS, the Company has adopted the 2011 Omnibus Incentive Compensation Plan of AMETEK, Inc. (the “Plan”), pursuant to which the Compensation Committee of the Board of Directors of the Company (the “Committee”) may, </w:t>
      </w:r>
      <w:r>
        <w:rPr>
          <w:rFonts w:ascii="Arial" w:cs="Arial" w:eastAsia="Arial" w:hAnsi="Arial"/>
          <w:sz w:val="18"/>
          <w:szCs w:val="18"/>
          <w:u w:val="single" w:color="auto"/>
          <w:color w:val="auto"/>
        </w:rPr>
        <w:t>inter alia</w:t>
      </w:r>
      <w:r>
        <w:rPr>
          <w:rFonts w:ascii="Arial" w:cs="Arial" w:eastAsia="Arial" w:hAnsi="Arial"/>
          <w:sz w:val="18"/>
          <w:szCs w:val="18"/>
          <w:color w:val="auto"/>
        </w:rPr>
        <w:t>, award Performance Restricted Stock Units to such employees or non-employee directors of the Company and its Affiliates as the Committee may determine, and subject to such terms, conditions and restrictions as the Committee may deem advisable; and</w:t>
      </w:r>
    </w:p>
    <w:p>
      <w:pPr>
        <w:spacing w:after="0" w:line="187"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WHEREAS, pursuant to the Plan, the Committee has awarded to the Recipient a Performance Restricted Stock Unit, subject to the terms, conditions and restrictions set forth in the Plan and in this Agreement;</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NOW, THEREFORE, in consideration of the mutual covenants herein contained and other valuable consideration, the receipt and sufficiency of which are hereby acknowledged, the parties agree as follows:</w:t>
      </w:r>
    </w:p>
    <w:p>
      <w:pPr>
        <w:spacing w:after="0" w:line="62" w:lineRule="exact"/>
        <w:rPr>
          <w:sz w:val="20"/>
          <w:szCs w:val="20"/>
          <w:color w:val="auto"/>
        </w:rPr>
      </w:pPr>
    </w:p>
    <w:p>
      <w:pPr>
        <w:ind w:right="360" w:firstLine="444"/>
        <w:spacing w:after="0" w:line="286" w:lineRule="auto"/>
        <w:tabs>
          <w:tab w:leader="none" w:pos="621" w:val="left"/>
        </w:tabs>
        <w:numPr>
          <w:ilvl w:val="0"/>
          <w:numId w:val="29"/>
        </w:numPr>
        <w:rPr>
          <w:rFonts w:ascii="Arial" w:cs="Arial" w:eastAsia="Arial" w:hAnsi="Arial"/>
          <w:sz w:val="17"/>
          <w:szCs w:val="17"/>
          <w:color w:val="auto"/>
        </w:rPr>
      </w:pPr>
      <w:r>
        <w:rPr>
          <w:rFonts w:ascii="Arial" w:cs="Arial" w:eastAsia="Arial" w:hAnsi="Arial"/>
          <w:sz w:val="17"/>
          <w:szCs w:val="17"/>
          <w:color w:val="auto"/>
        </w:rPr>
        <w:t>Pursuant to the Plan, the Company hereby grants to the Recipient on the Award Date, a Performance Restricted Stock Unit award, and such units, the “Performance Restricted Stock Units,” are subject to the terms, conditions and restrictions set forth in the Plan and in this Agreement. Capitalized terms not otherwise defined in this Agreement shall have the same meanings as defined in the Plan.</w:t>
      </w:r>
    </w:p>
    <w:p>
      <w:pPr>
        <w:spacing w:after="0" w:line="57" w:lineRule="exact"/>
        <w:rPr>
          <w:rFonts w:ascii="Arial" w:cs="Arial" w:eastAsia="Arial" w:hAnsi="Arial"/>
          <w:sz w:val="17"/>
          <w:szCs w:val="17"/>
          <w:color w:val="auto"/>
        </w:rPr>
      </w:pPr>
    </w:p>
    <w:p>
      <w:pPr>
        <w:ind w:right="240" w:firstLine="444"/>
        <w:spacing w:after="0" w:line="258" w:lineRule="auto"/>
        <w:tabs>
          <w:tab w:leader="none" w:pos="6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such time the Performance Restricted Stock Units become vested and nonforfeitable pursuant to Paragraph 3, the Company will deliver to the Recipient an unrestricted certificate for a number of shares of Company Stock equal to the number of Performance</w:t>
      </w:r>
    </w:p>
    <w:p>
      <w:pPr>
        <w:spacing w:after="0" w:line="1"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color w:val="auto"/>
        </w:rPr>
        <w:t>Restricted Stock Units that became vested (“PRSU Shares”) or an equivalent cash amount based on the value of a share of Company Stock, or a combination of the two, as determined by the Committee, in its discretion. The applicable date of delivery of the PRSU Shares or cash shall be no later than sixty (60) days after the date or event on which the Performance Restricted Stock Units become vested and nonforfeitable pursuant to Paragraph 3, except as set forth in Paragraph 17.</w:t>
      </w:r>
    </w:p>
    <w:p>
      <w:pPr>
        <w:spacing w:after="0" w:line="81" w:lineRule="exact"/>
        <w:rPr>
          <w:rFonts w:ascii="Arial" w:cs="Arial" w:eastAsia="Arial" w:hAnsi="Arial"/>
          <w:sz w:val="18"/>
          <w:szCs w:val="18"/>
          <w:color w:val="auto"/>
        </w:rPr>
      </w:pPr>
    </w:p>
    <w:p>
      <w:pPr>
        <w:ind w:right="300" w:firstLine="444"/>
        <w:spacing w:after="0" w:line="286" w:lineRule="auto"/>
        <w:tabs>
          <w:tab w:leader="none" w:pos="62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Performance Restricted Stock Units (to the extent earned pursuant to Paragraph 4 below) shall become vested and nonforfeitable on the date the results are certified by the Committee which shall in any event occur within three months following the end of the Performance Period (the “Vest Date”). Vesting is contingent on continued employment throughout the Vest Date, except that:</w:t>
      </w:r>
    </w:p>
    <w:p>
      <w:pPr>
        <w:sectPr>
          <w:pgSz w:w="11900" w:h="16838" w:orient="portrait"/>
          <w:cols w:equalWidth="0" w:num="1">
            <w:col w:w="11020"/>
          </w:cols>
          <w:pgMar w:left="440" w:top="121" w:right="43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11UEP1 PRSU-EE-US-2011 Legal Plan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Page 1 of 8</w:t>
      </w:r>
    </w:p>
    <w:p>
      <w:pPr>
        <w:sectPr>
          <w:pgSz w:w="11900" w:h="16838" w:orient="portrait"/>
          <w:cols w:equalWidth="0" w:num="2">
            <w:col w:w="9480" w:space="720"/>
            <w:col w:w="820"/>
          </w:cols>
          <w:pgMar w:left="440" w:top="121" w:right="439" w:bottom="1440" w:gutter="0" w:footer="0" w:header="0"/>
          <w:type w:val="continuous"/>
        </w:sectPr>
      </w:pPr>
    </w:p>
    <w:bookmarkStart w:id="42" w:name="page43"/>
    <w:bookmarkEnd w:id="42"/>
    <w:p>
      <w:pPr>
        <w:ind w:left="1980" w:hanging="545"/>
        <w:spacing w:after="0"/>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death or Disability of the Recipient; or</w:t>
      </w:r>
    </w:p>
    <w:p>
      <w:pPr>
        <w:spacing w:after="0" w:line="130" w:lineRule="exact"/>
        <w:rPr>
          <w:rFonts w:ascii="Arial" w:cs="Arial" w:eastAsia="Arial" w:hAnsi="Arial"/>
          <w:sz w:val="18"/>
          <w:szCs w:val="18"/>
          <w:color w:val="auto"/>
        </w:rPr>
      </w:pPr>
    </w:p>
    <w:p>
      <w:pPr>
        <w:ind w:left="1980" w:right="140" w:hanging="545"/>
        <w:spacing w:after="0" w:line="277" w:lineRule="auto"/>
        <w:tabs>
          <w:tab w:leader="none" w:pos="1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Recipient’s Separation from Service with the Company (or any successor or Affiliate of the Company) as a result of and concurrent with a Change of Control (as defined in the Plan)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Performance Restricted Stock Units shall become vested and nonforfeitable on the Vest Date in an amount equal to the initial Performance Restricted Stock Unit award (the “Target Award”).</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 xml:space="preserve">In addition, in the event of the Recipient’s attainment of at least fifty-five (55) years of age and at least ten (10) years of service with the Company (or any successor or Affiliate of the Company) at the Recipient’s termination of employment date occurring on or after December 31st of the first year of the “Performance Period” (as such term is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then the Performance Restricted Stock Units shall become vested and nonforfeitable on the Vest Date, to the extent that the performance goals are achieved.</w:t>
      </w:r>
    </w:p>
    <w:p>
      <w:pPr>
        <w:spacing w:after="0" w:line="187"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Except to the extent, if any, that the Performance Restricted Stock Unit shall have become nonforfeitable pursuant to the foregoing provisions of this Paragraph 3, if the Recipient shall voluntarily or involuntarily leave the employ of the Company and its Affiliates prior to the Vest Date, the Performance Restricted Stock Unit (and any dividends, distributions and adjustments retained by the Company with respect thereto) shall be forfeited.</w:t>
      </w:r>
    </w:p>
    <w:p>
      <w:pPr>
        <w:spacing w:after="0" w:line="39" w:lineRule="exact"/>
        <w:rPr>
          <w:sz w:val="20"/>
          <w:szCs w:val="20"/>
          <w:color w:val="auto"/>
        </w:rPr>
      </w:pPr>
    </w:p>
    <w:p>
      <w:pPr>
        <w:ind w:right="60" w:firstLine="444"/>
        <w:spacing w:after="0" w:line="293" w:lineRule="auto"/>
        <w:tabs>
          <w:tab w:leader="none" w:pos="6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Agreement and subject to adjustments permitted by the Plan, the number of Performance Restricted Stock Units which will vest under this Agreement, if any, will be determined by multiplying (a) the sum of (i) 0.5 times the vested percentage applicable to Return on Tangible Capital (“ROTC”) plus (ii) 0.5 times the vested percentage applicable to Relative Total Shareholder Return (“TSR”) by (b) the Target Award. The maximum number of Performance Restricted Stock Units which can vest is 200% of the Target Award and the minimum number of Performance Restricted Stock Units which can vest is 0% of the Target Award. The vested percentage applicable to ROTC and TSR will each be determined over the “Performance Period” (as such term is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illustrated in the schedules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40" w:firstLine="444"/>
        <w:spacing w:after="0" w:line="264"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Recipient shall not sell, assign, transfer, pledge, hypothecate or otherwise dispose of, by operation of law or otherwise (collectively, “transfer”) any Performance Restricted Stock Units, or any interest therein other than by will or the laws of descent and distribution, unless and until the Performance Restricted Stock Units have been settled as provided in this Agreement.</w:t>
      </w:r>
    </w:p>
    <w:p>
      <w:pPr>
        <w:spacing w:after="0" w:line="73" w:lineRule="exact"/>
        <w:rPr>
          <w:rFonts w:ascii="Arial" w:cs="Arial" w:eastAsia="Arial" w:hAnsi="Arial"/>
          <w:sz w:val="18"/>
          <w:szCs w:val="18"/>
          <w:color w:val="auto"/>
        </w:rPr>
      </w:pPr>
    </w:p>
    <w:p>
      <w:pPr>
        <w:ind w:right="760" w:firstLine="444"/>
        <w:spacing w:after="0" w:line="277" w:lineRule="auto"/>
        <w:tabs>
          <w:tab w:leader="none" w:pos="6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issuance of PRSU Shares, Recipient will have no rights as a shareholder of the Company with respect to this Performance Restricted Stock Unit award or the Performance Restricted Stock Units.</w:t>
      </w:r>
    </w:p>
    <w:p>
      <w:pPr>
        <w:sectPr>
          <w:pgSz w:w="11900" w:h="16838" w:orient="portrait"/>
          <w:cols w:equalWidth="0" w:num="1">
            <w:col w:w="11020"/>
          </w:cols>
          <w:pgMar w:left="440" w:top="274" w:right="4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11UEP1 PRSU-EE-US-2011 Legal Plan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Page 2 of 8</w:t>
      </w:r>
    </w:p>
    <w:p>
      <w:pPr>
        <w:sectPr>
          <w:pgSz w:w="11900" w:h="16838" w:orient="portrait"/>
          <w:cols w:equalWidth="0" w:num="2">
            <w:col w:w="9480" w:space="720"/>
            <w:col w:w="820"/>
          </w:cols>
          <w:pgMar w:left="440" w:top="274" w:right="439" w:bottom="1440" w:gutter="0" w:footer="0" w:header="0"/>
          <w:type w:val="continuous"/>
        </w:sectPr>
      </w:pPr>
    </w:p>
    <w:bookmarkStart w:id="43" w:name="page44"/>
    <w:bookmarkEnd w:id="43"/>
    <w:p>
      <w:pPr>
        <w:ind w:right="40" w:firstLine="444"/>
        <w:spacing w:after="0" w:line="259" w:lineRule="auto"/>
        <w:tabs>
          <w:tab w:leader="none" w:pos="621"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number of outstanding shares of Company Stock changes through the declaration of stock dividends or stock splits prior to the vesting date, the Restricted Stock Units subject to this Award automatically will be adjusted, according to the provisions of Section 5(e) of the Plan. In the event of any other change in the capital structure or the Company Stock or other corporate events or transactions involving the Company, the Committee is authorized to make appropriate adjustments to this award.</w:t>
      </w:r>
    </w:p>
    <w:p>
      <w:pPr>
        <w:spacing w:after="0" w:line="78" w:lineRule="exact"/>
        <w:rPr>
          <w:rFonts w:ascii="Arial" w:cs="Arial" w:eastAsia="Arial" w:hAnsi="Arial"/>
          <w:sz w:val="18"/>
          <w:szCs w:val="18"/>
          <w:color w:val="auto"/>
        </w:rPr>
      </w:pPr>
    </w:p>
    <w:p>
      <w:pPr>
        <w:ind w:right="60" w:firstLine="444"/>
        <w:spacing w:after="0" w:line="293" w:lineRule="auto"/>
        <w:tabs>
          <w:tab w:leader="none" w:pos="6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 0.5% as such rate is set forth in the Wall Street Journal as of the first business day of each calendar quarter. Dividend Equivalents shall be subject to the same terms and conditions, and shall vest and be paid, or be forfeited (if applicable), at the same time as the Restricted Stock Units to which they relate.</w:t>
      </w:r>
    </w:p>
    <w:p>
      <w:pPr>
        <w:spacing w:after="0" w:line="56" w:lineRule="exact"/>
        <w:rPr>
          <w:rFonts w:ascii="Arial" w:cs="Arial" w:eastAsia="Arial" w:hAnsi="Arial"/>
          <w:sz w:val="16"/>
          <w:szCs w:val="16"/>
          <w:color w:val="auto"/>
        </w:rPr>
      </w:pPr>
    </w:p>
    <w:p>
      <w:pPr>
        <w:ind w:right="80" w:firstLine="444"/>
        <w:spacing w:after="0" w:line="284" w:lineRule="auto"/>
        <w:tabs>
          <w:tab w:leader="none" w:pos="6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in connection with the grant, vesting or settlement of the Performance Restricted Stock Unit award or issuance of PRSU Shares with respect to vested Performance Restricted Stock Units, the Company (or any successor or Affiliate) shall be required to withhold amounts under applicable federal, state, local or foreign laws, rules or regulations, including income tax, social insurance, payroll tax, fringe benefits tax, payment on account or other tax-related items related to the Recipient’s participation in the Plan and legally applicable to the Recipient (“Tax-Related Items”), the Company will withhold such number of shares of Company Stock (thus reducing the number of shares to be issued to the Recipient) as shall have a Fair Market Value, valued on the date on which Tax-Related Items are determined, equal to the amount required to be withheld to satisfy the Company (or successor or Affiliate’s) withholding obligations. Notwithstanding anything in this Paragraph 9 to the contrary, to avoid a prohibited acceleration under</w:t>
      </w:r>
    </w:p>
    <w:p>
      <w:pPr>
        <w:spacing w:after="0" w:line="2"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Section 409A,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81" w:lineRule="exact"/>
        <w:rPr>
          <w:rFonts w:ascii="Arial" w:cs="Arial" w:eastAsia="Arial" w:hAnsi="Arial"/>
          <w:sz w:val="16"/>
          <w:szCs w:val="16"/>
          <w:color w:val="auto"/>
        </w:rPr>
      </w:pPr>
    </w:p>
    <w:p>
      <w:pPr>
        <w:ind w:left="720" w:hanging="27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and the Recipient each hereby agrees to be bound by the terms and conditions set forth in the Plan.</w:t>
      </w:r>
    </w:p>
    <w:p>
      <w:pPr>
        <w:spacing w:after="0" w:line="117" w:lineRule="exact"/>
        <w:rPr>
          <w:rFonts w:ascii="Arial" w:cs="Arial" w:eastAsia="Arial" w:hAnsi="Arial"/>
          <w:sz w:val="18"/>
          <w:szCs w:val="18"/>
          <w:color w:val="auto"/>
        </w:rPr>
      </w:pPr>
    </w:p>
    <w:p>
      <w:pPr>
        <w:ind w:firstLine="444"/>
        <w:spacing w:after="0" w:line="257" w:lineRule="auto"/>
        <w:tabs>
          <w:tab w:leader="none" w:pos="7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notices or other communications given in connection with this Agreement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ectPr>
          <w:pgSz w:w="11900" w:h="16838" w:orient="portrait"/>
          <w:cols w:equalWidth="0" w:num="1">
            <w:col w:w="11020"/>
          </w:cols>
          <w:pgMar w:left="440" w:top="274" w:right="439"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11UEP1 PRSU-EE-US-2011 Legal Plan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Page 3 of 8</w:t>
      </w:r>
    </w:p>
    <w:p>
      <w:pPr>
        <w:sectPr>
          <w:pgSz w:w="11900" w:h="16838" w:orient="portrait"/>
          <w:cols w:equalWidth="0" w:num="2">
            <w:col w:w="9480" w:space="720"/>
            <w:col w:w="820"/>
          </w:cols>
          <w:pgMar w:left="440" w:top="274" w:right="439" w:bottom="1440" w:gutter="0" w:footer="0" w:header="0"/>
          <w:type w:val="continuous"/>
        </w:sectPr>
      </w:pPr>
    </w:p>
    <w:bookmarkStart w:id="44" w:name="page45"/>
    <w:bookmarkEnd w:id="44"/>
    <w:p>
      <w:pPr>
        <w:ind w:left="720" w:hanging="27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and the Plan constitute the whole agreement between the parties hereto with respect to the Performance Restricted Stock Unit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102" w:lineRule="exact"/>
        <w:rPr>
          <w:rFonts w:ascii="Arial" w:cs="Arial" w:eastAsia="Arial" w:hAnsi="Arial"/>
          <w:sz w:val="16"/>
          <w:szCs w:val="16"/>
          <w:color w:val="auto"/>
        </w:rPr>
      </w:pPr>
    </w:p>
    <w:p>
      <w:pPr>
        <w:ind w:right="220" w:firstLine="444"/>
        <w:spacing w:after="0" w:line="277"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shall not be construed as creating any contract of employment between the Company and the Recipient and does not entitle the Recipient to any benefit other than that granted under this Agreement.</w:t>
      </w:r>
    </w:p>
    <w:p>
      <w:pPr>
        <w:spacing w:after="0" w:line="62" w:lineRule="exact"/>
        <w:rPr>
          <w:rFonts w:ascii="Arial" w:cs="Arial" w:eastAsia="Arial" w:hAnsi="Arial"/>
          <w:sz w:val="18"/>
          <w:szCs w:val="18"/>
          <w:color w:val="auto"/>
        </w:rPr>
      </w:pPr>
    </w:p>
    <w:p>
      <w:pPr>
        <w:ind w:right="140" w:firstLine="444"/>
        <w:spacing w:after="0" w:line="264"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on, the Company and its successors and assigns, and shall inure to the benefit of, and be binding on, the Recipient and his heirs, executors, administrators and legal representatives. This Agreement shall not be assignable by the Recipient.</w:t>
      </w:r>
    </w:p>
    <w:p>
      <w:pPr>
        <w:spacing w:after="0" w:line="73" w:lineRule="exact"/>
        <w:rPr>
          <w:rFonts w:ascii="Arial" w:cs="Arial" w:eastAsia="Arial" w:hAnsi="Arial"/>
          <w:sz w:val="18"/>
          <w:szCs w:val="18"/>
          <w:color w:val="auto"/>
        </w:rPr>
      </w:pPr>
    </w:p>
    <w:p>
      <w:pPr>
        <w:ind w:firstLine="444"/>
        <w:spacing w:after="0" w:line="270" w:lineRule="auto"/>
        <w:tabs>
          <w:tab w:leader="none" w:pos="7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73" w:lineRule="exact"/>
        <w:rPr>
          <w:rFonts w:ascii="Arial" w:cs="Arial" w:eastAsia="Arial" w:hAnsi="Arial"/>
          <w:sz w:val="17"/>
          <w:szCs w:val="17"/>
          <w:color w:val="auto"/>
        </w:rPr>
      </w:pPr>
    </w:p>
    <w:p>
      <w:pPr>
        <w:ind w:right="180" w:firstLine="444"/>
        <w:spacing w:after="0" w:line="277"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Agreement shall be subject to and construed in accordance with, the laws of the State of Delaware without giving effect to principles of conflicts of law.</w:t>
      </w:r>
    </w:p>
    <w:p>
      <w:pPr>
        <w:spacing w:after="0" w:line="62" w:lineRule="exact"/>
        <w:rPr>
          <w:rFonts w:ascii="Arial" w:cs="Arial" w:eastAsia="Arial" w:hAnsi="Arial"/>
          <w:sz w:val="18"/>
          <w:szCs w:val="18"/>
          <w:color w:val="auto"/>
        </w:rPr>
      </w:pPr>
    </w:p>
    <w:p>
      <w:pPr>
        <w:ind w:right="60" w:firstLine="444"/>
        <w:spacing w:after="0" w:line="272" w:lineRule="auto"/>
        <w:tabs>
          <w:tab w:leader="none" w:pos="7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This Agreement is intended to comply with Section 409A of the Internal Revenue Code of 1986, as amended, and the regulations and guidance issued thereunder (“Section 409A”), to the extent subject thereto, and accordingly, to the maximum extent permitted, this Agreement shall be interpreted and administered to be in compliance therewith. Notwithstanding anything to the contrary in the Plan or this Agreement, the Company reserves the right to revise this Agreement as it deems necessary or advisable, in its sole discretion and without the Recipient’s consent, to comply with Section 409A or to otherwise avoid imposition of any additional tax or income recognition under Section 409A prior to the actual payment of cash or Company Stock pursuant to the Performance Restricted Stock Unit. The Company (including its Affiliates) shall not have any liability under the Plan or this Agreement for any taxes, penalties or interest due on amounts paid or payable pursuant to the Plan or this</w:t>
      </w:r>
    </w:p>
    <w:p>
      <w:pPr>
        <w:sectPr>
          <w:pgSz w:w="11900" w:h="16838" w:orient="portrait"/>
          <w:cols w:equalWidth="0" w:num="1">
            <w:col w:w="11020"/>
          </w:cols>
          <w:pgMar w:left="440" w:top="274" w:right="4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11UEP1 PRSU-EE-US-2011 Legal Plan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Page 4 of 8</w:t>
      </w:r>
    </w:p>
    <w:p>
      <w:pPr>
        <w:sectPr>
          <w:pgSz w:w="11900" w:h="16838" w:orient="portrait"/>
          <w:cols w:equalWidth="0" w:num="2">
            <w:col w:w="9480" w:space="720"/>
            <w:col w:w="820"/>
          </w:cols>
          <w:pgMar w:left="440" w:top="274" w:right="439" w:bottom="1440" w:gutter="0" w:footer="0" w:header="0"/>
          <w:type w:val="continuous"/>
        </w:sectPr>
      </w:pPr>
    </w:p>
    <w:bookmarkStart w:id="45" w:name="page46"/>
    <w:bookmarkEnd w:id="45"/>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including any taxes, penalties or interest imposed under Section 409A. Each amount to be paid under this Agreement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59" w:lineRule="exact"/>
        <w:rPr>
          <w:sz w:val="20"/>
          <w:szCs w:val="20"/>
          <w:color w:val="auto"/>
        </w:rPr>
      </w:pPr>
    </w:p>
    <w:p>
      <w:pPr>
        <w:ind w:firstLine="444"/>
        <w:spacing w:after="0" w:line="267" w:lineRule="auto"/>
        <w:tabs>
          <w:tab w:leader="none" w:pos="7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84" w:lineRule="exact"/>
        <w:rPr>
          <w:rFonts w:ascii="Arial" w:cs="Arial" w:eastAsia="Arial" w:hAnsi="Arial"/>
          <w:sz w:val="17"/>
          <w:szCs w:val="17"/>
          <w:color w:val="auto"/>
        </w:rPr>
      </w:pPr>
    </w:p>
    <w:p>
      <w:pPr>
        <w:ind w:right="40" w:firstLine="444"/>
        <w:spacing w:after="0" w:line="279" w:lineRule="auto"/>
        <w:tabs>
          <w:tab w:leader="none" w:pos="711"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Agreement shall limit or otherwise prevent (i) any person from providing truthful testimony or information in any proceeding or in response to any request from any governmental agency or</w:t>
      </w:r>
    </w:p>
    <w:p>
      <w:pPr>
        <w:sectPr>
          <w:pgSz w:w="11900" w:h="16838" w:orient="portrait"/>
          <w:cols w:equalWidth="0" w:num="1">
            <w:col w:w="11020"/>
          </w:cols>
          <w:pgMar w:left="440" w:top="274" w:right="4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11UEP1 PRSU-EE-US-2011 Legal Plan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Page 5 of 8</w:t>
      </w:r>
    </w:p>
    <w:p>
      <w:pPr>
        <w:sectPr>
          <w:pgSz w:w="11900" w:h="16838" w:orient="portrait"/>
          <w:cols w:equalWidth="0" w:num="2">
            <w:col w:w="9480" w:space="720"/>
            <w:col w:w="820"/>
          </w:cols>
          <w:pgMar w:left="440" w:top="274" w:right="439" w:bottom="1440" w:gutter="0" w:footer="0" w:header="0"/>
          <w:type w:val="continuous"/>
        </w:sectPr>
      </w:pPr>
    </w:p>
    <w:bookmarkStart w:id="46" w:name="page47"/>
    <w:bookmarkEnd w:id="4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judicial, arbitral or self-regulatory forum or as otherwise required by law; (ii) either party from enforcing the other terms of this Agreement;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ectPr>
          <w:pgSz w:w="11900" w:h="16838" w:orient="portrait"/>
          <w:cols w:equalWidth="0" w:num="1">
            <w:col w:w="11020"/>
          </w:cols>
          <w:pgMar w:left="440" w:top="274" w:right="4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11UEP1 PRSU-EE-US-2011 Legal Plan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Page 6 of 8</w:t>
      </w:r>
    </w:p>
    <w:p>
      <w:pPr>
        <w:sectPr>
          <w:pgSz w:w="11900" w:h="16838" w:orient="portrait"/>
          <w:cols w:equalWidth="0" w:num="2">
            <w:col w:w="9480" w:space="720"/>
            <w:col w:w="820"/>
          </w:cols>
          <w:pgMar w:left="440" w:top="274" w:right="4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OMNIBUS INCENTIVE COMPENSATION PLAN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AMETEK,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PERFORMANCE RESTRICTED STOCK UNIT AGREEMENT</w:t>
      </w:r>
    </w:p>
    <w:p>
      <w:pPr>
        <w:spacing w:after="0" w:line="225"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Except as otherwise provided in this Agreement and subject to adjustments permitted by the Plan, the number of Performance Restricted Stock Units which will vest under this Agreement, if any, will be determined by multiplying (a) the sum of (i) 0.5 times the vested percentage applicable to Return on Tangible Capital (“ROTC”) plus (ii) 0.5 times the vested percentage applicable to Relative Total Shareholder Return (“TSR”) by (b) the number of initial Performance Restricted Stock Units granted (the “Target Award”). The maximum number of Performance Restricted Stock Units which can vest is 200% of the Target Award and the minimum number of Performance Restricted Stock Units which can vest is 0% of the Target Award.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vested percentage applicable to ROTC and TSR will each be determined over the Performance Period as illustrated in the schedules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“Performance Period” means the period beginning January 1, 2019 and ending December 31, 2021.</w:t>
      </w:r>
    </w:p>
    <w:p>
      <w:pPr>
        <w:spacing w:after="0" w:line="103"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u w:val="single" w:color="auto"/>
          <w:color w:val="auto"/>
        </w:rPr>
        <w:t>Calculating ROTC</w:t>
      </w:r>
      <w:r>
        <w:rPr>
          <w:rFonts w:ascii="Arial" w:cs="Arial" w:eastAsia="Arial" w:hAnsi="Arial"/>
          <w:sz w:val="16"/>
          <w:szCs w:val="16"/>
          <w:color w:val="auto"/>
        </w:rPr>
        <w:t>. Annual ROTC is calculated by dividing EBITDA (earnings before interest, income taxes, depreciation and amortization), and adjusting for certain non-GAAP charges (i.e., realignment costs) and trailing EBITDA of acquisitions, by average net tangible capital. Average net tangible capital is the simple average calculation of beginning and ending net tangible assets (total assets less cash, less goodwill and less other intangibles, net), less net current liabilities (current liabilities, less short-term borrowings and current portion of long-term debt).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will make adjustments, on a case-by-case basis, to modify the calculation of ROTC to fairly represent changes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occurring during the target and/or performance periods in the measurement of ROTC performance against target.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Return on Tangible Capital (ROTC)</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vested percentage applicable to ROTC will be determined based on AMETEK, Inc. average annual ROTC (“Average ROTC”) as calculated below for the Performance Period in accordance with the following schedule: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gridSpan w:val="4"/>
          </w:tcPr>
          <w:p>
            <w:pPr>
              <w:ind w:left="1780"/>
              <w:spacing w:after="0"/>
              <w:rPr>
                <w:sz w:val="20"/>
                <w:szCs w:val="20"/>
                <w:color w:val="auto"/>
              </w:rPr>
            </w:pPr>
            <w:r>
              <w:rPr>
                <w:rFonts w:ascii="Arial" w:cs="Arial" w:eastAsia="Arial" w:hAnsi="Arial"/>
                <w:sz w:val="14"/>
                <w:szCs w:val="14"/>
                <w:color w:val="auto"/>
              </w:rPr>
              <w:t>Average ROTC</w:t>
            </w:r>
          </w:p>
        </w:tc>
        <w:tc>
          <w:tcPr>
            <w:tcW w:w="5340" w:type="dxa"/>
            <w:vAlign w:val="bottom"/>
            <w:gridSpan w:val="4"/>
          </w:tcPr>
          <w:p>
            <w:pPr>
              <w:ind w:left="1900"/>
              <w:spacing w:after="0"/>
              <w:rPr>
                <w:sz w:val="20"/>
                <w:szCs w:val="20"/>
                <w:color w:val="auto"/>
              </w:rPr>
            </w:pPr>
            <w:r>
              <w:rPr>
                <w:rFonts w:ascii="Arial" w:cs="Arial" w:eastAsia="Arial" w:hAnsi="Arial"/>
                <w:sz w:val="14"/>
                <w:szCs w:val="14"/>
                <w:color w:val="auto"/>
              </w:rPr>
              <w:t>ROTC Vested Percentage</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90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&lt; 52%</w:t>
            </w:r>
          </w:p>
        </w:tc>
        <w:tc>
          <w:tcPr>
            <w:tcW w:w="3000" w:type="dxa"/>
            <w:vAlign w:val="bottom"/>
            <w:shd w:val="clear" w:color="auto" w:fill="CCEEFF"/>
          </w:tcPr>
          <w:p>
            <w:pPr>
              <w:spacing w:after="0" w:line="20" w:lineRule="exact"/>
              <w:rPr>
                <w:sz w:val="1"/>
                <w:szCs w:val="1"/>
                <w:color w:val="auto"/>
              </w:rPr>
            </w:pPr>
          </w:p>
        </w:tc>
        <w:tc>
          <w:tcPr>
            <w:tcW w:w="190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80" w:type="dxa"/>
            <w:vAlign w:val="bottom"/>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90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52%</w:t>
            </w:r>
          </w:p>
        </w:tc>
        <w:tc>
          <w:tcPr>
            <w:tcW w:w="3000" w:type="dxa"/>
            <w:vAlign w:val="bottom"/>
          </w:tcPr>
          <w:p>
            <w:pPr>
              <w:spacing w:after="0"/>
              <w:rPr>
                <w:sz w:val="18"/>
                <w:szCs w:val="18"/>
                <w:color w:val="auto"/>
              </w:rPr>
            </w:pPr>
          </w:p>
        </w:tc>
        <w:tc>
          <w:tcPr>
            <w:tcW w:w="358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92%</w:t>
            </w:r>
          </w:p>
        </w:tc>
        <w:tc>
          <w:tcPr>
            <w:tcW w:w="3000" w:type="dxa"/>
            <w:vAlign w:val="bottom"/>
            <w:shd w:val="clear" w:color="auto" w:fill="CCEEFF"/>
          </w:tcPr>
          <w:p>
            <w:pPr>
              <w:spacing w:after="0"/>
              <w:rPr>
                <w:sz w:val="18"/>
                <w:szCs w:val="18"/>
                <w:color w:val="auto"/>
              </w:rPr>
            </w:pPr>
          </w:p>
        </w:tc>
        <w:tc>
          <w:tcPr>
            <w:tcW w:w="3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&gt;112%</w:t>
            </w:r>
          </w:p>
        </w:tc>
        <w:tc>
          <w:tcPr>
            <w:tcW w:w="3000" w:type="dxa"/>
            <w:vAlign w:val="bottom"/>
          </w:tcPr>
          <w:p>
            <w:pPr>
              <w:spacing w:after="0"/>
              <w:rPr>
                <w:sz w:val="15"/>
                <w:szCs w:val="15"/>
                <w:color w:val="auto"/>
              </w:rPr>
            </w:pPr>
          </w:p>
        </w:tc>
        <w:tc>
          <w:tcPr>
            <w:tcW w:w="358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200%</w:t>
            </w: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1780" w:type="dxa"/>
            <w:vAlign w:val="bottom"/>
          </w:tcPr>
          <w:p>
            <w:pPr>
              <w:spacing w:after="0"/>
              <w:rPr>
                <w:sz w:val="20"/>
                <w:szCs w:val="20"/>
                <w:color w:val="auto"/>
              </w:rPr>
            </w:pPr>
            <w:r>
              <w:rPr>
                <w:rFonts w:ascii="Arial" w:cs="Arial" w:eastAsia="Arial" w:hAnsi="Arial"/>
                <w:sz w:val="18"/>
                <w:szCs w:val="18"/>
                <w:color w:val="auto"/>
                <w:w w:val="97"/>
              </w:rPr>
              <w:t>US EE Perf RSU 2019</w:t>
            </w:r>
          </w:p>
        </w:tc>
        <w:tc>
          <w:tcPr>
            <w:tcW w:w="100" w:type="dxa"/>
            <w:vAlign w:val="bottom"/>
            <w:tcBorders>
              <w:top w:val="single" w:sz="8" w:color="auto"/>
            </w:tcBorders>
          </w:tcPr>
          <w:p>
            <w:pPr>
              <w:spacing w:after="0"/>
              <w:rPr>
                <w:sz w:val="24"/>
                <w:szCs w:val="24"/>
                <w:color w:val="auto"/>
              </w:rPr>
            </w:pPr>
          </w:p>
        </w:tc>
        <w:tc>
          <w:tcPr>
            <w:tcW w:w="380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ind w:left="940"/>
              <w:spacing w:after="0"/>
              <w:rPr>
                <w:sz w:val="20"/>
                <w:szCs w:val="20"/>
                <w:color w:val="auto"/>
              </w:rPr>
            </w:pPr>
            <w:r>
              <w:rPr>
                <w:rFonts w:ascii="Arial" w:cs="Arial" w:eastAsia="Arial" w:hAnsi="Arial"/>
                <w:sz w:val="18"/>
                <w:szCs w:val="18"/>
                <w:color w:val="auto"/>
                <w:w w:val="86"/>
              </w:rPr>
              <w:t>Page 7 of 8</w:t>
            </w:r>
          </w:p>
        </w:tc>
        <w:tc>
          <w:tcPr>
            <w:tcW w:w="0" w:type="dxa"/>
            <w:vAlign w:val="bottom"/>
          </w:tcPr>
          <w:p>
            <w:pPr>
              <w:spacing w:after="0"/>
              <w:rPr>
                <w:sz w:val="1"/>
                <w:szCs w:val="1"/>
                <w:color w:val="auto"/>
              </w:rPr>
            </w:pPr>
          </w:p>
        </w:tc>
      </w:tr>
      <w:tr>
        <w:trPr>
          <w:trHeight w:val="230"/>
        </w:trPr>
        <w:tc>
          <w:tcPr>
            <w:tcW w:w="5680" w:type="dxa"/>
            <w:vAlign w:val="bottom"/>
            <w:gridSpan w:val="4"/>
          </w:tcPr>
          <w:p>
            <w:pPr>
              <w:spacing w:after="0"/>
              <w:rPr>
                <w:sz w:val="20"/>
                <w:szCs w:val="20"/>
                <w:color w:val="auto"/>
              </w:rPr>
            </w:pPr>
            <w:r>
              <w:rPr>
                <w:rFonts w:ascii="Arial" w:cs="Arial" w:eastAsia="Arial" w:hAnsi="Arial"/>
                <w:sz w:val="18"/>
                <w:szCs w:val="18"/>
                <w:color w:val="auto"/>
              </w:rPr>
              <w:t>Grant Plan: 11UEP1 PRSU-EE-US-2011 Legal Plan</w:t>
            </w: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8" w:name="page49"/>
    <w:bookmarkEnd w:id="48"/>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Vested percentages between the amounts shown will be calculated by linear interpolation. The vested percentage applicable to ROTC will be 0% if the Average ROTC for the Performance Period is below 52%. In no event will the vested percentage applicable to ROTC be greater than 200%.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Average ROTC will equal the sum of the three annual ROTC calculations during the Performance Period divided by three.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Total Shareholder Return (TSR)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vested percentage applicable to TSR will be determined based on AMETEK TSR (as defined below) over the Performance Period relative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TSR of the S&amp;P 500 Industrials Index during the same period in accordance with the following schedule:</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TSR Ranking Relative to S&amp;P 500 Industrials</w:t>
            </w:r>
          </w:p>
        </w:tc>
        <w:tc>
          <w:tcPr>
            <w:tcW w:w="4820" w:type="dxa"/>
            <w:vAlign w:val="bottom"/>
            <w:gridSpan w:val="3"/>
          </w:tcPr>
          <w:p>
            <w:pPr>
              <w:jc w:val="right"/>
              <w:ind w:right="200"/>
              <w:spacing w:after="0"/>
              <w:rPr>
                <w:sz w:val="20"/>
                <w:szCs w:val="20"/>
                <w:color w:val="auto"/>
              </w:rPr>
            </w:pPr>
            <w:r>
              <w:rPr>
                <w:rFonts w:ascii="Arial" w:cs="Arial" w:eastAsia="Arial" w:hAnsi="Arial"/>
                <w:sz w:val="14"/>
                <w:szCs w:val="14"/>
                <w:color w:val="auto"/>
              </w:rPr>
              <w:t>TSR Vested Percentage</w:t>
            </w:r>
          </w:p>
        </w:tc>
        <w:tc>
          <w:tcPr>
            <w:tcW w:w="0" w:type="dxa"/>
            <w:vAlign w:val="bottom"/>
          </w:tcPr>
          <w:p>
            <w:pPr>
              <w:spacing w:after="0"/>
              <w:rPr>
                <w:sz w:val="1"/>
                <w:szCs w:val="1"/>
                <w:color w:val="auto"/>
              </w:rPr>
            </w:pPr>
          </w:p>
        </w:tc>
      </w:tr>
      <w:tr>
        <w:trPr>
          <w:trHeight w:val="20"/>
        </w:trPr>
        <w:tc>
          <w:tcPr>
            <w:tcW w:w="2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&lt;30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vMerge w:val="continue"/>
            <w:shd w:val="clear" w:color="auto" w:fill="CCEEFF"/>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30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2660" w:type="dxa"/>
            <w:vAlign w:val="bottom"/>
            <w:gridSpan w:val="2"/>
          </w:tcPr>
          <w:p>
            <w:pPr>
              <w:spacing w:after="0" w:line="176" w:lineRule="exact"/>
              <w:rPr>
                <w:sz w:val="20"/>
                <w:szCs w:val="20"/>
                <w:color w:val="auto"/>
              </w:rPr>
            </w:pPr>
            <w:r>
              <w:rPr>
                <w:rFonts w:ascii="Arial" w:cs="Arial" w:eastAsia="Arial" w:hAnsi="Arial"/>
                <w:sz w:val="18"/>
                <w:szCs w:val="18"/>
                <w:color w:val="auto"/>
              </w:rPr>
              <w:t>&gt;80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Vested percentages between the amounts shown will be calculated by linear interpolation. The vested percentage applicable to TSR will be 0% if AMETEK TSR ranks lower than the 30th percentile relative to the S&amp;P 500 Industrials. In no event will the vested percentage applicable to TSR be greater than 200%.</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purposes of this Agreement, the term “TSR” means [(a) – (b) + (c)] / (b), where (a) is the Stock Price (as defined below) on the last business day of the Performance Period, (b) is the Stock Price on the first business day of the Performance Period and (c) is dividends paid during the Performance Period. The term Stock Price means the average daily closing price of a share of common stock of the Company or the companies comprising the S&amp;P 500 Industrials, as applicable, during the preceding 10 trading days. The Stock Price for the Company shall be adjusted to reflect a stock split, reverse stock split, spin-off or other similar extraordinary event affecting the shares in question without the issuer’s receipt of consideration occurring during the Performance Period.</w:t>
      </w:r>
    </w:p>
    <w:p>
      <w:pPr>
        <w:sectPr>
          <w:pgSz w:w="11900" w:h="16838" w:orient="portrait"/>
          <w:cols w:equalWidth="0" w:num="1">
            <w:col w:w="11020"/>
          </w:cols>
          <w:pgMar w:left="440" w:top="274"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11UEP1 PRSU-EE-US-2011 Legal Plan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Page 8 of 8</w:t>
      </w:r>
    </w:p>
    <w:p>
      <w:pPr>
        <w:sectPr>
          <w:pgSz w:w="11900" w:h="16838" w:orient="portrait"/>
          <w:cols w:equalWidth="0" w:num="2">
            <w:col w:w="9480" w:space="720"/>
            <w:col w:w="820"/>
          </w:cols>
          <w:pgMar w:left="440" w:top="274" w:right="4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OMNIBUS INCENTIVE COMPENSATION PLAN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AMETEK,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PERFORMANCE RESTRICTED STOCK UNIT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NON-U.S. RECIPIENTS</w:t>
      </w:r>
    </w:p>
    <w:p>
      <w:pPr>
        <w:spacing w:after="0" w:line="211" w:lineRule="exact"/>
        <w:rPr>
          <w:sz w:val="20"/>
          <w:szCs w:val="20"/>
          <w:color w:val="auto"/>
        </w:rPr>
      </w:pPr>
    </w:p>
    <w:p>
      <w:pPr>
        <w:ind w:right="60" w:firstLine="992"/>
        <w:spacing w:after="0" w:line="264" w:lineRule="auto"/>
        <w:rPr>
          <w:sz w:val="20"/>
          <w:szCs w:val="20"/>
          <w:color w:val="auto"/>
        </w:rPr>
      </w:pPr>
      <w:r>
        <w:rPr>
          <w:rFonts w:ascii="Arial" w:cs="Arial" w:eastAsia="Arial" w:hAnsi="Arial"/>
          <w:sz w:val="18"/>
          <w:szCs w:val="18"/>
          <w:color w:val="auto"/>
        </w:rPr>
        <w:t>PERFORMANCE RESTRICTED STOCK UNIT AGREEMENT FOR NON-U.S. RECIPIENTS, including any special terms and conditions for the recipient’s country as set forth in the addendum (“Addendum”) attached hereto (collectively, the “Agreement”), made as of the Award Date, by and between AMETEK, Inc., a Delaware corporation (the “Company” or “AMETEK”), and the Recipient.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225" w:lineRule="exact"/>
        <w:rPr>
          <w:sz w:val="20"/>
          <w:szCs w:val="20"/>
          <w:color w:val="auto"/>
        </w:rPr>
      </w:pPr>
    </w:p>
    <w:p>
      <w:pPr>
        <w:jc w:val="both"/>
        <w:ind w:firstLine="992"/>
        <w:spacing w:after="0" w:line="259" w:lineRule="auto"/>
        <w:rPr>
          <w:sz w:val="20"/>
          <w:szCs w:val="20"/>
          <w:color w:val="auto"/>
        </w:rPr>
      </w:pPr>
      <w:r>
        <w:rPr>
          <w:rFonts w:ascii="Arial" w:cs="Arial" w:eastAsia="Arial" w:hAnsi="Arial"/>
          <w:sz w:val="18"/>
          <w:szCs w:val="18"/>
          <w:color w:val="auto"/>
        </w:rPr>
        <w:t>WHEREAS, the Company has adopted the 2011 Omnibus Incentive Compensation Plan of AMETEK, Inc. (the “Plan”), pursuant to which the Compensation Committee of the Board of Directors of the Company (the “Committee”) may, inter alia, award Performance Restricted Stock Units to such employees or non-employee directors of the Company and its Affiliates as the Committee may determine, and subject to such terms, conditions and restrictions as the Committee may deem advisable; and</w:t>
      </w:r>
    </w:p>
    <w:p>
      <w:pPr>
        <w:spacing w:after="0" w:line="187" w:lineRule="exact"/>
        <w:rPr>
          <w:sz w:val="20"/>
          <w:szCs w:val="20"/>
          <w:color w:val="auto"/>
        </w:rPr>
      </w:pPr>
    </w:p>
    <w:p>
      <w:pPr>
        <w:ind w:right="120" w:firstLine="992"/>
        <w:spacing w:after="0" w:line="277" w:lineRule="auto"/>
        <w:rPr>
          <w:sz w:val="20"/>
          <w:szCs w:val="20"/>
          <w:color w:val="auto"/>
        </w:rPr>
      </w:pPr>
      <w:r>
        <w:rPr>
          <w:rFonts w:ascii="Arial" w:cs="Arial" w:eastAsia="Arial" w:hAnsi="Arial"/>
          <w:sz w:val="18"/>
          <w:szCs w:val="18"/>
          <w:color w:val="auto"/>
        </w:rPr>
        <w:t>WHEREAS, pursuant to the Plan, the Committee has awarded to the Recipient a Performance Restricted Stock Unit, subject to the terms, conditions and restrictions set forth in the Plan and in this Agreement;</w:t>
      </w:r>
    </w:p>
    <w:p>
      <w:pPr>
        <w:spacing w:after="0" w:line="170" w:lineRule="exact"/>
        <w:rPr>
          <w:sz w:val="20"/>
          <w:szCs w:val="20"/>
          <w:color w:val="auto"/>
        </w:rPr>
      </w:pPr>
    </w:p>
    <w:p>
      <w:pPr>
        <w:ind w:right="680" w:firstLine="992"/>
        <w:spacing w:after="0" w:line="277" w:lineRule="auto"/>
        <w:rPr>
          <w:sz w:val="20"/>
          <w:szCs w:val="20"/>
          <w:color w:val="auto"/>
        </w:rPr>
      </w:pPr>
      <w:r>
        <w:rPr>
          <w:rFonts w:ascii="Arial" w:cs="Arial" w:eastAsia="Arial" w:hAnsi="Arial"/>
          <w:sz w:val="18"/>
          <w:szCs w:val="18"/>
          <w:color w:val="auto"/>
        </w:rPr>
        <w:t>NOW, THEREFORE, in consideration of the mutual covenants herein contained and other valuable consideration, the receipt and sufficiency of which are hereby acknowledged, the parties agree as follows:</w:t>
      </w:r>
    </w:p>
    <w:p>
      <w:pPr>
        <w:spacing w:after="0" w:line="62" w:lineRule="exact"/>
        <w:rPr>
          <w:sz w:val="20"/>
          <w:szCs w:val="20"/>
          <w:color w:val="auto"/>
        </w:rPr>
      </w:pPr>
    </w:p>
    <w:p>
      <w:pPr>
        <w:ind w:right="180" w:firstLine="996"/>
        <w:spacing w:after="0" w:line="286" w:lineRule="auto"/>
        <w:tabs>
          <w:tab w:leader="none" w:pos="1172" w:val="left"/>
        </w:tabs>
        <w:numPr>
          <w:ilvl w:val="0"/>
          <w:numId w:val="35"/>
        </w:numPr>
        <w:rPr>
          <w:rFonts w:ascii="Arial" w:cs="Arial" w:eastAsia="Arial" w:hAnsi="Arial"/>
          <w:sz w:val="17"/>
          <w:szCs w:val="17"/>
          <w:color w:val="auto"/>
        </w:rPr>
      </w:pPr>
      <w:r>
        <w:rPr>
          <w:rFonts w:ascii="Arial" w:cs="Arial" w:eastAsia="Arial" w:hAnsi="Arial"/>
          <w:sz w:val="17"/>
          <w:szCs w:val="17"/>
          <w:color w:val="auto"/>
        </w:rPr>
        <w:t>Pursuant to the Plan, the Company hereby grants to the Recipient on the Award Date, a Performance Restricted Stock Unit award, and such units, the “Performance Restricted Stock Units,” are subject to the terms, conditions and restrictions set forth in the Plan and in this Agreement. Capitalized terms not otherwise defined in this Agreement shall have the same meanings as defined in the Plan.</w:t>
      </w:r>
    </w:p>
    <w:p>
      <w:pPr>
        <w:spacing w:after="0" w:line="57" w:lineRule="exact"/>
        <w:rPr>
          <w:rFonts w:ascii="Arial" w:cs="Arial" w:eastAsia="Arial" w:hAnsi="Arial"/>
          <w:sz w:val="17"/>
          <w:szCs w:val="17"/>
          <w:color w:val="auto"/>
        </w:rPr>
      </w:pPr>
    </w:p>
    <w:p>
      <w:pPr>
        <w:ind w:firstLine="996"/>
        <w:spacing w:after="0" w:line="255" w:lineRule="auto"/>
        <w:tabs>
          <w:tab w:leader="none" w:pos="11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such time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(“PRSU Shares”) or an equivalent cash amount based on the value of a share of Company Stock, or a combination of the two, as determined by the Committee, in its discretion. The applicable date of delivery of the PRSU Shares or cash shall be no later than sixty (60) days after the date or event on which the Performance Restricted Stock Units become vested and nonforfeitable pursuant to Paragraph 3, except as set forth in Paragraph 17.</w:t>
      </w:r>
    </w:p>
    <w:p>
      <w:pPr>
        <w:spacing w:after="0" w:line="85" w:lineRule="exact"/>
        <w:rPr>
          <w:rFonts w:ascii="Arial" w:cs="Arial" w:eastAsia="Arial" w:hAnsi="Arial"/>
          <w:sz w:val="18"/>
          <w:szCs w:val="18"/>
          <w:color w:val="auto"/>
        </w:rPr>
      </w:pPr>
    </w:p>
    <w:p>
      <w:pPr>
        <w:ind w:right="20" w:firstLine="996"/>
        <w:spacing w:after="0" w:line="264" w:lineRule="auto"/>
        <w:tabs>
          <w:tab w:leader="none" w:pos="11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Restricted Stock Units (to the extent earned pursuant to Paragraph 4 below) shall become vested and nonforfeitable on the date the results are certified by the Committee which shall in any event occur within three months following the end of the Performance Period (the “Vest Date”). Vesting is contingent on continued employment throughout the Vest Date, except that:</w:t>
      </w:r>
    </w:p>
    <w:p>
      <w:pPr>
        <w:sectPr>
          <w:pgSz w:w="11900" w:h="16838" w:orient="portrait"/>
          <w:cols w:equalWidth="0" w:num="1">
            <w:col w:w="11020"/>
          </w:cols>
          <w:pgMar w:left="440" w:top="121" w:right="4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1 of 27</w:t>
      </w:r>
    </w:p>
    <w:p>
      <w:pPr>
        <w:sectPr>
          <w:pgSz w:w="11900" w:h="16838" w:orient="portrait"/>
          <w:cols w:equalWidth="0" w:num="2">
            <w:col w:w="9400" w:space="720"/>
            <w:col w:w="900"/>
          </w:cols>
          <w:pgMar w:left="440" w:top="121" w:right="439" w:bottom="1440" w:gutter="0" w:footer="0" w:header="0"/>
          <w:type w:val="continuous"/>
        </w:sectPr>
      </w:pPr>
    </w:p>
    <w:bookmarkStart w:id="50" w:name="page51"/>
    <w:bookmarkEnd w:id="50"/>
    <w:p>
      <w:pPr>
        <w:ind w:left="1680" w:hanging="244"/>
        <w:spacing w:after="0"/>
        <w:tabs>
          <w:tab w:leader="none" w:pos="1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of death or Disability of the Recipient; or</w:t>
      </w:r>
    </w:p>
    <w:p>
      <w:pPr>
        <w:spacing w:after="0" w:line="117" w:lineRule="exact"/>
        <w:rPr>
          <w:rFonts w:ascii="Arial" w:cs="Arial" w:eastAsia="Arial" w:hAnsi="Arial"/>
          <w:sz w:val="18"/>
          <w:szCs w:val="18"/>
          <w:color w:val="auto"/>
        </w:rPr>
      </w:pPr>
    </w:p>
    <w:p>
      <w:pPr>
        <w:ind w:right="420" w:firstLine="1436"/>
        <w:spacing w:after="0" w:line="277" w:lineRule="auto"/>
        <w:tabs>
          <w:tab w:leader="none" w:pos="16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Recipient’s Separation from Service with the Company (or any successor or Affiliate of the Company) as a result of and concurrent with a Change of Control (as defined in the Plan)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Performance Restricted Stock Units shall become vested and nonforfeitable on the Vest Date in an amount equal to the initial Performance Restricted Stock Unit award (the “Target Award”).</w:t>
      </w:r>
    </w:p>
    <w:p>
      <w:pPr>
        <w:spacing w:after="0" w:line="170" w:lineRule="exact"/>
        <w:rPr>
          <w:sz w:val="20"/>
          <w:szCs w:val="20"/>
          <w:color w:val="auto"/>
        </w:rPr>
      </w:pPr>
    </w:p>
    <w:p>
      <w:pPr>
        <w:ind w:right="80" w:firstLine="992"/>
        <w:spacing w:after="0" w:line="290" w:lineRule="auto"/>
        <w:rPr>
          <w:sz w:val="20"/>
          <w:szCs w:val="20"/>
          <w:color w:val="auto"/>
        </w:rPr>
      </w:pPr>
      <w:r>
        <w:rPr>
          <w:rFonts w:ascii="Arial" w:cs="Arial" w:eastAsia="Arial" w:hAnsi="Arial"/>
          <w:sz w:val="16"/>
          <w:szCs w:val="16"/>
          <w:color w:val="auto"/>
        </w:rPr>
        <w:t xml:space="preserve">In addition, in the event of the Recipient’s attainment of at least fifty-five (55) years of age and at least ten (10) years of service with the Company (or any successor or Affiliate of the Company) at the Recipient’s termination of employment date occurring on or after December 31st of the first year of the “Performance Period” (as such term is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then the Performance Restricted Stock Units shall become vested and nonforfeitable on the Vest Date, to the extent that the performance goals are achieved. For purposes of grants to Recipients outside the United States, if the Company receives a legal opinion that there has been a legal judgment and/or legal development in an Employer’s jurisdiction that likely would result in the favorable treatment that applies to Performance Restricted Stock Units under the Plan being deemed unlawful and/or discriminatory, the Company, in its sole discretion, shall have the power and authority to revise or strike certain provisions of the Agreement, including this paragraph 3, to the minimum extent necessary to make it valid and enforceable to the full extent permitted under the law.</w:t>
      </w:r>
    </w:p>
    <w:p>
      <w:pPr>
        <w:spacing w:after="0" w:line="166" w:lineRule="exact"/>
        <w:rPr>
          <w:sz w:val="20"/>
          <w:szCs w:val="20"/>
          <w:color w:val="auto"/>
        </w:rPr>
      </w:pPr>
    </w:p>
    <w:p>
      <w:pPr>
        <w:ind w:right="200" w:firstLine="992"/>
        <w:spacing w:after="0" w:line="259" w:lineRule="auto"/>
        <w:rPr>
          <w:sz w:val="20"/>
          <w:szCs w:val="20"/>
          <w:color w:val="auto"/>
        </w:rPr>
      </w:pPr>
      <w:r>
        <w:rPr>
          <w:rFonts w:ascii="Arial" w:cs="Arial" w:eastAsia="Arial" w:hAnsi="Arial"/>
          <w:sz w:val="18"/>
          <w:szCs w:val="18"/>
          <w:color w:val="auto"/>
        </w:rPr>
        <w:t>Except to the extent, if any, that the Performance Restricted Stock Unit shall have become nonforfeitable pursuant to the foregoing provisions of this Paragraph 3, if the Recipient shall voluntarily or involuntarily leave the employ of the Company and its Affiliates prior to the Vest Date, the Performance Restricted Stock Unit (and any dividends, distributions and adjustments retained by the Company with respect thereto) shall be forfeited.</w:t>
      </w:r>
    </w:p>
    <w:p>
      <w:pPr>
        <w:spacing w:after="0" w:line="187" w:lineRule="exact"/>
        <w:rPr>
          <w:sz w:val="20"/>
          <w:szCs w:val="20"/>
          <w:color w:val="auto"/>
        </w:rPr>
      </w:pPr>
    </w:p>
    <w:p>
      <w:pPr>
        <w:ind w:right="160" w:firstLine="992"/>
        <w:spacing w:after="0" w:line="270" w:lineRule="auto"/>
        <w:rPr>
          <w:sz w:val="20"/>
          <w:szCs w:val="20"/>
          <w:color w:val="auto"/>
        </w:rPr>
      </w:pPr>
      <w:r>
        <w:rPr>
          <w:rFonts w:ascii="Arial" w:cs="Arial" w:eastAsia="Arial" w:hAnsi="Arial"/>
          <w:sz w:val="17"/>
          <w:szCs w:val="17"/>
          <w:color w:val="auto"/>
        </w:rPr>
        <w:t>Furthermore, for purposes of the Performance Restricted Stock Units, the Recipient’s Separation from Service will be deemed to occur (regardless of the reason for such Separation from Service, and whether or not later found to be invalid or in breach of employment laws in the jurisdiction where the Recipient is employed or rendering services, or the terms of his or her employment or service agreement, if any), and unless otherwise expressly provided in the Agreement or determined by the Company, the Recipient’s right to vest in the Performance Restricted Stock Units under the Plan, if any, will terminate as of such date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the Recipient’s period of service would not include any contractual notice period or any period of “garden leave” or similar period mandated under employment laws in the jurisdiction where the Recipient is employed or the terms of his or her employment agreement, if any). The Committee shall have exclusive discretion to determine when the Recipient is no longer actively providing services for purposes of his or her Performance Restricted Stock Units (including whether the Recipient may still be considered to be providing services while on a leave of absence).</w:t>
      </w:r>
    </w:p>
    <w:p>
      <w:pPr>
        <w:sectPr>
          <w:pgSz w:w="11900" w:h="16838" w:orient="portrait"/>
          <w:cols w:equalWidth="0" w:num="1">
            <w:col w:w="11020"/>
          </w:cols>
          <w:pgMar w:left="440" w:top="274" w:right="4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2 of 27</w:t>
      </w:r>
    </w:p>
    <w:p>
      <w:pPr>
        <w:sectPr>
          <w:pgSz w:w="11900" w:h="16838" w:orient="portrait"/>
          <w:cols w:equalWidth="0" w:num="2">
            <w:col w:w="9400" w:space="720"/>
            <w:col w:w="900"/>
          </w:cols>
          <w:pgMar w:left="440" w:top="274" w:right="439" w:bottom="1440" w:gutter="0" w:footer="0" w:header="0"/>
          <w:type w:val="continuous"/>
        </w:sectPr>
      </w:pPr>
    </w:p>
    <w:bookmarkStart w:id="51" w:name="page52"/>
    <w:bookmarkEnd w:id="51"/>
    <w:p>
      <w:pPr>
        <w:ind w:firstLine="996"/>
        <w:spacing w:after="0" w:line="293" w:lineRule="auto"/>
        <w:tabs>
          <w:tab w:leader="none" w:pos="1172"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otherwise provided in this Agreement and subject to adjustments permitted by the Plan, the number of Performance Restricted Stock Units which will vest under this Agreement, if any, will be determined by multiplying (a) the sum of (i) 0.5 times the vested percentage applicable to Return on Tangible Capital (“ROTC”) plus (ii) 0.5 times the vested percentage applicable to Relative Total Shareholder Return (“TSR”) by (b) the Target Award. The maximum number of Performance Restricted Stock Units which can vest is 200% of the Target Award and the minimum number of Performance Restricted Stock Units which can vest is 0% of the Target Award. The vested percentage applicable to ROTC and TSR will each be determined over the “Performance Period” (as such term is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illustrated in the schedules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right="40" w:firstLine="996"/>
        <w:spacing w:after="0" w:line="264" w:lineRule="auto"/>
        <w:tabs>
          <w:tab w:leader="none" w:pos="1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Recipient shall not sell, assign, transfer, pledge, hypothecate or otherwise dispose of, by operation of law or otherwise (collectively, “transfer”) any Performance Restricted Stock Units, or any interest therein other than by will or the laws of descent and distribution, unless and until the Performance Restricted Stock Units have been settled as provided in this Agreement.</w:t>
      </w:r>
    </w:p>
    <w:p>
      <w:pPr>
        <w:spacing w:after="0" w:line="73" w:lineRule="exact"/>
        <w:rPr>
          <w:rFonts w:ascii="Arial" w:cs="Arial" w:eastAsia="Arial" w:hAnsi="Arial"/>
          <w:sz w:val="18"/>
          <w:szCs w:val="18"/>
          <w:color w:val="auto"/>
        </w:rPr>
      </w:pPr>
    </w:p>
    <w:p>
      <w:pPr>
        <w:ind w:right="220" w:firstLine="996"/>
        <w:spacing w:after="0" w:line="277" w:lineRule="auto"/>
        <w:tabs>
          <w:tab w:leader="none" w:pos="1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issuance of PRSU Shares, Recipient will have no rights as a shareholder of the Company with respect to this Performance Restricted Stock Unit award or the Performance Restricted Stock Units.</w:t>
      </w:r>
    </w:p>
    <w:p>
      <w:pPr>
        <w:spacing w:after="0" w:line="62" w:lineRule="exact"/>
        <w:rPr>
          <w:rFonts w:ascii="Arial" w:cs="Arial" w:eastAsia="Arial" w:hAnsi="Arial"/>
          <w:sz w:val="18"/>
          <w:szCs w:val="18"/>
          <w:color w:val="auto"/>
        </w:rPr>
      </w:pPr>
    </w:p>
    <w:p>
      <w:pPr>
        <w:ind w:right="180" w:firstLine="996"/>
        <w:spacing w:after="0" w:line="259" w:lineRule="auto"/>
        <w:tabs>
          <w:tab w:leader="none" w:pos="1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number of outstanding shares of Company Stock changes through the declaration of stock dividends or stock splits prior to the vesting date, the Restricted Stock Units subject to this Award automatically will be adjusted, according to the provisions of Section 5(e) of the Plan. In the event of any other change in the capital structure or the Company Stock or other corporate events or transactions involving the Company, the Committee is authorized to make appropriate adjustments to this award.</w:t>
      </w:r>
    </w:p>
    <w:p>
      <w:pPr>
        <w:spacing w:after="0" w:line="78" w:lineRule="exact"/>
        <w:rPr>
          <w:rFonts w:ascii="Arial" w:cs="Arial" w:eastAsia="Arial" w:hAnsi="Arial"/>
          <w:sz w:val="18"/>
          <w:szCs w:val="18"/>
          <w:color w:val="auto"/>
        </w:rPr>
      </w:pPr>
    </w:p>
    <w:p>
      <w:pPr>
        <w:ind w:right="200" w:firstLine="996"/>
        <w:spacing w:after="0" w:line="286" w:lineRule="auto"/>
        <w:tabs>
          <w:tab w:leader="none" w:pos="1172"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w:t>
      </w:r>
    </w:p>
    <w:p>
      <w:pPr>
        <w:spacing w:after="0" w:line="1" w:lineRule="exact"/>
        <w:rPr>
          <w:rFonts w:ascii="Arial" w:cs="Arial" w:eastAsia="Arial" w:hAnsi="Arial"/>
          <w:sz w:val="16"/>
          <w:szCs w:val="16"/>
          <w:color w:val="auto"/>
        </w:rPr>
      </w:pPr>
    </w:p>
    <w:p>
      <w:pPr>
        <w:jc w:val="both"/>
        <w:ind w:right="80"/>
        <w:spacing w:after="0" w:line="323" w:lineRule="auto"/>
        <w:rPr>
          <w:rFonts w:ascii="Arial" w:cs="Arial" w:eastAsia="Arial" w:hAnsi="Arial"/>
          <w:sz w:val="16"/>
          <w:szCs w:val="16"/>
          <w:color w:val="auto"/>
        </w:rPr>
      </w:pPr>
      <w:r>
        <w:rPr>
          <w:rFonts w:ascii="Arial" w:cs="Arial" w:eastAsia="Arial" w:hAnsi="Arial"/>
          <w:sz w:val="16"/>
          <w:szCs w:val="16"/>
          <w:color w:val="auto"/>
        </w:rPr>
        <w:t>0.5% as such rate is set forth in the Wall Street Journal as of the first business day of each calendar quarter. Dividend Equivalents shall be subject to the same terms and conditions, and shall vest and be paid, or be forfeited (if applicable), at the same time as the Restricted Stock Units to which they relate.</w:t>
      </w:r>
    </w:p>
    <w:p>
      <w:pPr>
        <w:spacing w:after="0" w:line="30" w:lineRule="exact"/>
        <w:rPr>
          <w:rFonts w:ascii="Arial" w:cs="Arial" w:eastAsia="Arial" w:hAnsi="Arial"/>
          <w:sz w:val="16"/>
          <w:szCs w:val="16"/>
          <w:color w:val="auto"/>
        </w:rPr>
      </w:pPr>
    </w:p>
    <w:p>
      <w:pPr>
        <w:ind w:right="40" w:firstLine="996"/>
        <w:spacing w:after="0" w:line="255" w:lineRule="auto"/>
        <w:tabs>
          <w:tab w:leader="none" w:pos="117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Recipient acknowledges and agrees that regardless of any action taken by the Company, or if different, the Subsidiary Corporation or Affiliate for which the Recipient provides services (the “Employer”) with respect to any or all income tax (including U.S. federal, state and local tax and/or non-U.S. tax), social insurance, payroll tax, fringe benefits tax, payment on account or other tax-related items related to the Recipient’s participation in the Plan and legally applicable to the Recipient (“Tax-Related Items”), the ultimate liability for all Tax- Related Items is and remains the Recipient’s responsibility and may exceed the amount actually withheld by the Company and/or the Employer. The Recipient further acknowledges that the</w:t>
      </w:r>
    </w:p>
    <w:p>
      <w:pPr>
        <w:sectPr>
          <w:pgSz w:w="11900" w:h="16838" w:orient="portrait"/>
          <w:cols w:equalWidth="0" w:num="1">
            <w:col w:w="11020"/>
          </w:cols>
          <w:pgMar w:left="440" w:top="274"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Page 3 of 27</w:t>
      </w:r>
    </w:p>
    <w:p>
      <w:pPr>
        <w:sectPr>
          <w:pgSz w:w="11900" w:h="16838" w:orient="portrait"/>
          <w:cols w:equalWidth="0" w:num="2">
            <w:col w:w="9400" w:space="720"/>
            <w:col w:w="900"/>
          </w:cols>
          <w:pgMar w:left="440" w:top="274" w:right="439" w:bottom="1440" w:gutter="0" w:footer="0" w:header="0"/>
          <w:type w:val="continuous"/>
        </w:sectPr>
      </w:pPr>
    </w:p>
    <w:bookmarkStart w:id="52" w:name="page53"/>
    <w:bookmarkEnd w:id="52"/>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and/or the Employer (i) make no representations or undertakings regarding the treatment of any Tax-Related items in connection with any aspect of the Performance Restricted Stock Units, including but not limited to, the grant, vesting or settlement of the awards, or the subsequent sale of PRSU Shares acquired under the Plan; and (ii) do not commit to and are under no obligation to structure the terms of the grant or any aspect of the award to reduce or eliminate the Recipient’s liability for Tax-Related Items or achieve a particular tax result. Further, if the Recipient is subject to Tax-Related Items in more than one jurisdiction, the Recipient acknowledges and agrees that the Company or Employer may be required to withhold or account for Tax-Related Items in more than one jurisdiction.</w:t>
      </w:r>
    </w:p>
    <w:p>
      <w:pPr>
        <w:spacing w:after="0" w:line="193" w:lineRule="exact"/>
        <w:rPr>
          <w:sz w:val="20"/>
          <w:szCs w:val="20"/>
          <w:color w:val="auto"/>
        </w:rPr>
      </w:pPr>
    </w:p>
    <w:p>
      <w:pPr>
        <w:jc w:val="both"/>
        <w:ind w:right="160" w:firstLine="992"/>
        <w:spacing w:after="0" w:line="259" w:lineRule="auto"/>
        <w:rPr>
          <w:sz w:val="20"/>
          <w:szCs w:val="20"/>
          <w:color w:val="auto"/>
        </w:rPr>
      </w:pPr>
      <w:r>
        <w:rPr>
          <w:rFonts w:ascii="Arial" w:cs="Arial" w:eastAsia="Arial" w:hAnsi="Arial"/>
          <w:sz w:val="18"/>
          <w:szCs w:val="18"/>
          <w:color w:val="auto"/>
        </w:rPr>
        <w:t>Prior to any relevant taxable or tax withholding event, as applicable, the Recipient agrees to make adequate arrangements satisfactory to the Company and/or the Employer to satisfy all Tax-Related Items. In this regard, the Recipient authorizes the Company and/or the Employer, or their respective agents, at their discretion, to satisfy any applicable withholding obligations with regard to Tax-Related Items by one or a combination of the following:</w:t>
      </w:r>
    </w:p>
    <w:p>
      <w:pPr>
        <w:spacing w:after="0" w:line="7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(a) withholding from Participant’s wages or other cash compensation paid to Participant by the Company, the Employer or any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103" w:lineRule="exact"/>
        <w:rPr>
          <w:sz w:val="20"/>
          <w:szCs w:val="20"/>
          <w:color w:val="auto"/>
        </w:rPr>
      </w:pPr>
    </w:p>
    <w:p>
      <w:pPr>
        <w:ind w:right="60" w:firstLine="1436"/>
        <w:spacing w:after="0" w:line="264" w:lineRule="auto"/>
        <w:tabs>
          <w:tab w:leader="none" w:pos="168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withholding from the proceeds of the sale of PRSU Shares acquired at vesting of the Performance Restricted Stock Unit either through a voluntary sale or through a mandatory sale arranged by the Company (on the Recipient’s behalf pursuant to this authorization) without further consent;</w:t>
      </w:r>
    </w:p>
    <w:p>
      <w:pPr>
        <w:spacing w:after="0" w:line="73" w:lineRule="exact"/>
        <w:rPr>
          <w:rFonts w:ascii="Arial" w:cs="Arial" w:eastAsia="Arial" w:hAnsi="Arial"/>
          <w:sz w:val="18"/>
          <w:szCs w:val="18"/>
          <w:color w:val="auto"/>
        </w:rPr>
      </w:pPr>
    </w:p>
    <w:p>
      <w:pPr>
        <w:ind w:right="300" w:firstLine="1436"/>
        <w:spacing w:after="0" w:line="264" w:lineRule="auto"/>
        <w:tabs>
          <w:tab w:leader="none" w:pos="167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withhold such number of shares of Company Stock (thus reducing the number of shares to be issued to the Recipient) as shall have a Fair Market Value, valued on the date on which Tax-Related Items are determined, equal to the amount required to be withheld to satisfy the Company (or successor or Affiliate’s) withholding obligations; or</w:t>
      </w:r>
    </w:p>
    <w:p>
      <w:pPr>
        <w:spacing w:after="0" w:line="73" w:lineRule="exact"/>
        <w:rPr>
          <w:rFonts w:ascii="Arial" w:cs="Arial" w:eastAsia="Arial" w:hAnsi="Arial"/>
          <w:sz w:val="18"/>
          <w:szCs w:val="18"/>
          <w:color w:val="auto"/>
        </w:rPr>
      </w:pPr>
    </w:p>
    <w:p>
      <w:pPr>
        <w:ind w:left="1700" w:hanging="264"/>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method approved by the Committee and permitted by applicable laws.</w:t>
      </w:r>
    </w:p>
    <w:p>
      <w:pPr>
        <w:spacing w:after="0" w:line="225" w:lineRule="exact"/>
        <w:rPr>
          <w:sz w:val="20"/>
          <w:szCs w:val="20"/>
          <w:color w:val="auto"/>
        </w:rPr>
      </w:pPr>
    </w:p>
    <w:p>
      <w:pPr>
        <w:ind w:right="80" w:firstLine="992"/>
        <w:spacing w:after="0" w:line="255" w:lineRule="auto"/>
        <w:rPr>
          <w:sz w:val="20"/>
          <w:szCs w:val="20"/>
          <w:color w:val="auto"/>
        </w:rPr>
      </w:pPr>
      <w:r>
        <w:rPr>
          <w:rFonts w:ascii="Arial" w:cs="Arial" w:eastAsia="Arial" w:hAnsi="Arial"/>
          <w:sz w:val="18"/>
          <w:szCs w:val="18"/>
          <w:color w:val="auto"/>
        </w:rPr>
        <w:t>Depending on the withholding method, the Company may withhold or account for Tax-Related Items by considering applicable minimum statutory withholding amounts or other applicable withholding rates, including maximum applicable rates, in which case the Recipient may receive a refund of any over-withheld amount in cash (with no entitlement to the Company Stock equivalent) or, if not refunded, the Recipient may seek a refund from the local tax authorities. If the obligation for Tax-Related Items is satisfied by withholding shares of Company Stock, for tax purposes, the Recipient is deemed to have been issued the full number of PRSU Shares, notwithstanding that Company Stock is held back solely for purposes of paying the Tax-Related Items.</w:t>
      </w:r>
    </w:p>
    <w:p>
      <w:pPr>
        <w:spacing w:after="0" w:line="193" w:lineRule="exact"/>
        <w:rPr>
          <w:sz w:val="20"/>
          <w:szCs w:val="20"/>
          <w:color w:val="auto"/>
        </w:rPr>
      </w:pPr>
    </w:p>
    <w:p>
      <w:pPr>
        <w:ind w:right="60" w:firstLine="992"/>
        <w:spacing w:after="0" w:line="259" w:lineRule="auto"/>
        <w:rPr>
          <w:sz w:val="20"/>
          <w:szCs w:val="20"/>
          <w:color w:val="auto"/>
        </w:rPr>
      </w:pPr>
      <w:r>
        <w:rPr>
          <w:rFonts w:ascii="Arial" w:cs="Arial" w:eastAsia="Arial" w:hAnsi="Arial"/>
          <w:sz w:val="18"/>
          <w:szCs w:val="18"/>
          <w:color w:val="auto"/>
        </w:rPr>
        <w:t>Finally, the Recipient agrees to pay to the Company or the Employer any amount of Tax-Related Items that the Company or the Employer may be required to withhold or account for as a result of Recipient’s participation in the Plan that cannot be satisfied by the means previously described. The Company may refuse to issue or deliver the PRSU Shares or the proceeds of the sale of PRSU Shares, if the Recipient fails to comply with his or her obligations in connection with the Tax-Related Items.</w:t>
      </w:r>
    </w:p>
    <w:p>
      <w:pPr>
        <w:sectPr>
          <w:pgSz w:w="11900" w:h="16838" w:orient="portrait"/>
          <w:cols w:equalWidth="0" w:num="1">
            <w:col w:w="11020"/>
          </w:cols>
          <w:pgMar w:left="440" w:top="274" w:right="4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Page 4 of 27</w:t>
      </w:r>
    </w:p>
    <w:p>
      <w:pPr>
        <w:sectPr>
          <w:pgSz w:w="11900" w:h="16838" w:orient="portrait"/>
          <w:cols w:equalWidth="0" w:num="2">
            <w:col w:w="9400" w:space="720"/>
            <w:col w:w="900"/>
          </w:cols>
          <w:pgMar w:left="440" w:top="274" w:right="439" w:bottom="1440" w:gutter="0" w:footer="0" w:header="0"/>
          <w:type w:val="continuous"/>
        </w:sectPr>
      </w:pPr>
    </w:p>
    <w:bookmarkStart w:id="53" w:name="page54"/>
    <w:bookmarkEnd w:id="53"/>
    <w:p>
      <w:pPr>
        <w:ind w:right="40" w:firstLine="99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this Paragraph 9 to the contrary, to avoid a prohibited acceleration under Section 409A,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80" w:lineRule="exact"/>
        <w:rPr>
          <w:sz w:val="20"/>
          <w:szCs w:val="20"/>
          <w:color w:val="auto"/>
        </w:rPr>
      </w:pPr>
    </w:p>
    <w:p>
      <w:pPr>
        <w:ind w:left="1260" w:hanging="264"/>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and the Recipient each hereby agrees to be bound by the terms and conditions set forth in the Plan.</w:t>
      </w:r>
    </w:p>
    <w:p>
      <w:pPr>
        <w:spacing w:after="0" w:line="117" w:lineRule="exact"/>
        <w:rPr>
          <w:rFonts w:ascii="Arial" w:cs="Arial" w:eastAsia="Arial" w:hAnsi="Arial"/>
          <w:sz w:val="18"/>
          <w:szCs w:val="18"/>
          <w:color w:val="auto"/>
        </w:rPr>
      </w:pPr>
    </w:p>
    <w:p>
      <w:pPr>
        <w:ind w:right="40" w:firstLine="996"/>
        <w:spacing w:after="0" w:line="257" w:lineRule="auto"/>
        <w:tabs>
          <w:tab w:leader="none" w:pos="1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notices or other communications given in connection with this Agreement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80" w:lineRule="exact"/>
        <w:rPr>
          <w:rFonts w:ascii="Arial" w:cs="Arial" w:eastAsia="Arial" w:hAnsi="Arial"/>
          <w:sz w:val="18"/>
          <w:szCs w:val="18"/>
          <w:color w:val="auto"/>
        </w:rPr>
      </w:pPr>
    </w:p>
    <w:p>
      <w:pPr>
        <w:ind w:right="320" w:firstLine="996"/>
        <w:spacing w:after="0" w:line="277" w:lineRule="auto"/>
        <w:tabs>
          <w:tab w:leader="none" w:pos="12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and the Plan constitute the whole agreement between the parties hereto with respect to the Performance Restricted Stock Unit award.</w:t>
      </w:r>
    </w:p>
    <w:p>
      <w:pPr>
        <w:spacing w:after="0" w:line="62" w:lineRule="exact"/>
        <w:rPr>
          <w:rFonts w:ascii="Arial" w:cs="Arial" w:eastAsia="Arial" w:hAnsi="Arial"/>
          <w:sz w:val="18"/>
          <w:szCs w:val="18"/>
          <w:color w:val="auto"/>
        </w:rPr>
      </w:pPr>
    </w:p>
    <w:p>
      <w:pPr>
        <w:ind w:right="20" w:firstLine="996"/>
        <w:spacing w:after="0" w:line="268" w:lineRule="auto"/>
        <w:tabs>
          <w:tab w:leader="none" w:pos="1262"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accepting the Performance Restricted Stock Unit award, the Recipient acknowledges, understands and agrees that: (i) the Plan is established voluntarily by the Company, it is discretionary in nature and it may be modified, amended, suspended or terminated by the Company at any time, to the extent permitted by the Plan; (ii) the grant of Performance Restricted Stock Units is exceptional, voluntary and occasional and does not create any contractual or other right to receive future grants or benefits in lieu of Performance Restricted Stock Units, even if such awards have been granted in the past; (iii) all decisions with respect to future awards, if any, will be at the sole discretion of the Company; (iv) the grant and the Recipient’s participation in the Plan shall not be construed as creating any contract of employment between the Company and the Recipient and does not entitle the Recipient to any benefit other than that granted under this Agreement; (v) the Recipient is voluntarily participating in the Plan; (vi) the Performance Restricted Stock Units and the PRSU Shares are not intended to replace any pension rights or compensation; (vii) the Performance Restricted Stock Units and the PRSU Shares, and the income from and value of same, are not part of normal or expected compensation for purposes of calculating any severance, resignation, termination, redundancy, dismissal, end-of-service payments, bonuses, long-service awards, pension or retirement or welfare benefits or similar payments; (viii) the future value of the PRSU Shares is unknown, indeterminable and cannot be predicted with certainty; (ix) no claim or entitlement to compensation or damages shall arise from forfeiture of the Performance Restricted Stock Units resulting from a Separation of Service (for any reason whatsoever, whether or not later found to be invalid or in breach of employment or other laws in the jurisdiction where the</w:t>
      </w:r>
    </w:p>
    <w:p>
      <w:pPr>
        <w:sectPr>
          <w:pgSz w:w="11900" w:h="16838" w:orient="portrait"/>
          <w:cols w:equalWidth="0" w:num="1">
            <w:col w:w="11020"/>
          </w:cols>
          <w:pgMar w:left="440" w:top="274" w:right="4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Page 5 of 27</w:t>
      </w:r>
    </w:p>
    <w:p>
      <w:pPr>
        <w:sectPr>
          <w:pgSz w:w="11900" w:h="16838" w:orient="portrait"/>
          <w:cols w:equalWidth="0" w:num="2">
            <w:col w:w="9400" w:space="720"/>
            <w:col w:w="900"/>
          </w:cols>
          <w:pgMar w:left="440" w:top="274" w:right="439" w:bottom="1440" w:gutter="0" w:footer="0" w:header="0"/>
          <w:type w:val="continuous"/>
        </w:sectPr>
      </w:pPr>
    </w:p>
    <w:bookmarkStart w:id="54" w:name="page55"/>
    <w:bookmarkEnd w:id="5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Recipient is employed or otherwise rendering services or the terms of the Recipient’s employment or service agreement, if any), and in consideration of the grant, the Recipient agrees not to institute any claim against the Company, the Employer or any Subsidiary Corporation; (x) unless otherwise agreed with the Company, the Performance Restricted Stock Units and PRSU Shares, and the income from and value of same, are not granted as consideration for, or in connection with the service the Recipient may provide as a director of any Subsidiary Corporation or Affiliate; and (x) neither the Company, the Employer or any Parent Corporation or Subsidiary Corporation shall be liable for any foreign exchange rate fluctuation between the Recipient’s local currency and the U.S. Dollar that may affect the value of the Performance Restricted Stock Units or any amounts due to the Recipient pursuant to the settlement of the awards or subsequent sale of PRSU Shares acquired upon settlement.</w:t>
      </w:r>
    </w:p>
    <w:p>
      <w:pPr>
        <w:spacing w:after="0" w:line="70" w:lineRule="exact"/>
        <w:rPr>
          <w:sz w:val="20"/>
          <w:szCs w:val="20"/>
          <w:color w:val="auto"/>
        </w:rPr>
      </w:pPr>
    </w:p>
    <w:p>
      <w:pPr>
        <w:ind w:right="60" w:firstLine="996"/>
        <w:spacing w:after="0" w:line="264" w:lineRule="auto"/>
        <w:tabs>
          <w:tab w:leader="none" w:pos="12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on, the Company and its successors and assigns, and shall inure to the benefit of, and be binding on, the Recipient and his heirs, executors, administrators and legal representatives. This Agreement shall not be assignable by the Recipient.</w:t>
      </w:r>
    </w:p>
    <w:p>
      <w:pPr>
        <w:spacing w:after="0" w:line="73" w:lineRule="exact"/>
        <w:rPr>
          <w:rFonts w:ascii="Arial" w:cs="Arial" w:eastAsia="Arial" w:hAnsi="Arial"/>
          <w:sz w:val="18"/>
          <w:szCs w:val="18"/>
          <w:color w:val="auto"/>
        </w:rPr>
      </w:pPr>
    </w:p>
    <w:p>
      <w:pPr>
        <w:jc w:val="both"/>
        <w:ind w:right="140" w:firstLine="996"/>
        <w:spacing w:after="0" w:line="259" w:lineRule="auto"/>
        <w:tabs>
          <w:tab w:leader="none" w:pos="1262"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The Recipient hereby explicitly, voluntarily and unambiguously consents to the collection, use, and transfer, in electronic or other form, of the Recipient’s personal data as described in this Agreement and any other Plan materials by and among, as applicable, the Employer, the Company and any other Subsidiary Corporation for the exclusive purposes of implementing, administering and managing the Recipient’s participation in the Plan.</w:t>
      </w:r>
    </w:p>
    <w:p>
      <w:pPr>
        <w:spacing w:after="0" w:line="187" w:lineRule="exact"/>
        <w:rPr>
          <w:sz w:val="20"/>
          <w:szCs w:val="20"/>
          <w:color w:val="auto"/>
        </w:rPr>
      </w:pPr>
    </w:p>
    <w:p>
      <w:pPr>
        <w:ind w:right="60" w:firstLine="992"/>
        <w:spacing w:after="0" w:line="297" w:lineRule="auto"/>
        <w:rPr>
          <w:sz w:val="20"/>
          <w:szCs w:val="20"/>
          <w:color w:val="auto"/>
        </w:rPr>
      </w:pPr>
      <w:r>
        <w:rPr>
          <w:rFonts w:ascii="Arial" w:cs="Arial" w:eastAsia="Arial" w:hAnsi="Arial"/>
          <w:sz w:val="16"/>
          <w:szCs w:val="16"/>
          <w:b w:val="1"/>
          <w:bCs w:val="1"/>
          <w:i w:val="1"/>
          <w:iCs w:val="1"/>
          <w:color w:val="auto"/>
        </w:rPr>
        <w:t>The Recipient understands that the Company and the Employer may hold certain personal information about the Recipient, including, but not limited to, the Recipient’s name, home address, email address and telephone number, date of birth, social insurance number, passport or other identification number, salary, nationality, job title, any shares or directorships held in the Company, details of all Performance Restricted Stock Units or any other entitlement to Company Stock awarded, canceled, exercised, vested, unvested or outstanding in the Recipient’s favor (“Data”), for the exclusive purpose of implementing, administering and managing the Recipient’s participation in the Plan.</w:t>
      </w:r>
    </w:p>
    <w:p>
      <w:pPr>
        <w:spacing w:after="0" w:line="158" w:lineRule="exact"/>
        <w:rPr>
          <w:sz w:val="20"/>
          <w:szCs w:val="20"/>
          <w:color w:val="auto"/>
        </w:rPr>
      </w:pPr>
    </w:p>
    <w:p>
      <w:pPr>
        <w:ind w:right="80" w:firstLine="992"/>
        <w:spacing w:after="0" w:line="289" w:lineRule="auto"/>
        <w:rPr>
          <w:sz w:val="20"/>
          <w:szCs w:val="20"/>
          <w:color w:val="auto"/>
        </w:rPr>
      </w:pPr>
      <w:r>
        <w:rPr>
          <w:rFonts w:ascii="Arial" w:cs="Arial" w:eastAsia="Arial" w:hAnsi="Arial"/>
          <w:sz w:val="16"/>
          <w:szCs w:val="16"/>
          <w:b w:val="1"/>
          <w:bCs w:val="1"/>
          <w:i w:val="1"/>
          <w:iCs w:val="1"/>
          <w:color w:val="auto"/>
        </w:rPr>
        <w:t>The Recipient understands that Data may be transferred to Schwab Stock Plan Services, which may assist the Company (presently or in the future) with the implementation, administration and management of the Plan. The Recipient understands that the recipients of the Data may be located in the United States or elsewhere, and that the recipient’s country (e.g., the United States) may have different data privacy laws and protections than the Recipient’s country. The Recipient understands that he or she may request a list with the names and addresses of any potential recipients of the Data by contacting his or her local human resources representative. The Recipient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Recipient’s participation in the Plan. The Recipient understands that Data will be held only as long as is necessary to implement, administer and manage the Recipient’s participation in the Plan. The Recipient understands that he or she</w:t>
      </w:r>
    </w:p>
    <w:p>
      <w:pPr>
        <w:sectPr>
          <w:pgSz w:w="11900" w:h="16838" w:orient="portrait"/>
          <w:cols w:equalWidth="0" w:num="1">
            <w:col w:w="11020"/>
          </w:cols>
          <w:pgMar w:left="440" w:top="274" w:right="4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Page 6 of 27</w:t>
      </w:r>
    </w:p>
    <w:p>
      <w:pPr>
        <w:sectPr>
          <w:pgSz w:w="11900" w:h="16838" w:orient="portrait"/>
          <w:cols w:equalWidth="0" w:num="2">
            <w:col w:w="9400" w:space="720"/>
            <w:col w:w="900"/>
          </w:cols>
          <w:pgMar w:left="440" w:top="274" w:right="439" w:bottom="1440" w:gutter="0" w:footer="0" w:header="0"/>
          <w:type w:val="continuous"/>
        </w:sectPr>
      </w:pPr>
    </w:p>
    <w:bookmarkStart w:id="55" w:name="page56"/>
    <w:bookmarkEnd w:id="55"/>
    <w:p>
      <w:pPr>
        <w:ind w:right="40"/>
        <w:spacing w:after="0" w:line="312"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Recipient understands that he or she is providing the consents herein on a purely voluntary basis. If the Recipient does not consent, or if the Recipient later seeks to revoke his or her consent, his or her employment or service relationship will not be affected; the only consequence of refusing or withdrawing the Recipient’s consent is that the Company would not be able to grant the Performance Restricted Stock Units or other equity awards to the Recipient or administer or maintain such awards. Therefore, the Recipient understands that refusing or withdrawing his or her consent may affect the Recipient’s ability to participate in the Plan. For more information on the consequences of the Recipient’s refusal to consent or withdrawal of consent, the Recipient understands that he or she may contact his or her local human resources representative.</w:t>
      </w:r>
    </w:p>
    <w:p>
      <w:pPr>
        <w:spacing w:after="0" w:line="43" w:lineRule="exact"/>
        <w:rPr>
          <w:sz w:val="20"/>
          <w:szCs w:val="20"/>
          <w:color w:val="auto"/>
        </w:rPr>
      </w:pPr>
    </w:p>
    <w:p>
      <w:pPr>
        <w:ind w:right="140" w:firstLine="996"/>
        <w:spacing w:after="0" w:line="297" w:lineRule="auto"/>
        <w:tabs>
          <w:tab w:leader="none" w:pos="12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Recipient resides in a country outside the United States, or is otherwise subject to the laws of a country other than the United States, the Performance Restricted Stock Units and the PRSU Shares acquired under the Plan shall be subject to the additional terms and conditions for the Recipient’s country set forth in the Addendum. Moreover, if the Recipient relocates to one of the countries included in the Addendum, the special terms and conditions for such country will apply to the Recipient, to the extent the Company determines that the application of such terms and conditions is necessary or advisable for legal or administrative reasons. The Addendum constitutes part of the Agreement.</w:t>
      </w:r>
    </w:p>
    <w:p>
      <w:pPr>
        <w:spacing w:after="0" w:line="50" w:lineRule="exact"/>
        <w:rPr>
          <w:rFonts w:ascii="Arial" w:cs="Arial" w:eastAsia="Arial" w:hAnsi="Arial"/>
          <w:sz w:val="16"/>
          <w:szCs w:val="16"/>
          <w:color w:val="auto"/>
        </w:rPr>
      </w:pPr>
    </w:p>
    <w:p>
      <w:pPr>
        <w:jc w:val="both"/>
        <w:ind w:right="160" w:firstLine="996"/>
        <w:spacing w:after="0" w:line="264" w:lineRule="auto"/>
        <w:tabs>
          <w:tab w:leader="none" w:pos="12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Recipient has received the Agreement or any other document related to the Performance Restricted Stock Units and/or the Plan translated into a language other than English, and if the meaning of the translated version is different than the English version, the English version will control.</w:t>
      </w:r>
    </w:p>
    <w:p>
      <w:pPr>
        <w:spacing w:after="0" w:line="73" w:lineRule="exact"/>
        <w:rPr>
          <w:rFonts w:ascii="Arial" w:cs="Arial" w:eastAsia="Arial" w:hAnsi="Arial"/>
          <w:sz w:val="18"/>
          <w:szCs w:val="18"/>
          <w:color w:val="auto"/>
        </w:rPr>
      </w:pPr>
    </w:p>
    <w:p>
      <w:pPr>
        <w:ind w:right="140" w:firstLine="996"/>
        <w:spacing w:after="0" w:line="259" w:lineRule="auto"/>
        <w:tabs>
          <w:tab w:leader="none" w:pos="12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reserves the right to impose other requirements on the Recipient’s participation in the Plan, on the Performance Restricted Stock Units and on any PRSU Shares acquired under the Plan, to the extent the Company determines it is necessary or advisable for legal or administrative reasons, and to require the Recipient to sign any additional agreements or undertakings that may be necessary to accomplish the foregoing.</w:t>
      </w:r>
    </w:p>
    <w:p>
      <w:pPr>
        <w:spacing w:after="0" w:line="78" w:lineRule="exact"/>
        <w:rPr>
          <w:rFonts w:ascii="Arial" w:cs="Arial" w:eastAsia="Arial" w:hAnsi="Arial"/>
          <w:sz w:val="18"/>
          <w:szCs w:val="18"/>
          <w:color w:val="auto"/>
        </w:rPr>
      </w:pPr>
    </w:p>
    <w:p>
      <w:pPr>
        <w:ind w:right="220" w:firstLine="996"/>
        <w:spacing w:after="0" w:line="342" w:lineRule="auto"/>
        <w:tabs>
          <w:tab w:leader="none" w:pos="12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Recipient acknowledges that a waiver by the Company of any provision of the Agreement shall not operate or be construed as a waiver of any other provision of the Agreement, or of any subsequent breach by the Recipient or any other participant in the Plan.</w:t>
      </w:r>
    </w:p>
    <w:p>
      <w:pPr>
        <w:spacing w:after="0" w:line="15" w:lineRule="exact"/>
        <w:rPr>
          <w:rFonts w:ascii="Arial" w:cs="Arial" w:eastAsia="Arial" w:hAnsi="Arial"/>
          <w:sz w:val="16"/>
          <w:szCs w:val="16"/>
          <w:color w:val="auto"/>
        </w:rPr>
      </w:pPr>
    </w:p>
    <w:p>
      <w:pPr>
        <w:jc w:val="both"/>
        <w:ind w:right="500" w:firstLine="996"/>
        <w:spacing w:after="0" w:line="286" w:lineRule="auto"/>
        <w:tabs>
          <w:tab w:leader="none" w:pos="126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may, in its sole discretion, decide to deliver any documents related to current or future participation in the Plan by electronic means. The Recipient hereby consents to receive such documents by electronic delivery and agrees to participate in the Plan through an on-line electronic system established and maintained by the Company or a third party designated by the Company.</w:t>
      </w:r>
    </w:p>
    <w:p>
      <w:pPr>
        <w:spacing w:after="0" w:line="57" w:lineRule="exact"/>
        <w:rPr>
          <w:rFonts w:ascii="Arial" w:cs="Arial" w:eastAsia="Arial" w:hAnsi="Arial"/>
          <w:sz w:val="17"/>
          <w:szCs w:val="17"/>
          <w:color w:val="auto"/>
        </w:rPr>
      </w:pPr>
    </w:p>
    <w:p>
      <w:pPr>
        <w:ind w:right="180" w:firstLine="996"/>
        <w:spacing w:after="0" w:line="264" w:lineRule="auto"/>
        <w:tabs>
          <w:tab w:leader="none" w:pos="12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provisions of this Agreement are severable and if any one or more of the provisions are determined to be illegal or otherwise enforceable, in whole or in part, then such provisions will be enforced to the maximum extent possible and other provisions will remain fully effective and enforceable.</w:t>
      </w:r>
    </w:p>
    <w:p>
      <w:pPr>
        <w:sectPr>
          <w:pgSz w:w="11900" w:h="16838" w:orient="portrait"/>
          <w:cols w:equalWidth="0" w:num="1">
            <w:col w:w="11020"/>
          </w:cols>
          <w:pgMar w:left="440" w:top="274" w:right="4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Page 7 of 27</w:t>
      </w:r>
    </w:p>
    <w:p>
      <w:pPr>
        <w:sectPr>
          <w:pgSz w:w="11900" w:h="16838" w:orient="portrait"/>
          <w:cols w:equalWidth="0" w:num="2">
            <w:col w:w="9400" w:space="720"/>
            <w:col w:w="900"/>
          </w:cols>
          <w:pgMar w:left="440" w:top="274" w:right="439" w:bottom="1440" w:gutter="0" w:footer="0" w:header="0"/>
          <w:type w:val="continuous"/>
        </w:sectPr>
      </w:pPr>
    </w:p>
    <w:bookmarkStart w:id="56" w:name="page57"/>
    <w:bookmarkEnd w:id="56"/>
    <w:p>
      <w:pPr>
        <w:ind w:right="60" w:firstLine="996"/>
        <w:spacing w:after="0" w:line="289" w:lineRule="auto"/>
        <w:tabs>
          <w:tab w:leader="none" w:pos="1262"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 of the Plan or the Agreement, unless there is an exemption from any registration, qualification or other legal requirement applicable to the PRSU Shares, the Company shall not be required to deliver any PRSU Shares upon settlement of the awards prior to the completion of any registration or qualification of the Company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Recipient understands that the Company is under no obligations to register or qualify the Company Stock with the SEC or any state or foreign securities commission or to seek approval or clearance from any governmental authority for the issuance or sale of the Company Stock. Further, the Recipient agrees that the Company shall have unilateral authority to amend the Agreement without his or her consent, to the extent necessary to comply with securities or other laws applicable to the issuance of Company Stock.</w:t>
      </w:r>
    </w:p>
    <w:p>
      <w:pPr>
        <w:spacing w:after="0" w:line="58" w:lineRule="exact"/>
        <w:rPr>
          <w:rFonts w:ascii="Arial" w:cs="Arial" w:eastAsia="Arial" w:hAnsi="Arial"/>
          <w:sz w:val="16"/>
          <w:szCs w:val="16"/>
          <w:color w:val="auto"/>
        </w:rPr>
      </w:pPr>
    </w:p>
    <w:p>
      <w:pPr>
        <w:ind w:right="20" w:firstLine="996"/>
        <w:spacing w:after="0" w:line="302" w:lineRule="auto"/>
        <w:tabs>
          <w:tab w:leader="none" w:pos="12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Agreement shall be subject to and construed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State of Pennsylvania, United States of America and agree that such litigation will be conducted in Chester County, or the federal courts for the United States for the District of Pennsylvania and no other courts.</w:t>
      </w:r>
    </w:p>
    <w:p>
      <w:pPr>
        <w:spacing w:after="0" w:line="46" w:lineRule="exact"/>
        <w:rPr>
          <w:rFonts w:ascii="Arial" w:cs="Arial" w:eastAsia="Arial" w:hAnsi="Arial"/>
          <w:sz w:val="16"/>
          <w:szCs w:val="16"/>
          <w:color w:val="auto"/>
        </w:rPr>
      </w:pPr>
    </w:p>
    <w:p>
      <w:pPr>
        <w:ind w:right="40" w:firstLine="996"/>
        <w:spacing w:after="0" w:line="273" w:lineRule="auto"/>
        <w:tabs>
          <w:tab w:leader="none" w:pos="126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Recipient acknowledges that there may be certain foreign asset and/or account reporting requirements which may affect the Recipient’s ability to acquire or hold PRSU Shares acquired under the Plan or cash received from participating in the Plan in a brokerage or bank account outside of the Recipient’s country. The Recipient may be required to report such accounts, assets or transactions to the tax or other authorities in his or her country. The Recipient may also be required to repatriate sale proceeds or other funds received as a result of participating in the Plan to the Recipient’s country through a designated bank or broker within a certain time after receipt. The Recipient acknowledges that it is his or her responsibility to be compliant with such regulations, and the Recipient should speak to his or her personal advisor on this matter.</w:t>
      </w:r>
    </w:p>
    <w:p>
      <w:pPr>
        <w:spacing w:after="0" w:line="70" w:lineRule="exact"/>
        <w:rPr>
          <w:rFonts w:ascii="Arial" w:cs="Arial" w:eastAsia="Arial" w:hAnsi="Arial"/>
          <w:sz w:val="17"/>
          <w:szCs w:val="17"/>
          <w:color w:val="auto"/>
        </w:rPr>
      </w:pPr>
    </w:p>
    <w:p>
      <w:pPr>
        <w:ind w:right="80" w:firstLine="996"/>
        <w:spacing w:after="0" w:line="273" w:lineRule="auto"/>
        <w:tabs>
          <w:tab w:leader="none" w:pos="1262"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Recipient acknowledges that, depending on his or her country of residence, or broker’s country of residence, or where the Company Stock is listed, the Recipient may be subject to insider trading restrictions and/or market abuse laws in applicable jurisdictions, which may affect his or her ability to accept, acquire, sell or attempt to sell or otherwise dispose of Company Stock, rights to Company Stock or rights linked to the value of Company Stock, during such times as the Recipient is considered to have “inside information” regarding the Company (as defined by laws or regulations in the applicable jurisdiction of the Recipient’s country). Local insider trading laws and regulations may prohibit the cancellation or amendment of orders the Recipient places before possessing inside information. Furthermore,</w:t>
      </w:r>
    </w:p>
    <w:p>
      <w:pPr>
        <w:sectPr>
          <w:pgSz w:w="11900" w:h="16838" w:orient="portrait"/>
          <w:cols w:equalWidth="0" w:num="1">
            <w:col w:w="11020"/>
          </w:cols>
          <w:pgMar w:left="440" w:top="274" w:right="4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Page 8 of 27</w:t>
      </w:r>
    </w:p>
    <w:p>
      <w:pPr>
        <w:sectPr>
          <w:pgSz w:w="11900" w:h="16838" w:orient="portrait"/>
          <w:cols w:equalWidth="0" w:num="2">
            <w:col w:w="9400" w:space="720"/>
            <w:col w:w="900"/>
          </w:cols>
          <w:pgMar w:left="440" w:top="274" w:right="439" w:bottom="1440" w:gutter="0" w:footer="0" w:header="0"/>
          <w:type w:val="continuous"/>
        </w:sectPr>
      </w:pPr>
    </w:p>
    <w:bookmarkStart w:id="57" w:name="page58"/>
    <w:bookmarkEnd w:id="5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Recipient may be prohibited from (i) disclosing the inside information to any third party (other than on a “need to know” basis) and (ii) “tipping” third parties or causing them to otherwise buy or sell securities (third parties include fellow employees). Any restrictions under these laws or regulations are separate from and in addition to any restrictions that may be imposed under any applicable Company insider trading policy. The Recipient acknowledges that it is his or her responsibility to comply with any applicable restrictions as well as any applicable Company insider trading policy, and the Recipient is advised to speak to his personal advisor on this matter.</w:t>
      </w:r>
    </w:p>
    <w:p>
      <w:pPr>
        <w:spacing w:after="0" w:line="80" w:lineRule="exact"/>
        <w:rPr>
          <w:sz w:val="20"/>
          <w:szCs w:val="20"/>
          <w:color w:val="auto"/>
        </w:rPr>
      </w:pPr>
    </w:p>
    <w:p>
      <w:pPr>
        <w:ind w:right="100" w:firstLine="996"/>
        <w:spacing w:after="0" w:line="264" w:lineRule="auto"/>
        <w:tabs>
          <w:tab w:leader="none" w:pos="1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is not providing any tax, legal or financial advice, nor is the Company making any recommendations regarding the Recipient’s participation in the Plan, or his or her acquisition of PRSU Shares. The Recipient should consult with his or her own tax, legal and financial advisors regarding participation in the Plan before taking any action related to the Plan.</w:t>
      </w:r>
    </w:p>
    <w:p>
      <w:pPr>
        <w:spacing w:after="0" w:line="73" w:lineRule="exact"/>
        <w:rPr>
          <w:rFonts w:ascii="Arial" w:cs="Arial" w:eastAsia="Arial" w:hAnsi="Arial"/>
          <w:sz w:val="18"/>
          <w:szCs w:val="18"/>
          <w:color w:val="auto"/>
        </w:rPr>
      </w:pPr>
    </w:p>
    <w:p>
      <w:pPr>
        <w:ind w:right="20" w:firstLine="996"/>
        <w:spacing w:after="0" w:line="286" w:lineRule="auto"/>
        <w:tabs>
          <w:tab w:leader="none" w:pos="12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Agreement is intended to comply with Section 409A of the Internal Revenue Code of 1986, as amended, and the regulations and guidance issued thereunder (“Section 409A”), to the extent subject thereto, and accordingly, to the maximum extent permitted, this Agreement shall be interpreted and administered to be in compliance therewith. Notwithstanding anything to the contrary in the Plan or this Agreement, the Company reserves the right to revise this Agreement as it deems necessary or advisable, in its sole discretion and without the Recipient’s consent, to comply with Section 409A or to otherwise avoid imposition of any additional tax or income recognition under Section 409A prior to the actual payment of cash or Company Stock pursuant to the Performance Restricted Stock Unit. The Company (including its Affiliates) shall not have any liability under the Plan or this Agreement for any taxes, penalties or interest due on amounts paid or payable pursuant to the Plan or this Agreement, including any taxes, penalties or interest imposed under Section 409A. Each amount to be paid under this Agreement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63" w:lineRule="exact"/>
        <w:rPr>
          <w:rFonts w:ascii="Arial" w:cs="Arial" w:eastAsia="Arial" w:hAnsi="Arial"/>
          <w:sz w:val="16"/>
          <w:szCs w:val="16"/>
          <w:color w:val="auto"/>
        </w:rPr>
      </w:pPr>
    </w:p>
    <w:p>
      <w:pPr>
        <w:ind w:right="80" w:firstLine="996"/>
        <w:spacing w:after="0" w:line="255" w:lineRule="auto"/>
        <w:tabs>
          <w:tab w:leader="none" w:pos="126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w:t>
      </w:r>
    </w:p>
    <w:p>
      <w:pPr>
        <w:sectPr>
          <w:pgSz w:w="11900" w:h="16838" w:orient="portrait"/>
          <w:cols w:equalWidth="0" w:num="1">
            <w:col w:w="11020"/>
          </w:cols>
          <w:pgMar w:left="440" w:top="274"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Page 9 of 27</w:t>
      </w:r>
    </w:p>
    <w:p>
      <w:pPr>
        <w:sectPr>
          <w:pgSz w:w="11900" w:h="16838" w:orient="portrait"/>
          <w:cols w:equalWidth="0" w:num="2">
            <w:col w:w="9400" w:space="720"/>
            <w:col w:w="900"/>
          </w:cols>
          <w:pgMar w:left="440" w:top="274" w:right="439" w:bottom="1440" w:gutter="0" w:footer="0" w:header="0"/>
          <w:type w:val="continuous"/>
        </w:sectPr>
      </w:pPr>
    </w:p>
    <w:bookmarkStart w:id="58" w:name="page59"/>
    <w:bookmarkEnd w:id="5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72" w:lineRule="exact"/>
        <w:rPr>
          <w:sz w:val="20"/>
          <w:szCs w:val="20"/>
          <w:color w:val="auto"/>
        </w:rPr>
      </w:pPr>
    </w:p>
    <w:p>
      <w:pPr>
        <w:ind w:right="100" w:firstLine="996"/>
        <w:spacing w:after="0" w:line="268" w:lineRule="auto"/>
        <w:tabs>
          <w:tab w:leader="none" w:pos="1262" w:val="left"/>
        </w:tabs>
        <w:numPr>
          <w:ilvl w:val="0"/>
          <w:numId w:val="44"/>
        </w:numPr>
        <w:rPr>
          <w:rFonts w:ascii="Arial" w:cs="Arial" w:eastAsia="Arial" w:hAnsi="Arial"/>
          <w:sz w:val="17"/>
          <w:szCs w:val="17"/>
          <w:color w:val="auto"/>
        </w:rPr>
      </w:pPr>
      <w:r>
        <w:rPr>
          <w:rFonts w:ascii="Arial" w:cs="Arial" w:eastAsia="Arial" w:hAnsi="Arial"/>
          <w:sz w:val="17"/>
          <w:szCs w:val="17"/>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Agreement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Agreement;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ectPr>
          <w:pgSz w:w="11900" w:h="16838" w:orient="portrait"/>
          <w:cols w:equalWidth="0" w:num="1">
            <w:col w:w="11020"/>
          </w:cols>
          <w:pgMar w:left="440" w:top="274" w:right="43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Page 10 of 27</w:t>
      </w:r>
    </w:p>
    <w:p>
      <w:pPr>
        <w:sectPr>
          <w:pgSz w:w="11900" w:h="16838" w:orient="portrait"/>
          <w:cols w:equalWidth="0" w:num="2">
            <w:col w:w="9300" w:space="720"/>
            <w:col w:w="1000"/>
          </w:cols>
          <w:pgMar w:left="440" w:top="274" w:right="4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2011 OMNIBUS INCENTIVE COMPENSATION PLAN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PERFORMANCE RESTRICTED STOCK UNIT AGREEMENT</w:t>
      </w:r>
    </w:p>
    <w:p>
      <w:pPr>
        <w:spacing w:after="0" w:line="211"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Except as otherwise provided in this Agreement and subject to adjustments permitted by the Plan, the number of Performance Restricted Stock Units which will vest under this Agreement, if any, will be determined by multiplying (a) the sum of (i) 0.5 times the vested percentage applicable to Return on Tangible Capital (“ROTC”) plus (ii) 0.5 times the vested percentage applicable to Relative Total Shareholder Return (“TSR”) by (b) the number of initial Performance Restricted Stock Units granted (the “Target Award”). The maximum number of Performance Restricted Stock Units which can vest is 200% of the Target Award and the minimum number of Performance Restricted Stock Units which can vest is 0% of the Target Award.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vested percentage applicable to ROTC and TSR will each be determined over the Performance Period as illustrated in the schedules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“Performance Period” means the period beginning January 1, 2019 and ending December 31, 2021.</w:t>
      </w:r>
    </w:p>
    <w:p>
      <w:pPr>
        <w:spacing w:after="0" w:line="211"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u w:val="single" w:color="auto"/>
          <w:color w:val="auto"/>
        </w:rPr>
        <w:t>Calculating ROTC</w:t>
      </w:r>
      <w:r>
        <w:rPr>
          <w:rFonts w:ascii="Arial" w:cs="Arial" w:eastAsia="Arial" w:hAnsi="Arial"/>
          <w:sz w:val="16"/>
          <w:szCs w:val="16"/>
          <w:color w:val="auto"/>
        </w:rPr>
        <w:t>. Annual ROTC is calculated by dividing EBITDA (earnings before interest, income taxes, depreciation and amortization), and adjusting for certain non-GAAP charges (i.e., realignment costs) and trailing EBITDA of acquisitions, by average net tangible capital. Average net tangible capital is the simple average calculation of beginning and ending net tangible assets (total assets less cash, less goodwill and less other intangibles, net), less net current liabilities (current liabilities, less short-term borrowings and current portion of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will make adjustments, on a case-by-case basis, to modify the calculation of ROTC to fairly represent changes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occurring during the target and/or performance periods in the measurement of ROTC performance against target.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Return on Tangible Capital (ROTC)</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vested percentage applicable to ROTC will be determined based on AMETEK, Inc. average annual ROTC (“Average ROTC”) as calculated below for the Performance Period in accordance with the following schedule: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tcPr>
          <w:p>
            <w:pPr>
              <w:spacing w:after="0"/>
              <w:rPr>
                <w:sz w:val="16"/>
                <w:szCs w:val="16"/>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Average ROTC</w:t>
            </w:r>
          </w:p>
        </w:tc>
        <w:tc>
          <w:tcPr>
            <w:tcW w:w="314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ROTC Vested Percentage</w:t>
            </w:r>
          </w:p>
        </w:tc>
        <w:tc>
          <w:tcPr>
            <w:tcW w:w="200" w:type="dxa"/>
            <w:vAlign w:val="bottom"/>
            <w:tcBorders>
              <w:bottom w:val="single" w:sz="8" w:color="CCEEFF"/>
            </w:tcBorders>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1780" w:type="dxa"/>
            <w:vAlign w:val="bottom"/>
          </w:tcPr>
          <w:p>
            <w:pPr>
              <w:spacing w:after="0"/>
              <w:rPr>
                <w:sz w:val="17"/>
                <w:szCs w:val="17"/>
                <w:color w:val="auto"/>
              </w:rPr>
            </w:pPr>
          </w:p>
        </w:tc>
        <w:tc>
          <w:tcPr>
            <w:tcW w:w="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&lt; 52%</w:t>
            </w:r>
          </w:p>
        </w:tc>
        <w:tc>
          <w:tcPr>
            <w:tcW w:w="3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1760" w:type="dxa"/>
            <w:vAlign w:val="bottom"/>
          </w:tcPr>
          <w:p>
            <w:pPr>
              <w:spacing w:after="0"/>
              <w:rPr>
                <w:sz w:val="17"/>
                <w:szCs w:val="17"/>
                <w:color w:val="auto"/>
              </w:rPr>
            </w:pPr>
          </w:p>
        </w:tc>
      </w:tr>
      <w:tr>
        <w:trPr>
          <w:trHeight w:val="216"/>
        </w:trPr>
        <w:tc>
          <w:tcPr>
            <w:tcW w:w="178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52%</w:t>
            </w:r>
          </w:p>
        </w:tc>
        <w:tc>
          <w:tcPr>
            <w:tcW w:w="3140" w:type="dxa"/>
            <w:vAlign w:val="bottom"/>
          </w:tcPr>
          <w:p>
            <w:pPr>
              <w:spacing w:after="0"/>
              <w:rPr>
                <w:sz w:val="18"/>
                <w:szCs w:val="18"/>
                <w:color w:val="auto"/>
              </w:rPr>
            </w:pPr>
          </w:p>
        </w:tc>
        <w:tc>
          <w:tcPr>
            <w:tcW w:w="344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17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92%</w:t>
            </w:r>
          </w:p>
        </w:tc>
        <w:tc>
          <w:tcPr>
            <w:tcW w:w="314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760" w:type="dxa"/>
            <w:vAlign w:val="bottom"/>
          </w:tcPr>
          <w:p>
            <w:pPr>
              <w:spacing w:after="0"/>
              <w:rPr>
                <w:sz w:val="18"/>
                <w:szCs w:val="18"/>
                <w:color w:val="auto"/>
              </w:rPr>
            </w:pPr>
          </w:p>
        </w:tc>
      </w:tr>
      <w:tr>
        <w:trPr>
          <w:trHeight w:val="176"/>
        </w:trPr>
        <w:tc>
          <w:tcPr>
            <w:tcW w:w="178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&gt;112%</w:t>
            </w:r>
          </w:p>
        </w:tc>
        <w:tc>
          <w:tcPr>
            <w:tcW w:w="3140" w:type="dxa"/>
            <w:vAlign w:val="bottom"/>
          </w:tcPr>
          <w:p>
            <w:pPr>
              <w:spacing w:after="0"/>
              <w:rPr>
                <w:sz w:val="15"/>
                <w:szCs w:val="15"/>
                <w:color w:val="auto"/>
              </w:rPr>
            </w:pPr>
          </w:p>
        </w:tc>
        <w:tc>
          <w:tcPr>
            <w:tcW w:w="344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200%</w:t>
            </w:r>
          </w:p>
        </w:tc>
        <w:tc>
          <w:tcPr>
            <w:tcW w:w="1760" w:type="dxa"/>
            <w:vAlign w:val="bottom"/>
          </w:tcPr>
          <w:p>
            <w:pPr>
              <w:spacing w:after="0"/>
              <w:rPr>
                <w:sz w:val="15"/>
                <w:szCs w:val="15"/>
                <w:color w:val="auto"/>
              </w:rPr>
            </w:pPr>
          </w:p>
        </w:tc>
      </w:tr>
      <w:tr>
        <w:trPr>
          <w:trHeight w:val="20"/>
        </w:trPr>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71"/>
        </w:trPr>
        <w:tc>
          <w:tcPr>
            <w:tcW w:w="5820" w:type="dxa"/>
            <w:vAlign w:val="bottom"/>
            <w:gridSpan w:val="4"/>
          </w:tcPr>
          <w:p>
            <w:pPr>
              <w:spacing w:after="0"/>
              <w:rPr>
                <w:sz w:val="20"/>
                <w:szCs w:val="20"/>
                <w:color w:val="auto"/>
              </w:rPr>
            </w:pPr>
            <w:r>
              <w:rPr>
                <w:rFonts w:ascii="Arial" w:cs="Arial" w:eastAsia="Arial" w:hAnsi="Arial"/>
                <w:sz w:val="18"/>
                <w:szCs w:val="18"/>
                <w:color w:val="auto"/>
              </w:rPr>
              <w:t>Non-U.S. EE Perf RSU 2019</w:t>
            </w:r>
          </w:p>
        </w:tc>
        <w:tc>
          <w:tcPr>
            <w:tcW w:w="1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ind w:left="780"/>
              <w:spacing w:after="0"/>
              <w:rPr>
                <w:sz w:val="20"/>
                <w:szCs w:val="20"/>
                <w:color w:val="auto"/>
              </w:rPr>
            </w:pPr>
            <w:r>
              <w:rPr>
                <w:rFonts w:ascii="Arial" w:cs="Arial" w:eastAsia="Arial" w:hAnsi="Arial"/>
                <w:sz w:val="18"/>
                <w:szCs w:val="18"/>
                <w:color w:val="auto"/>
                <w:w w:val="85"/>
              </w:rPr>
              <w:t>Page 11 of 27</w:t>
            </w:r>
          </w:p>
        </w:tc>
      </w:tr>
      <w:tr>
        <w:trPr>
          <w:trHeight w:val="230"/>
        </w:trPr>
        <w:tc>
          <w:tcPr>
            <w:tcW w:w="5820" w:type="dxa"/>
            <w:vAlign w:val="bottom"/>
            <w:gridSpan w:val="4"/>
          </w:tcPr>
          <w:p>
            <w:pPr>
              <w:spacing w:after="0"/>
              <w:rPr>
                <w:sz w:val="20"/>
                <w:szCs w:val="20"/>
                <w:color w:val="auto"/>
              </w:rPr>
            </w:pPr>
            <w:r>
              <w:rPr>
                <w:rFonts w:ascii="Arial" w:cs="Arial" w:eastAsia="Arial" w:hAnsi="Arial"/>
                <w:sz w:val="18"/>
                <w:szCs w:val="18"/>
                <w:color w:val="auto"/>
              </w:rPr>
              <w:t>Grant Plan: 11UNP1 PRSU-EE-nonUS-2011 Legal Plan</w:t>
            </w:r>
          </w:p>
        </w:tc>
        <w:tc>
          <w:tcPr>
            <w:tcW w:w="1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ectPr>
          <w:pgSz w:w="11900" w:h="16838" w:orient="portrait"/>
          <w:cols w:equalWidth="0" w:num="1">
            <w:col w:w="11020"/>
          </w:cols>
          <w:pgMar w:left="440" w:top="274" w:right="439" w:bottom="1440" w:gutter="0" w:footer="0" w:header="0"/>
        </w:sectPr>
      </w:pPr>
    </w:p>
    <w:bookmarkStart w:id="60" w:name="page61"/>
    <w:bookmarkEnd w:id="60"/>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Vested percentages between the amounts shown will be calculated by linear interpolation. The vested percentage applicable to ROTC will be 0% if the Average ROTC for the Performance Period is below 52%. In no event will the vested percentage applicable to ROTC be greater than 200%.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Average ROTC will equal the sum of the three annual ROTC calculations during the Performance Period divided by three.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Total Shareholder Return (TSR)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vested percentage applicable to TSR will be determined based on AMETEK TSR (as defined below) over the Performance Period relative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TSR of the S&amp;P 500 Industrials Index during the same period in accordance with the following schedule:</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TSR Ranking Relative to S&amp;P 500 Industrials</w:t>
            </w:r>
          </w:p>
        </w:tc>
        <w:tc>
          <w:tcPr>
            <w:tcW w:w="4820" w:type="dxa"/>
            <w:vAlign w:val="bottom"/>
            <w:gridSpan w:val="3"/>
          </w:tcPr>
          <w:p>
            <w:pPr>
              <w:jc w:val="right"/>
              <w:ind w:right="200"/>
              <w:spacing w:after="0"/>
              <w:rPr>
                <w:sz w:val="20"/>
                <w:szCs w:val="20"/>
                <w:color w:val="auto"/>
              </w:rPr>
            </w:pPr>
            <w:r>
              <w:rPr>
                <w:rFonts w:ascii="Arial" w:cs="Arial" w:eastAsia="Arial" w:hAnsi="Arial"/>
                <w:sz w:val="14"/>
                <w:szCs w:val="14"/>
                <w:color w:val="auto"/>
              </w:rPr>
              <w:t>TSR Vested Percentage</w:t>
            </w:r>
          </w:p>
        </w:tc>
        <w:tc>
          <w:tcPr>
            <w:tcW w:w="0" w:type="dxa"/>
            <w:vAlign w:val="bottom"/>
          </w:tcPr>
          <w:p>
            <w:pPr>
              <w:spacing w:after="0"/>
              <w:rPr>
                <w:sz w:val="1"/>
                <w:szCs w:val="1"/>
                <w:color w:val="auto"/>
              </w:rPr>
            </w:pPr>
          </w:p>
        </w:tc>
      </w:tr>
      <w:tr>
        <w:trPr>
          <w:trHeight w:val="20"/>
        </w:trPr>
        <w:tc>
          <w:tcPr>
            <w:tcW w:w="2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&lt;30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32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vMerge w:val="continue"/>
            <w:shd w:val="clear" w:color="auto" w:fill="CCEEFF"/>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30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6"/>
        </w:trPr>
        <w:tc>
          <w:tcPr>
            <w:tcW w:w="2660" w:type="dxa"/>
            <w:vAlign w:val="bottom"/>
            <w:gridSpan w:val="2"/>
          </w:tcPr>
          <w:p>
            <w:pPr>
              <w:spacing w:after="0" w:line="176" w:lineRule="exact"/>
              <w:rPr>
                <w:sz w:val="20"/>
                <w:szCs w:val="20"/>
                <w:color w:val="auto"/>
              </w:rPr>
            </w:pPr>
            <w:r>
              <w:rPr>
                <w:rFonts w:ascii="Arial" w:cs="Arial" w:eastAsia="Arial" w:hAnsi="Arial"/>
                <w:sz w:val="18"/>
                <w:szCs w:val="18"/>
                <w:color w:val="auto"/>
              </w:rPr>
              <w:t>&gt;80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820" w:type="dxa"/>
            <w:vAlign w:val="bottom"/>
            <w:gridSpan w:val="3"/>
          </w:tcPr>
          <w:p>
            <w:pPr>
              <w:jc w:val="right"/>
              <w:ind w:right="60"/>
              <w:spacing w:after="0" w:line="17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Vested percentages between the amounts shown will be calculated by linear interpolation. The vested percentage applicable to TSR will be 0% if AMETEK TSR ranks lower than the 30th percentile relative to the S&amp;P 500 Industrials. In no event will the vested percentage applicable to TSR be greater than 200%.</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purposes of this Agreement, the term “TSR” means [(a) – (b) + (c)] / (b), where (a) is the Stock Price (as defined below) on the last business day of the Performance Period, (b) is the Stock Price on the first business day of the Performance Period and (c) is dividends paid during the Performance Period. The term Stock Price means the average daily closing price of a share of common stock of the Company or the companies comprising the S&amp;P 500 Industrials, as applicable, during the preceding 10 trading days. The Stock Price for the Company shall be adjusted to reflect a stock split, reverse stock split, spin-off or other similar extraordinary event affecting the shares in question without the issuer’s receipt of consideration occurring during the Performance Period.</w:t>
      </w:r>
    </w:p>
    <w:p>
      <w:pPr>
        <w:sectPr>
          <w:pgSz w:w="11900" w:h="16838" w:orient="portrait"/>
          <w:cols w:equalWidth="0" w:num="1">
            <w:col w:w="11020"/>
          </w:cols>
          <w:pgMar w:left="440" w:top="274"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Page 12 of 27</w:t>
      </w:r>
    </w:p>
    <w:p>
      <w:pPr>
        <w:sectPr>
          <w:pgSz w:w="11900" w:h="16838" w:orient="portrait"/>
          <w:cols w:equalWidth="0" w:num="2">
            <w:col w:w="9300" w:space="720"/>
            <w:col w:w="1000"/>
          </w:cols>
          <w:pgMar w:left="440" w:top="274" w:right="4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ADDENDUM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SPECIAL TERMS AND CONDITIONS TO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PERFORMANCE RESTRICTED STOCK UNIT AGREEMENT FOR NON-U.S. RECIPIENTS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Capitalized terms used but not otherwise defined herein shall have the meanings given to them in the Performance Restricted Stock Unit Agreement for Non-U.S. Recipients (the “Agreement”) or in the 2011 Omnibus Incentive Compensation Plan of AMETEK, Inc. (the “Plan”).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Addendum includes special terms and conditions that govern the Performance Restricted Stock Units granted to the Recipient under the Plan if he or she resides and/or works in one of the countries listed below. If the Recipient is a citizen (or is considered as such for local law purposes) of a country other than the country in which he or she is currently residing and/or working, or if he or she relocates to another country after the Performance Restricted Stock Units are granted, the Recipient acknowledges and agrees that the Company will, in its discretion, determine the extent to which the terms and conditions contained herein will be applicable to the Recipient.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This Addendum also includes information regarding securities law, exchange controls and certain other issues of which the Recipient should be aware with respect to participation in the Plan. The information is based on the securities, exchange control and other laws in effect in the respective countries as of October 2017. Such laws are often complex and change frequently. As a result, the Company strongly recommends that the Recipient not rely on the information contained herein as the only source of information relating to the consequences of his or her participation in the Plan because the information may be out of date by the time he or she vests in the Performance Restricted Stock Units or sells PRSU Shares acquired under the Plan.</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the Recipient’s particular situation, and the Company is not in a position to assure the Recipient of a particular result. Accordingly, the Recipient is advised to seek appropriate professional advice as to how the relevant laws in his or her country may apply to the Recipient’s particular situation.</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Finally, if the Recipient is a citizen or resident (or is considered as such for local law purposes) of a country other than the country in which he or she is currently residing and/or working, or if the Recipient relocated to another country after the grant of Performance Restricted Stock Units, the notifications contained herein may not be applicable to the Recipient in the same manner.</w:t>
      </w:r>
    </w:p>
    <w:p>
      <w:pPr>
        <w:sectPr>
          <w:pgSz w:w="11900" w:h="16838" w:orient="portrait"/>
          <w:cols w:equalWidth="0" w:num="1">
            <w:col w:w="11020"/>
          </w:cols>
          <w:pgMar w:left="440" w:top="270" w:right="4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Page 13 of 27</w:t>
      </w:r>
    </w:p>
    <w:p>
      <w:pPr>
        <w:sectPr>
          <w:pgSz w:w="11900" w:h="16838" w:orient="portrait"/>
          <w:cols w:equalWidth="0" w:num="2">
            <w:col w:w="9300" w:space="720"/>
            <w:col w:w="1000"/>
          </w:cols>
          <w:pgMar w:left="440" w:top="270" w:right="4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xml:space="preserve"> The following provision replaces paragraph 13 of the Agreement:</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For purposes of the Performance Restricted Stock Units, the Recipient’s Separation from Service shall be deemed to occur (regardless of the reason for such Separation from Service, and whether or not later found to be invalid or in breach of employment laws in the jurisdiction where the Recipient is employed or rendering services, or the terms of his or her employment or service agreement, if any) as of the date that is the earliest of (i) the date of Separation from Service, (ii) the date on which the Recipient receives a notice of Separation from Service, and (iii) the date on which the Recipient is no longer actively providing services to the Company, Affiliate or Subsidiary Corporation, and shall not be extended by any period following such day during which he or she is in receipt of or eligible to receive any notice of Separation from Service, pay in lieu of notice of Separation from Service, severance pay or any other payments or damages, whether arising under statute, contract or common law. The Committee shall have exclusive discretion to determine when the Recipient is no longer actively providing services for purposes of the Performance Restricted Stock Units (including whether the Recipient may still be considered to be providing services while on a leave of absence).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if the Recipient resides in Quebec:</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u w:val="single" w:color="auto"/>
          <w:color w:val="auto"/>
        </w:rPr>
        <w:t>Consent to Receive Information in English.</w:t>
      </w:r>
      <w:r>
        <w:rPr>
          <w:rFonts w:ascii="Arial" w:cs="Arial" w:eastAsia="Arial" w:hAnsi="Arial"/>
          <w:sz w:val="17"/>
          <w:szCs w:val="17"/>
          <w:color w:val="auto"/>
        </w:rPr>
        <w:t xml:space="preserve"> The parties acknowledge that it is their express wish that the Agreement, as well as any documents, notices and legal proceedings entered into, given or instituted pursuant hereto or relating directly or indirectly hereto, be draw up in English.</w:t>
      </w:r>
    </w:p>
    <w:p>
      <w:pPr>
        <w:spacing w:after="0" w:line="147"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i w:val="1"/>
          <w:iCs w:val="1"/>
          <w:u w:val="single" w:color="auto"/>
          <w:color w:val="auto"/>
        </w:rPr>
        <w:t>Consentement Pour Recevoir Des Informations en Anglais.</w:t>
      </w:r>
      <w:r>
        <w:rPr>
          <w:rFonts w:ascii="Arial" w:cs="Arial" w:eastAsia="Arial" w:hAnsi="Arial"/>
          <w:sz w:val="16"/>
          <w:szCs w:val="16"/>
          <w:i w:val="1"/>
          <w:iCs w:val="1"/>
          <w:color w:val="auto"/>
        </w:rPr>
        <w:t xml:space="preserve"> Les parties reconnaissent avoir exigé la rédaction en anglais de la convention, ainsi que de tous documents, avis et procédures judiciaires, exécutés, donnés ou intentés en vertu de, ou liés directement ou indirectement, à la présente convention.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The following provision supplements paragraph 15 of the Agreement:</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Recipient hereby authorizes the Company and the Company’s representatives to discuss and obtain all relevant information from all personnel, professional or non-professional, involved in the administration of the Plan. The Recipient further authorizes the Company, Affiliate and/or Subsidiary Corporation to disclose and discuss such information with their advisors. The Recipient also authorizes the Company, Affiliate and/or Subsidiary Corporation to record such information and to keep such information in the Recipient’s employment file.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Recipient is permitted to sell the PRSU Shares acquired under the Plan through the designated broker appointed under the Plan, provided the sale of shares takes place outside of Canada through the facilities of a stock exchange on which the Company Stock is listed.</w:t>
      </w:r>
    </w:p>
    <w:p>
      <w:pPr>
        <w:sectPr>
          <w:pgSz w:w="11900" w:h="16838" w:orient="portrait"/>
          <w:cols w:equalWidth="0" w:num="1">
            <w:col w:w="11020"/>
          </w:cols>
          <w:pgMar w:left="440" w:top="270" w:right="4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Page 14 of 27</w:t>
      </w:r>
    </w:p>
    <w:p>
      <w:pPr>
        <w:sectPr>
          <w:pgSz w:w="11900" w:h="16838" w:orient="portrait"/>
          <w:cols w:equalWidth="0" w:num="2">
            <w:col w:w="9300" w:space="720"/>
            <w:col w:w="1000"/>
          </w:cols>
          <w:pgMar w:left="440" w:top="270" w:right="439" w:bottom="1440" w:gutter="0" w:footer="0" w:header="0"/>
          <w:type w:val="continuous"/>
        </w:sectPr>
      </w:pPr>
    </w:p>
    <w:bookmarkStart w:id="63" w:name="page64"/>
    <w:bookmarkEnd w:id="63"/>
    <w:p>
      <w:pPr>
        <w:spacing w:after="0" w:line="27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Asset/Account Reporting Information</w:t>
      </w:r>
      <w:r>
        <w:rPr>
          <w:rFonts w:ascii="Arial" w:cs="Arial" w:eastAsia="Arial" w:hAnsi="Arial"/>
          <w:sz w:val="17"/>
          <w:szCs w:val="17"/>
          <w:color w:val="auto"/>
        </w:rPr>
        <w:t>. Canadian residents are required to report to the tax authorities any foreign property held outside of Canada (including Performance Restricted Stock Units and PRSU Shares acquired under the Plan) annually on form Tl 135 (Foreign Income Verification Statement) if the total value of the foreign property exceeds C$100,000 at any time during the year. Thus, if the C$100,000 cost threshold is exceeded by other foreign property held by the Recipient, the Performance Restricted Stock Units must be reported (generally at nil cost). For purposes of such reporting, Company Stock acquired under the Plan may be reported at their adjusted cost base. The adjusted costs basis of stock is generally equal to the fair market value of the stock at the time of acquisition; however, if the Recipient owns other stock (</w:t>
      </w:r>
      <w:r>
        <w:rPr>
          <w:rFonts w:ascii="Arial" w:cs="Arial" w:eastAsia="Arial" w:hAnsi="Arial"/>
          <w:sz w:val="17"/>
          <w:szCs w:val="17"/>
          <w:i w:val="1"/>
          <w:iCs w:val="1"/>
          <w:color w:val="auto"/>
        </w:rPr>
        <w:t>e.g.</w:t>
      </w:r>
      <w:r>
        <w:rPr>
          <w:rFonts w:ascii="Arial" w:cs="Arial" w:eastAsia="Arial" w:hAnsi="Arial"/>
          <w:sz w:val="17"/>
          <w:szCs w:val="17"/>
          <w:color w:val="auto"/>
        </w:rPr>
        <w:t xml:space="preserve">, acquired under other circumstances or at another time), the adjusted cost basis may have to be averaged with the adjusted costs basis of the other stock. </w:t>
      </w:r>
      <w:r>
        <w:rPr>
          <w:rFonts w:ascii="Arial" w:cs="Arial" w:eastAsia="Arial" w:hAnsi="Arial"/>
          <w:sz w:val="17"/>
          <w:szCs w:val="17"/>
          <w:i w:val="1"/>
          <w:iCs w:val="1"/>
          <w:color w:val="auto"/>
        </w:rPr>
        <w:t>The Recipient should consult his or</w:t>
      </w:r>
      <w:r>
        <w:rPr>
          <w:rFonts w:ascii="Arial" w:cs="Arial" w:eastAsia="Arial" w:hAnsi="Arial"/>
          <w:sz w:val="17"/>
          <w:szCs w:val="17"/>
          <w:color w:val="auto"/>
        </w:rPr>
        <w:t xml:space="preserve"> </w:t>
      </w:r>
      <w:r>
        <w:rPr>
          <w:rFonts w:ascii="Arial" w:cs="Arial" w:eastAsia="Arial" w:hAnsi="Arial"/>
          <w:sz w:val="17"/>
          <w:szCs w:val="17"/>
          <w:i w:val="1"/>
          <w:iCs w:val="1"/>
          <w:color w:val="auto"/>
        </w:rPr>
        <w:t>her personal legal advisor to ensure compliance with applicable reporting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The following terms and conditions apply only if the Recipient is subject to, as determined by the Company in its sole discretion, the Circular on Issues concerning Administration of Foreign Exchange Used for Domestic Individuals Participation in Equity Incentive Plan of Companies Listed Overseas (“Circular 7”) issued by the State Administration of Foreign Exchange (“SAFE”).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u w:val="single" w:color="auto"/>
          <w:color w:val="auto"/>
        </w:rPr>
        <w:t>Immediate Sale Restriction</w:t>
      </w:r>
      <w:r>
        <w:rPr>
          <w:rFonts w:ascii="Arial" w:cs="Arial" w:eastAsia="Arial" w:hAnsi="Arial"/>
          <w:sz w:val="17"/>
          <w:szCs w:val="17"/>
          <w:color w:val="auto"/>
        </w:rPr>
        <w:t>. Due to exchange control laws in the People’s Republic of China, the Recipient understands and agrees that the Company may require that any PRSU Shares acquired upon the vesting and settlement of the Performance Restricted Stock Units be immediately sold. The Recipient further acknowledges and agrees that shares of Company Stock may be sold to satisfy any tax withholding obligation of the Employer with respect to the Performance Restricted Stock Units. If the Company, in its discretion, does not exercise its right to require the automatic sale of PRSU Shares issuable upon vesting, as described herein, the Recipient understands and agrees that any PRSU Shares acquired by the Recipient under the Plan must be sold no later six (6) month after the Recipient’s Separation from Service, or within any other such time frame as permitted by the Company or required by the China SAFE. The Recipient understands that any PRSU Shares acquired by the Recipient under the Plan that have not been sold within six (6) months of the Recipient’s Separation from Service will be automatically sold by a designated broker at the Company’s discretion, pursuant to this authorization.</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Recipient agrees that the Company is authorized to instruct the designated broker to assist with the mandatory sale of such shares (on the Recipient’s behalf pursuant to this authorization), and the Recipient expressly authorizes the designated broker to complete such sale of PRSU Shares. The Recipient also agrees to sign any agreements, forms and/or consents that may be reasonably requested by the Company (or the designated broker) to effectuate the sale (including, without limitation, as to the transfers of the proceeds and other exchange control matters noted below) and shall otherwise cooperate with the Company with respect to such matters, provided that the Recipient shall not be permitted to exercise any influence over how, when or whether the</w:t>
      </w:r>
    </w:p>
    <w:p>
      <w:pPr>
        <w:sectPr>
          <w:pgSz w:w="11900" w:h="16838" w:orient="portrait"/>
          <w:cols w:equalWidth="0" w:num="1">
            <w:col w:w="11020"/>
          </w:cols>
          <w:pgMar w:left="440" w:top="274"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Page 15 of 27</w:t>
      </w:r>
    </w:p>
    <w:p>
      <w:pPr>
        <w:sectPr>
          <w:pgSz w:w="11900" w:h="16838" w:orient="portrait"/>
          <w:cols w:equalWidth="0" w:num="2">
            <w:col w:w="9300" w:space="720"/>
            <w:col w:w="1000"/>
          </w:cols>
          <w:pgMar w:left="440" w:top="274" w:right="439" w:bottom="1440" w:gutter="0" w:footer="0" w:header="0"/>
          <w:type w:val="continuous"/>
        </w:sectPr>
      </w:pPr>
    </w:p>
    <w:bookmarkStart w:id="64" w:name="page65"/>
    <w:bookmarkEnd w:id="64"/>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sale occurs. The Recipient acknowledges that the designated broker is under no obligation to arrange for the sale of the PRSU Shares at any particular price. Due to fluctuations in the Company Stock price and/or applicable exchange rates between vesting and (if later) the date on which the PRSU Shares are sold, the amount of proceeds ultimately distributed to the Recipient may be more or less than the market value of the PRSU Shares upon vesting (which is the amount relevant to determining the Recipient’s liability for Tax-Related Items). The Recipient understands and agrees that the Company is not responsible for the amount of any loss the Recipient may incur and the Company assumes no liability for any fluctuations in Company Stock price and/or any applicable exchange rate.</w:t>
      </w:r>
    </w:p>
    <w:p>
      <w:pPr>
        <w:spacing w:after="0" w:line="19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Upon the sale of the PRSU Shares, the Company agrees to pay the cash proceeds from the sale (less any Tax-Related Items, brokerage fees or commissions) to the Recipient in accordance with the applicable exchange control laws and regulations, including, but not limited to, restrictions set forth in this Addendum for China below under “Exchange Control Requirements.”</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u w:val="single" w:color="auto"/>
          <w:color w:val="auto"/>
        </w:rPr>
        <w:t>Exchange Control Requirements.</w:t>
      </w:r>
      <w:r>
        <w:rPr>
          <w:rFonts w:ascii="Arial" w:cs="Arial" w:eastAsia="Arial" w:hAnsi="Arial"/>
          <w:sz w:val="17"/>
          <w:szCs w:val="17"/>
          <w:color w:val="auto"/>
        </w:rPr>
        <w:t xml:space="preserve"> By accepting the Performance Restricted Stock Unit award, the Recipient understands and agrees that, pursuant to local exchange control requirements, the Recipient will be required to immediately repatriate the cash proceeds from the sale of the PRSU Shares to China. The Recipient further understands that, under local law, such repatriation of cash proceeds may need to be effectuated through a special exchange control account established by the Company and/or a Subsidiary Corporation, and the Recipient hereby consents and agrees that any proceeds from the sale of any PRSU Shares the Recipient acquires may be transferred to such special account prior to being delivered to the Recipient. The Recipient further agrees to comply with any other requirements that may be imposed by the Company in the future to facilitate compliance with exchange control requirements in China. The proceeds may be paid to the Recipient in U. S. dollars or in local currency, at the Company’s discretion. If the proceeds are paid in U.S. dollars, the Recipient understands and agrees that he or she will be required to set up a U.S. dollar bank account in China (if the Recipient does not already have one) so that the proceeds may be deposited into this account. If the proceeds are paid in local currency, the Recipient further understands and agrees that the Company and/or the Employer is under no obligation to secure any particular exchange conversion rate and there may be delays in converting the cash proceeds to local currency due to exchange control restrictions. The Recipient agrees to bear any currency fluctuation risk between the time the cash proceeds are received and the time the cash proceeds are distributed to the Recipient through the special account described above. The Recipient further agrees to comply with any other requirements that may be imposed by the Company in the future to facilitate compliance with China exchange control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DENMARK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In accepting the Performance Restrict Stock Units, the Recipient acknowledges that he or she has received an Employer Statement translated into Danish, which is being provided to comply with the Danish Stock Option Act. To the extent more favorable to the Recipient and required to comply with the Stock Option Act, the terms set forth in the Employer Statement will apply to the Recipient’s participation in the Plan.</w:t>
      </w:r>
    </w:p>
    <w:p>
      <w:pPr>
        <w:sectPr>
          <w:pgSz w:w="11900" w:h="16838" w:orient="portrait"/>
          <w:cols w:equalWidth="0" w:num="1">
            <w:col w:w="11020"/>
          </w:cols>
          <w:pgMar w:left="440" w:top="274" w:right="4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Page 16 of 27</w:t>
      </w:r>
    </w:p>
    <w:p>
      <w:pPr>
        <w:sectPr>
          <w:pgSz w:w="11900" w:h="16838" w:orient="portrait"/>
          <w:cols w:equalWidth="0" w:num="2">
            <w:col w:w="9300" w:space="720"/>
            <w:col w:w="1000"/>
          </w:cols>
          <w:pgMar w:left="440" w:top="274" w:right="4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 from Termination Indemnities and Other Benefits.</w:t>
      </w:r>
      <w:r>
        <w:rPr>
          <w:rFonts w:ascii="Arial" w:cs="Arial" w:eastAsia="Arial" w:hAnsi="Arial"/>
          <w:sz w:val="18"/>
          <w:szCs w:val="18"/>
          <w:color w:val="auto"/>
        </w:rPr>
        <w:t xml:space="preserve"> This provision supplements paragraph 13 of the Agreement:</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accepting the Performance Restricted Stock Units, the Recipient acknowledges that he or she understands and agrees that this grant relates to future services to be performed and is not a bonus or compensation for past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Exchange Control and Tax Reporting Information.</w:t>
      </w:r>
      <w:r>
        <w:rPr>
          <w:rFonts w:ascii="Arial" w:cs="Arial" w:eastAsia="Arial" w:hAnsi="Arial"/>
          <w:sz w:val="17"/>
          <w:szCs w:val="17"/>
          <w:color w:val="auto"/>
        </w:rPr>
        <w:t xml:space="preserve"> The Recipient may hold Company Stock acquired under the Plan in a safety-deposit account (</w:t>
      </w:r>
      <w:r>
        <w:rPr>
          <w:rFonts w:ascii="Arial" w:cs="Arial" w:eastAsia="Arial" w:hAnsi="Arial"/>
          <w:sz w:val="17"/>
          <w:szCs w:val="17"/>
          <w:i w:val="1"/>
          <w:iCs w:val="1"/>
          <w:color w:val="auto"/>
        </w:rPr>
        <w:t>e.g.</w:t>
      </w:r>
      <w:r>
        <w:rPr>
          <w:rFonts w:ascii="Arial" w:cs="Arial" w:eastAsia="Arial" w:hAnsi="Arial"/>
          <w:sz w:val="17"/>
          <w:szCs w:val="17"/>
          <w:color w:val="auto"/>
        </w:rPr>
        <w:t>, a brokerage account) with either a Danish bank or with an approved foreign broker or bank. If the Company Stock is held with a non-Danish broker or bank, the Recipient is required to inform the Danish Tax Administration about the safety-deposit account. For this purpose, the Recipient must file a Declaration V (</w:t>
      </w:r>
      <w:r>
        <w:rPr>
          <w:rFonts w:ascii="Arial" w:cs="Arial" w:eastAsia="Arial" w:hAnsi="Arial"/>
          <w:sz w:val="17"/>
          <w:szCs w:val="17"/>
          <w:i w:val="1"/>
          <w:iCs w:val="1"/>
          <w:color w:val="auto"/>
        </w:rPr>
        <w:t>Erklaering V</w:t>
      </w:r>
      <w:r>
        <w:rPr>
          <w:rFonts w:ascii="Arial" w:cs="Arial" w:eastAsia="Arial" w:hAnsi="Arial"/>
          <w:sz w:val="17"/>
          <w:szCs w:val="17"/>
          <w:color w:val="auto"/>
        </w:rPr>
        <w:t xml:space="preserve">) with the Danish Tax Administration. Both the Recipient and the bank/broker must sign the Declaration V. By signing the Declaration V, the bank/broker undertakes an obligation, without further request each year not later than on February 1 of the year following the calendar year to which the information relates, to forward certain information to the Danish Tax Administration concerning the content of the safety-deposit account. In the event that the applicable broker or bank with which the safety-deposit account is held does not wish to, or, pursuant to the laws of the country in question, is not allowed to assume such obligation to report, the Recipient acknowledges that he or she is solely responsible for providing certain details regarding the foreign brokerage or bank account and any Company Stock acquired under the Plan and held in such account to the Danish Tax Administration as part of the Recipient’s annual income tax return. By signing the Form V, the Recipient at the same time authorizes the Danish Tax Administration to examine the account. A sample of the Declaration V can be found at the following website: </w:t>
      </w:r>
      <w:r>
        <w:rPr>
          <w:rFonts w:ascii="Arial" w:cs="Arial" w:eastAsia="Arial" w:hAnsi="Arial"/>
          <w:sz w:val="17"/>
          <w:szCs w:val="17"/>
          <w:u w:val="single" w:color="auto"/>
          <w:color w:val="auto"/>
        </w:rPr>
        <w:t>www.skat.dk/getFile.aspx?Id=47392.</w:t>
      </w:r>
    </w:p>
    <w:p>
      <w:pPr>
        <w:spacing w:after="0" w:line="1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when the Recipient opens a deposit account or a brokerage account for the purpose of holding cash outside Denmark, the bank or brokerage account, as applicable, will be treated as a deposit account because cash can be held in the account. Therefore, the Recipient must also file a Declaration K (</w:t>
      </w:r>
      <w:r>
        <w:rPr>
          <w:rFonts w:ascii="Arial" w:cs="Arial" w:eastAsia="Arial" w:hAnsi="Arial"/>
          <w:sz w:val="17"/>
          <w:szCs w:val="17"/>
          <w:i w:val="1"/>
          <w:iCs w:val="1"/>
          <w:color w:val="auto"/>
        </w:rPr>
        <w:t>Erklaering K</w:t>
      </w:r>
      <w:r>
        <w:rPr>
          <w:rFonts w:ascii="Arial" w:cs="Arial" w:eastAsia="Arial" w:hAnsi="Arial"/>
          <w:sz w:val="17"/>
          <w:szCs w:val="17"/>
          <w:color w:val="auto"/>
        </w:rPr>
        <w:t xml:space="preserve">) with the Danish Tax Administration. Both the Recipient and the bank/broker must sign the Declaration K. By signing the Declaration K, the bank/broker undertakes an obligation, without further request each year, not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Recipient acknowledges that he or she is solely responsible for providing certain details regarding the foreign brokerage or bank account to the Danish Tax Administration as part of the Recipient’s annual income tax return. By signing the Declaration K, the Recipient at the same time authorizes the Danish Tax Administration to examine the account. A sample of Declaration K can be found at the following website: </w:t>
      </w:r>
      <w:r>
        <w:rPr>
          <w:rFonts w:ascii="Arial" w:cs="Arial" w:eastAsia="Arial" w:hAnsi="Arial"/>
          <w:sz w:val="17"/>
          <w:szCs w:val="17"/>
          <w:u w:val="single" w:color="auto"/>
          <w:color w:val="auto"/>
        </w:rPr>
        <w:t>www.skat.dk/getFile.aspx?Id=42409&amp;newwindow=true.</w:t>
      </w:r>
    </w:p>
    <w:p>
      <w:pPr>
        <w:sectPr>
          <w:pgSz w:w="11900" w:h="16838" w:orient="portrait"/>
          <w:cols w:equalWidth="0" w:num="1">
            <w:col w:w="11020"/>
          </w:cols>
          <w:pgMar w:left="440" w:top="274" w:right="4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Page 17 of 27</w:t>
      </w:r>
    </w:p>
    <w:p>
      <w:pPr>
        <w:sectPr>
          <w:pgSz w:w="11900" w:h="16838" w:orient="portrait"/>
          <w:cols w:equalWidth="0" w:num="2">
            <w:col w:w="9300" w:space="720"/>
            <w:col w:w="1000"/>
          </w:cols>
          <w:pgMar w:left="440" w:top="274" w:right="439" w:bottom="1440" w:gutter="0" w:footer="0" w:header="0"/>
          <w:type w:val="continuous"/>
        </w:sectPr>
      </w:pPr>
    </w:p>
    <w:bookmarkStart w:id="66" w:name="page67"/>
    <w:bookmarkEnd w:id="66"/>
    <w:p>
      <w:pPr>
        <w:jc w:val="both"/>
        <w:ind w:right="80"/>
        <w:spacing w:after="0" w:line="26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Asset/Account Reporting Information</w:t>
      </w:r>
      <w:r>
        <w:rPr>
          <w:rFonts w:ascii="Arial" w:cs="Arial" w:eastAsia="Arial" w:hAnsi="Arial"/>
          <w:sz w:val="18"/>
          <w:szCs w:val="18"/>
          <w:color w:val="auto"/>
        </w:rPr>
        <w:t>. If the Recipient establishes an account holding Company Stock or cash outside Denmark, the Recipient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Non-Tax-Qualified Award.</w:t>
      </w:r>
      <w:r>
        <w:rPr>
          <w:rFonts w:ascii="Arial" w:cs="Arial" w:eastAsia="Arial" w:hAnsi="Arial"/>
          <w:sz w:val="17"/>
          <w:szCs w:val="17"/>
          <w:color w:val="auto"/>
        </w:rPr>
        <w:t xml:space="preserve"> The Performance Restricted Stock Units are not eligible for the specific tax and social regime provided by section 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225-197-1 to L. 225-197-6 of the French Commercial Code and the relevant sections of the French Tax Code or French Social Security Code.</w:t>
      </w:r>
    </w:p>
    <w:p>
      <w:pPr>
        <w:spacing w:after="0" w:line="2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xml:space="preserve"> By accepting the Agreement providing for the terms and conditions of the Recipient’s grant, the Recipient confirms having read and understood the documents relating to this grant (the Plan and the Agreement) which were provided in the English language. The Recipient accepts the terms of these documents accordingly.</w:t>
      </w:r>
    </w:p>
    <w:p>
      <w:pPr>
        <w:spacing w:after="0" w:line="2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u w:val="single" w:color="auto"/>
          <w:color w:val="auto"/>
        </w:rPr>
        <w:t>Consentement relative à la réception d’informations en langue anglaise.</w:t>
      </w:r>
      <w:r>
        <w:rPr>
          <w:rFonts w:ascii="Arial" w:cs="Arial" w:eastAsia="Arial" w:hAnsi="Arial"/>
          <w:sz w:val="18"/>
          <w:szCs w:val="18"/>
          <w:i w:val="1"/>
          <w:iCs w:val="1"/>
          <w:color w:val="auto"/>
        </w:rPr>
        <w:t xml:space="preserve"> En acceptant le Contrat d’Attribution décrivant les termes et conditions de l’attribution, le Beneficiare confirme ainsi avoir lu et compris les documents relatifs à cette attribution (le Plan et le Contrat d’ Attribution) qui ont été communiqués en langue anglaise. Le Beneficiare accepte les termes en connaissance de cause.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xml:space="preserve"> The Recipient may hold Company Stock acquired under the Plan provided the Recipient declares all foreign and bank and brokerage accounts (including accounts opened or closed during the tax year) in the Recipient’s tax return. Failure to comply may trigger significant penalties.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Cross-border payments in excess of €12,500 must be reported monthly to the German Federal Bank (</w:t>
      </w:r>
      <w:r>
        <w:rPr>
          <w:rFonts w:ascii="Arial" w:cs="Arial" w:eastAsia="Arial" w:hAnsi="Arial"/>
          <w:sz w:val="16"/>
          <w:szCs w:val="16"/>
          <w:i w:val="1"/>
          <w:iCs w:val="1"/>
          <w:color w:val="auto"/>
        </w:rPr>
        <w:t>Bundesbank</w:t>
      </w:r>
      <w:r>
        <w:rPr>
          <w:rFonts w:ascii="Arial" w:cs="Arial" w:eastAsia="Arial" w:hAnsi="Arial"/>
          <w:sz w:val="16"/>
          <w:szCs w:val="16"/>
          <w:color w:val="auto"/>
        </w:rPr>
        <w:t>). In the event that the Recipient makes or receives a payment in excess of this amount, he or she must report the payment to Bundesbank electronically using the “General Statistics Reporting Portal” (“</w:t>
      </w:r>
      <w:r>
        <w:rPr>
          <w:rFonts w:ascii="Arial" w:cs="Arial" w:eastAsia="Arial" w:hAnsi="Arial"/>
          <w:sz w:val="16"/>
          <w:szCs w:val="16"/>
          <w:i w:val="1"/>
          <w:iCs w:val="1"/>
          <w:color w:val="auto"/>
        </w:rPr>
        <w:t>Allgemeines Meldeportal Statistik</w:t>
      </w:r>
      <w:r>
        <w:rPr>
          <w:rFonts w:ascii="Arial" w:cs="Arial" w:eastAsia="Arial" w:hAnsi="Arial"/>
          <w:sz w:val="16"/>
          <w:szCs w:val="16"/>
          <w:color w:val="auto"/>
        </w:rPr>
        <w:t>”) available via Bundesbank’s website (</w:t>
      </w:r>
      <w:r>
        <w:rPr>
          <w:rFonts w:ascii="Arial" w:cs="Arial" w:eastAsia="Arial" w:hAnsi="Arial"/>
          <w:sz w:val="16"/>
          <w:szCs w:val="16"/>
          <w:u w:val="single" w:color="auto"/>
          <w:color w:val="auto"/>
        </w:rPr>
        <w:t>www.bundesbank.de</w:t>
      </w:r>
      <w:r>
        <w:rPr>
          <w:rFonts w:ascii="Arial" w:cs="Arial" w:eastAsia="Arial" w:hAnsi="Arial"/>
          <w:sz w:val="16"/>
          <w:szCs w:val="16"/>
          <w:color w:val="auto"/>
        </w:rPr>
        <w: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xml:space="preserve"> The Company and the Employer will at all times, in operating and administering the Plan, adhere to the applicable data protection laws, in particular the GDPR and the German Federal Data Protection Act and, if applicable internal codes or policies applicable to them. The Recipient has received from the Company or, if different, from his Employer, a privacy notice according to Art.13, 14 GDPR describing the details on the processing of his personal data in connection with the Plan. For the avoidance of doubt, the Company and/or Employer is not processing any personal data of the Recipient on the basis of the consent set out in paragraph 15 of this Agreement. If the Recipient will be asked for his consent for specific data processing operations this will be done by a separate declaration of consent.</w:t>
      </w:r>
    </w:p>
    <w:p>
      <w:pPr>
        <w:sectPr>
          <w:pgSz w:w="11900" w:h="16838" w:orient="portrait"/>
          <w:cols w:equalWidth="0" w:num="1">
            <w:col w:w="11020"/>
          </w:cols>
          <w:pgMar w:left="440" w:top="274" w:right="4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Page 18 of 27</w:t>
      </w:r>
    </w:p>
    <w:p>
      <w:pPr>
        <w:sectPr>
          <w:pgSz w:w="11900" w:h="16838" w:orient="portrait"/>
          <w:cols w:equalWidth="0" w:num="2">
            <w:col w:w="9300" w:space="720"/>
            <w:col w:w="1000"/>
          </w:cols>
          <w:pgMar w:left="440" w:top="274" w:right="4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HONG KONG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Restrictions on Sale of Company Stock.</w:t>
      </w:r>
      <w:r>
        <w:rPr>
          <w:rFonts w:ascii="Arial" w:cs="Arial" w:eastAsia="Arial" w:hAnsi="Arial"/>
          <w:sz w:val="18"/>
          <w:szCs w:val="18"/>
          <w:color w:val="auto"/>
        </w:rPr>
        <w:t xml:space="preserve"> Any Company Stock received at vesting is accepted as a personal investment. In the event the Performance Restricted Stock Units vest and Company Stock is issued to the Recipient within six (6) months of the award grant, the Recipient agrees that he or she will not sell any Company Stock acquired prior to the six-month anniversary of the grant.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WARNING: Neither the grant of the Performance Restricted Stock Units nor the issuance of PRSU Shares upon vesting</w:t>
      </w:r>
      <w:r>
        <w:rPr>
          <w:rFonts w:ascii="Arial" w:cs="Arial" w:eastAsia="Arial" w:hAnsi="Arial"/>
          <w:sz w:val="16"/>
          <w:szCs w:val="16"/>
          <w:color w:val="auto"/>
        </w:rPr>
        <w:t xml:space="preserve"> </w:t>
      </w:r>
      <w:r>
        <w:rPr>
          <w:rFonts w:ascii="Arial" w:cs="Arial" w:eastAsia="Arial" w:hAnsi="Arial"/>
          <w:sz w:val="16"/>
          <w:szCs w:val="16"/>
          <w:i w:val="1"/>
          <w:iCs w:val="1"/>
          <w:color w:val="auto"/>
        </w:rPr>
        <w:t>constitutes a public offering of securities under Hong Kong law and is available only to employees of the Company or its affiliates. The Agreement, including the Addendum, the Plan and other incidental communication materials distributed in connection with the Performance Restricted Stock Units</w:t>
      </w:r>
    </w:p>
    <w:p>
      <w:pPr>
        <w:ind w:right="80" w:firstLine="4"/>
        <w:spacing w:after="0" w:line="295" w:lineRule="auto"/>
        <w:tabs>
          <w:tab w:leader="none" w:pos="215"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have not been prepared in accordance with and are not intended to constitute a “prospectus “ for a public offering of securities under the applicable securities legislation in Hong Kong, (ii) have not been reviewed by any regulatory authority in Hong Kong, and (iii) are intended only for the personal use of each eligible employee of the Company or its affiliates and may not be distributed to any other person. If the Recipient has any questions regarding the contents of the Agreement, including the Addendum or the Plan, the Recipient should obtain independent professional advice.</w:t>
      </w:r>
    </w:p>
    <w:p>
      <w:pPr>
        <w:spacing w:after="0" w:line="1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Nature of Scheme.</w:t>
      </w:r>
      <w:r>
        <w:rPr>
          <w:rFonts w:ascii="Arial" w:cs="Arial" w:eastAsia="Arial" w:hAnsi="Arial"/>
          <w:sz w:val="18"/>
          <w:szCs w:val="18"/>
          <w:color w:val="auto"/>
        </w:rPr>
        <w:t xml:space="preserve"> The Company specifically intends that the Plan will not be an occupational retirement scheme for purposes of the Occupational Retirement Schemes Ordinance (“</w:t>
      </w:r>
      <w:r>
        <w:rPr>
          <w:rFonts w:ascii="Arial" w:cs="Arial" w:eastAsia="Arial" w:hAnsi="Arial"/>
          <w:sz w:val="18"/>
          <w:szCs w:val="18"/>
          <w:u w:val="single" w:color="auto"/>
          <w:color w:val="auto"/>
        </w:rPr>
        <w:t>ORSO</w:t>
      </w:r>
      <w:r>
        <w:rPr>
          <w:rFonts w:ascii="Arial" w:cs="Arial" w:eastAsia="Arial" w:hAnsi="Arial"/>
          <w:sz w:val="18"/>
          <w:szCs w:val="18"/>
          <w:color w:val="auto"/>
        </w:rPr>
        <w:t>”). Notwithstanding the foregoing, if the Plan is deemed to constitute an occupational retirement scheme for purposes of ORSO, then the Recipient’s grant shall be void.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ITALY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xml:space="preserve"> The following provision replaces paragraph 15 of the Agreement in its entirety: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The Recipient understands that the Company and any Subsidiary Corporation may hold certain personal information about the Recipient, including, but not limited to, the Recipient’s name, home address, email address and telephone number, date of birth, social insurance, passport or other identification number (to the extent permitted under Italian law), salary, nationality, job title, any shares of stock or directorships held in the Company or any Subsidiary Corporation, details of all Performance Restricted Stock Units or other entitlement to common units or equivalent benefits granted, awarded, canceled, exercised, vested, unvested or outstanding in the Recipient’s favor, and that the Company and the Employer will process said data and other data lawfully received from third parties (“Data”) for the exclusive purpose of implementing, managing and administering the Recipient’s participation in the Plan and complying with applicable laws, including community legislation.</w:t>
      </w:r>
    </w:p>
    <w:p>
      <w:pPr>
        <w:sectPr>
          <w:pgSz w:w="11900" w:h="16838" w:orient="portrait"/>
          <w:cols w:equalWidth="0" w:num="1">
            <w:col w:w="11020"/>
          </w:cols>
          <w:pgMar w:left="440" w:top="270" w:right="43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Page 19 of 27</w:t>
      </w:r>
    </w:p>
    <w:p>
      <w:pPr>
        <w:sectPr>
          <w:pgSz w:w="11900" w:h="16838" w:orient="portrait"/>
          <w:cols w:equalWidth="0" w:num="2">
            <w:col w:w="9300" w:space="720"/>
            <w:col w:w="1000"/>
          </w:cols>
          <w:pgMar w:left="440" w:top="270" w:right="439" w:bottom="1440" w:gutter="0" w:footer="0" w:header="0"/>
          <w:type w:val="continuous"/>
        </w:sectPr>
      </w:pPr>
    </w:p>
    <w:bookmarkStart w:id="68" w:name="page69"/>
    <w:bookmarkEnd w:id="68"/>
    <w:p>
      <w:pPr>
        <w:ind w:right="140"/>
        <w:spacing w:after="0" w:line="25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Recipient also understands that providing the Company with Data is necessary to effectuate the Recipient’s participation in the Plan and that the Recipient’s refusal to do so would make it impossible for the Company to perform its contractual obligations and may affect the Recipient’s ability to participate in the Plan. The controllers of Data processing are Ametek, Inc. with registered offices at 1100 Cassatt Road, Berwyn, PA 19312, U.S.A., which is also the Company’s representative in Italy for privacy purposes pursuant to GDPR and Legislative Decree no. 196/2003, as amended by Legislative Decree no. 101/2018.</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 xml:space="preserve">The Recipient understands that Data will not be publicized, but it may be accessible by the Employer as the privacy representative of the Company and within the Employer’s organization by its internal and external personnel in charge of processing such Data and the data processor (“Processor”). An updated list of Processors and other transferees of Data is available upon </w:t>
      </w:r>
      <w:r>
        <w:rPr>
          <w:rFonts w:ascii="Arial" w:cs="Arial" w:eastAsia="Arial" w:hAnsi="Arial"/>
          <w:sz w:val="16"/>
          <w:szCs w:val="16"/>
          <w:i w:val="1"/>
          <w:iCs w:val="1"/>
          <w:color w:val="auto"/>
        </w:rPr>
        <w:t>request from the Employer.</w:t>
      </w:r>
    </w:p>
    <w:p>
      <w:pPr>
        <w:spacing w:after="0" w:line="147"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b w:val="1"/>
          <w:bCs w:val="1"/>
          <w:i w:val="1"/>
          <w:iCs w:val="1"/>
          <w:color w:val="auto"/>
        </w:rPr>
        <w:t>Furthermore, Data may be transferred to banks, other financial institutions, or brokers involved in the management and administration of the Plan. The Recipient understands that Data may also be transferred to the Recipient’s stock plan service provider, Schwab Stock Plan Services, or such other administrator that may be engaged by the Company in the future. The Recipient further understands that the Company and/or any Subsidiary Corporation will transfer Data among themselves as necessary for the purpose of the implementation, administration and management of the Recipient’s participation in the Plan. The Data recipients may receive, possess, use, retain, and transfer Data in electronic or other form, for the purpose of implementing, administering, and managing the Recipient’s participation in the Plan. The Recipient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 Should the Company exercise its discretion in suspending or terminating the Plan, it will delete Data as soon as it has accomplished all the necessary legal obligations connected with the management and administration of the Plan.</w:t>
      </w:r>
    </w:p>
    <w:p>
      <w:pPr>
        <w:spacing w:after="0" w:line="15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b w:val="1"/>
          <w:bCs w:val="1"/>
          <w:i w:val="1"/>
          <w:iCs w:val="1"/>
          <w:color w:val="auto"/>
        </w:rPr>
        <w:t>The Recipient understands that Data processing for the purposes specified in the Agreement shall take place under automated or non-automated conditions, anonymously when possible, and with confidentiality and security provisions, as set forth by applicable laws, with specific reference to GDPR and Legislative Decree no. 196/2003, as amended by Legislative Decree no. 101/2018. The processing activity, including the transfer of Data abroad, including outside of the European Economic Area, as specified in the Agreement does not require the Recipient’s consent thereto as the processing is necessary for the performance of legal and contractual obligations related to implementation, administration and management of the Plan. The Recipient understands that, pursuant to GDPR and Legislative Decree no. 196/2003, as amended by Legislative Decree no. 101/2018, the Recipient has the right at any moment to, without limitation, obtain information on Data held, access and verify its contents, origin and accuracy, delete, update, integrate, correct, block or stop, for legitimate reason, the Data processing by contacting the Recipient’s local human resources representative. Finally, the Recipient is aware that Data will not be used for direct marketing purposes.</w:t>
      </w:r>
    </w:p>
    <w:p>
      <w:pPr>
        <w:sectPr>
          <w:pgSz w:w="11900" w:h="16838" w:orient="portrait"/>
          <w:cols w:equalWidth="0" w:num="1">
            <w:col w:w="11020"/>
          </w:cols>
          <w:pgMar w:left="440" w:top="274" w:right="4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Page 20 of 27</w:t>
      </w:r>
    </w:p>
    <w:p>
      <w:pPr>
        <w:sectPr>
          <w:pgSz w:w="11900" w:h="16838" w:orient="portrait"/>
          <w:cols w:equalWidth="0" w:num="2">
            <w:col w:w="9300" w:space="720"/>
            <w:col w:w="1000"/>
          </w:cols>
          <w:pgMar w:left="440" w:top="274" w:right="439" w:bottom="1440" w:gutter="0" w:footer="0" w:header="0"/>
          <w:type w:val="continuous"/>
        </w:sectPr>
      </w:pPr>
    </w:p>
    <w:bookmarkStart w:id="69" w:name="page70"/>
    <w:bookmarkEnd w:id="69"/>
    <w:p>
      <w:pPr>
        <w:ind w:right="200"/>
        <w:spacing w:after="0" w:line="31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Terms Acknowledgement.</w:t>
      </w:r>
      <w:r>
        <w:rPr>
          <w:rFonts w:ascii="Arial" w:cs="Arial" w:eastAsia="Arial" w:hAnsi="Arial"/>
          <w:sz w:val="16"/>
          <w:szCs w:val="16"/>
          <w:color w:val="auto"/>
        </w:rPr>
        <w:t xml:space="preserve"> By accepting the Performance Restricted Stock Units, the Recipient acknowledges having received and reviewed the Plan and the Agreement, in their entirety and fully understands and accepts all provisions of the Plan and the Agreement. The Recipient further acknowledges that he or she has specifically read and expressly approves the following provisions of the Agreement: paragraphs 3, 9, 18 and 24.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Reporting requirements and taxes on financial activities held abroad</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Individuals fiscally resident in Italy who hold abroad financial activities directly (i.e. without the interposition of an Italian financial intermediary), are required to fill in a specific section of the personal income tax return (so called “RW form”); they are also obliged to pay a flat tax at the rate of 0.2% on the value of such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Acknowledgement of the Agreement.</w:t>
      </w:r>
      <w:r>
        <w:rPr>
          <w:rFonts w:ascii="Arial" w:cs="Arial" w:eastAsia="Arial" w:hAnsi="Arial"/>
          <w:sz w:val="16"/>
          <w:szCs w:val="16"/>
          <w:color w:val="auto"/>
        </w:rPr>
        <w:t xml:space="preserve"> By accepting the Performance Restricted Stock Units, the Recipient acknowledges that he or she has received a copy of the Plan and the Agreement, including this Addendum, which he or she has reviewed. The Recipient further acknowledges that he or she accepts all the provisions of the Plan and the Agreement, including this Addendum. The Recipient also acknowledges that he or she has read and specifically and expressly approves the terms and conditions set forth in paragraph 13 of the Agreement, which clearly provides as follows:</w:t>
      </w:r>
    </w:p>
    <w:p>
      <w:pPr>
        <w:spacing w:after="0" w:line="60" w:lineRule="exact"/>
        <w:rPr>
          <w:sz w:val="20"/>
          <w:szCs w:val="20"/>
          <w:color w:val="auto"/>
        </w:rPr>
      </w:pPr>
    </w:p>
    <w:p>
      <w:pPr>
        <w:ind w:left="1420" w:hanging="430"/>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Recipient’s participation in the Plan does not constitute an acquired right;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Plan and the Recipient’s participation in it are offered by the Company on a wholly discretionary basis;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Recipient’s participation in the Plan is voluntary; and</w:t>
      </w:r>
    </w:p>
    <w:p>
      <w:pPr>
        <w:spacing w:after="0" w:line="130" w:lineRule="exact"/>
        <w:rPr>
          <w:rFonts w:ascii="Arial" w:cs="Arial" w:eastAsia="Arial" w:hAnsi="Arial"/>
          <w:sz w:val="18"/>
          <w:szCs w:val="18"/>
          <w:color w:val="auto"/>
        </w:rPr>
      </w:pPr>
    </w:p>
    <w:p>
      <w:pPr>
        <w:ind w:left="1420" w:right="100" w:hanging="430"/>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and its Subsidiary Corporations are not responsible for any decrease in the value of any PRSU Shares acquired under the Plan.</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Labor Law Acknowledgement and Policy Statement.</w:t>
      </w:r>
      <w:r>
        <w:rPr>
          <w:rFonts w:ascii="Arial" w:cs="Arial" w:eastAsia="Arial" w:hAnsi="Arial"/>
          <w:sz w:val="17"/>
          <w:szCs w:val="17"/>
          <w:color w:val="auto"/>
        </w:rPr>
        <w:t xml:space="preserve"> By accepting the Performance Restricted Stock Units, the Recipient acknowledges that the Company, with registered offices at 1100 Cassatt Road, Berwyn, PA 19312, U.S.A., is solely responsible for the administration of the Plan. The Recipient further acknowledges that his or her participation in the Plan, the grant of Performance Restricted Stock Units and any acquisition of PRSU Shares under the Plan do not constitute an employment relationship between the Recipient and the Company because the Recipient is participating in the Plan on a wholly commercial basis. Based on the foregoing, the Recipient expressly acknowledges that the Plan and the benefits that he or she may derive from participation in the Plan do not establish any rights between the Recipient and the Employer and do not form part of the employment conditions and/or benefits provided by the Employer, and any modification of the Plan or its termination shall not constitute a change or impairment of the terms and conditions of the Recipient’s employment.</w:t>
      </w:r>
    </w:p>
    <w:p>
      <w:pPr>
        <w:sectPr>
          <w:pgSz w:w="11900" w:h="16838" w:orient="portrait"/>
          <w:cols w:equalWidth="0" w:num="1">
            <w:col w:w="11020"/>
          </w:cols>
          <w:pgMar w:left="440" w:top="274" w:right="4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Page 21 of 27</w:t>
      </w:r>
    </w:p>
    <w:p>
      <w:pPr>
        <w:sectPr>
          <w:pgSz w:w="11900" w:h="16838" w:orient="portrait"/>
          <w:cols w:equalWidth="0" w:num="2">
            <w:col w:w="9300" w:space="720"/>
            <w:col w:w="1000"/>
          </w:cols>
          <w:pgMar w:left="440" w:top="274" w:right="439" w:bottom="1440" w:gutter="0" w:footer="0" w:header="0"/>
          <w:type w:val="continuous"/>
        </w:sectPr>
      </w:pPr>
    </w:p>
    <w:bookmarkStart w:id="70" w:name="page71"/>
    <w:bookmarkEnd w:id="70"/>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Recipient further understands that his or her participation in the Plan is the result of a unilateral and discretionary decision of the Company and, therefore, the Company reserves the absolute right to amend and/or discontinue the Recipient’s participation in the Plan at any time, without any liability to the Recipient.</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Finally, the Recipient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parent, subsidiaries, branches, representation offices, stockholders, officers, agents or legal representatives, with respect to any claim that may arise.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Spanish Translation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Reconocimiento del Convenio de Concesión.</w:t>
      </w:r>
      <w:r>
        <w:rPr>
          <w:rFonts w:ascii="Arial" w:cs="Arial" w:eastAsia="Arial" w:hAnsi="Arial"/>
          <w:sz w:val="17"/>
          <w:szCs w:val="17"/>
          <w:i w:val="1"/>
          <w:iCs w:val="1"/>
          <w:color w:val="auto"/>
        </w:rPr>
        <w:t xml:space="preserve"> Al aceptar el Premio,</w:t>
      </w:r>
      <w:r>
        <w:rPr>
          <w:rFonts w:ascii="Arial" w:cs="Arial" w:eastAsia="Arial" w:hAnsi="Arial"/>
          <w:sz w:val="14"/>
          <w:szCs w:val="14"/>
          <w:i w:val="1"/>
          <w:iCs w:val="1"/>
          <w:color w:val="auto"/>
        </w:rPr>
        <w:t>1</w:t>
      </w:r>
      <w:r>
        <w:rPr>
          <w:rFonts w:ascii="Arial" w:cs="Arial" w:eastAsia="Arial" w:hAnsi="Arial"/>
          <w:sz w:val="17"/>
          <w:szCs w:val="17"/>
          <w:i w:val="1"/>
          <w:iCs w:val="1"/>
          <w:color w:val="auto"/>
        </w:rPr>
        <w:t xml:space="preserve"> el Recipiente reconoce que ha recibido y revisado una copia del Plan y del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Convenio, incluyendo este Apéndice. Además, el Recipiente reconoce y acepta todas las disposiciones del Plan y del Convenio, incluyendo este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Apéndice. El Recipiente también reconoce que ha leído y aprobado de forma expresa los términos y condiciones establecidos en el párrafo 13 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Convenio, que claramente establece lo siguiente:</w:t>
      </w:r>
    </w:p>
    <w:p>
      <w:pPr>
        <w:spacing w:after="0" w:line="116" w:lineRule="exact"/>
        <w:rPr>
          <w:sz w:val="20"/>
          <w:szCs w:val="20"/>
          <w:color w:val="auto"/>
        </w:rPr>
      </w:pPr>
    </w:p>
    <w:p>
      <w:pPr>
        <w:ind w:left="1420" w:hanging="430"/>
        <w:spacing w:after="0"/>
        <w:tabs>
          <w:tab w:leader="none" w:pos="14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Recipiente en el Plan no constituye un derecho adquirido;</w:t>
      </w:r>
    </w:p>
    <w:p>
      <w:pPr>
        <w:spacing w:after="0" w:line="130" w:lineRule="exact"/>
        <w:rPr>
          <w:rFonts w:ascii="Arial" w:cs="Arial" w:eastAsia="Arial" w:hAnsi="Arial"/>
          <w:sz w:val="18"/>
          <w:szCs w:val="18"/>
          <w:i w:val="1"/>
          <w:iCs w:val="1"/>
          <w:color w:val="auto"/>
        </w:rPr>
      </w:pPr>
    </w:p>
    <w:p>
      <w:pPr>
        <w:ind w:left="1420" w:hanging="430"/>
        <w:spacing w:after="0"/>
        <w:tabs>
          <w:tab w:leader="none" w:pos="1420" w:val="left"/>
        </w:tabs>
        <w:numPr>
          <w:ilvl w:val="0"/>
          <w:numId w:val="47"/>
        </w:numPr>
        <w:rPr>
          <w:rFonts w:ascii="Arial" w:cs="Arial" w:eastAsia="Arial" w:hAnsi="Arial"/>
          <w:sz w:val="17"/>
          <w:szCs w:val="17"/>
          <w:i w:val="1"/>
          <w:iCs w:val="1"/>
          <w:color w:val="auto"/>
        </w:rPr>
      </w:pPr>
      <w:r>
        <w:rPr>
          <w:rFonts w:ascii="Arial" w:cs="Arial" w:eastAsia="Arial" w:hAnsi="Arial"/>
          <w:sz w:val="17"/>
          <w:szCs w:val="17"/>
          <w:i w:val="1"/>
          <w:iCs w:val="1"/>
          <w:color w:val="auto"/>
        </w:rPr>
        <w:t>El Plan y la participación del Recipiente en lo mismo es ofrecido por la Compañía de manera completamente discrecional;</w:t>
      </w:r>
    </w:p>
    <w:p>
      <w:pPr>
        <w:spacing w:after="0" w:line="142" w:lineRule="exact"/>
        <w:rPr>
          <w:rFonts w:ascii="Arial" w:cs="Arial" w:eastAsia="Arial" w:hAnsi="Arial"/>
          <w:sz w:val="17"/>
          <w:szCs w:val="17"/>
          <w:i w:val="1"/>
          <w:iCs w:val="1"/>
          <w:color w:val="auto"/>
        </w:rPr>
      </w:pPr>
    </w:p>
    <w:p>
      <w:pPr>
        <w:ind w:left="1420" w:hanging="430"/>
        <w:spacing w:after="0"/>
        <w:tabs>
          <w:tab w:leader="none" w:pos="14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Recipiente en el Plan es voluntaria; y</w:t>
      </w:r>
    </w:p>
    <w:p>
      <w:pPr>
        <w:spacing w:after="0" w:line="130" w:lineRule="exact"/>
        <w:rPr>
          <w:rFonts w:ascii="Arial" w:cs="Arial" w:eastAsia="Arial" w:hAnsi="Arial"/>
          <w:sz w:val="18"/>
          <w:szCs w:val="18"/>
          <w:i w:val="1"/>
          <w:iCs w:val="1"/>
          <w:color w:val="auto"/>
        </w:rPr>
      </w:pPr>
    </w:p>
    <w:p>
      <w:pPr>
        <w:ind w:left="1420" w:right="160" w:hanging="430"/>
        <w:spacing w:after="0" w:line="277" w:lineRule="auto"/>
        <w:tabs>
          <w:tab w:leader="none" w:pos="14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La Compañía y sus Corporaciones Subsidiaras no son responsables por ninguna disminución en el valor de las Acciones de PRSU (en Inglés, “PRSU Shares”) adquiridas en virtud del Plan.</w:t>
      </w:r>
    </w:p>
    <w:p>
      <w:pPr>
        <w:spacing w:after="0" w:line="2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u w:val="single" w:color="auto"/>
          <w:color w:val="auto"/>
        </w:rPr>
        <w:t>Reconocimiento del Derecho Laboral y Declaración de la Política.</w:t>
      </w:r>
      <w:r>
        <w:rPr>
          <w:rFonts w:ascii="Arial" w:cs="Arial" w:eastAsia="Arial" w:hAnsi="Arial"/>
          <w:sz w:val="18"/>
          <w:szCs w:val="18"/>
          <w:i w:val="1"/>
          <w:iCs w:val="1"/>
          <w:color w:val="auto"/>
        </w:rPr>
        <w:t xml:space="preserve"> Al aceptar el Premio, el Recipiente reconoce que la Compañía, con domicilio social en 1100 Cassatt Road, Berwyn, PA 19312, E.U.A., es la única responsable de la administración del Plan. Además, el Recipiente reconoce que su participación en el Plan, la concesión del Premio y cualquier adquisición de Acciones de PRSU en virtud del Plan no constituyen una relación laboral entre el Recipiente y la Compañía, en virtud de que el Recipiente está participando en el Plan sobre una base totalmente comercial. Por lo anterior, el Recipiente expresamente reconoce que el Plan y los beneficios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632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w:t>
      </w:r>
      <w:r>
        <w:rPr>
          <w:rFonts w:ascii="Arial" w:cs="Arial" w:eastAsia="Arial" w:hAnsi="Arial"/>
          <w:sz w:val="17"/>
          <w:szCs w:val="17"/>
          <w:i w:val="1"/>
          <w:iCs w:val="1"/>
          <w:color w:val="auto"/>
        </w:rPr>
        <w:t>El</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término “Premio” se refiere al termino “Performance Restricted Stock Units” en Inglés.</w:t>
      </w:r>
    </w:p>
    <w:p>
      <w:pPr>
        <w:spacing w:after="0" w:line="180" w:lineRule="exact"/>
        <w:rPr>
          <w:sz w:val="20"/>
          <w:szCs w:val="20"/>
          <w:color w:val="auto"/>
        </w:rPr>
      </w:pPr>
    </w:p>
    <w:p>
      <w:pPr>
        <w:sectPr>
          <w:pgSz w:w="11900" w:h="16838" w:orient="portrait"/>
          <w:cols w:equalWidth="0" w:num="2">
            <w:col w:w="240" w:space="200"/>
            <w:col w:w="10580"/>
          </w:cols>
          <w:pgMar w:left="440" w:top="274" w:right="439" w:bottom="1440" w:gutter="0" w:footer="0" w:header="0"/>
          <w:type w:val="continuous"/>
        </w:sect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22 of 27</w:t>
      </w:r>
    </w:p>
    <w:p>
      <w:pPr>
        <w:sectPr>
          <w:pgSz w:w="11900" w:h="16838" w:orient="portrait"/>
          <w:cols w:equalWidth="0" w:num="2">
            <w:col w:w="9300" w:space="720"/>
            <w:col w:w="1000"/>
          </w:cols>
          <w:pgMar w:left="440" w:top="274" w:right="439" w:bottom="1440" w:gutter="0" w:footer="0" w:header="0"/>
          <w:type w:val="continuous"/>
        </w:sectPr>
      </w:pPr>
    </w:p>
    <w:bookmarkStart w:id="71" w:name="page72"/>
    <w:bookmarkEnd w:id="71"/>
    <w:p>
      <w:pPr>
        <w:ind w:right="60"/>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que puedan derivarse de su participación no establecen ningún derecho entre el Recipiente y el Empleador y que no forman parte de las condiciones de trabajo y/o beneficios otorgados por el Empleador, y cualquier modificación del Plan o la terminación del mismo no constituirá un cambio o modificación de los términos y condiciones en el empleo del Recipiente.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Además, el Recipiente comprende que su participación en el Plan es el resultado de una decisión discrecional y unilateral de la Compañía, por lo que la misma se reserva el derecho absoluto de modificar y/o suspender la participación del Recipiente en el Plan en cualquier momento, sin responsabilidad alguna al Recipiente.</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Finalmente, el Recipiente manifiesta que no se reserva acción o derecho alguno que origine una demanda en contra de la Compañía, por cualquier indemnización o daño relacionado con las disposiciones del Plan o de los beneficios otorgados en el mismo, y en consecuencia el Recipiente libera de la manera más amplia y total de responsabilidad a la Compañía, su padre y sus subsidiarias, sucursales, oficinas de representación, accionistas, directores, agentes y representantes legales con respecto a cualquier demanda que pudiera surgir.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KINGDOM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Form of Settlement.</w:t>
      </w:r>
      <w:r>
        <w:rPr>
          <w:rFonts w:ascii="Arial" w:cs="Arial" w:eastAsia="Arial" w:hAnsi="Arial"/>
          <w:sz w:val="18"/>
          <w:szCs w:val="18"/>
          <w:color w:val="auto"/>
        </w:rPr>
        <w:t xml:space="preserve"> Notwithstanding any discretion in the Plan or anything contrary in the Agreement, the Performance Restricted Stock Units are payable in PRSU Shares only.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xml:space="preserve"> The following provisions supplement paragraph 9 of the Agreement: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Without limitation to any provision of the Agreement, the Recipient agrees that the Recipient is liable for all Tax-Related Items and hereby covenants to pay all such Tax-Related Items, as and when requested by the Company or the Employer or by Her Majesty’s Revenue &amp; Customs (“HRMC”) (or any other tax authority or any other relevant authority). The Recipient also agrees to indemnify and keep indemnified the Company and, the Employer against any Tax-Related Items that they are required to pay or withhold or have paid or will pay to HMRC (or any other tax authority or any other relevant authority) on the Recipient’s behalf.</w:t>
      </w:r>
    </w:p>
    <w:p>
      <w:pPr>
        <w:spacing w:after="0" w:line="18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Notwithstanding the foregoing, in the event that the Recipient is a director or executive officer of the Company (within the meaning of Section 13(k) of the Exchange Act), the Recipient understands that he or she may not be able to indemnify the Company for the amount of any income tax not collected from or paid by the Recipient, in case the indemnification could be considered to be a loan. In this case, the income tax not collected or paid may constitute a benefit to the Recipient on which additional income tax and National Insurance contributions may be payable. The Recipient understands that he or she will be responsible for reporting and paying any income tax due on this additional benefit directly to HMRC under the self-assessment regime and for reimbursing the Company or the Employer, as applicable, for the value of any National Insurance contributions due on this additional benefit, which may also be recovered from the Recipient at any time by any of the means referred to in paragraph 9 of the Agreement.</w:t>
      </w:r>
    </w:p>
    <w:p>
      <w:pPr>
        <w:sectPr>
          <w:pgSz w:w="11900" w:h="16838" w:orient="portrait"/>
          <w:cols w:equalWidth="0" w:num="1">
            <w:col w:w="11020"/>
          </w:cols>
          <w:pgMar w:left="440" w:top="274" w:right="439" w:bottom="1440" w:gutter="0" w:footer="0" w:header="0"/>
        </w:sectPr>
      </w:pP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Page 23 of 27</w:t>
      </w:r>
    </w:p>
    <w:p>
      <w:pPr>
        <w:sectPr>
          <w:pgSz w:w="11900" w:h="16838" w:orient="portrait"/>
          <w:cols w:equalWidth="0" w:num="2">
            <w:col w:w="9300" w:space="720"/>
            <w:col w:w="1000"/>
          </w:cols>
          <w:pgMar w:left="440" w:top="274" w:right="439" w:bottom="1440" w:gutter="0" w:footer="0" w:header="0"/>
          <w:type w:val="continuous"/>
        </w:sectPr>
      </w:pPr>
    </w:p>
    <w:bookmarkStart w:id="72" w:name="page73"/>
    <w:bookmarkEnd w:id="72"/>
    <w:p>
      <w:pPr>
        <w:ind w:right="12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Data Protection.</w:t>
      </w:r>
      <w:r>
        <w:rPr>
          <w:rFonts w:ascii="Arial" w:cs="Arial" w:eastAsia="Arial" w:hAnsi="Arial"/>
          <w:sz w:val="18"/>
          <w:szCs w:val="18"/>
          <w:color w:val="auto"/>
        </w:rPr>
        <w:t xml:space="preserve"> The Company and the Employer will at all times, in operating and administering the Plan, be bound by the provisions (as from time to time in force) of the internal code and/or policies that regulate the Company’s compliance with applicable data privacy laws and for this purpose, the Recipient has received from the Company or, if different, his Employer, a privacy notice that includes details of how his personal data may be used in connection with the Plan.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avoidance of doubt, the Company and/or the Employer is not processing any personal data of a Recipient on the basis of the consent set out in paragraph 15 of the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SINGAPORE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Performance Restricted Stock Units are being granted to the Recipient pursuant to the “Qualifying Person” exemption under section 273(1)(i) of the Securities and Futures Act of Singapore (Cap. 289). The Plan has not been lodged or registered as a prospectus with the Monetary Authority of Singapore.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Director Notification Obligation.</w:t>
      </w:r>
      <w:r>
        <w:rPr>
          <w:rFonts w:ascii="Arial" w:cs="Arial" w:eastAsia="Arial" w:hAnsi="Arial"/>
          <w:sz w:val="18"/>
          <w:szCs w:val="18"/>
          <w:color w:val="auto"/>
        </w:rPr>
        <w:t xml:space="preserve"> If a Recipient is a director or CEO of a Singaporean Subsidiary Corporation or Affiliate, Recipient is subject to a requirement to notify such entity of the receipt of an interest (i.e. Performance Restricted Stock Units or PRSU Shares) in the Company and on the sale of any such interest. Notifications must be made within two (2) business days of the date of acquiring or disposing of any interest in the Company or the date of becoming a director / CEO.</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Insider-Trading Notification.</w:t>
      </w:r>
      <w:r>
        <w:rPr>
          <w:rFonts w:ascii="Arial" w:cs="Arial" w:eastAsia="Arial" w:hAnsi="Arial"/>
          <w:sz w:val="18"/>
          <w:szCs w:val="18"/>
          <w:color w:val="auto"/>
        </w:rPr>
        <w:t xml:space="preserve"> The Recipient should be aware of Singapore’s insider-trading rules, which may impact his or her acquisition or disposal of shares or rights to shares under the Plan. Under the Singapore insider-trading rules, the Recipient is prohibited from selling shares (including PRSU Shares) when he or she possesses information, not generally available, which the Recipient knows or should know will have a material effect on the price of the shares once such information is generally available.</w:t>
      </w:r>
    </w:p>
    <w:p>
      <w:pPr>
        <w:spacing w:after="0" w:line="183" w:lineRule="exact"/>
        <w:rPr>
          <w:sz w:val="20"/>
          <w:szCs w:val="20"/>
          <w:color w:val="auto"/>
        </w:rPr>
      </w:pPr>
    </w:p>
    <w:p>
      <w:pPr>
        <w:spacing w:after="0" w:line="281" w:lineRule="auto"/>
        <w:rPr>
          <w:sz w:val="20"/>
          <w:szCs w:val="20"/>
          <w:color w:val="auto"/>
        </w:rPr>
      </w:pPr>
      <w:r>
        <w:rPr>
          <w:rFonts w:ascii="Arial" w:cs="Arial" w:eastAsia="Arial" w:hAnsi="Arial"/>
          <w:sz w:val="17"/>
          <w:szCs w:val="17"/>
          <w:u w:val="single" w:color="auto"/>
          <w:color w:val="auto"/>
        </w:rPr>
        <w:t>Central Provident Fund (“</w:t>
      </w:r>
      <w:r>
        <w:rPr>
          <w:rFonts w:ascii="Arial" w:cs="Arial" w:eastAsia="Arial" w:hAnsi="Arial"/>
          <w:sz w:val="17"/>
          <w:szCs w:val="17"/>
          <w:b w:val="1"/>
          <w:bCs w:val="1"/>
          <w:u w:val="single" w:color="auto"/>
          <w:color w:val="auto"/>
        </w:rPr>
        <w:t>CPF</w:t>
      </w:r>
      <w:r>
        <w:rPr>
          <w:rFonts w:ascii="Arial" w:cs="Arial" w:eastAsia="Arial" w:hAnsi="Arial"/>
          <w:sz w:val="17"/>
          <w:szCs w:val="17"/>
          <w:u w:val="single" w:color="auto"/>
          <w:color w:val="auto"/>
        </w:rPr>
        <w:t>”) Contributions.</w:t>
      </w:r>
      <w:r>
        <w:rPr>
          <w:rFonts w:ascii="Arial" w:cs="Arial" w:eastAsia="Arial" w:hAnsi="Arial"/>
          <w:sz w:val="17"/>
          <w:szCs w:val="17"/>
          <w:color w:val="auto"/>
        </w:rPr>
        <w:t xml:space="preserve"> Notwithstanding Paragraph 9 of the Agreement, if the Recipient is a citizen or permanent resident of Singapore, the Recipient and the Recipient’s employer shall make contributions to the CPF Board in accordance with the Central Provident Fund Act (Cap. 36) of Singapore as amended from time to time (the “</w:t>
      </w:r>
      <w:r>
        <w:rPr>
          <w:rFonts w:ascii="Arial" w:cs="Arial" w:eastAsia="Arial" w:hAnsi="Arial"/>
          <w:sz w:val="17"/>
          <w:szCs w:val="17"/>
          <w:b w:val="1"/>
          <w:bCs w:val="1"/>
          <w:color w:val="auto"/>
        </w:rPr>
        <w:t>CPF Scheme</w:t>
      </w:r>
      <w:r>
        <w:rPr>
          <w:rFonts w:ascii="Arial" w:cs="Arial" w:eastAsia="Arial" w:hAnsi="Arial"/>
          <w:sz w:val="17"/>
          <w:szCs w:val="17"/>
          <w:color w:val="auto"/>
        </w:rPr>
        <w:t>”). In relation to such contributions, the Recipient’s employer shall deduct from the Recipient’s salary the mandatory contributions required to be made by the Recipient under the CPF Scheme.</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u w:val="single" w:color="auto"/>
          <w:color w:val="auto"/>
        </w:rPr>
        <w:t>Leaving Singapore Withholding Tax Notification.</w:t>
      </w:r>
      <w:r>
        <w:rPr>
          <w:rFonts w:ascii="Arial" w:cs="Arial" w:eastAsia="Arial" w:hAnsi="Arial"/>
          <w:sz w:val="17"/>
          <w:szCs w:val="17"/>
          <w:color w:val="auto"/>
        </w:rPr>
        <w:t xml:space="preserve"> Any foreign citizen or Singapore permanent resident leaving Singapore for more than 3 months and ceasing employment shall be taxed on a “deemed exercise” basis in respect of any Performance Restricted Stock Units which have been granted in respect of his/her Singapore employment and are not forfeited at the point of cessation of his/her employment. The deemed gains are based on the market value one month before the Recipient ceases employment in Singapore or the date of grant (whichever is the later). If the actual gain is less than the deemed gain, the Recipient may seek a refund within 4 years from that year of assessment.</w:t>
      </w:r>
    </w:p>
    <w:p>
      <w:pPr>
        <w:sectPr>
          <w:pgSz w:w="11900" w:h="16838" w:orient="portrait"/>
          <w:cols w:equalWidth="0" w:num="1">
            <w:col w:w="11020"/>
          </w:cols>
          <w:pgMar w:left="440" w:top="274" w:right="43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Page 24 of 27</w:t>
      </w:r>
    </w:p>
    <w:p>
      <w:pPr>
        <w:sectPr>
          <w:pgSz w:w="11900" w:h="16838" w:orient="portrait"/>
          <w:cols w:equalWidth="0" w:num="2">
            <w:col w:w="9300" w:space="720"/>
            <w:col w:w="1000"/>
          </w:cols>
          <w:pgMar w:left="440" w:top="274" w:right="4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SWITZERLAND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Labor Law Acknowledgement (to be signed by Employee).</w:t>
      </w:r>
    </w:p>
    <w:p>
      <w:pPr>
        <w:spacing w:after="0" w:line="131" w:lineRule="exact"/>
        <w:rPr>
          <w:sz w:val="20"/>
          <w:szCs w:val="20"/>
          <w:color w:val="auto"/>
        </w:rPr>
      </w:pPr>
    </w:p>
    <w:p>
      <w:pPr>
        <w:ind w:left="980" w:hanging="43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Employee agrees to participate in the Omnibus Incentive Compensation Plan (the “Plan”) sponsored by AMETEK, INC.</w:t>
      </w:r>
    </w:p>
    <w:p>
      <w:pPr>
        <w:spacing w:after="0" w:line="130" w:lineRule="exact"/>
        <w:rPr>
          <w:rFonts w:ascii="Arial" w:cs="Arial" w:eastAsia="Arial" w:hAnsi="Arial"/>
          <w:sz w:val="18"/>
          <w:szCs w:val="18"/>
          <w:color w:val="auto"/>
        </w:rPr>
      </w:pPr>
    </w:p>
    <w:p>
      <w:pPr>
        <w:ind w:left="980" w:right="100" w:hanging="436"/>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Employee expressly acknowledges that the contractual party to the Plan is AMETEK, Inc. and that participation in the Plan, the grant of Performance Restricted Stock Units and any acquisition of PRSU Shares under the Plan do not constitute an employment relationship between the Employee and AMETEK, INC.</w:t>
      </w:r>
    </w:p>
    <w:p>
      <w:pPr>
        <w:spacing w:after="0" w:line="86" w:lineRule="exact"/>
        <w:rPr>
          <w:rFonts w:ascii="Arial" w:cs="Arial" w:eastAsia="Arial" w:hAnsi="Arial"/>
          <w:sz w:val="18"/>
          <w:szCs w:val="18"/>
          <w:color w:val="auto"/>
        </w:rPr>
      </w:pPr>
    </w:p>
    <w:p>
      <w:pPr>
        <w:ind w:left="980" w:right="40" w:hanging="436"/>
        <w:spacing w:after="0" w:line="308"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Employee is aware of and accepts Paragraph 23 of the Plan which states that the Plan is governed by the laws of the State of Delaware and that place of jurisdiction is Chester County, or the federal courts for the United States for the District of Pennsylvania.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of Swiss Employee:</w:t>
            </w:r>
          </w:p>
        </w:tc>
        <w:tc>
          <w:tcPr>
            <w:tcW w:w="6600" w:type="dxa"/>
            <w:vAlign w:val="bottom"/>
          </w:tcPr>
          <w:p>
            <w:pPr>
              <w:spacing w:after="0"/>
              <w:rPr>
                <w:sz w:val="21"/>
                <w:szCs w:val="21"/>
                <w:color w:val="auto"/>
              </w:rPr>
            </w:pPr>
          </w:p>
        </w:tc>
      </w:tr>
      <w:tr>
        <w:trPr>
          <w:trHeight w:val="349"/>
        </w:trPr>
        <w:tc>
          <w:tcPr>
            <w:tcW w:w="4420" w:type="dxa"/>
            <w:vAlign w:val="bottom"/>
          </w:tcPr>
          <w:p>
            <w:pPr>
              <w:spacing w:after="0"/>
              <w:rPr>
                <w:sz w:val="20"/>
                <w:szCs w:val="20"/>
                <w:color w:val="auto"/>
              </w:rPr>
            </w:pPr>
            <w:r>
              <w:rPr>
                <w:rFonts w:ascii="Arial" w:cs="Arial" w:eastAsia="Arial" w:hAnsi="Arial"/>
                <w:sz w:val="18"/>
                <w:szCs w:val="18"/>
                <w:color w:val="auto"/>
              </w:rPr>
              <w:t>Non-U.S. EE Perf RSU 2019</w:t>
            </w:r>
          </w:p>
        </w:tc>
        <w:tc>
          <w:tcPr>
            <w:tcW w:w="6600" w:type="dxa"/>
            <w:vAlign w:val="bottom"/>
          </w:tcPr>
          <w:p>
            <w:pPr>
              <w:ind w:left="5600"/>
              <w:spacing w:after="0"/>
              <w:rPr>
                <w:sz w:val="20"/>
                <w:szCs w:val="20"/>
                <w:color w:val="auto"/>
              </w:rPr>
            </w:pPr>
            <w:r>
              <w:rPr>
                <w:rFonts w:ascii="Arial" w:cs="Arial" w:eastAsia="Arial" w:hAnsi="Arial"/>
                <w:sz w:val="18"/>
                <w:szCs w:val="18"/>
                <w:color w:val="auto"/>
                <w:w w:val="87"/>
              </w:rPr>
              <w:t>Page 25 of 27</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w w:val="98"/>
              </w:rPr>
              <w:t>Grant Plan: 11UNP1 PRSU-EE-nonUS-2011 Legal Plan</w:t>
            </w:r>
          </w:p>
        </w:tc>
        <w:tc>
          <w:tcPr>
            <w:tcW w:w="660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NOTICE FOR EMPLOYEES IN DENMARK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EMPLOYER STATEMENT</w:t>
      </w:r>
    </w:p>
    <w:p>
      <w:pPr>
        <w:spacing w:after="0" w:line="225" w:lineRule="exact"/>
        <w:rPr>
          <w:sz w:val="20"/>
          <w:szCs w:val="20"/>
          <w:color w:val="auto"/>
        </w:rPr>
      </w:pPr>
    </w:p>
    <w:p>
      <w:pPr>
        <w:jc w:val="both"/>
        <w:ind w:right="600"/>
        <w:spacing w:after="0" w:line="342" w:lineRule="auto"/>
        <w:rPr>
          <w:sz w:val="20"/>
          <w:szCs w:val="20"/>
          <w:color w:val="auto"/>
        </w:rPr>
      </w:pPr>
      <w:r>
        <w:rPr>
          <w:rFonts w:ascii="Arial" w:cs="Arial" w:eastAsia="Arial" w:hAnsi="Arial"/>
          <w:sz w:val="16"/>
          <w:szCs w:val="16"/>
          <w:color w:val="auto"/>
        </w:rPr>
        <w:t>Pursuant to Section 3(1) of the Act on Stock Options in employment relations (the “Stock Option Act”), you are entitled to receive the following information regarding participation in the Ametek, Inc. 2011 Omnibus Incentive Compensation Plan (the “Plan”) in a separate written statement.</w:t>
      </w:r>
    </w:p>
    <w:p>
      <w:pPr>
        <w:spacing w:after="0" w:line="1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This statement contains only the information mentioned in the Stock Option Act, while the other terms and conditions of your performance restricted stock unit (“PRSU”) grant are described in detail in the Plan, Performance Restricted Stock Unit Agreement for Global Recipients (the “Agreement”) and the applicable country-specific supplement, which have been made available to you.</w:t>
      </w:r>
    </w:p>
    <w:p>
      <w:pPr>
        <w:spacing w:after="0" w:line="208" w:lineRule="exact"/>
        <w:rPr>
          <w:sz w:val="20"/>
          <w:szCs w:val="20"/>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Date of grant of unfunded right to receive stock upon satisfying certain conditions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grant date of your PRSUs is the date that the Company approved a grant for you, which is set forth in the Agreement.</w:t>
      </w:r>
    </w:p>
    <w:p>
      <w:pPr>
        <w:spacing w:after="0" w:line="373"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Terms or conditions for grant of a right to future award of stock</w:t>
      </w:r>
    </w:p>
    <w:p>
      <w:pPr>
        <w:spacing w:after="0" w:line="117" w:lineRule="exact"/>
        <w:rPr>
          <w:rFonts w:ascii="Arial" w:cs="Arial" w:eastAsia="Arial" w:hAnsi="Arial"/>
          <w:sz w:val="18"/>
          <w:szCs w:val="18"/>
          <w:color w:val="auto"/>
        </w:rPr>
      </w:pPr>
    </w:p>
    <w:p>
      <w:pPr>
        <w:ind w:left="440" w:right="80"/>
        <w:spacing w:after="0" w:line="297" w:lineRule="auto"/>
        <w:rPr>
          <w:rFonts w:ascii="Arial" w:cs="Arial" w:eastAsia="Arial" w:hAnsi="Arial"/>
          <w:sz w:val="18"/>
          <w:szCs w:val="18"/>
          <w:color w:val="auto"/>
        </w:rPr>
      </w:pPr>
      <w:r>
        <w:rPr>
          <w:rFonts w:ascii="Arial" w:cs="Arial" w:eastAsia="Arial" w:hAnsi="Arial"/>
          <w:sz w:val="16"/>
          <w:szCs w:val="16"/>
          <w:color w:val="auto"/>
        </w:rPr>
        <w:t>Only persons identified in Section 6 of the Plan are eligible to participate in the Plan. The grant of PRSUs under the Plan is offered at the sole discretion of the Company and is intended to achieve the purposes identified in Section 1 of the Plan, including (among other things) encouraging share ownership in the Company by employees of the Company and any parents and subsidiaries that exist now or in the future. The Company may decide, in its sole discretion, not to make any PRSU grants to you in the future. Under the terms of the Plan, the Agreement and the applicable country-specific supplement, you have no entitlement or claim to receive future PRSU grants or awards in lieu of PRSUs.</w:t>
      </w:r>
    </w:p>
    <w:p>
      <w:pPr>
        <w:spacing w:after="0" w:line="306"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Vesting Date or Period</w:t>
      </w:r>
    </w:p>
    <w:p>
      <w:pPr>
        <w:spacing w:after="0" w:line="117" w:lineRule="exact"/>
        <w:rPr>
          <w:rFonts w:ascii="Arial" w:cs="Arial" w:eastAsia="Arial" w:hAnsi="Arial"/>
          <w:sz w:val="18"/>
          <w:szCs w:val="18"/>
          <w:color w:val="auto"/>
        </w:rPr>
      </w:pPr>
    </w:p>
    <w:p>
      <w:pPr>
        <w:jc w:val="both"/>
        <w:ind w:left="440" w:right="200"/>
        <w:spacing w:after="0" w:line="264" w:lineRule="auto"/>
        <w:rPr>
          <w:rFonts w:ascii="Arial" w:cs="Arial" w:eastAsia="Arial" w:hAnsi="Arial"/>
          <w:sz w:val="18"/>
          <w:szCs w:val="18"/>
          <w:color w:val="auto"/>
        </w:rPr>
      </w:pPr>
      <w:r>
        <w:rPr>
          <w:rFonts w:ascii="Arial" w:cs="Arial" w:eastAsia="Arial" w:hAnsi="Arial"/>
          <w:sz w:val="18"/>
          <w:szCs w:val="18"/>
          <w:color w:val="auto"/>
        </w:rPr>
        <w:t>Generally, your PRSUs will vest over a number of years, and subject to performance criteria, as provided in your Agreement. Your PRSUs shall be converted into an equivalent number of shares of the common stock of the Company upon vesting, assuming the performance criteria is also met.</w:t>
      </w:r>
    </w:p>
    <w:p>
      <w:pPr>
        <w:spacing w:after="0" w:line="329" w:lineRule="exact"/>
        <w:rPr>
          <w:rFonts w:ascii="Arial" w:cs="Arial" w:eastAsia="Arial" w:hAnsi="Arial"/>
          <w:sz w:val="18"/>
          <w:szCs w:val="18"/>
          <w:color w:val="auto"/>
        </w:rPr>
      </w:pPr>
    </w:p>
    <w:p>
      <w:pPr>
        <w:ind w:left="440" w:hanging="436"/>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117" w:lineRule="exact"/>
        <w:rPr>
          <w:rFonts w:ascii="Arial" w:cs="Arial" w:eastAsia="Arial" w:hAnsi="Arial"/>
          <w:sz w:val="18"/>
          <w:szCs w:val="18"/>
          <w:color w:val="auto"/>
        </w:rPr>
      </w:pPr>
    </w:p>
    <w:p>
      <w:pPr>
        <w:ind w:left="440" w:right="300"/>
        <w:spacing w:after="0" w:line="277" w:lineRule="auto"/>
        <w:rPr>
          <w:rFonts w:ascii="Arial" w:cs="Arial" w:eastAsia="Arial" w:hAnsi="Arial"/>
          <w:sz w:val="18"/>
          <w:szCs w:val="18"/>
          <w:color w:val="auto"/>
        </w:rPr>
      </w:pPr>
      <w:r>
        <w:rPr>
          <w:rFonts w:ascii="Arial" w:cs="Arial" w:eastAsia="Arial" w:hAnsi="Arial"/>
          <w:sz w:val="18"/>
          <w:szCs w:val="18"/>
          <w:color w:val="auto"/>
        </w:rPr>
        <w:t>No exercise price is payable upon the vesting of your PRSUs and the issuance of shares of the Company’s common stock to you in accordance with the vesting schedule described above.</w:t>
      </w:r>
    </w:p>
    <w:p>
      <w:pPr>
        <w:sectPr>
          <w:pgSz w:w="11900" w:h="16838" w:orient="portrait"/>
          <w:cols w:equalWidth="0" w:num="1">
            <w:col w:w="11020"/>
          </w:cols>
          <w:pgMar w:left="440" w:top="274" w:right="4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Page 26 of 27</w:t>
      </w:r>
    </w:p>
    <w:p>
      <w:pPr>
        <w:sectPr>
          <w:pgSz w:w="11900" w:h="16838" w:orient="portrait"/>
          <w:cols w:equalWidth="0" w:num="2">
            <w:col w:w="9300" w:space="720"/>
            <w:col w:w="1000"/>
          </w:cols>
          <w:pgMar w:left="440" w:top="274" w:right="439" w:bottom="1440" w:gutter="0" w:footer="0" w:header="0"/>
          <w:type w:val="continuous"/>
        </w:sectPr>
      </w:pPr>
    </w:p>
    <w:bookmarkStart w:id="75" w:name="page76"/>
    <w:bookmarkEnd w:id="75"/>
    <w:p>
      <w:pPr>
        <w:ind w:left="440" w:hanging="436"/>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rights upon termination of employment</w:t>
      </w:r>
    </w:p>
    <w:p>
      <w:pPr>
        <w:spacing w:after="0" w:line="117" w:lineRule="exact"/>
        <w:rPr>
          <w:rFonts w:ascii="Arial" w:cs="Arial" w:eastAsia="Arial" w:hAnsi="Arial"/>
          <w:sz w:val="18"/>
          <w:szCs w:val="18"/>
          <w:color w:val="auto"/>
        </w:rPr>
      </w:pPr>
    </w:p>
    <w:p>
      <w:pPr>
        <w:ind w:left="440" w:right="60"/>
        <w:spacing w:after="0" w:line="264" w:lineRule="auto"/>
        <w:rPr>
          <w:rFonts w:ascii="Arial" w:cs="Arial" w:eastAsia="Arial" w:hAnsi="Arial"/>
          <w:sz w:val="18"/>
          <w:szCs w:val="18"/>
          <w:color w:val="auto"/>
        </w:rPr>
      </w:pPr>
      <w:r>
        <w:rPr>
          <w:rFonts w:ascii="Arial" w:cs="Arial" w:eastAsia="Arial" w:hAnsi="Arial"/>
          <w:sz w:val="18"/>
          <w:szCs w:val="18"/>
          <w:color w:val="auto"/>
        </w:rPr>
        <w:t>The treatment of your PRSUs upon termination of employment will be determined under Sections 4 and 5 of the Stock Option Act unless the terms contained in the Plan, the Agreement and the applicable country-specific supplement are more favorable to you than Sections 4 and 5 of the Stock Option Act.</w:t>
      </w:r>
    </w:p>
    <w:p>
      <w:pPr>
        <w:spacing w:after="0" w:line="329" w:lineRule="exact"/>
        <w:rPr>
          <w:rFonts w:ascii="Arial" w:cs="Arial" w:eastAsia="Arial" w:hAnsi="Arial"/>
          <w:sz w:val="18"/>
          <w:szCs w:val="18"/>
          <w:color w:val="auto"/>
        </w:rPr>
      </w:pPr>
    </w:p>
    <w:p>
      <w:pPr>
        <w:ind w:left="440" w:hanging="436"/>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aspects of participating in the Plan</w:t>
      </w:r>
    </w:p>
    <w:p>
      <w:pPr>
        <w:spacing w:after="0" w:line="117" w:lineRule="exact"/>
        <w:rPr>
          <w:rFonts w:ascii="Arial" w:cs="Arial" w:eastAsia="Arial" w:hAnsi="Arial"/>
          <w:sz w:val="18"/>
          <w:szCs w:val="18"/>
          <w:color w:val="auto"/>
        </w:rPr>
      </w:pPr>
    </w:p>
    <w:p>
      <w:pPr>
        <w:ind w:left="440" w:right="40"/>
        <w:spacing w:after="0" w:line="277" w:lineRule="auto"/>
        <w:rPr>
          <w:rFonts w:ascii="Arial" w:cs="Arial" w:eastAsia="Arial" w:hAnsi="Arial"/>
          <w:sz w:val="18"/>
          <w:szCs w:val="18"/>
          <w:color w:val="auto"/>
        </w:rPr>
      </w:pPr>
      <w:r>
        <w:rPr>
          <w:rFonts w:ascii="Arial" w:cs="Arial" w:eastAsia="Arial" w:hAnsi="Arial"/>
          <w:sz w:val="18"/>
          <w:szCs w:val="18"/>
          <w:color w:val="auto"/>
        </w:rPr>
        <w:t>The grant of PRSUs has no immediate financial consequences for you. The value of the PRSUs is not taken into account when calculating holiday allowances, pension contributions or other statutory consideration calculated on the basis of salary.</w:t>
      </w:r>
    </w:p>
    <w:p>
      <w:pPr>
        <w:spacing w:after="0" w:line="62" w:lineRule="exact"/>
        <w:rPr>
          <w:rFonts w:ascii="Arial" w:cs="Arial" w:eastAsia="Arial" w:hAnsi="Arial"/>
          <w:sz w:val="18"/>
          <w:szCs w:val="18"/>
          <w:color w:val="auto"/>
        </w:rPr>
      </w:pPr>
    </w:p>
    <w:p>
      <w:pPr>
        <w:ind w:left="440" w:right="200"/>
        <w:spacing w:after="0" w:line="277" w:lineRule="auto"/>
        <w:rPr>
          <w:rFonts w:ascii="Arial" w:cs="Arial" w:eastAsia="Arial" w:hAnsi="Arial"/>
          <w:sz w:val="18"/>
          <w:szCs w:val="18"/>
          <w:color w:val="auto"/>
        </w:rPr>
      </w:pPr>
      <w:r>
        <w:rPr>
          <w:rFonts w:ascii="Arial" w:cs="Arial" w:eastAsia="Arial" w:hAnsi="Arial"/>
          <w:sz w:val="18"/>
          <w:szCs w:val="18"/>
          <w:color w:val="auto"/>
        </w:rPr>
        <w:t>Shares of stock are financial instruments and investing in stock will always have financial risk. The future value of Company shares is unknown and cannot be predicted with certainty.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AMETEK,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Cassatt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Berwyn, PA 19132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1020"/>
          </w:cols>
          <w:pgMar w:left="440" w:top="274" w:right="4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Non-U.S. EE Perf RSU 2019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Grant Plan: 11UNP1 PRSU-EE-nonUS-2011 Legal Plan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Page 27 of 27</w:t>
      </w:r>
    </w:p>
    <w:p>
      <w:pPr>
        <w:sectPr>
          <w:pgSz w:w="11900" w:h="16838" w:orient="portrait"/>
          <w:cols w:equalWidth="0" w:num="2">
            <w:col w:w="9300" w:space="720"/>
            <w:col w:w="1000"/>
          </w:cols>
          <w:pgMar w:left="440" w:top="274" w:right="439" w:bottom="1440" w:gutter="0" w:footer="0" w:header="0"/>
          <w:type w:val="continuous"/>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31" w:lineRule="exact"/>
        <w:rPr>
          <w:sz w:val="20"/>
          <w:szCs w:val="20"/>
          <w:color w:val="auto"/>
        </w:rPr>
      </w:pPr>
    </w:p>
    <w:p>
      <w:pPr>
        <w:ind w:left="980" w:hanging="54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30"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80" w:right="320" w:hanging="544"/>
        <w:spacing w:after="0" w:line="342"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80" w:right="200" w:hanging="544"/>
        <w:spacing w:after="0" w:line="291"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80" w:right="100" w:hanging="545"/>
        <w:spacing w:after="0" w:line="312" w:lineRule="auto"/>
        <w:tabs>
          <w:tab w:leader="none" w:pos="1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6"/>
          <w:szCs w:val="16"/>
          <w:color w:val="auto"/>
        </w:rPr>
      </w:pPr>
    </w:p>
    <w:p>
      <w:pPr>
        <w:ind w:left="1980" w:right="520" w:hanging="545"/>
        <w:spacing w:after="0" w:line="312" w:lineRule="auto"/>
        <w:tabs>
          <w:tab w:leader="none" w:pos="1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980" w:right="60" w:hanging="545"/>
        <w:spacing w:after="0" w:line="264" w:lineRule="auto"/>
        <w:tabs>
          <w:tab w:leader="none" w:pos="1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80" w:right="80" w:hanging="545"/>
        <w:spacing w:after="0" w:line="312" w:lineRule="auto"/>
        <w:tabs>
          <w:tab w:leader="none" w:pos="1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6"/>
          <w:szCs w:val="16"/>
          <w:color w:val="auto"/>
        </w:rPr>
      </w:pPr>
    </w:p>
    <w:p>
      <w:pPr>
        <w:ind w:left="980" w:right="520" w:hanging="544"/>
        <w:spacing w:after="0" w:line="26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6" w:lineRule="exact"/>
        <w:rPr>
          <w:rFonts w:ascii="Arial" w:cs="Arial" w:eastAsia="Arial" w:hAnsi="Arial"/>
          <w:sz w:val="18"/>
          <w:szCs w:val="18"/>
          <w:color w:val="auto"/>
        </w:rPr>
      </w:pPr>
    </w:p>
    <w:p>
      <w:pPr>
        <w:ind w:left="1980" w:right="300" w:hanging="545"/>
        <w:spacing w:after="0" w:line="264" w:lineRule="auto"/>
        <w:tabs>
          <w:tab w:leader="none" w:pos="1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980" w:right="680" w:hanging="545"/>
        <w:spacing w:after="0" w:line="277" w:lineRule="auto"/>
        <w:tabs>
          <w:tab w:leader="none" w:pos="1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w:t>
      </w:r>
      <w:r>
        <w:rPr>
          <w:rFonts w:ascii="Arial" w:cs="Arial" w:eastAsia="Arial" w:hAnsi="Arial"/>
          <w:sz w:val="15"/>
          <w:szCs w:val="15"/>
          <w:color w:val="auto"/>
        </w:rPr>
        <w:t>AVID</w:t>
      </w:r>
      <w:r>
        <w:rPr>
          <w:rFonts w:ascii="Arial" w:cs="Arial" w:eastAsia="Arial" w:hAnsi="Arial"/>
          <w:sz w:val="18"/>
          <w:szCs w:val="18"/>
          <w:color w:val="auto"/>
        </w:rPr>
        <w:t xml:space="preserve"> A. Z</w:t>
      </w:r>
      <w:r>
        <w:rPr>
          <w:rFonts w:ascii="Arial" w:cs="Arial" w:eastAsia="Arial" w:hAnsi="Arial"/>
          <w:sz w:val="15"/>
          <w:szCs w:val="15"/>
          <w:color w:val="auto"/>
        </w:rPr>
        <w:t>APICO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020"/>
          </w:cols>
          <w:pgMar w:left="440" w:top="121" w:right="4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31" w:lineRule="exact"/>
        <w:rPr>
          <w:sz w:val="20"/>
          <w:szCs w:val="20"/>
          <w:color w:val="auto"/>
        </w:rPr>
      </w:pPr>
    </w:p>
    <w:p>
      <w:pPr>
        <w:ind w:left="980" w:hanging="54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30" w:lineRule="exact"/>
        <w:rPr>
          <w:rFonts w:ascii="Arial" w:cs="Arial" w:eastAsia="Arial" w:hAnsi="Arial"/>
          <w:sz w:val="18"/>
          <w:szCs w:val="18"/>
          <w:color w:val="auto"/>
        </w:rPr>
      </w:pPr>
    </w:p>
    <w:p>
      <w:pPr>
        <w:ind w:left="980" w:right="40" w:hanging="54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80" w:right="320" w:hanging="544"/>
        <w:spacing w:after="0" w:line="34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80" w:right="200" w:hanging="544"/>
        <w:spacing w:after="0" w:line="291"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80" w:right="100" w:hanging="545"/>
        <w:spacing w:after="0" w:line="312" w:lineRule="auto"/>
        <w:tabs>
          <w:tab w:leader="none" w:pos="1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6"/>
          <w:szCs w:val="16"/>
          <w:color w:val="auto"/>
        </w:rPr>
      </w:pPr>
    </w:p>
    <w:p>
      <w:pPr>
        <w:ind w:left="1980" w:right="520" w:hanging="545"/>
        <w:spacing w:after="0" w:line="312" w:lineRule="auto"/>
        <w:tabs>
          <w:tab w:leader="none" w:pos="1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980" w:right="60" w:hanging="545"/>
        <w:spacing w:after="0" w:line="264" w:lineRule="auto"/>
        <w:tabs>
          <w:tab w:leader="none" w:pos="1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80" w:right="80" w:hanging="545"/>
        <w:spacing w:after="0" w:line="312" w:lineRule="auto"/>
        <w:tabs>
          <w:tab w:leader="none" w:pos="1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6"/>
          <w:szCs w:val="16"/>
          <w:color w:val="auto"/>
        </w:rPr>
      </w:pPr>
    </w:p>
    <w:p>
      <w:pPr>
        <w:ind w:left="980" w:right="520" w:hanging="54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6" w:lineRule="exact"/>
        <w:rPr>
          <w:rFonts w:ascii="Arial" w:cs="Arial" w:eastAsia="Arial" w:hAnsi="Arial"/>
          <w:sz w:val="18"/>
          <w:szCs w:val="18"/>
          <w:color w:val="auto"/>
        </w:rPr>
      </w:pPr>
    </w:p>
    <w:p>
      <w:pPr>
        <w:ind w:left="1980" w:right="300" w:hanging="545"/>
        <w:spacing w:after="0" w:line="264" w:lineRule="auto"/>
        <w:tabs>
          <w:tab w:leader="none" w:pos="1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1980" w:right="680" w:hanging="545"/>
        <w:spacing w:after="0" w:line="277" w:lineRule="auto"/>
        <w:tabs>
          <w:tab w:leader="none" w:pos="1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w:t>
      </w:r>
      <w:r>
        <w:rPr>
          <w:rFonts w:ascii="Arial" w:cs="Arial" w:eastAsia="Arial" w:hAnsi="Arial"/>
          <w:sz w:val="15"/>
          <w:szCs w:val="15"/>
          <w:color w:val="auto"/>
        </w:rPr>
        <w:t>ILLIAM</w:t>
      </w:r>
      <w:r>
        <w:rPr>
          <w:rFonts w:ascii="Arial" w:cs="Arial" w:eastAsia="Arial" w:hAnsi="Arial"/>
          <w:sz w:val="18"/>
          <w:szCs w:val="18"/>
          <w:color w:val="auto"/>
        </w:rPr>
        <w:t xml:space="preserve"> J. B</w:t>
      </w:r>
      <w:r>
        <w:rPr>
          <w:rFonts w:ascii="Arial" w:cs="Arial" w:eastAsia="Arial" w:hAnsi="Arial"/>
          <w:sz w:val="15"/>
          <w:szCs w:val="15"/>
          <w:color w:val="auto"/>
        </w:rPr>
        <w:t>URKE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020"/>
          </w:cols>
          <w:pgMar w:left="440" w:top="121" w:right="4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In connection with the Quarterly Report of AMETEK, Inc. (the “Company”) on Form 10-Q for the quarter ended September 30, 2019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52" w:lineRule="exact"/>
        <w:rPr>
          <w:sz w:val="20"/>
          <w:szCs w:val="20"/>
          <w:color w:val="auto"/>
        </w:rPr>
      </w:pPr>
    </w:p>
    <w:p>
      <w:pPr>
        <w:ind w:left="440" w:hanging="436"/>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5"/>
          <w:szCs w:val="15"/>
          <w:color w:val="auto"/>
        </w:rPr>
        <w:t>AVID</w:t>
      </w:r>
      <w:r>
        <w:rPr>
          <w:rFonts w:ascii="Arial" w:cs="Arial" w:eastAsia="Arial" w:hAnsi="Arial"/>
          <w:sz w:val="18"/>
          <w:szCs w:val="18"/>
          <w:color w:val="auto"/>
        </w:rPr>
        <w:t xml:space="preserve"> A. Z</w:t>
      </w:r>
      <w:r>
        <w:rPr>
          <w:rFonts w:ascii="Arial" w:cs="Arial" w:eastAsia="Arial" w:hAnsi="Arial"/>
          <w:sz w:val="15"/>
          <w:szCs w:val="15"/>
          <w:color w:val="auto"/>
        </w:rPr>
        <w:t>APICO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A. Zapico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In connection with the Quarterly Report of AMETEK, Inc. (the “Company”) on Form 10-Q for the quarter ended September 30, 2019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52" w:lineRule="exact"/>
        <w:rPr>
          <w:sz w:val="20"/>
          <w:szCs w:val="20"/>
          <w:color w:val="auto"/>
        </w:rPr>
      </w:pPr>
    </w:p>
    <w:p>
      <w:pPr>
        <w:ind w:left="440" w:hanging="436"/>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w:t>
      </w:r>
      <w:r>
        <w:rPr>
          <w:rFonts w:ascii="Arial" w:cs="Arial" w:eastAsia="Arial" w:hAnsi="Arial"/>
          <w:sz w:val="15"/>
          <w:szCs w:val="15"/>
          <w:color w:val="auto"/>
        </w:rPr>
        <w:t>ILLIAM</w:t>
      </w:r>
      <w:r>
        <w:rPr>
          <w:rFonts w:ascii="Arial" w:cs="Arial" w:eastAsia="Arial" w:hAnsi="Arial"/>
          <w:sz w:val="18"/>
          <w:szCs w:val="18"/>
          <w:color w:val="auto"/>
        </w:rPr>
        <w:t xml:space="preserve"> J. B</w:t>
      </w:r>
      <w:r>
        <w:rPr>
          <w:rFonts w:ascii="Arial" w:cs="Arial" w:eastAsia="Arial" w:hAnsi="Arial"/>
          <w:sz w:val="15"/>
          <w:szCs w:val="15"/>
          <w:color w:val="auto"/>
        </w:rPr>
        <w:t>URKE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2019</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endash "/>
      <w:numFmt w:val="bullet"/>
      <w:start w:val="1"/>
    </w:lvl>
  </w:abstractNum>
  <w:abstractNum w:abstractNumId="5">
    <w:nsid w:val="8138641"/>
    <w:multiLevelType w:val="hybridMultilevel"/>
    <w:lvl w:ilvl="0">
      <w:lvlJc w:val="left"/>
      <w:lvlText w:val="%1."/>
      <w:numFmt w:val="decimal"/>
      <w:start w:val="3"/>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4"/>
    </w:lvl>
  </w:abstractNum>
  <w:abstractNum w:abstractNumId="9">
    <w:nsid w:val="6CEAF087"/>
    <w:multiLevelType w:val="hybridMultilevel"/>
    <w:lvl w:ilvl="0">
      <w:lvlJc w:val="left"/>
      <w:lvlText w:val="%1."/>
      <w:numFmt w:val="decimal"/>
      <w:start w:val="5"/>
    </w:lvl>
  </w:abstractNum>
  <w:abstractNum w:abstractNumId="10">
    <w:nsid w:val="22221A70"/>
    <w:multiLevelType w:val="hybridMultilevel"/>
    <w:lvl w:ilvl="0">
      <w:lvlJc w:val="left"/>
      <w:lvlText w:val="%1."/>
      <w:numFmt w:val="decimal"/>
      <w:start w:val="6"/>
    </w:lvl>
  </w:abstractNum>
  <w:abstractNum w:abstractNumId="11">
    <w:nsid w:val="4516DDE9"/>
    <w:multiLevelType w:val="hybridMultilevel"/>
    <w:lvl w:ilvl="0">
      <w:lvlJc w:val="left"/>
      <w:lvlText w:val="%1."/>
      <w:numFmt w:val="decimal"/>
      <w:start w:val="8"/>
    </w:lvl>
  </w:abstractNum>
  <w:abstractNum w:abstractNumId="12">
    <w:nsid w:val="3006C83E"/>
    <w:multiLevelType w:val="hybridMultilevel"/>
    <w:lvl w:ilvl="0">
      <w:lvlJc w:val="left"/>
      <w:lvlText w:val="%1."/>
      <w:numFmt w:val="decimal"/>
      <w:start w:val="9"/>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0"/>
    </w:lvl>
  </w:abstractNum>
  <w:abstractNum w:abstractNumId="15">
    <w:nsid w:val="5577F8E1"/>
    <w:multiLevelType w:val="hybridMultilevel"/>
    <w:lvl w:ilvl="0">
      <w:lvlJc w:val="left"/>
      <w:lvlText w:val="%1."/>
      <w:numFmt w:val="decimal"/>
      <w:start w:val="11"/>
    </w:lvl>
  </w:abstractNum>
  <w:abstractNum w:abstractNumId="16">
    <w:nsid w:val="440BADFC"/>
    <w:multiLevelType w:val="hybridMultilevel"/>
    <w:lvl w:ilvl="0">
      <w:lvlJc w:val="left"/>
      <w:lvlText w:val="%1."/>
      <w:numFmt w:val="decimal"/>
      <w:start w:val="12"/>
    </w:lvl>
  </w:abstractNum>
  <w:abstractNum w:abstractNumId="17">
    <w:nsid w:val="5072367"/>
    <w:multiLevelType w:val="hybridMultilevel"/>
    <w:lvl w:ilvl="0">
      <w:lvlJc w:val="left"/>
      <w:lvlText w:val="%1."/>
      <w:numFmt w:val="decimal"/>
      <w:start w:val="13"/>
    </w:lvl>
  </w:abstractNum>
  <w:abstractNum w:abstractNumId="18">
    <w:nsid w:val="3804823E"/>
    <w:multiLevelType w:val="hybridMultilevel"/>
    <w:lvl w:ilvl="0">
      <w:lvlJc w:val="left"/>
      <w:lvlText w:val="%1."/>
      <w:numFmt w:val="decimal"/>
      <w:start w:val="14"/>
    </w:lvl>
  </w:abstractNum>
  <w:abstractNum w:abstractNumId="19">
    <w:nsid w:val="77465F01"/>
    <w:multiLevelType w:val="hybridMultilevel"/>
    <w:lvl w:ilvl="0">
      <w:lvlJc w:val="left"/>
      <w:lvlText w:val="%1."/>
      <w:numFmt w:val="decimal"/>
      <w:start w:val="15"/>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lvl w:ilvl="1">
      <w:lvlJc w:val="left"/>
      <w:lvlText w:val="%2"/>
      <w:numFmt w:val="decimal"/>
      <w:start w:val="104"/>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lowerLetter"/>
      <w:start w:val="2"/>
    </w:lvl>
  </w:abstractNum>
  <w:abstractNum w:abstractNumId="24">
    <w:nsid w:val="51EAD36B"/>
    <w:multiLevelType w:val="hybridMultilevel"/>
    <w:lvl w:ilvl="0">
      <w:lvlJc w:val="left"/>
      <w:lvlText w:val="%1."/>
      <w:numFmt w:val="decimal"/>
      <w:start w:val="4"/>
    </w:lvl>
  </w:abstractNum>
  <w:abstractNum w:abstractNumId="25">
    <w:nsid w:val="2D517796"/>
    <w:multiLevelType w:val="hybridMultilevel"/>
    <w:lvl w:ilvl="0">
      <w:lvlJc w:val="left"/>
      <w:lvlText w:val="%1."/>
      <w:numFmt w:val="decimal"/>
      <w:start w:val="8"/>
    </w:lvl>
  </w:abstractNum>
  <w:abstractNum w:abstractNumId="26">
    <w:nsid w:val="580BD78F"/>
    <w:multiLevelType w:val="hybridMultilevel"/>
    <w:lvl w:ilvl="0">
      <w:lvlJc w:val="left"/>
      <w:lvlText w:val="%1."/>
      <w:numFmt w:val="decimal"/>
      <w:start w:val="13"/>
    </w:lvl>
  </w:abstractNum>
  <w:abstractNum w:abstractNumId="27">
    <w:nsid w:val="153EA438"/>
    <w:multiLevelType w:val="hybridMultilevel"/>
    <w:lvl w:ilvl="0">
      <w:lvlJc w:val="left"/>
      <w:lvlText w:val="%1."/>
      <w:numFmt w:val="decimal"/>
      <w:start w:val="18"/>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decimal"/>
      <w:start w:val="4"/>
    </w:lvl>
  </w:abstractNum>
  <w:abstractNum w:abstractNumId="31">
    <w:nsid w:val="2A487CB0"/>
    <w:multiLevelType w:val="hybridMultilevel"/>
    <w:lvl w:ilvl="0">
      <w:lvlJc w:val="left"/>
      <w:lvlText w:val="%1."/>
      <w:numFmt w:val="decimal"/>
      <w:start w:val="7"/>
    </w:lvl>
  </w:abstractNum>
  <w:abstractNum w:abstractNumId="32">
    <w:nsid w:val="1D4ED43B"/>
    <w:multiLevelType w:val="hybridMultilevel"/>
    <w:lvl w:ilvl="0">
      <w:lvlJc w:val="left"/>
      <w:lvlText w:val="%1."/>
      <w:numFmt w:val="decimal"/>
      <w:start w:val="12"/>
    </w:lvl>
  </w:abstractNum>
  <w:abstractNum w:abstractNumId="33">
    <w:nsid w:val="725A06FB"/>
    <w:multiLevelType w:val="hybridMultilevel"/>
    <w:lvl w:ilvl="0">
      <w:lvlJc w:val="left"/>
      <w:lvlText w:val="%1."/>
      <w:numFmt w:val="decimal"/>
      <w:start w:val="18"/>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decimal"/>
      <w:start w:val="4"/>
    </w:lvl>
  </w:abstractNum>
  <w:abstractNum w:abstractNumId="37">
    <w:nsid w:val="4B588F54"/>
    <w:multiLevelType w:val="hybridMultilevel"/>
    <w:lvl w:ilvl="0">
      <w:lvlJc w:val="left"/>
      <w:lvlText w:val="(%1)"/>
      <w:numFmt w:val="lowerLetter"/>
      <w:start w:val="2"/>
    </w:lvl>
  </w:abstractNum>
  <w:abstractNum w:abstractNumId="38">
    <w:nsid w:val="542289EC"/>
    <w:multiLevelType w:val="hybridMultilevel"/>
    <w:lvl w:ilvl="0">
      <w:lvlJc w:val="left"/>
      <w:lvlText w:val="%1."/>
      <w:numFmt w:val="decimal"/>
      <w:start w:val="10"/>
    </w:lvl>
  </w:abstractNum>
  <w:abstractNum w:abstractNumId="39">
    <w:nsid w:val="6DE91B18"/>
    <w:multiLevelType w:val="hybridMultilevel"/>
    <w:lvl w:ilvl="0">
      <w:lvlJc w:val="left"/>
      <w:lvlText w:val="%1."/>
      <w:numFmt w:val="decimal"/>
      <w:start w:val="14"/>
    </w:lvl>
  </w:abstractNum>
  <w:abstractNum w:abstractNumId="40">
    <w:nsid w:val="38437FDB"/>
    <w:multiLevelType w:val="hybridMultilevel"/>
    <w:lvl w:ilvl="0">
      <w:lvlJc w:val="left"/>
      <w:lvlText w:val="%1."/>
      <w:numFmt w:val="decimal"/>
      <w:start w:val="16"/>
    </w:lvl>
  </w:abstractNum>
  <w:abstractNum w:abstractNumId="41">
    <w:nsid w:val="7644A45C"/>
    <w:multiLevelType w:val="hybridMultilevel"/>
    <w:lvl w:ilvl="0">
      <w:lvlJc w:val="left"/>
      <w:lvlText w:val="%1."/>
      <w:numFmt w:val="decimal"/>
      <w:start w:val="22"/>
    </w:lvl>
  </w:abstractNum>
  <w:abstractNum w:abstractNumId="42">
    <w:nsid w:val="32FFF902"/>
    <w:multiLevelType w:val="hybridMultilevel"/>
    <w:lvl w:ilvl="0">
      <w:lvlJc w:val="left"/>
      <w:lvlText w:val="%1."/>
      <w:numFmt w:val="decimal"/>
      <w:start w:val="26"/>
    </w:lvl>
  </w:abstractNum>
  <w:abstractNum w:abstractNumId="43">
    <w:nsid w:val="684A481A"/>
    <w:multiLevelType w:val="hybridMultilevel"/>
    <w:lvl w:ilvl="0">
      <w:lvlJc w:val="left"/>
      <w:lvlText w:val="%1."/>
      <w:numFmt w:val="decimal"/>
      <w:start w:val="29"/>
    </w:lvl>
  </w:abstractNum>
  <w:abstractNum w:abstractNumId="44">
    <w:nsid w:val="579478FE"/>
    <w:multiLevelType w:val="hybridMultilevel"/>
    <w:lvl w:ilvl="0">
      <w:lvlJc w:val="left"/>
      <w:lvlText w:val="(%1)"/>
      <w:numFmt w:val="lowerRoman"/>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5"/>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2019-12-28T02:57:01Z</dcterms:created>
  <dcterms:modified xsi:type="dcterms:W3CDTF">2019-12-28T02:57:01Z</dcterms:modified>
</cp:coreProperties>
</file>