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 xml:space="preserve">FORM 10-Q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1-12981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AMETEK,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1100 Cassatt Road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Berwyn, Pennsylvania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14-1682544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19312-1177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(610) 647-2121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76" w:type="dxa"/>
        <w:jc w:val="left"/>
        <w:tblInd w:w="0" w:type="dxa"/>
        <w:tblLayout w:type="fixed"/>
        <w:tblCellMar>
          <w:top w:w="28" w:type="dxa"/>
          <w:left w:w="28" w:type="dxa"/>
          <w:bottom w:w="28" w:type="dxa"/>
          <w:right w:w="28" w:type="dxa"/>
        </w:tblCellMar>
      </w:tblPr>
      <w:tblGrid>
        <w:gridCol w:w="695"/>
        <w:gridCol w:w="611"/>
        <w:gridCol w:w="613"/>
        <w:gridCol w:w="125"/>
        <w:gridCol w:w="125"/>
        <w:gridCol w:w="125"/>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 xml:space="preserv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bl>
    <w:p>
      <w:pPr>
        <w:pStyle w:val="TextBody"/>
        <w:bidi w:val="0"/>
        <w:spacing w:lineRule="auto" w:line="288" w:before="20" w:after="283"/>
        <w:ind w:left="0" w:right="0" w:firstLine="720"/>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5273" w:type="dxa"/>
        <w:jc w:val="left"/>
        <w:tblInd w:w="0" w:type="dxa"/>
        <w:tblLayout w:type="fixed"/>
        <w:tblCellMar>
          <w:top w:w="28" w:type="dxa"/>
          <w:left w:w="28" w:type="dxa"/>
          <w:bottom w:w="28" w:type="dxa"/>
          <w:right w:w="28" w:type="dxa"/>
        </w:tblCellMar>
      </w:tblPr>
      <w:tblGrid>
        <w:gridCol w:w="510"/>
        <w:gridCol w:w="447"/>
        <w:gridCol w:w="453"/>
        <w:gridCol w:w="109"/>
        <w:gridCol w:w="109"/>
        <w:gridCol w:w="109"/>
        <w:gridCol w:w="274"/>
        <w:gridCol w:w="274"/>
        <w:gridCol w:w="276"/>
        <w:gridCol w:w="109"/>
        <w:gridCol w:w="109"/>
        <w:gridCol w:w="109"/>
        <w:gridCol w:w="698"/>
        <w:gridCol w:w="698"/>
        <w:gridCol w:w="989"/>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the latest practicable date was: Common Stock, $0.01 Par Value, outstanding at April 23, 2025 was 230,878,978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065" w:type="dxa"/>
        <w:jc w:val="left"/>
        <w:tblInd w:w="0" w:type="dxa"/>
        <w:tblLayout w:type="fixed"/>
        <w:tblCellMar>
          <w:top w:w="28" w:type="dxa"/>
          <w:left w:w="28" w:type="dxa"/>
          <w:bottom w:w="28" w:type="dxa"/>
          <w:right w:w="28" w:type="dxa"/>
        </w:tblCellMar>
      </w:tblPr>
      <w:tblGrid>
        <w:gridCol w:w="3461"/>
        <w:gridCol w:w="3039"/>
        <w:gridCol w:w="3054"/>
        <w:gridCol w:w="149"/>
        <w:gridCol w:w="149"/>
        <w:gridCol w:w="213"/>
      </w:tblGrid>
      <w:tr>
        <w:trPr/>
        <w:tc>
          <w:tcPr>
            <w:tcW w:w="3461"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e028918e6e4ff99b2ec414b02b04c1_10">
              <w:r>
                <w:rPr>
                  <w:rStyle w:val="InternetLink"/>
                  <w:rFonts w:ascii="Times New Roman;sans-serif" w:hAnsi="Times New Roman;sans-serif"/>
                  <w:b/>
                  <w:color w:val="0000FF"/>
                  <w:sz w:val="20"/>
                  <w:u w:val="single"/>
                </w:rPr>
                <w:t>PART I.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c5e028918e6e4ff99b2ec414b02b04c1_13">
              <w:r>
                <w:rPr>
                  <w:rStyle w:val="InternetLink"/>
                  <w:rFonts w:ascii="Times New Roman;sans-serif" w:hAnsi="Times New Roman;sans-serif"/>
                  <w:b w:val="false"/>
                  <w:color w:val="0000FF"/>
                  <w:sz w:val="20"/>
                  <w:u w:val="single"/>
                </w:rPr>
                <w:t>Item 1.Financial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e028918e6e4ff99b2ec414b02b04c1_16">
              <w:r>
                <w:rPr>
                  <w:rStyle w:val="InternetLink"/>
                  <w:rFonts w:ascii="Times New Roman;sans-serif" w:hAnsi="Times New Roman;sans-serif"/>
                  <w:b w:val="false"/>
                  <w:color w:val="0000FF"/>
                  <w:sz w:val="20"/>
                  <w:u w:val="single"/>
                </w:rPr>
                <w:t>Consolidated Statement of Income for the three months ended March 31,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6">
              <w:r>
                <w:rPr>
                  <w:rStyle w:val="InternetLink"/>
                  <w:rFonts w:ascii="Times New Roman;sans-serif" w:hAnsi="Times New Roman;sans-serif"/>
                  <w:b w:val="false"/>
                  <w:strike w:val="false"/>
                  <w:dstrike w:val="false"/>
                  <w:color w:val="000000"/>
                  <w:sz w:val="20"/>
                  <w:u w:val="none"/>
                  <w:effect w:val="none"/>
                </w:rPr>
                <w:t>3</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e028918e6e4ff99b2ec414b02b04c1_19">
              <w:r>
                <w:rPr>
                  <w:rStyle w:val="InternetLink"/>
                  <w:rFonts w:ascii="Times New Roman;sans-serif" w:hAnsi="Times New Roman;sans-serif"/>
                  <w:b w:val="false"/>
                  <w:color w:val="0000FF"/>
                  <w:sz w:val="20"/>
                  <w:u w:val="single"/>
                </w:rPr>
                <w:t>Condensed Consolidated Statement of Comprehensive Income for the three months ended March 31,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9">
              <w:r>
                <w:rPr>
                  <w:rStyle w:val="InternetLink"/>
                  <w:rFonts w:ascii="Times New Roman;sans-serif" w:hAnsi="Times New Roman;sans-serif"/>
                  <w:b w:val="false"/>
                  <w:strike w:val="false"/>
                  <w:dstrike w:val="false"/>
                  <w:color w:val="000000"/>
                  <w:sz w:val="20"/>
                  <w:u w:val="none"/>
                  <w:effect w:val="none"/>
                </w:rPr>
                <w:t>4</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e028918e6e4ff99b2ec414b02b04c1_22">
              <w:r>
                <w:rPr>
                  <w:rStyle w:val="InternetLink"/>
                  <w:rFonts w:ascii="Times New Roman;sans-serif" w:hAnsi="Times New Roman;sans-serif"/>
                  <w:b w:val="false"/>
                  <w:color w:val="0000FF"/>
                  <w:sz w:val="20"/>
                  <w:u w:val="single"/>
                </w:rPr>
                <w:t>Consolidated Balance Sheet at March 31, 2025 and December 31,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22">
              <w:r>
                <w:rPr>
                  <w:rStyle w:val="InternetLink"/>
                  <w:rFonts w:ascii="Times New Roman;sans-serif" w:hAnsi="Times New Roman;sans-serif"/>
                  <w:b w:val="false"/>
                  <w:strike w:val="false"/>
                  <w:dstrike w:val="false"/>
                  <w:color w:val="000000"/>
                  <w:sz w:val="20"/>
                  <w:u w:val="none"/>
                  <w:effect w:val="none"/>
                </w:rPr>
                <w:t>5</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e028918e6e4ff99b2ec414b02b04c1_25">
              <w:r>
                <w:rPr>
                  <w:rStyle w:val="InternetLink"/>
                  <w:rFonts w:ascii="Times New Roman;sans-serif" w:hAnsi="Times New Roman;sans-serif"/>
                  <w:b w:val="false"/>
                  <w:color w:val="0000FF"/>
                  <w:sz w:val="20"/>
                  <w:u w:val="single"/>
                </w:rPr>
                <w:t>Consolidated Statement of Stockholders’ Equity for the three months ended March 31,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25">
              <w:r>
                <w:rPr>
                  <w:rStyle w:val="InternetLink"/>
                  <w:rFonts w:ascii="Times New Roman;sans-serif" w:hAnsi="Times New Roman;sans-serif"/>
                  <w:b w:val="false"/>
                  <w:strike w:val="false"/>
                  <w:dstrike w:val="false"/>
                  <w:color w:val="000000"/>
                  <w:sz w:val="20"/>
                  <w:u w:val="none"/>
                  <w:effect w:val="none"/>
                </w:rPr>
                <w:t>6</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e028918e6e4ff99b2ec414b02b04c1_28">
              <w:r>
                <w:rPr>
                  <w:rStyle w:val="InternetLink"/>
                  <w:rFonts w:ascii="Times New Roman;sans-serif" w:hAnsi="Times New Roman;sans-serif"/>
                  <w:b w:val="false"/>
                  <w:color w:val="0000FF"/>
                  <w:sz w:val="20"/>
                  <w:u w:val="single"/>
                </w:rPr>
                <w:t>Condensed Consolidated Statement of Cash Flows for the three months ended March 31,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28">
              <w:r>
                <w:rPr>
                  <w:rStyle w:val="InternetLink"/>
                  <w:rFonts w:ascii="Times New Roman;sans-serif" w:hAnsi="Times New Roman;sans-serif"/>
                  <w:b w:val="false"/>
                  <w:strike w:val="false"/>
                  <w:dstrike w:val="false"/>
                  <w:color w:val="000000"/>
                  <w:sz w:val="20"/>
                  <w:u w:val="none"/>
                  <w:effect w:val="none"/>
                </w:rPr>
                <w:t>7</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e028918e6e4ff99b2ec414b02b04c1_31">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31">
              <w:r>
                <w:rPr>
                  <w:rStyle w:val="InternetLink"/>
                  <w:rFonts w:ascii="Times New Roman;sans-serif" w:hAnsi="Times New Roman;sans-serif"/>
                  <w:b w:val="false"/>
                  <w:strike w:val="false"/>
                  <w:dstrike w:val="false"/>
                  <w:color w:val="000000"/>
                  <w:sz w:val="20"/>
                  <w:u w:val="none"/>
                  <w:effect w:val="none"/>
                </w:rPr>
                <w:t>8</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c5e028918e6e4ff99b2ec414b02b04c1_88">
              <w:r>
                <w:rPr>
                  <w:rStyle w:val="InternetLink"/>
                  <w:rFonts w:ascii="Times New Roman;sans-serif" w:hAnsi="Times New Roman;sans-serif"/>
                  <w:b w:val="false"/>
                  <w:color w:val="0000FF"/>
                  <w:sz w:val="20"/>
                  <w:u w:val="single"/>
                </w:rPr>
                <w:t>Item 2.Management’s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88">
              <w:r>
                <w:rPr>
                  <w:rStyle w:val="InternetLink"/>
                  <w:rFonts w:ascii="Times New Roman;sans-serif" w:hAnsi="Times New Roman;sans-serif"/>
                  <w:b w:val="false"/>
                  <w:strike w:val="false"/>
                  <w:dstrike w:val="false"/>
                  <w:color w:val="000000"/>
                  <w:sz w:val="20"/>
                  <w:u w:val="none"/>
                  <w:effect w:val="none"/>
                </w:rPr>
                <w:t>21</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c5e028918e6e4ff99b2ec414b02b04c1_106">
              <w:r>
                <w:rPr>
                  <w:rStyle w:val="InternetLink"/>
                  <w:rFonts w:ascii="Times New Roman;sans-serif" w:hAnsi="Times New Roman;sans-serif"/>
                  <w:b w:val="false"/>
                  <w:color w:val="0000FF"/>
                  <w:sz w:val="20"/>
                  <w:u w:val="single"/>
                </w:rPr>
                <w:t>Item 4.Controls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06">
              <w:r>
                <w:rPr>
                  <w:rStyle w:val="InternetLink"/>
                  <w:rFonts w:ascii="Times New Roman;sans-serif" w:hAnsi="Times New Roman;sans-serif"/>
                  <w:b w:val="false"/>
                  <w:strike w:val="false"/>
                  <w:dstrike w:val="false"/>
                  <w:color w:val="000000"/>
                  <w:sz w:val="20"/>
                  <w:u w:val="none"/>
                  <w:effect w:val="none"/>
                </w:rPr>
                <w:t>23</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e028918e6e4ff99b2ec414b02b04c1_109">
              <w:r>
                <w:rPr>
                  <w:rStyle w:val="InternetLink"/>
                  <w:rFonts w:ascii="Times New Roman;sans-serif" w:hAnsi="Times New Roman;sans-serif"/>
                  <w:b/>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c5e028918e6e4ff99b2ec414b02b04c1_115">
              <w:r>
                <w:rPr>
                  <w:rStyle w:val="InternetLink"/>
                  <w:rFonts w:ascii="Times New Roman;sans-serif" w:hAnsi="Times New Roman;sans-serif"/>
                  <w:b w:val="false"/>
                  <w:color w:val="0000FF"/>
                  <w:sz w:val="20"/>
                  <w:u w:val="single"/>
                </w:rPr>
                <w:t>Item 2.Unregistered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15">
              <w:r>
                <w:rPr>
                  <w:rStyle w:val="InternetLink"/>
                  <w:rFonts w:ascii="Times New Roman;sans-serif" w:hAnsi="Times New Roman;sans-serif"/>
                  <w:b w:val="false"/>
                  <w:strike w:val="false"/>
                  <w:dstrike w:val="false"/>
                  <w:color w:val="000000"/>
                  <w:sz w:val="20"/>
                  <w:u w:val="none"/>
                  <w:effect w:val="none"/>
                </w:rPr>
                <w:t>25</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r>
              <w:rPr>
                <w:color w:val="000000"/>
              </w:rPr>
              <w:t> </w:t>
            </w:r>
            <w:hyperlink w:anchor="ic5e028918e6e4ff99b2ec414b02b04c1_118">
              <w:r>
                <w:rPr>
                  <w:rStyle w:val="InternetLink"/>
                  <w:rFonts w:ascii="Times New Roman;sans-serif" w:hAnsi="Times New Roman;sans-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15">
              <w:r>
                <w:rPr>
                  <w:rStyle w:val="InternetLink"/>
                  <w:rFonts w:ascii="Times New Roman;sans-serif" w:hAnsi="Times New Roman;sans-serif"/>
                  <w:b w:val="false"/>
                  <w:strike w:val="false"/>
                  <w:dstrike w:val="false"/>
                  <w:color w:val="000000"/>
                  <w:sz w:val="20"/>
                  <w:u w:val="none"/>
                  <w:effect w:val="none"/>
                </w:rPr>
                <w:t>25</w:t>
              </w:r>
            </w:hyperlink>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c5e028918e6e4ff99b2ec414b02b04c1_121">
              <w:r>
                <w:rPr>
                  <w:rStyle w:val="InternetLink"/>
                  <w:rFonts w:ascii="Times New Roman;sans-serif" w:hAnsi="Times New Roman;sans-serif"/>
                  <w:b w:val="false"/>
                  <w:color w:val="0000FF"/>
                  <w:sz w:val="20"/>
                  <w:u w:val="single"/>
                </w:rPr>
                <w:t>Item 6.Exhibits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21">
              <w:r>
                <w:rPr>
                  <w:rStyle w:val="InternetLink"/>
                  <w:rFonts w:ascii="Times New Roman;sans-serif" w:hAnsi="Times New Roman;sans-serif"/>
                  <w:b w:val="false"/>
                  <w:strike w:val="false"/>
                  <w:dstrike w:val="false"/>
                  <w:color w:val="000000"/>
                  <w:sz w:val="20"/>
                  <w:u w:val="none"/>
                  <w:effect w:val="none"/>
                </w:rPr>
                <w:t>26</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e028918e6e4ff99b2ec414b02b04c1_124">
              <w:r>
                <w:rPr>
                  <w:rStyle w:val="InternetLink"/>
                  <w:rFonts w:ascii="Times New Roman;sans-serif" w:hAnsi="Times New Roman;sans-serif"/>
                  <w:b/>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e028918e6e4ff99b2ec414b02b04c1_124">
              <w:r>
                <w:rPr>
                  <w:rStyle w:val="InternetLink"/>
                  <w:rFonts w:ascii="Times New Roman;sans-serif" w:hAnsi="Times New Roman;sans-serif"/>
                  <w:b w:val="false"/>
                  <w:strike w:val="false"/>
                  <w:dstrike w:val="false"/>
                  <w:color w:val="000000"/>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75" w:type="dxa"/>
        <w:jc w:val="left"/>
        <w:tblInd w:w="0" w:type="dxa"/>
        <w:tblLayout w:type="fixed"/>
        <w:tblCellMar>
          <w:top w:w="28" w:type="dxa"/>
          <w:left w:w="28" w:type="dxa"/>
          <w:bottom w:w="28" w:type="dxa"/>
          <w:right w:w="28" w:type="dxa"/>
        </w:tblCellMar>
      </w:tblPr>
      <w:tblGrid>
        <w:gridCol w:w="1429"/>
        <w:gridCol w:w="1255"/>
        <w:gridCol w:w="1276"/>
        <w:gridCol w:w="211"/>
        <w:gridCol w:w="991"/>
        <w:gridCol w:w="109"/>
        <w:gridCol w:w="109"/>
        <w:gridCol w:w="109"/>
        <w:gridCol w:w="109"/>
        <w:gridCol w:w="211"/>
        <w:gridCol w:w="976"/>
        <w:gridCol w:w="109"/>
        <w:gridCol w:w="109"/>
        <w:gridCol w:w="109"/>
        <w:gridCol w:w="109"/>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1,731,971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1,106,971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1,277,142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454,829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434,222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351,758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231,542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and paid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680" w:type="dxa"/>
        <w:jc w:val="left"/>
        <w:tblInd w:w="0" w:type="dxa"/>
        <w:tblLayout w:type="fixed"/>
        <w:tblCellMar>
          <w:top w:w="28" w:type="dxa"/>
          <w:left w:w="28" w:type="dxa"/>
          <w:bottom w:w="28" w:type="dxa"/>
          <w:right w:w="28" w:type="dxa"/>
        </w:tblCellMar>
      </w:tblPr>
      <w:tblGrid>
        <w:gridCol w:w="930"/>
        <w:gridCol w:w="816"/>
        <w:gridCol w:w="819"/>
        <w:gridCol w:w="211"/>
        <w:gridCol w:w="841"/>
        <w:gridCol w:w="109"/>
        <w:gridCol w:w="109"/>
        <w:gridCol w:w="109"/>
        <w:gridCol w:w="109"/>
        <w:gridCol w:w="211"/>
        <w:gridCol w:w="826"/>
        <w:gridCol w:w="109"/>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389,561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528" w:type="dxa"/>
        <w:jc w:val="left"/>
        <w:tblInd w:w="0" w:type="dxa"/>
        <w:tblLayout w:type="fixed"/>
        <w:tblCellMar>
          <w:top w:w="28" w:type="dxa"/>
          <w:left w:w="28" w:type="dxa"/>
          <w:bottom w:w="28" w:type="dxa"/>
          <w:right w:w="28" w:type="dxa"/>
        </w:tblCellMar>
      </w:tblPr>
      <w:tblGrid>
        <w:gridCol w:w="1931"/>
        <w:gridCol w:w="1701"/>
        <w:gridCol w:w="1707"/>
        <w:gridCol w:w="211"/>
        <w:gridCol w:w="1096"/>
        <w:gridCol w:w="109"/>
        <w:gridCol w:w="109"/>
        <w:gridCol w:w="109"/>
        <w:gridCol w:w="109"/>
        <w:gridCol w:w="211"/>
        <w:gridCol w:w="108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996,536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1,069,527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295,732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2,760,796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830,840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6,631,335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3,916,702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other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509,243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14,877,096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advanced payments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446,843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1,962,559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1,459,445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844,591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640,555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4,907,150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1,255,018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11,337,987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(2,107,845)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9,969,946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14,877,096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14,631,169 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50"/>
        <w:gridCol w:w="2064"/>
        <w:gridCol w:w="2074"/>
        <w:gridCol w:w="211"/>
        <w:gridCol w:w="991"/>
        <w:gridCol w:w="109"/>
        <w:gridCol w:w="109"/>
        <w:gridCol w:w="109"/>
        <w:gridCol w:w="109"/>
        <w:gridCol w:w="211"/>
        <w:gridCol w:w="976"/>
        <w:gridCol w:w="109"/>
        <w:gridCol w:w="109"/>
        <w:gridCol w:w="109"/>
        <w:gridCol w:w="109"/>
        <w:gridCol w:w="156"/>
      </w:tblGrid>
      <w:tr>
        <w:trPr/>
        <w:tc>
          <w:tcPr>
            <w:tcW w:w="2650"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stock</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1,255,018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11,337,987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 income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65,778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long-term intercompany notes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hedge instruments (loss) gain , net of tax of $8,099 and $(3,987) for the quarter ended March 31, 2025 and 2024,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(355,272)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plans:</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 and other, net of tax of $(296) and $(365) for the quarter ended March 31, 2025 and 2024,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(162,664)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(517,936)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(2,107,845)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9,969,946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8,968,215 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79" w:type="dxa"/>
        <w:jc w:val="left"/>
        <w:tblInd w:w="0" w:type="dxa"/>
        <w:tblLayout w:type="fixed"/>
        <w:tblCellMar>
          <w:top w:w="28" w:type="dxa"/>
          <w:left w:w="28" w:type="dxa"/>
          <w:bottom w:w="28" w:type="dxa"/>
          <w:right w:w="28" w:type="dxa"/>
        </w:tblCellMar>
      </w:tblPr>
      <w:tblGrid>
        <w:gridCol w:w="1956"/>
        <w:gridCol w:w="1719"/>
        <w:gridCol w:w="1725"/>
        <w:gridCol w:w="211"/>
        <w:gridCol w:w="841"/>
        <w:gridCol w:w="109"/>
        <w:gridCol w:w="109"/>
        <w:gridCol w:w="109"/>
        <w:gridCol w:w="109"/>
        <w:gridCol w:w="211"/>
        <w:gridCol w:w="826"/>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for):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351,758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total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assets and liabilities, net of acquisitions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contributions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417,545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businesses,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(125,713)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short-term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(185,093)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25,002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399,001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2025, the consolidated results of its operations for the three months ended March 31, 2025 and 2024 and its cash flows for the three months ended March 31, 2025 and 2024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2024 as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    Recent Accounting Pronouncements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 —Expense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The ASU indicates that all entities will apply its guidance prospectively with an option for retroactive application to each period in the financial statements. ASU 2023-09 will require additional disclosures in the Income Taxes footnote, but it will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contract asset and liability accounts were as follows:</w:t>
      </w:r>
    </w:p>
    <w:tbl>
      <w:tblPr>
        <w:tblW w:w="6863" w:type="dxa"/>
        <w:jc w:val="left"/>
        <w:tblInd w:w="0" w:type="dxa"/>
        <w:tblLayout w:type="fixed"/>
        <w:tblCellMar>
          <w:top w:w="28" w:type="dxa"/>
          <w:left w:w="28" w:type="dxa"/>
          <w:bottom w:w="28" w:type="dxa"/>
          <w:right w:w="28" w:type="dxa"/>
        </w:tblCellMar>
      </w:tblPr>
      <w:tblGrid>
        <w:gridCol w:w="1520"/>
        <w:gridCol w:w="1336"/>
        <w:gridCol w:w="1343"/>
        <w:gridCol w:w="211"/>
        <w:gridCol w:w="826"/>
        <w:gridCol w:w="109"/>
        <w:gridCol w:w="109"/>
        <w:gridCol w:w="109"/>
        <w:gridCol w:w="109"/>
        <w:gridCol w:w="211"/>
        <w:gridCol w:w="82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 March 31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157,815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assets – increase (decrease)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January 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432,830 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March 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426,235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liabilities – (increase) decrease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change for the three months ended March 31, 2025 was primarily driven by contract liabilities, specifically higher advance payments from customers. For the three months ended March 31, 2025 and 2024, the Company recognized revenue of $182.5 million and $219.0 million, respectively, that was previously included in the beginning balance of contract liabilities.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are reported as a component of Other current assets in the consolidated balance sheet. At March 31, 2025 and December 31, 2024, $39.7 million and $37.1 million of Customer advanced payments (contract liabilities), respectively, were recorded in Other long-term liabilities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not expected to be completed within one year as of March 31, 2025 and December 31, 2024 were $555.3 million and $541.8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Geographic Areas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sales were attributed to geographic areas based on the location of the customer. Information about the Company’s operations in different geographic areas was as follows for the three months ended March 31:</w:t>
      </w:r>
    </w:p>
    <w:tbl>
      <w:tblPr>
        <w:tblW w:w="7386" w:type="dxa"/>
        <w:jc w:val="left"/>
        <w:tblInd w:w="0" w:type="dxa"/>
        <w:tblLayout w:type="fixed"/>
        <w:tblCellMar>
          <w:top w:w="28" w:type="dxa"/>
          <w:left w:w="28" w:type="dxa"/>
          <w:bottom w:w="28" w:type="dxa"/>
          <w:right w:w="28" w:type="dxa"/>
        </w:tblCellMar>
      </w:tblPr>
      <w:tblGrid>
        <w:gridCol w:w="814"/>
        <w:gridCol w:w="714"/>
        <w:gridCol w:w="722"/>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580,125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347,405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927,530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countries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169,124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563,548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240,893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804,441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1,143,673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588,298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1,731,971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U.S. export sales of $470.0 million for the three months ended March 31, 2025.</w:t>
      </w:r>
    </w:p>
    <w:p>
      <w:pPr>
        <w:pStyle w:val="TextBody"/>
        <w:bidi w:val="0"/>
        <w:spacing w:before="0" w:after="0"/>
        <w:ind w:left="0" w:right="0" w:hanging="720"/>
        <w:jc w:val="both"/>
        <w:rPr/>
      </w:pPr>
      <w:r>
        <w:rPr/>
      </w:r>
    </w:p>
    <w:tbl>
      <w:tblPr>
        <w:tblW w:w="7341" w:type="dxa"/>
        <w:jc w:val="left"/>
        <w:tblInd w:w="0" w:type="dxa"/>
        <w:tblLayout w:type="fixed"/>
        <w:tblCellMar>
          <w:top w:w="28" w:type="dxa"/>
          <w:left w:w="28" w:type="dxa"/>
          <w:bottom w:w="28" w:type="dxa"/>
          <w:right w:w="28" w:type="dxa"/>
        </w:tblCellMar>
      </w:tblPr>
      <w:tblGrid>
        <w:gridCol w:w="814"/>
        <w:gridCol w:w="714"/>
        <w:gridCol w:w="72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Includes U.S. export sales of $473.8 million for the three months ended March 31, 2024.</w:t>
      </w:r>
    </w:p>
    <w:p>
      <w:pPr>
        <w:pStyle w:val="TextBody"/>
        <w:bidi w:val="0"/>
        <w:spacing w:before="36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Major Products and Services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 products and services in the reportable segments were as follows:</w:t>
      </w:r>
    </w:p>
    <w:tbl>
      <w:tblPr>
        <w:tblW w:w="8391" w:type="dxa"/>
        <w:jc w:val="left"/>
        <w:tblInd w:w="0" w:type="dxa"/>
        <w:tblLayout w:type="fixed"/>
        <w:tblCellMar>
          <w:top w:w="28" w:type="dxa"/>
          <w:left w:w="28" w:type="dxa"/>
          <w:bottom w:w="28" w:type="dxa"/>
          <w:right w:w="28" w:type="dxa"/>
        </w:tblCellMar>
      </w:tblPr>
      <w:tblGrid>
        <w:gridCol w:w="1179"/>
        <w:gridCol w:w="1036"/>
        <w:gridCol w:w="1040"/>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776,871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and power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366,802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538,710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Automation and engineered solutions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1,143,673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588,298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1,731,971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346" w:type="dxa"/>
        <w:jc w:val="left"/>
        <w:tblInd w:w="0" w:type="dxa"/>
        <w:tblLayout w:type="fixed"/>
        <w:tblCellMar>
          <w:top w:w="28" w:type="dxa"/>
          <w:left w:w="28" w:type="dxa"/>
          <w:bottom w:w="28" w:type="dxa"/>
          <w:right w:w="28" w:type="dxa"/>
        </w:tblCellMar>
      </w:tblPr>
      <w:tblGrid>
        <w:gridCol w:w="1179"/>
        <w:gridCol w:w="1036"/>
        <w:gridCol w:w="104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and power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Automation and engineered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Timing of Revenue Recognition</w:t>
      </w:r>
    </w:p>
    <w:tbl>
      <w:tblPr>
        <w:tblW w:w="8706" w:type="dxa"/>
        <w:jc w:val="left"/>
        <w:tblInd w:w="0" w:type="dxa"/>
        <w:tblLayout w:type="fixed"/>
        <w:tblCellMar>
          <w:top w:w="28" w:type="dxa"/>
          <w:left w:w="28" w:type="dxa"/>
          <w:bottom w:w="28" w:type="dxa"/>
          <w:right w:w="28" w:type="dxa"/>
        </w:tblCellMar>
      </w:tblPr>
      <w:tblGrid>
        <w:gridCol w:w="1291"/>
        <w:gridCol w:w="1138"/>
        <w:gridCol w:w="1141"/>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906,887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533,408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1,440,295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 transferred over time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54,890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291,676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1,143,673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588,298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1,731,971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61" w:type="dxa"/>
        <w:jc w:val="left"/>
        <w:tblInd w:w="0" w:type="dxa"/>
        <w:tblLayout w:type="fixed"/>
        <w:tblCellMar>
          <w:top w:w="28" w:type="dxa"/>
          <w:left w:w="28" w:type="dxa"/>
          <w:bottom w:w="28" w:type="dxa"/>
          <w:right w:w="28" w:type="dxa"/>
        </w:tblCellMar>
      </w:tblPr>
      <w:tblGrid>
        <w:gridCol w:w="1291"/>
        <w:gridCol w:w="1138"/>
        <w:gridCol w:w="114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 transferred over time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60" w:after="283"/>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pStyle w:val="TextBody"/>
        <w:bidi w:val="0"/>
        <w:spacing w:before="240" w:after="283"/>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accrued product warranty obligation were as follows:</w:t>
      </w:r>
    </w:p>
    <w:tbl>
      <w:tblPr>
        <w:tblW w:w="8768" w:type="dxa"/>
        <w:jc w:val="left"/>
        <w:tblInd w:w="0" w:type="dxa"/>
        <w:tblLayout w:type="fixed"/>
        <w:tblCellMar>
          <w:top w:w="28" w:type="dxa"/>
          <w:left w:w="28" w:type="dxa"/>
          <w:bottom w:w="28" w:type="dxa"/>
          <w:right w:w="28" w:type="dxa"/>
        </w:tblCellMar>
      </w:tblPr>
      <w:tblGrid>
        <w:gridCol w:w="2281"/>
        <w:gridCol w:w="2005"/>
        <w:gridCol w:w="2013"/>
        <w:gridCol w:w="211"/>
        <w:gridCol w:w="736"/>
        <w:gridCol w:w="109"/>
        <w:gridCol w:w="109"/>
        <w:gridCol w:w="109"/>
        <w:gridCol w:w="109"/>
        <w:gridCol w:w="211"/>
        <w:gridCol w:w="721"/>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accruals related to acquired businesses and other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40,221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$996.5 million of accounts receivable, net of allowances of $13.3 million. At December 31, 2024, the Company had $948.8 million of accounts receivable, net of allowance of $13.0 million. Changes in the allowance were not material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Earnings Per Share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tbl>
      <w:tblPr>
        <w:tblW w:w="6365" w:type="dxa"/>
        <w:jc w:val="left"/>
        <w:tblInd w:w="0" w:type="dxa"/>
        <w:tblLayout w:type="fixed"/>
        <w:tblCellMar>
          <w:top w:w="28" w:type="dxa"/>
          <w:left w:w="28" w:type="dxa"/>
          <w:bottom w:w="28" w:type="dxa"/>
          <w:right w:w="28" w:type="dxa"/>
        </w:tblCellMar>
      </w:tblPr>
      <w:tblGrid>
        <w:gridCol w:w="1037"/>
        <w:gridCol w:w="911"/>
        <w:gridCol w:w="917"/>
        <w:gridCol w:w="584"/>
        <w:gridCol w:w="266"/>
        <w:gridCol w:w="266"/>
        <w:gridCol w:w="266"/>
        <w:gridCol w:w="266"/>
        <w:gridCol w:w="266"/>
        <w:gridCol w:w="573"/>
        <w:gridCol w:w="266"/>
        <w:gridCol w:w="266"/>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230,668</w:t>
            </w: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231,097 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plans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874</w:t>
            </w: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231,542</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232,035 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 of diluted earnings per share for the three months ended March 31, 2025 and 2024 excluded an immaterial number of stock options because the exercise prices of these stock options exceeded the average market price of the Company’s common shares, and the effect of their inclusion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measure assets and liabilities at fair value. A financial asset or liability’s classification within the hierarchy is determined based on the lowest level input that is significant to the fair value measurement.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assets that are measured at fair value on a recurring basis, consistent with the fair value hierarchy, at March 31, 2025 and December 31, 2024:</w:t>
      </w:r>
    </w:p>
    <w:tbl>
      <w:tblPr>
        <w:tblW w:w="6540" w:type="dxa"/>
        <w:jc w:val="left"/>
        <w:tblInd w:w="0" w:type="dxa"/>
        <w:tblLayout w:type="fixed"/>
        <w:tblCellMar>
          <w:top w:w="28" w:type="dxa"/>
          <w:left w:w="28" w:type="dxa"/>
          <w:bottom w:w="28" w:type="dxa"/>
          <w:right w:w="28" w:type="dxa"/>
        </w:tblCellMar>
      </w:tblPr>
      <w:tblGrid>
        <w:gridCol w:w="782"/>
        <w:gridCol w:w="688"/>
        <w:gridCol w:w="690"/>
        <w:gridCol w:w="211"/>
        <w:gridCol w:w="631"/>
        <w:gridCol w:w="109"/>
        <w:gridCol w:w="109"/>
        <w:gridCol w:w="109"/>
        <w:gridCol w:w="109"/>
        <w:gridCol w:w="211"/>
        <w:gridCol w:w="631"/>
        <w:gridCol w:w="109"/>
        <w:gridCol w:w="109"/>
        <w:gridCol w:w="109"/>
        <w:gridCol w:w="109"/>
        <w:gridCol w:w="211"/>
        <w:gridCol w:w="406"/>
        <w:gridCol w:w="109"/>
        <w:gridCol w:w="109"/>
        <w:gridCol w:w="109"/>
        <w:gridCol w:w="109"/>
        <w:gridCol w:w="211"/>
        <w:gridCol w:w="40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6510" w:type="dxa"/>
        <w:jc w:val="left"/>
        <w:tblInd w:w="0" w:type="dxa"/>
        <w:tblLayout w:type="fixed"/>
        <w:tblCellMar>
          <w:top w:w="28" w:type="dxa"/>
          <w:left w:w="28" w:type="dxa"/>
          <w:bottom w:w="28" w:type="dxa"/>
          <w:right w:w="28" w:type="dxa"/>
        </w:tblCellMar>
      </w:tblPr>
      <w:tblGrid>
        <w:gridCol w:w="782"/>
        <w:gridCol w:w="688"/>
        <w:gridCol w:w="690"/>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mutual fund investments is based on quoted market prices. The mutual fund investments are shown as a component of investments and other assets on the consolidated balance sheet.</w:t>
      </w:r>
    </w:p>
    <w:p>
      <w:pPr>
        <w:pStyle w:val="TextBody"/>
        <w:bidi w:val="0"/>
        <w:spacing w:lineRule="auto" w:line="288" w:before="24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gains and losses on the investments noted above were not significant. No transfers between level 1 and level 2 investments occurred during the three months ended March 31, 2025 and 2024.</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mutual fund investments are recorded at fair value at March 31, 2025 and December 31, 2024 in the accompanying consolidated balance sheet.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estimated fair values of the Company’s financial instrument liabilities, for which fair value is measured for disclosure purposes only, compared to the recorded amounts at March 31, 2025 and December 31, 2024:</w:t>
      </w:r>
    </w:p>
    <w:tbl>
      <w:tblPr>
        <w:tblW w:w="10110" w:type="dxa"/>
        <w:jc w:val="left"/>
        <w:tblInd w:w="0" w:type="dxa"/>
        <w:tblLayout w:type="fixed"/>
        <w:tblCellMar>
          <w:top w:w="28" w:type="dxa"/>
          <w:left w:w="28" w:type="dxa"/>
          <w:bottom w:w="28" w:type="dxa"/>
          <w:right w:w="28" w:type="dxa"/>
        </w:tblCellMar>
      </w:tblPr>
      <w:tblGrid>
        <w:gridCol w:w="1302"/>
        <w:gridCol w:w="1147"/>
        <w:gridCol w:w="1151"/>
        <w:gridCol w:w="211"/>
        <w:gridCol w:w="1051"/>
        <w:gridCol w:w="109"/>
        <w:gridCol w:w="109"/>
        <w:gridCol w:w="109"/>
        <w:gridCol w:w="109"/>
        <w:gridCol w:w="211"/>
        <w:gridCol w:w="1051"/>
        <w:gridCol w:w="109"/>
        <w:gridCol w:w="109"/>
        <w:gridCol w:w="109"/>
        <w:gridCol w:w="109"/>
        <w:gridCol w:w="211"/>
        <w:gridCol w:w="1051"/>
        <w:gridCol w:w="109"/>
        <w:gridCol w:w="109"/>
        <w:gridCol w:w="109"/>
        <w:gridCol w:w="109"/>
        <w:gridCol w:w="211"/>
        <w:gridCol w:w="105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Recorded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Recorded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(1,885,791)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(1,821,504)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6.    Hedging Activities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certain foreign-currency-denominated long-term borrowings as hedges of the net investment in certain foreign operations. As of March 31, 2025,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the Company had $290.1 million of British-pound-denominated loans and $620.7 million in Euro-denominated loans, which were designated as a hedge against the net investment in British pound and Euro functional currency foreign subsidiaries. As a result of the British-pound- and Euro-denominated loans designated and 100% effective as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hedges, $33.9 million of pre-tax currency remeasurement losses have been included in the foreign currency translation component of other comprehensive income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7.    Inventories, net</w:t>
      </w:r>
    </w:p>
    <w:tbl>
      <w:tblPr>
        <w:tblW w:w="5889" w:type="dxa"/>
        <w:jc w:val="left"/>
        <w:tblInd w:w="0" w:type="dxa"/>
        <w:tblLayout w:type="fixed"/>
        <w:tblCellMar>
          <w:top w:w="28" w:type="dxa"/>
          <w:left w:w="28" w:type="dxa"/>
          <w:bottom w:w="28" w:type="dxa"/>
          <w:right w:w="28" w:type="dxa"/>
        </w:tblCellMar>
      </w:tblPr>
      <w:tblGrid>
        <w:gridCol w:w="1053"/>
        <w:gridCol w:w="927"/>
        <w:gridCol w:w="930"/>
        <w:gridCol w:w="211"/>
        <w:gridCol w:w="991"/>
        <w:gridCol w:w="109"/>
        <w:gridCol w:w="109"/>
        <w:gridCol w:w="109"/>
        <w:gridCol w:w="109"/>
        <w:gridCol w:w="211"/>
        <w:gridCol w:w="97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and parts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purchased parts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791,671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1,069,527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8.    Leases and Other Commitments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commitments under operating leases for certain facilities, vehicles and equipment used in its operations. Cash used in operations for operating leases was not materially different from operating lease expense for the three months ended March 31, 2025 and 2024. The Company's leases have a weighted average remaining lease term of approximately seven years. Certain lease agreements contain provisions for future rent increases.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4660" w:type="dxa"/>
        <w:jc w:val="left"/>
        <w:tblInd w:w="0" w:type="dxa"/>
        <w:tblLayout w:type="fixed"/>
        <w:tblCellMar>
          <w:top w:w="28" w:type="dxa"/>
          <w:left w:w="28" w:type="dxa"/>
          <w:bottom w:w="28" w:type="dxa"/>
          <w:right w:w="28" w:type="dxa"/>
        </w:tblCellMar>
      </w:tblPr>
      <w:tblGrid>
        <w:gridCol w:w="635"/>
        <w:gridCol w:w="558"/>
        <w:gridCol w:w="562"/>
        <w:gridCol w:w="211"/>
        <w:gridCol w:w="736"/>
        <w:gridCol w:w="109"/>
        <w:gridCol w:w="109"/>
        <w:gridCol w:w="109"/>
        <w:gridCol w:w="109"/>
        <w:gridCol w:w="211"/>
        <w:gridCol w:w="721"/>
        <w:gridCol w:w="10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20,275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23,620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7478" w:type="dxa"/>
        <w:jc w:val="left"/>
        <w:tblInd w:w="0" w:type="dxa"/>
        <w:tblLayout w:type="fixed"/>
        <w:tblCellMar>
          <w:top w:w="28" w:type="dxa"/>
          <w:left w:w="28" w:type="dxa"/>
          <w:bottom w:w="28" w:type="dxa"/>
          <w:right w:w="28" w:type="dxa"/>
        </w:tblCellMar>
      </w:tblPr>
      <w:tblGrid>
        <w:gridCol w:w="1734"/>
        <w:gridCol w:w="1529"/>
        <w:gridCol w:w="1536"/>
        <w:gridCol w:w="211"/>
        <w:gridCol w:w="841"/>
        <w:gridCol w:w="109"/>
        <w:gridCol w:w="109"/>
        <w:gridCol w:w="109"/>
        <w:gridCol w:w="109"/>
        <w:gridCol w:w="211"/>
        <w:gridCol w:w="82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228,180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Liabilities and other</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56,415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Other long-term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182,226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238,641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March 31, 2025 were as follows:</w:t>
      </w:r>
    </w:p>
    <w:tbl>
      <w:tblPr>
        <w:tblW w:w="3945" w:type="dxa"/>
        <w:jc w:val="left"/>
        <w:tblInd w:w="0" w:type="dxa"/>
        <w:tblLayout w:type="fixed"/>
        <w:tblCellMar>
          <w:top w:w="28" w:type="dxa"/>
          <w:left w:w="28" w:type="dxa"/>
          <w:bottom w:w="28" w:type="dxa"/>
          <w:right w:w="28" w:type="dxa"/>
        </w:tblCellMar>
      </w:tblPr>
      <w:tblGrid>
        <w:gridCol w:w="918"/>
        <w:gridCol w:w="805"/>
        <w:gridCol w:w="811"/>
        <w:gridCol w:w="246"/>
        <w:gridCol w:w="983"/>
        <w:gridCol w:w="182"/>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Lease Liability Maturity Analysis</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46,907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2026</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54,987</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2027</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42,168</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2028</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30,841</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2029</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24,671</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81,520</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281,094</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42,453</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238,641</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significant leases that have not yet commenced.</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its business, the Company issues guarantees, stand-by letters of credit and surety bonds to provide financial or performance assurance to third parties on behalf of its consolidated subsidiaries to support or enhance the subsidiary's stand-alone creditworthiness. At March 31, 2025, the maximum amount of future payment obligations relative to these various guarantees was $279.1 million and the outstanding liability under certain of those guarantees was $180.2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Acquisitions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spent $103.2 million in cash, net of cash acquired, to acquire Kern Microtechnik ("Kern"), a leading manufacturer of high-precision machining and optical inspection solutions supporting a wide range of applications within the medical, semiconductor, research, and space markets. Kern has annual sales of approximately 50 million Euros. Kern is part of EIG.</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allocation of the purchase price for the net assets of the Kern acquisition based on the estimated fair values at acquisition (in millions):</w:t>
      </w:r>
    </w:p>
    <w:tbl>
      <w:tblPr>
        <w:tblW w:w="6772" w:type="dxa"/>
        <w:jc w:val="left"/>
        <w:tblInd w:w="0" w:type="dxa"/>
        <w:tblLayout w:type="fixed"/>
        <w:tblCellMar>
          <w:top w:w="28" w:type="dxa"/>
          <w:left w:w="28" w:type="dxa"/>
          <w:bottom w:w="28" w:type="dxa"/>
          <w:right w:w="28" w:type="dxa"/>
        </w:tblCellMar>
      </w:tblPr>
      <w:tblGrid>
        <w:gridCol w:w="1934"/>
        <w:gridCol w:w="1697"/>
        <w:gridCol w:w="1709"/>
        <w:gridCol w:w="109"/>
        <w:gridCol w:w="109"/>
        <w:gridCol w:w="109"/>
        <w:gridCol w:w="109"/>
        <w:gridCol w:w="211"/>
        <w:gridCol w:w="631"/>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working capital and other</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Acquisition date fair value of contingent payment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(1)Includes $6.3 million in accounts receivable, whose fair value, contractual cash flows and expected cash flows are approximately equal.</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allocated to goodwill is reflective of the benefits the Company expects to realize from the acquisition. Kern's design and engineering capabilities complement the Company's existing ultra precision technologies business.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purchase price allocated to other intangible assets of $59.6 million consists of $9.6 million of indefinite-lived intangible trade names, which are not subject to amortization. The remaining $50.0 million of other intangible assets consists of $40.4 million of customer relationships, which are being amortized over a period of 17 years, and $9.6 million of purchased technology, which is being amortized over a period of 17 years. Amortization expense for each of the next five years for the 2025 acquisition is expected to approximate $3 million per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Kern acquisition includes an $8.9 million estimated fair value contingent payment due upon Kern achieving certain cumulative revenue and EBITDA targets over the period January 1, 2025 to January 1, 2027. The contingent liability was based on a probabilistic approach using level 3 inputs. At March 31, 2025, there was no change to the estimated fair value of the contingent payment liability.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Kern acquisition had an immaterial impact on reported net sales, net income, and diluted earnings per share for the three months ended March 31, 2025. Had the acquisition been made at the beginning of 2025 or 2024, pro forma net sales, net income, and diluted earnings per share for the three months ended March 31, 2025 and 2024, would not have been materially different than the amounts reported.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finalized its measurements of certain tangible and intangible assets and liabilities or the accounting for income taxes for its October 2024 acquisition of Virtek Vision International or its January 2025 acquisition of Kern.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    Goodwill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by segment were as follows:</w:t>
      </w:r>
    </w:p>
    <w:tbl>
      <w:tblPr>
        <w:tblW w:w="7991" w:type="dxa"/>
        <w:jc w:val="left"/>
        <w:tblInd w:w="0" w:type="dxa"/>
        <w:tblLayout w:type="fixed"/>
        <w:tblCellMar>
          <w:top w:w="28" w:type="dxa"/>
          <w:left w:w="28" w:type="dxa"/>
          <w:bottom w:w="28" w:type="dxa"/>
          <w:right w:w="28" w:type="dxa"/>
        </w:tblCellMar>
      </w:tblPr>
      <w:tblGrid>
        <w:gridCol w:w="1445"/>
        <w:gridCol w:w="1268"/>
        <w:gridCol w:w="1276"/>
        <w:gridCol w:w="211"/>
        <w:gridCol w:w="781"/>
        <w:gridCol w:w="109"/>
        <w:gridCol w:w="109"/>
        <w:gridCol w:w="109"/>
        <w:gridCol w:w="109"/>
        <w:gridCol w:w="211"/>
        <w:gridCol w:w="781"/>
        <w:gridCol w:w="109"/>
        <w:gridCol w:w="109"/>
        <w:gridCol w:w="109"/>
        <w:gridCol w:w="109"/>
        <w:gridCol w:w="211"/>
        <w:gridCol w:w="78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from 2025 acquisitions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allocation adjustments and 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6,631.3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2025, the Company had gross uncertain tax benefits of $212.1 million, of which $168.2 million, if recognized, would impact the effective tax rate.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liability for uncertain tax positions (in millions):</w:t>
      </w:r>
    </w:p>
    <w:tbl>
      <w:tblPr>
        <w:tblW w:w="3590" w:type="dxa"/>
        <w:jc w:val="left"/>
        <w:tblInd w:w="0" w:type="dxa"/>
        <w:tblLayout w:type="fixed"/>
        <w:tblCellMar>
          <w:top w:w="28" w:type="dxa"/>
          <w:left w:w="28" w:type="dxa"/>
          <w:bottom w:w="28" w:type="dxa"/>
          <w:right w:w="28" w:type="dxa"/>
        </w:tblCellMar>
      </w:tblPr>
      <w:tblGrid>
        <w:gridCol w:w="939"/>
        <w:gridCol w:w="825"/>
        <w:gridCol w:w="830"/>
        <w:gridCol w:w="211"/>
        <w:gridCol w:w="63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months ended March 31, 2025 and 2024 were not significant.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March 31, 2025 was 19.0%, compared with 18.5% for the three months ended March 31, 2024. The higher tax rate is primarily due to higher state income taxes and U.S. taxes on foreign earnings. </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Debt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2025, the Company established a commercial paper program under which it may issue short-term, unsecured commercial paper notes. Amounts available under the commercial paper program may be borrowed, repaid and re-borrowed, with the aggregate face or principal amount of the notes outstanding under the commercial paper program at any time not to exceed $2.3 billion. The notes will have maturities of up to 364 days from the date of issue. The Company intends the commercial paper program to provide additional financing flexibility for various purposes including acquisitions.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expects that outstanding indebtedness of the Company under both the revolving credit facility and the commercial paper program will not exceed $2.3 billion at any time. At March 31, 2025, there were no borrowings outstanding under the commercial paper program.</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13.    Share-Based Compensation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share-based compensation plans are described in Note 11, Share-Based Compensation, to the consolidated financial statements in Part II, Item 8, filed on the Company’s Annual Report on Form 10-K for the year ended December 31, 2024.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Based Compensation Expense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was as follows:</w:t>
      </w:r>
    </w:p>
    <w:tbl>
      <w:tblPr>
        <w:tblW w:w="6174" w:type="dxa"/>
        <w:jc w:val="left"/>
        <w:tblInd w:w="0" w:type="dxa"/>
        <w:tblLayout w:type="fixed"/>
        <w:tblCellMar>
          <w:top w:w="28" w:type="dxa"/>
          <w:left w:w="28" w:type="dxa"/>
          <w:bottom w:w="28" w:type="dxa"/>
          <w:right w:w="28" w:type="dxa"/>
        </w:tblCellMar>
      </w:tblPr>
      <w:tblGrid>
        <w:gridCol w:w="1261"/>
        <w:gridCol w:w="1104"/>
        <w:gridCol w:w="1114"/>
        <w:gridCol w:w="211"/>
        <w:gridCol w:w="631"/>
        <w:gridCol w:w="109"/>
        <w:gridCol w:w="109"/>
        <w:gridCol w:w="109"/>
        <w:gridCol w:w="109"/>
        <w:gridCol w:w="211"/>
        <w:gridCol w:w="616"/>
        <w:gridCol w:w="109"/>
        <w:gridCol w:w="109"/>
        <w:gridCol w:w="109"/>
        <w:gridCol w:w="109"/>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Pre-tax share-based compensation expense is included in the consolidated statement of income in either Cost of sales or Selling, general and administrative expenses, depending on where the recipient’s cash compensation is reported.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tbl>
      <w:tblPr>
        <w:tblW w:w="9161" w:type="dxa"/>
        <w:jc w:val="left"/>
        <w:tblInd w:w="0" w:type="dxa"/>
        <w:tblLayout w:type="fixed"/>
        <w:tblCellMar>
          <w:top w:w="28" w:type="dxa"/>
          <w:left w:w="28" w:type="dxa"/>
          <w:bottom w:w="28" w:type="dxa"/>
          <w:right w:w="28" w:type="dxa"/>
        </w:tblCellMar>
      </w:tblPr>
      <w:tblGrid>
        <w:gridCol w:w="1734"/>
        <w:gridCol w:w="1521"/>
        <w:gridCol w:w="1530"/>
        <w:gridCol w:w="296"/>
        <w:gridCol w:w="886"/>
        <w:gridCol w:w="422"/>
        <w:gridCol w:w="109"/>
        <w:gridCol w:w="109"/>
        <w:gridCol w:w="109"/>
        <w:gridCol w:w="451"/>
        <w:gridCol w:w="1318"/>
        <w:gridCol w:w="67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22.7</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w:t>
            </w: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0.70</w:t>
            </w: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Black-Scholes-Merton fair value per stock option granted</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46.21</w:t>
            </w:r>
            <w:r>
              <w:rPr>
                <w:color w:val="000000"/>
              </w:rPr>
              <w:t>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both"/>
        <w:rPr/>
      </w:pPr>
      <w:r>
        <w:rPr/>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stock option activity and related information:</w:t>
      </w:r>
    </w:p>
    <w:tbl>
      <w:tblPr>
        <w:tblW w:w="8126" w:type="dxa"/>
        <w:jc w:val="left"/>
        <w:tblInd w:w="0" w:type="dxa"/>
        <w:tblLayout w:type="fixed"/>
        <w:tblCellMar>
          <w:top w:w="28" w:type="dxa"/>
          <w:left w:w="28" w:type="dxa"/>
          <w:bottom w:w="28" w:type="dxa"/>
          <w:right w:w="28" w:type="dxa"/>
        </w:tblCellMar>
      </w:tblPr>
      <w:tblGrid>
        <w:gridCol w:w="1065"/>
        <w:gridCol w:w="935"/>
        <w:gridCol w:w="940"/>
        <w:gridCol w:w="378"/>
        <w:gridCol w:w="378"/>
        <w:gridCol w:w="383"/>
        <w:gridCol w:w="109"/>
        <w:gridCol w:w="109"/>
        <w:gridCol w:w="109"/>
        <w:gridCol w:w="211"/>
        <w:gridCol w:w="736"/>
        <w:gridCol w:w="109"/>
        <w:gridCol w:w="109"/>
        <w:gridCol w:w="109"/>
        <w:gridCol w:w="109"/>
        <w:gridCol w:w="330"/>
        <w:gridCol w:w="330"/>
        <w:gridCol w:w="331"/>
        <w:gridCol w:w="109"/>
        <w:gridCol w:w="109"/>
        <w:gridCol w:w="109"/>
        <w:gridCol w:w="216"/>
        <w:gridCol w:w="646"/>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2,340</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2025</w:t>
            </w:r>
          </w:p>
        </w:tc>
        <w:tc>
          <w:tcPr>
            <w:tcW w:w="7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1,805</w:t>
            </w:r>
            <w:r>
              <w:rPr>
                <w:color w:val="000000"/>
              </w:rPr>
              <w:t> </w:t>
            </w:r>
          </w:p>
        </w:tc>
        <w:tc>
          <w:tcPr>
            <w:tcW w:w="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107.58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117.2</w:t>
            </w: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exercised during the three months ended March 31, 2025 was $4.7 million. The total fair value of stock options vested during the three months ended March 31, 2025 was $13.7 million. As of March 31, 2025, there was approximately $23.6 million of expected future pre-tax compensation expense related to the 0.5 million non-vested stock options outstanding, which is expected to be recognized over a weighted average period of less than two years.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non-vested restricted stock activity and related information:</w:t>
      </w:r>
    </w:p>
    <w:tbl>
      <w:tblPr>
        <w:tblW w:w="7727" w:type="dxa"/>
        <w:jc w:val="left"/>
        <w:tblInd w:w="0" w:type="dxa"/>
        <w:tblLayout w:type="fixed"/>
        <w:tblCellMar>
          <w:top w:w="28" w:type="dxa"/>
          <w:left w:w="28" w:type="dxa"/>
          <w:bottom w:w="28" w:type="dxa"/>
          <w:right w:w="28" w:type="dxa"/>
        </w:tblCellMar>
      </w:tblPr>
      <w:tblGrid>
        <w:gridCol w:w="1869"/>
        <w:gridCol w:w="1643"/>
        <w:gridCol w:w="1648"/>
        <w:gridCol w:w="378"/>
        <w:gridCol w:w="378"/>
        <w:gridCol w:w="383"/>
        <w:gridCol w:w="109"/>
        <w:gridCol w:w="109"/>
        <w:gridCol w:w="109"/>
        <w:gridCol w:w="211"/>
        <w:gridCol w:w="73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Grant Date</w:t>
              <w:br/>
              <w:t>Fair Value</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December 31,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161.10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March 31, 2025</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299</w:t>
            </w:r>
            <w:r>
              <w:rPr>
                <w:color w:val="000000"/>
              </w:rPr>
              <w:t>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vested during the three months ended March 31, 2025 was $19.8 million. As of March 31, 2025, there was approximately $46.8 million of expected future pre-tax compensation expense related to the 0.3 million non-vested restricted shares outstanding, which is expected to be recognized over a weighted average period of approximately two years.</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non-vested performance restricted stock activity and related information:</w:t>
      </w:r>
    </w:p>
    <w:tbl>
      <w:tblPr>
        <w:tblW w:w="8776" w:type="dxa"/>
        <w:jc w:val="left"/>
        <w:tblInd w:w="0" w:type="dxa"/>
        <w:tblLayout w:type="fixed"/>
        <w:tblCellMar>
          <w:top w:w="28" w:type="dxa"/>
          <w:left w:w="28" w:type="dxa"/>
          <w:bottom w:w="28" w:type="dxa"/>
          <w:right w:w="28" w:type="dxa"/>
        </w:tblCellMar>
      </w:tblPr>
      <w:tblGrid>
        <w:gridCol w:w="2250"/>
        <w:gridCol w:w="1974"/>
        <w:gridCol w:w="1985"/>
        <w:gridCol w:w="378"/>
        <w:gridCol w:w="378"/>
        <w:gridCol w:w="383"/>
        <w:gridCol w:w="109"/>
        <w:gridCol w:w="109"/>
        <w:gridCol w:w="109"/>
        <w:gridCol w:w="211"/>
        <w:gridCol w:w="736"/>
        <w:gridCol w:w="154"/>
      </w:tblGrid>
      <w:tr>
        <w:trPr/>
        <w:tc>
          <w:tcPr>
            <w:tcW w:w="225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Grant Date</w:t>
              <w:br/>
              <w:t>Fair Value</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restricted stock outstanding at December 31, 2024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176.08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Performance assumption change </w:t>
            </w:r>
            <w:r>
              <w:rPr>
                <w:rFonts w:ascii="Times New Roman;sans-serif" w:hAnsi="Times New Roman;sans-serif"/>
                <w:b w:val="false"/>
                <w:color w:val="000000"/>
                <w:sz w:val="13"/>
              </w:rPr>
              <w:t>1</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134.69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134.69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153.38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restricted stock outstanding at March 31, 2025</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243</w:t>
            </w:r>
            <w:r>
              <w:rPr>
                <w:color w:val="000000"/>
              </w:rPr>
              <w:t>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Reflects the number of PRSUs above target levels based on performance metrics.</w:t>
      </w:r>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approximately $21.4 million of expected future pre-tax compensation expense related to the 0.2 million non-vested restricted shares outstanding, which is expected to be recognized over a weighted average period of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14.    Retirement and Pension Plans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pension benefit expense (income) were as follows:</w:t>
      </w:r>
    </w:p>
    <w:tbl>
      <w:tblPr>
        <w:tblW w:w="6534" w:type="dxa"/>
        <w:jc w:val="left"/>
        <w:tblInd w:w="0" w:type="dxa"/>
        <w:tblLayout w:type="fixed"/>
        <w:tblCellMar>
          <w:top w:w="28" w:type="dxa"/>
          <w:left w:w="28" w:type="dxa"/>
          <w:bottom w:w="28" w:type="dxa"/>
          <w:right w:w="28" w:type="dxa"/>
        </w:tblCellMar>
      </w:tblPr>
      <w:tblGrid>
        <w:gridCol w:w="1313"/>
        <w:gridCol w:w="1155"/>
        <w:gridCol w:w="1161"/>
        <w:gridCol w:w="211"/>
        <w:gridCol w:w="736"/>
        <w:gridCol w:w="109"/>
        <w:gridCol w:w="109"/>
        <w:gridCol w:w="109"/>
        <w:gridCol w:w="109"/>
        <w:gridCol w:w="211"/>
        <w:gridCol w:w="721"/>
        <w:gridCol w:w="109"/>
        <w:gridCol w:w="109"/>
        <w:gridCol w:w="109"/>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Defined benefit plans: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plans: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plans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plans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pension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10,980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defined benefit plans, the net periodic benefit income, other than the service cost component, is included in “Other (expense) income, net” in the consolidated statement of income.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contributions to the Company’s defined benefit pension plans were $1.5 million. The Company’s current estimate of 2025 contributions to its worldwide defined benefit pension plans is in line with the range disclosed in Note 12 of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36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15.    Contingencies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Asbestos Litigation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historic processes in the manufacture of products have resulted in environmentally hazardous waste by-products as defined by federal and state laws and regulations. At March 31, 2025, the Company is named a Potentially Responsible Party (“PRP”) at 13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environmental reserves at March 31, 2025 and December 31, 2024 were $29.7 million and $29.8 million, respectively, for both non-owned and owned sites. For the three months ended March 31, 2025, the Company recorded $1.7 million in reserves. Additionally, the Company spent $1.8 million on environmental matters for the three months ended March 31, 2025.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16.    Reportable Segments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Electronic Instruments Group (“EIG”) and Electromechanical Group (“EMG”). The Company identifies its operating segments for segment reporting purposes primarily on the basis of product type, production processes, distribution methods and management organizations.</w:t>
      </w:r>
    </w:p>
    <w:p>
      <w:pPr>
        <w:pStyle w:val="TextBody"/>
        <w:bidi w:val="0"/>
        <w:spacing w:before="12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Reportable Segment Financial Information (in thousands):</w:t>
      </w:r>
    </w:p>
    <w:tbl>
      <w:tblPr>
        <w:tblW w:w="10205" w:type="dxa"/>
        <w:jc w:val="left"/>
        <w:tblInd w:w="0" w:type="dxa"/>
        <w:tblLayout w:type="fixed"/>
        <w:tblCellMar>
          <w:top w:w="28" w:type="dxa"/>
          <w:left w:w="28" w:type="dxa"/>
          <w:bottom w:w="28" w:type="dxa"/>
          <w:right w:w="28" w:type="dxa"/>
        </w:tblCellMar>
      </w:tblPr>
      <w:tblGrid>
        <w:gridCol w:w="1433"/>
        <w:gridCol w:w="1237"/>
        <w:gridCol w:w="1242"/>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20"/>
        <w:gridCol w:w="1146"/>
        <w:gridCol w:w="163"/>
      </w:tblGrid>
      <w:tr>
        <w:trPr/>
        <w:tc>
          <w:tcPr>
            <w:tcW w:w="14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Consolidated</w:t>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588,298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1,143,673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1,731,971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437,788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669,183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1,106,971</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142,232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354,050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482,768</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G&amp;A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27,939</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128,718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354,050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454,829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(18,993)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128,718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354,050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434,222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35,586</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70,781</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62,895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106,367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Research, Development &amp; Engineering costs </w:t>
            </w:r>
            <w:r>
              <w:rPr>
                <w:rFonts w:ascii="Times New Roman;sans-serif" w:hAnsi="Times New Roman;sans-serif"/>
                <w:b w:val="false"/>
                <w:color w:val="000000"/>
                <w:sz w:val="13"/>
              </w:rPr>
              <w:t>(1)</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73,622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94,865</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4,807,148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9,459,042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610,906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14,877,096</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23,069</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cost of sales.</w:t>
      </w:r>
    </w:p>
    <w:tbl>
      <w:tblPr>
        <w:tblW w:w="10205" w:type="dxa"/>
        <w:jc w:val="left"/>
        <w:tblInd w:w="0" w:type="dxa"/>
        <w:tblLayout w:type="fixed"/>
        <w:tblCellMar>
          <w:top w:w="28" w:type="dxa"/>
          <w:left w:w="28" w:type="dxa"/>
          <w:bottom w:w="28" w:type="dxa"/>
          <w:right w:w="28" w:type="dxa"/>
        </w:tblCellMar>
      </w:tblPr>
      <w:tblGrid>
        <w:gridCol w:w="1442"/>
        <w:gridCol w:w="1254"/>
        <w:gridCol w:w="1260"/>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22"/>
        <w:gridCol w:w="1142"/>
        <w:gridCol w:w="166"/>
      </w:tblGrid>
      <w:tr>
        <w:trPr/>
        <w:tc>
          <w:tcPr>
            <w:tcW w:w="144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Consolidated</w:t>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sales </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443,631 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G&amp;A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417,216 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381,329 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Research, Development &amp; Engineering costs </w:t>
            </w:r>
            <w:r>
              <w:rPr>
                <w:rFonts w:ascii="Times New Roman;sans-serif" w:hAnsi="Times New Roman;sans-serif"/>
                <w:b w:val="false"/>
                <w:color w:val="000000"/>
                <w:sz w:val="13"/>
              </w:rPr>
              <w:t>(2)</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14,864,981 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(1)Includes $29.2 million in EMG for Paragon integration costs.</w:t>
      </w:r>
    </w:p>
    <w:p>
      <w:pPr>
        <w:pStyle w:val="TextBody"/>
        <w:bidi w:val="0"/>
        <w:spacing w:lineRule="auto" w:line="288" w:before="6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Trends</w:t>
      </w:r>
    </w:p>
    <w:p>
      <w:pPr>
        <w:pStyle w:val="TextBody"/>
        <w:bidi w:val="0"/>
        <w:spacing w:lineRule="auto" w:line="276"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recent months, the United States government announced additional tariffs and trade restrictions on goods imported into the U.S. from various nations. In response, some nations countered with or are considering reciprocal tariffs and other actions. The U.S. government is negotiating with several of these nations regarding the tariffs, however, the outcome of these negotiations is still uncertain. With this uncertainty, the likelihood of project delays and slowing demand has also increased, particularly within China. As the situation continues to evolve, we cannot be certain of the outcome, which could adversely impact demand for our products, costs, inflation, customers, suppliers, and the overall global economy. We continue to monitor and analyze the impacts of the tariffs and will implement appropriate actions as necessary to attempt to mitigate their effects.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2025, the Company posted strong orders, operating income, and operating margins. Contributions from the acquisitions of Virtek Vision International ("Virtek") in October 2024 and Kern Microtechnik ("Kern") in January 2025 as well as our Operational Excellence initiatives had a positive impact on the first quarter of 2025 results. </w:t>
      </w:r>
    </w:p>
    <w:p>
      <w:pPr>
        <w:pStyle w:val="TextBody"/>
        <w:bidi w:val="0"/>
        <w:spacing w:lineRule="auto" w:line="276"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first quarter of 2025 compared with the first quarter of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sales for the first quarter of 2025 were $1,732.0 million, a decrease of $4.2 million or 0.2%, compared with net sales of $1,736.2 million for the first quarter of 2024. The decrease in net sales for the first quarter of 2025 was due to a 1% organic sales decline, partially offset by a 1% increase from acquisitions.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international sales for the first quarter of 2025 were $804.4 million or 46.4% of net sales, a decrease of $19.0 million or 2.3%, compared with international sales of $823.4 million or 47.4% of net sales for the first quarter of 2024. The decrease in international sales was primarily driven by lower demand in Europe and Asia.</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Orders for the first quarter of 2025 were $1,797.8 million, an increase of $135.1 million or 8.1%, compared with $1,662.7 million for the first quarter of 2024. The increase in orders for the first quarter of 2025 was due to a 3% organic order increase, a 3% increase from acquisitions, as well as a 2% favorable effect of foreign currency translation. The Company's backlog of unfilled orders at March 31, 2025 was $3,469.1 million, an increase of $65.9 million or 1.9% compared with</w:t>
      </w:r>
      <w:r>
        <w:rPr>
          <w:color w:val="000000"/>
          <w:shd w:fill="FFFFFF" w:val="clear"/>
        </w:rPr>
        <w:t xml:space="preserve"> </w:t>
      </w:r>
      <w:r>
        <w:rPr>
          <w:rFonts w:ascii="Times New Roman;sans-serif" w:hAnsi="Times New Roman;sans-serif"/>
          <w:b w:val="false"/>
          <w:color w:val="000000"/>
          <w:sz w:val="20"/>
          <w:shd w:fill="FFFFFF" w:val="clear"/>
        </w:rPr>
        <w:t>$3,403.2 million</w:t>
      </w:r>
      <w:r>
        <w:rPr>
          <w:color w:val="000000"/>
        </w:rPr>
        <w:t xml:space="preserve"> </w:t>
      </w:r>
      <w:r>
        <w:rPr>
          <w:rFonts w:ascii="Times New Roman;sans-serif" w:hAnsi="Times New Roman;sans-serif"/>
          <w:b w:val="false"/>
          <w:color w:val="000000"/>
          <w:sz w:val="20"/>
        </w:rPr>
        <w:t>at December 31,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for the first quarter of 2025 was $1,107.0 million or 63.9% of net sales, a decrease of $37.7 million or 3.3%, compared with $1,144.7 million or 65.9% of net sales for the first quarter of 2024. Cost of sales for the first quarter of 2024 included $29.2 million of Paragon integrations costs, of which $22.4 million is employee severance. Excluding the impact of the Paragon integration costs, the cost of sales for the first quarter of 2024 was 64.2%.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for the first quarter of 2025 was $482.8 million, an increase of $39.2 million or 8.8%, compared with segment operating income of $443.6 million for the first quarter of 2024. Segment operating margins, as a percentage of net sales, increased to 27.9% for the first quarter of 2025, compared with 25.6% for the first quarter of 2024. In the first quarter of 2025, the dilutive impact of recent acquisitions negatively impacted segment operating margins by 30 basis points. In the first quarter of 2024, segment operating income and operating margins included $29.2 million of integration costs related to the Paragon acquisition, which negatively impacted segment operating margins by 160 basis points. Excluding the dilutive impact of recent acquisitions and the Paragon integration costs, segment operating margins increased 100 basis points compared to the first quarter of 2024 due to the continued benefits from the Company's Operational Excellence initiatives.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first quarter of 2025 were $170.2 million or 9.8% of net sales, a decrease of $4.1 million or 2.4%, compared with $174.3 million or 10.0% of net sales for the first quarter of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operating income was $454.8 million or 26.3% of net sales for the first quarter of 2025, an increase of $37.6 million or 9.0%, compared with $417.2 million or 24.0% of net sales for the first quarter of 2024. In the first quarter of 2025, the dilutive impact of recent acquisitions negatively impacted operating margins by 30 basis points. In the first quarter of 2024, operating income and operating margins included $29.2 million of integration costs related to the Paragon acquisition, which negatively impacted operating margins by 170 basis points. Excluding the dilutive impact of acquisitions and the Paragon integration costs, operating margins increased 90 basis points compared to the first quarter of 2024 due to the continued benefits from the Company's Operational Excellence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first quarter of 2025 was $19.0 million, a decrease of $16.3 million or 46.1%, compared with $35.3 million for the first quarter of 2024. Higher borrowings under the revolving credit facility related to the Paragon acquisition resulted in higher interest expense in the first quarter of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was $1.6 million for the first quarter of 2025, compared with $0.6 million of other expense, net for the first quarter of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first quarter of 2025 was 19.0%, compared with 18.5% for the first quarter of 2024. The higher tax rate is primarily due to higher state income taxes and U.S. taxes on foreign earnings.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first quarter of 2025 was $351.8 million, an increase of $40.9 million or 13.1%, compared with $310.9 million for the first quarter of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for the first quarter of 2025 were $1.52, an increase of $0.18 or 13.4%, compared with $1.34 per diluted share for the first quarter of 2024.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240" w:after="283"/>
        <w:ind w:left="0" w:right="0" w:firstLine="720"/>
        <w:jc w:val="both"/>
        <w:rPr/>
      </w:pPr>
      <w:r>
        <w:rPr>
          <w:rFonts w:ascii="Times New Roman;sans-serif" w:hAnsi="Times New Roman;sans-serif"/>
          <w:b/>
          <w:color w:val="000000"/>
          <w:sz w:val="20"/>
        </w:rPr>
        <w:t>EIG</w:t>
      </w:r>
      <w:r>
        <w:rPr>
          <w:color w:val="000000"/>
        </w:rPr>
        <w:t>’</w:t>
      </w:r>
      <w:r>
        <w:rPr>
          <w:rFonts w:ascii="Times New Roman;sans-serif" w:hAnsi="Times New Roman;sans-serif"/>
          <w:b w:val="false"/>
          <w:color w:val="000000"/>
          <w:sz w:val="20"/>
        </w:rPr>
        <w:t xml:space="preserve">s net sales totaled $1,143.7 million for the first quarter of 2025, a decrease of $13.1 million or 1.1%, compared with $1,156.8 million for the first quarter of 2024. The net sales decrease was due to a 2% organic sales decline as well as a 1% unfavorable effect of foreign currency translation, partially offset by a 2% increase from recent acquisitions.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EIG’s operating income was $354.1 million for the first quarter of 2025, an increase of $1.2 million or 0.3%, compared with $352.9 million for the first quarter of 2024. EIG’s operating margins were 31.0% of net sales for the first quarter of 2025, compared with 30.5% for the first quarter of 2024. The dilutive impact of recent acquisitions in the first quarter of 2025 negatively impacted EIG's operating margins by 60 basis points. Excluding the dilutive impact of recent acquisitions, EIG's operating margins increased 110 basis points in the first quarter of 2025 compared to the first quarter of 2024 due to the continued benefits from the Company's Operational Excellence initiatives. </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EMG’s </w:t>
      </w:r>
      <w:r>
        <w:rPr>
          <w:rFonts w:ascii="Times New Roman;sans-serif" w:hAnsi="Times New Roman;sans-serif"/>
          <w:b w:val="false"/>
          <w:color w:val="000000"/>
          <w:sz w:val="20"/>
        </w:rPr>
        <w:t xml:space="preserve">net sales totaled a record $588.3 million for the first quarter of 2025, an increase of $8.9 million or 1.5%, compared with $579.4 million for the first quarter of 2024. The net sales increase was due to a 2% organic sales increase, partially offset by an unfavorable effect of foreign currency translation.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EMG’s operating income was $128.7 million for the first quarter of 2025, an increase of $38.0 million or 41.9%, compared with $90.7 million for the first quarter of 2024. EMG’s operating margins were 21.9% of net sales for the first quarter of 2025, compared with 15.7% for the first quarter of 2024. In the first quarter of 2024 EMG's operating income and operating margins included $29.2 million of integration costs related to the Paragon acquisition, which negatively impacted segment operating margins by 500 basis points. Excluding the Paragon integration costs, EMG's operating margins increased 120 basis points compared to the first quarter of 2024 due to the continued benefits from the Company's Operational Excellence initiatives.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12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totaled $417.5 million for the first three months of 2025, an increase of $7.3 million or 1.8%, compared with $410.2 million for the first three months of 2024. The increase in cash provided by operating activities for the first three months of 2025 was primarily due to higher net income, partially offset by higher working capital investments.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(cash flow provided by operating activities less capital expenditures) was $394.5 million for the first three months of 2025, compared with $382.6 million for the first three months of 2024. EBITDA (earnings before interest, income taxes, depreciation and amortization) was $558.5 million for the first three months of 2025, compared with $512.8 million for the first three months of 2024. Free cash flow and EBITDA are presented because the Company is aware that they are measures used by third parties in evaluating the Company.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by investing activities totaled $125.7 million for the first three months of 2025, compared with cash used by investing activities of $21.4 million for the first three months of 2024. For the first three months of 2025, the Company paid $103.2 million, net of cash acquired, to purchase Kern Microtechnik ("Kern"). For the first three months of 2024,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received $4.2 million from the sale of a facility. Additions to property, plant and equipment totaled $23.1 million for the first three months of 2025, compared with $27.7 million for the first three months of 2024.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 totaled $277.7 million for the first three months of 2025, compared with cash used by financing activities of $417.5 million for the first three months of 2024. At March 31, 2025, total debt, net was $1,931.0 million, compared with $2,079.7 million at December 31, 2024. For the first three months of 2025, total borrowings decreased by $185.1 million compared with a $363.1 million decrease for the first three months of 2024. At March 31, 2025, the Company had available borrowing capacity of $2,207.1 million under its revolving credit facility, excluding the $700 million accordion feature.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debt-to-capital ratio was 16.2% at March 31, 2025, compared with 17.7% at December 31, 2024. The net debt-to-capital ratio (total debt, net less cash and cash equivalents divided by the sum of net debt and stockholders’ equity) was 13.3% at March 31, 2025, compared with 15.0% at December 31, 2024. The net debt-to-capital ratio is presented because the Company is aware that this measure is used by third parties in evaluating the Company.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financing activities for the first three months of 2025 included cash dividends paid of $71.5 million, compared with $64.7 million for the first three months of 2024. Effective February 7, 2025, the Company’s Board of Directors approved an 11% increase in the quarterly cash dividend on the Company’s common stock to $0.31 per common share from $0.28 per common share. The Company repurchased $18.0 million of its common stock for the first three months of 2025, compared with $6.9 million for the first three months of 2024. Proceeds from stock option exercises were $4.7 million for the first three months of 2025, compared with $23.6 million for the first three months of 2024.</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all of the Company’s cash flow activities for the first three months of 2025, cash and cash equivalents at March 31, 2025 totaled $399.0 million, compared with $374.0 million at December 31, 2024. At March 31, 2025, the Company had $345.9 million in cash outside the United States, compared with $361.5 million at December 31, 2024.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critical accounting policies are detailed in Part II, Item 7, Management’s Discussion and Analysis of Financial Condition of its Annual Report on Form 10-K for the year ended December 31, 2024. Primary disclosure of the Company’s significant accounting policies is also included in Note 1 to the Consolidated Financial Statements included in Part II, Item 8 of its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tariffs, trade disputes and currency conditions;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2025. Based on that evaluation, the Company’s principal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principal financial officer concluded that the Company’s disclosure controls and procedures are effective at the reasonable assurance level.</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Such evaluation did not identify any change in the Company’s internal control over financial reporting during the quarter ended March 31, 2025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Purchase of equity securities by the issuer and affiliated purchasers.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purchases of AMETEK, Inc. common stock by the Company during the three months ended March 31, 2025:</w:t>
      </w:r>
    </w:p>
    <w:tbl>
      <w:tblPr>
        <w:tblW w:w="9534" w:type="dxa"/>
        <w:jc w:val="left"/>
        <w:tblInd w:w="0" w:type="dxa"/>
        <w:tblLayout w:type="fixed"/>
        <w:tblCellMar>
          <w:top w:w="28" w:type="dxa"/>
          <w:left w:w="28" w:type="dxa"/>
          <w:bottom w:w="28" w:type="dxa"/>
          <w:right w:w="28" w:type="dxa"/>
        </w:tblCellMar>
      </w:tblPr>
      <w:tblGrid>
        <w:gridCol w:w="1168"/>
        <w:gridCol w:w="1029"/>
        <w:gridCol w:w="1042"/>
        <w:gridCol w:w="439"/>
        <w:gridCol w:w="439"/>
        <w:gridCol w:w="441"/>
        <w:gridCol w:w="109"/>
        <w:gridCol w:w="109"/>
        <w:gridCol w:w="109"/>
        <w:gridCol w:w="240"/>
        <w:gridCol w:w="821"/>
        <w:gridCol w:w="124"/>
        <w:gridCol w:w="109"/>
        <w:gridCol w:w="109"/>
        <w:gridCol w:w="109"/>
        <w:gridCol w:w="419"/>
        <w:gridCol w:w="419"/>
        <w:gridCol w:w="421"/>
        <w:gridCol w:w="109"/>
        <w:gridCol w:w="109"/>
        <w:gridCol w:w="109"/>
        <w:gridCol w:w="211"/>
        <w:gridCol w:w="118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Price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as</w:t>
              <w:br/>
              <w:t>Part of Publicly</w:t>
              <w:br/>
              <w:t>Announced</w:t>
              <w:br/>
              <w:t>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of</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that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the Plan</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593,058,748 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1,243,033,673 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39,718 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175.39 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39,718 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Represents shares surrendered to the Company to satisfy tax withholding obligations in connection with employees’ share-based compensation awards.</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Effective February 7, 2025, the Company's Board of Directors approved a $1.25 billion share repurchase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authorization. This new authorization replaces the previous $1 billion share repurchase authorization approved in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2022. 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120" w:after="283"/>
        <w:jc w:val="both"/>
        <w:rPr>
          <w:rFonts w:ascii="Times New Roman;sans-serif" w:hAnsi="Times New Roman;sans-serif"/>
          <w:b/>
          <w:color w:val="000000"/>
          <w:sz w:val="20"/>
        </w:rPr>
      </w:pPr>
      <w:r>
        <w:rPr>
          <w:rFonts w:ascii="Times New Roman;sans-serif" w:hAnsi="Times New Roman;sans-serif"/>
          <w:b/>
          <w:color w:val="000000"/>
          <w:sz w:val="20"/>
        </w:rPr>
        <w:t>Insider Trading Arrangements and Policies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9"/>
        <w:gridCol w:w="291"/>
        <w:gridCol w:w="292"/>
        <w:gridCol w:w="109"/>
        <w:gridCol w:w="109"/>
        <w:gridCol w:w="109"/>
        <w:gridCol w:w="2615"/>
        <w:gridCol w:w="2615"/>
        <w:gridCol w:w="3736"/>
      </w:tblGrid>
      <w:tr>
        <w:trPr/>
        <w:tc>
          <w:tcPr>
            <w:tcW w:w="3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50331xex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50331xex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50331xex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50331xex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50331xex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50331xex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50331xexx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50331xex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5e028918e6e4ff99b2ec414b02b04c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634" w:type="dxa"/>
        <w:jc w:val="left"/>
        <w:tblInd w:w="0" w:type="dxa"/>
        <w:tblLayout w:type="fixed"/>
        <w:tblCellMar>
          <w:top w:w="28" w:type="dxa"/>
          <w:left w:w="28" w:type="dxa"/>
          <w:bottom w:w="28" w:type="dxa"/>
          <w:right w:w="28" w:type="dxa"/>
        </w:tblCellMar>
      </w:tblPr>
      <w:tblGrid>
        <w:gridCol w:w="417"/>
        <w:gridCol w:w="368"/>
        <w:gridCol w:w="370"/>
        <w:gridCol w:w="134"/>
        <w:gridCol w:w="134"/>
        <w:gridCol w:w="136"/>
        <w:gridCol w:w="898"/>
        <w:gridCol w:w="898"/>
        <w:gridCol w:w="127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AMETEK,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MONTGOMERY</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Montgomery</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Comptroller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David A. Zapico,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AMETEK, Inc. (the “registrant”);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tbl>
      <w:tblPr>
        <w:tblW w:w="4646" w:type="dxa"/>
        <w:jc w:val="left"/>
        <w:tblInd w:w="0" w:type="dxa"/>
        <w:tblLayout w:type="fixed"/>
        <w:tblCellMar>
          <w:top w:w="28" w:type="dxa"/>
          <w:left w:w="28" w:type="dxa"/>
          <w:bottom w:w="28" w:type="dxa"/>
          <w:right w:w="28" w:type="dxa"/>
        </w:tblCellMar>
      </w:tblPr>
      <w:tblGrid>
        <w:gridCol w:w="124"/>
        <w:gridCol w:w="109"/>
        <w:gridCol w:w="109"/>
        <w:gridCol w:w="1261"/>
        <w:gridCol w:w="1261"/>
        <w:gridCol w:w="1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D</w:t>
            </w:r>
            <w:r>
              <w:rPr>
                <w:rFonts w:ascii="Times New Roman;sans-serif" w:hAnsi="Times New Roman;sans-serif"/>
                <w:b w:val="false"/>
                <w:color w:val="000000"/>
                <w:sz w:val="18"/>
              </w:rPr>
              <w:t>AVID</w:t>
            </w:r>
            <w:r>
              <w:rPr>
                <w:color w:val="000000"/>
              </w:rPr>
              <w:t xml:space="preserve"> </w:t>
            </w:r>
            <w:r>
              <w:rPr>
                <w:rFonts w:ascii="Times New Roman;sans-serif" w:hAnsi="Times New Roman;sans-serif"/>
                <w:b w:val="false"/>
                <w:color w:val="000000"/>
                <w:sz w:val="20"/>
              </w:rPr>
              <w:t>A. Z</w:t>
            </w:r>
            <w:r>
              <w:rPr>
                <w:rFonts w:ascii="Times New Roman;sans-serif" w:hAnsi="Times New Roman;sans-serif"/>
                <w:b w:val="false"/>
                <w:color w:val="000000"/>
                <w:sz w:val="18"/>
              </w:rPr>
              <w:t>APICO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Zapico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Dalip M. Puri,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bl>
      <w:tblPr>
        <w:tblW w:w="4587" w:type="dxa"/>
        <w:jc w:val="left"/>
        <w:tblInd w:w="0" w:type="dxa"/>
        <w:tblLayout w:type="fixed"/>
        <w:tblCellMar>
          <w:top w:w="28" w:type="dxa"/>
          <w:left w:w="28" w:type="dxa"/>
          <w:bottom w:w="28" w:type="dxa"/>
          <w:right w:w="28" w:type="dxa"/>
        </w:tblCellMar>
      </w:tblPr>
      <w:tblGrid>
        <w:gridCol w:w="124"/>
        <w:gridCol w:w="109"/>
        <w:gridCol w:w="109"/>
        <w:gridCol w:w="1238"/>
        <w:gridCol w:w="1238"/>
        <w:gridCol w:w="1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DALIP M. PURI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Dalip M. Puri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AMETEK, Inc. (the “Company”) on Form 10-Q for the quarter ended March 31, 2025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4646" w:type="dxa"/>
        <w:jc w:val="left"/>
        <w:tblInd w:w="0" w:type="dxa"/>
        <w:tblLayout w:type="fixed"/>
        <w:tblCellMar>
          <w:top w:w="28" w:type="dxa"/>
          <w:left w:w="28" w:type="dxa"/>
          <w:bottom w:w="28" w:type="dxa"/>
          <w:right w:w="28" w:type="dxa"/>
        </w:tblCellMar>
      </w:tblPr>
      <w:tblGrid>
        <w:gridCol w:w="1547"/>
        <w:gridCol w:w="1358"/>
        <w:gridCol w:w="1369"/>
        <w:gridCol w:w="109"/>
        <w:gridCol w:w="109"/>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 D</w:t>
            </w:r>
            <w:r>
              <w:rPr>
                <w:rFonts w:ascii="Times New Roman;sans-serif" w:hAnsi="Times New Roman;sans-serif"/>
                <w:b w:val="false"/>
                <w:color w:val="000000"/>
                <w:sz w:val="18"/>
              </w:rPr>
              <w:t>AVID</w:t>
            </w:r>
            <w:r>
              <w:rPr>
                <w:color w:val="000000"/>
              </w:rPr>
              <w:t xml:space="preserve"> </w:t>
            </w:r>
            <w:r>
              <w:rPr>
                <w:rFonts w:ascii="Times New Roman;sans-serif" w:hAnsi="Times New Roman;sans-serif"/>
                <w:b w:val="false"/>
                <w:color w:val="000000"/>
                <w:sz w:val="20"/>
              </w:rPr>
              <w:t>A. Z</w:t>
            </w:r>
            <w:r>
              <w:rPr>
                <w:rFonts w:ascii="Times New Roman;sans-serif" w:hAnsi="Times New Roman;sans-serif"/>
                <w:b w:val="false"/>
                <w:color w:val="000000"/>
                <w:sz w:val="18"/>
              </w:rPr>
              <w:t>APICO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Zapico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 2025 </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AMETEK, Inc. and will be retained by AMETEK,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AMETEK, Inc. (the “Company”) on Form 10-Q for the quarter ended March 31, 2025 as filed with the Securities and Exchange Commission on the date hereof (the “Report”), I, Dalip M. Puri, Executive Vice President –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4587" w:type="dxa"/>
        <w:jc w:val="left"/>
        <w:tblInd w:w="0" w:type="dxa"/>
        <w:tblLayout w:type="fixed"/>
        <w:tblCellMar>
          <w:top w:w="28" w:type="dxa"/>
          <w:left w:w="28" w:type="dxa"/>
          <w:bottom w:w="28" w:type="dxa"/>
          <w:right w:w="28" w:type="dxa"/>
        </w:tblCellMar>
      </w:tblPr>
      <w:tblGrid>
        <w:gridCol w:w="1524"/>
        <w:gridCol w:w="1342"/>
        <w:gridCol w:w="1349"/>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DALIP M. PURI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Dalip M. Puri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AMETEK, Inc. and will be retained by AMETEK,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10805</Words>
  <Characters>60488</Characters>
  <CharactersWithSpaces>70344</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