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6"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5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2"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7"/>
          <w:szCs w:val="27"/>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3"/>
          <w:szCs w:val="2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ind w:left="34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1-12981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AMETEK,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1100 Cassatt Road</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Berwyn, Pennsylvania</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14-1682544</w:t>
      </w:r>
    </w:p>
    <w:p>
      <w:pPr>
        <w:spacing w:after="0" w:line="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19312-1177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647-2121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21"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right="10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80"/>
          </w:cols>
          <w:pgMar w:left="320" w:top="229" w:right="39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27"/>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outstanding as of the latest practicable date was: Common Stock, $0.01 Par Value, outstanding at April 24, 2026 was 229,203,002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0" w:type="dxa"/>
            <w:vAlign w:val="bottom"/>
            <w:gridSpan w:val="18"/>
            <w:vMerge w:val="continue"/>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1.Financial Statements</w:t>
            </w:r>
          </w:p>
        </w:tc>
        <w:tc>
          <w:tcPr>
            <w:tcW w:w="73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 of Income for the three months ended March 31, 2026 and 2025</w:t>
            </w:r>
          </w:p>
        </w:tc>
        <w:tc>
          <w:tcPr>
            <w:tcW w:w="338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for the three months ended March 31, 2026 and 2025</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Balance Sheet at March 31, 2026 and December 31,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 of Stockholders’ Equity for the three months ended March 31, 2026 and 2025</w:t>
            </w:r>
          </w:p>
        </w:tc>
        <w:tc>
          <w:tcPr>
            <w:tcW w:w="160" w:type="dxa"/>
            <w:vAlign w:val="bottom"/>
          </w:tcPr>
          <w:p>
            <w:pPr>
              <w:spacing w:after="0"/>
              <w:rPr>
                <w:sz w:val="19"/>
                <w:szCs w:val="19"/>
                <w:color w:val="auto"/>
              </w:rPr>
            </w:pPr>
          </w:p>
        </w:tc>
        <w:tc>
          <w:tcPr>
            <w:tcW w:w="2240" w:type="dxa"/>
            <w:vAlign w:val="bottom"/>
            <w:gridSpan w:val="2"/>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three months ended March 31, 2026 and 2025</w:t>
            </w:r>
          </w:p>
        </w:tc>
        <w:tc>
          <w:tcPr>
            <w:tcW w:w="2240" w:type="dxa"/>
            <w:vAlign w:val="bottom"/>
            <w:gridSpan w:val="2"/>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2.Management’s Discussion and Analysis of Financial Condition and Results of Operations</w:t>
            </w:r>
          </w:p>
        </w:tc>
        <w:tc>
          <w:tcPr>
            <w:tcW w:w="298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4.Controls and Procedures</w:t>
            </w:r>
          </w:p>
        </w:tc>
        <w:tc>
          <w:tcPr>
            <w:tcW w:w="7660" w:type="dxa"/>
            <w:vAlign w:val="bottom"/>
            <w:gridSpan w:val="11"/>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100" w:type="dxa"/>
            <w:vAlign w:val="bottom"/>
            <w:gridSpan w:val="7"/>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6.Exhibits</w:t>
            </w:r>
          </w:p>
        </w:tc>
        <w:tc>
          <w:tcPr>
            <w:tcW w:w="8080" w:type="dxa"/>
            <w:vAlign w:val="bottom"/>
            <w:gridSpan w:val="13"/>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4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4"/>
                <w:szCs w:val="24"/>
                <w:color w:val="auto"/>
              </w:rPr>
            </w:pPr>
          </w:p>
        </w:tc>
        <w:tc>
          <w:tcPr>
            <w:tcW w:w="4640" w:type="dxa"/>
            <w:vAlign w:val="bottom"/>
            <w:gridSpan w:val="9"/>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1"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1,928,437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1,731,971</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1,210,878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1,106,971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202,623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170,171</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1,413,501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1,277,142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454,829</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492,980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434,222</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82,464</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399,357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351,758</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shares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228,903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230,668</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shares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231,542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Dividends declared and paid per share</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0.34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39370</wp:posOffset>
            </wp:positionV>
            <wp:extent cx="166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6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399,357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351,758</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arising during the period – gains (losses), net of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65,778</w:t>
            </w:r>
          </w:p>
        </w:tc>
        <w:tc>
          <w:tcPr>
            <w:tcW w:w="0" w:type="dxa"/>
            <w:vAlign w:val="bottom"/>
          </w:tcPr>
          <w:p>
            <w:pPr>
              <w:spacing w:after="0"/>
              <w:rPr>
                <w:sz w:val="1"/>
                <w:szCs w:val="1"/>
                <w:color w:val="auto"/>
              </w:rPr>
            </w:pPr>
          </w:p>
        </w:tc>
      </w:tr>
      <w:tr>
        <w:trPr>
          <w:trHeight w:val="24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 in long-term intercompany notes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investment hedge instruments gain (loss), net of tax of $(4,397) and $8,099 for the quarter ended</w:t>
            </w:r>
          </w:p>
        </w:tc>
        <w:tc>
          <w:tcPr>
            <w:tcW w:w="30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6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March 31, 2026 and 2025,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(25,801)</w:t>
            </w:r>
          </w:p>
        </w:tc>
        <w:tc>
          <w:tcPr>
            <w:tcW w:w="0" w:type="dxa"/>
            <w:vAlign w:val="bottom"/>
          </w:tcPr>
          <w:p>
            <w:pPr>
              <w:spacing w:after="0"/>
              <w:rPr>
                <w:sz w:val="1"/>
                <w:szCs w:val="1"/>
                <w:color w:val="auto"/>
              </w:rPr>
            </w:pPr>
          </w:p>
        </w:tc>
      </w:tr>
      <w:tr>
        <w:trPr>
          <w:trHeight w:val="243"/>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net actuarial loss, net of tax of $(167) and $(296) for the quarter ended March 31, 2026 and</w:t>
            </w:r>
          </w:p>
        </w:tc>
        <w:tc>
          <w:tcPr>
            <w:tcW w:w="30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6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2025, respectively</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37"/>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37,803</w:t>
            </w:r>
          </w:p>
        </w:tc>
        <w:tc>
          <w:tcPr>
            <w:tcW w:w="0" w:type="dxa"/>
            <w:vAlign w:val="bottom"/>
          </w:tcPr>
          <w:p>
            <w:pPr>
              <w:spacing w:after="0"/>
              <w:rPr>
                <w:sz w:val="1"/>
                <w:szCs w:val="1"/>
                <w:color w:val="auto"/>
              </w:rPr>
            </w:pPr>
          </w:p>
        </w:tc>
      </w:tr>
      <w:tr>
        <w:trPr>
          <w:trHeight w:val="27"/>
        </w:trPr>
        <w:tc>
          <w:tcPr>
            <w:tcW w:w="8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366,080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389,561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8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457,951</w:t>
            </w: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1,153,951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1,119,257</w:t>
            </w: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1,143,418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1,106,405</w:t>
            </w:r>
          </w:p>
        </w:tc>
      </w:tr>
      <w:tr>
        <w:trPr>
          <w:trHeight w:val="23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358,889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336,229</w:t>
            </w:r>
          </w:p>
        </w:tc>
      </w:tr>
      <w:tr>
        <w:trPr>
          <w:trHeight w:val="223"/>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3,137,508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3,019,842</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840,388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855,215</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273,142</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7,266,351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7,170,770</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4,165,088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4,128,394</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637,033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620,180</w:t>
            </w: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16,309,535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16,067,543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1,114,946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1,208,975</w:t>
            </w: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619,255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617,950</w:t>
            </w: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advanced payments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463,706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396,177</w:t>
            </w: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91,169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82,682</w:t>
            </w: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467,060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536,968</w:t>
            </w:r>
          </w:p>
        </w:tc>
      </w:tr>
      <w:tr>
        <w:trPr>
          <w:trHeight w:val="223"/>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2,756,136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2,842,752</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1,062,603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1,074,334</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839,748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788,915</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731,751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732,756</w:t>
            </w:r>
          </w:p>
        </w:tc>
      </w:tr>
      <w:tr>
        <w:trPr>
          <w:trHeight w:val="223"/>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5,390,238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5,438,757</w:t>
            </w: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1,317,288</w:t>
            </w: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12,574,041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12,252,480</w:t>
            </w: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(399,220)</w:t>
            </w:r>
          </w:p>
        </w:tc>
      </w:tr>
      <w:tr>
        <w:trPr>
          <w:trHeight w:val="23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(2,539,375)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(2,544,487)</w:t>
            </w:r>
          </w:p>
        </w:tc>
      </w:tr>
      <w:tr>
        <w:trPr>
          <w:trHeight w:val="223"/>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10,919,297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10,628,786</w:t>
            </w:r>
          </w:p>
        </w:tc>
      </w:tr>
      <w:tr>
        <w:trPr>
          <w:trHeight w:val="223"/>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16,309,535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16,067,543</w:t>
            </w: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AMETEK, Inc.</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1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Stockholders’ Equity</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 in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vMerge w:val="restart"/>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excess of par</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78"/>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(loss) income</w:t>
            </w:r>
          </w:p>
        </w:tc>
        <w:tc>
          <w:tcPr>
            <w:tcW w:w="130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320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Three months ended March 31, 2026</w:t>
            </w: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2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2,725</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1,317,288</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12,252,480</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(399,220)</w:t>
            </w: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(2,544,487)</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10,628,786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399,357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399,357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Shares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120"/>
              <w:spacing w:after="0" w:line="164"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(12,596)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13,046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plans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9,708</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dividends paid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(77,796)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(77,796)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(33,277)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(33,277)</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(7,934)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1,314,400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12,574,041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(432,497)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(2,539,375)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10,919,297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Three months ended March 31, 2025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1,264,670</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11,057,684</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(555,739)</w:t>
            </w: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97"/>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(2,114,031)</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9,655,304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351,758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Shares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plans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dividends paid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(71,455)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1,255,018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11,337,987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(517,936)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(2,107,845)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9,969,946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for):</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351,758</w:t>
            </w:r>
          </w:p>
        </w:tc>
      </w:tr>
      <w:tr>
        <w:trPr>
          <w:trHeight w:val="229"/>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Adjustments to reconcile net income to total operating activities: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106,367</w:t>
            </w:r>
          </w:p>
        </w:tc>
      </w:tr>
      <w:tr>
        <w:trPr>
          <w:trHeight w:val="230"/>
        </w:trPr>
        <w:tc>
          <w:tcPr>
            <w:tcW w:w="82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29"/>
        </w:trPr>
        <w:tc>
          <w:tcPr>
            <w:tcW w:w="82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w:t>
            </w:r>
          </w:p>
        </w:tc>
      </w:tr>
      <w:tr>
        <w:trPr>
          <w:trHeight w:val="230"/>
        </w:trPr>
        <w:tc>
          <w:tcPr>
            <w:tcW w:w="82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Net change in assets and liabilities, net of acquisitions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(42,196)</w:t>
            </w:r>
          </w:p>
        </w:tc>
      </w:tr>
      <w:tr>
        <w:trPr>
          <w:trHeight w:val="229"/>
        </w:trPr>
        <w:tc>
          <w:tcPr>
            <w:tcW w:w="82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Pension contributions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29"/>
        </w:trPr>
        <w:tc>
          <w:tcPr>
            <w:tcW w:w="82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w:t>
            </w:r>
          </w:p>
        </w:tc>
      </w:tr>
      <w:tr>
        <w:trPr>
          <w:trHeight w:val="223"/>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451,516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417,545</w:t>
            </w:r>
          </w:p>
        </w:tc>
      </w:tr>
      <w:tr>
        <w:trPr>
          <w:trHeight w:val="20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(23,069)</w:t>
            </w: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businesses, net of cash acquired</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(209,558)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(103,165)</w:t>
            </w: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3"/>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investing activities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(234,553)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(125,713)</w:t>
            </w: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(185,093)</w:t>
            </w: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(18,011)</w:t>
            </w: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(77,796)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(71,455)</w:t>
            </w: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r>
      <w:tr>
        <w:trPr>
          <w:trHeight w:val="23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w:t>
            </w:r>
          </w:p>
        </w:tc>
      </w:tr>
      <w:tr>
        <w:trPr>
          <w:trHeight w:val="223"/>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(187,964)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(277,693)</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10,863</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25,002</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373,999</w:t>
            </w:r>
          </w:p>
        </w:tc>
      </w:tr>
      <w:tr>
        <w:trPr>
          <w:trHeight w:val="223"/>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481,250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399,001</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March 31, 2026, the consolidated results of its operations for the three months ended March 31, 2026 and 2025 and its cash flows for the three months ended March 31, 2026 and 2025 have been included. The Company has two reportable segments, Electronic Instruments Group (“EIG”) and Electromechanical Group (“EMG”). The Company identifies its operating segments for segment reporting purposes primarily on the basis of product type, production processes, distribution methods and management organizations.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2025 as filed with the U.S. Securities and Exchange Commission.</w:t>
      </w:r>
    </w:p>
    <w:p>
      <w:pPr>
        <w:spacing w:after="0" w:line="2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November 2025, the FASB issued ASU 2025-09, Derivatives and Hedging (Topic 815) - Hedge Accounting Improvements ("ASU 2025-09"). The amendments in this update aim to better align financial reporting with an entity's risk management strategies. It makes improvements in five key areas to help entities achieve and maintain hedge accounting for highly effective economic hedges. Improvements include changes to similar risk assessment for cash flow hedges, a new model for Choose-Your-Rate debt instruments, a principles-based approach for nonfinancial forecasted transactions, clarification on net written options, and addressing the mismatch in dual-hedge accounting. ASU 2025-09 is effective for annual periods beginning after December 15, 2026, and interim reporting periods within those annual reporting periods. The Company is evaluating the impact ASU 2025-09 may have on the Company's financial statement disclosures.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(ASU 2025-06) updating guidance on accounting for internal-use software. The amendments modernize guidance to consider different methods of software development, updating the requirements for capitalization of software costs. ASU 2025-06 is effective for annual and interim reporting periods beginning after December 15, 2027. Prospective, modified prospective, or retrospective application is allowed and early adoption is permitted. The Company has not determined the impact ASU 2025-06 may have on the Company’s consolidated financial statements.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 —Expense Disaggregation Disclosures (Subtopic 220-40): Disaggregation of Income Statement Expenses, which requires additional disclosures about significant expenses included in certain expense captions presented on the face of the income statement. ASU 2024-03 is effective for annual periods beginning after December 15, 2026, and interim reporting periods beginning after December 15, 2027. Prospective or retrospective application is allowed and early adoption is permitted. The Company has not determined the impact ASU 2024-03 may have on the Company’s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contract asset and liability accounts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assets—January 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136,432</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 March 31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178,306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157,815</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increase (decrease)</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Contract liabilities – January 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448,849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400,689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March 31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505,507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426,235</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contract liabilities – (increase) decrease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(56,658)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(25,546)</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change for the three months ended March 31, 2026 was primarily driven by an increase in customer advance payments. For the three months ended March 31, 2026 and 2025, the Company recognized revenue of $261.5 million and $182.5 million, respectively, that was previously included in the beginning balance of contract liabilities.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assets are reported as a component of Other current assets in the consolidated balance sheet. At March 31, 2026 and December 31, 2025, $41.8 million and $52.7 million of Customer advanced payments (contract liabilities), respectively, were recorded in Other long-term liabilities in the consolidated balance sheets.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remaining performance obligations not expected to be completed within one year as of March 31, 2026 and December 31, 2025 were $684.7 million and $627.4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Areas</w:t>
      </w:r>
    </w:p>
    <w:p>
      <w:pPr>
        <w:spacing w:after="0" w:line="1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sales were attributed to geographic areas based on the location of the customer. Information about the Company’s operations in different geographic areas was as follows for the three months ended March 31: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7"/>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r>
      <w:tr>
        <w:trPr>
          <w:trHeight w:val="23"/>
        </w:trPr>
        <w:tc>
          <w:tcPr>
            <w:tcW w:w="7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6"/>
                <w:szCs w:val="16"/>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7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7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619,384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385,391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1,004,775</w:t>
            </w:r>
          </w:p>
        </w:tc>
      </w:tr>
      <w:tr>
        <w:trPr>
          <w:trHeight w:val="209"/>
        </w:trPr>
        <w:tc>
          <w:tcPr>
            <w:tcW w:w="770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72,237</w:t>
            </w:r>
          </w:p>
        </w:tc>
      </w:tr>
      <w:tr>
        <w:trPr>
          <w:trHeight w:val="230"/>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162,015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128,577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290,592</w:t>
            </w:r>
          </w:p>
        </w:tc>
      </w:tr>
      <w:tr>
        <w:trPr>
          <w:trHeight w:val="23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323,467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390,034</w:t>
            </w:r>
          </w:p>
        </w:tc>
      </w:tr>
      <w:tr>
        <w:trPr>
          <w:trHeight w:val="229"/>
        </w:trPr>
        <w:tc>
          <w:tcPr>
            <w:tcW w:w="7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125,493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170,799</w:t>
            </w:r>
          </w:p>
        </w:tc>
      </w:tr>
      <w:tr>
        <w:trPr>
          <w:trHeight w:val="223"/>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645,152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278,510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923,662</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1,264,536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663,901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1,928,437</w:t>
            </w: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$533.4 million for the three months ended March 31, 2026.</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7"/>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580,125</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347,405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927,530</w:t>
            </w:r>
          </w:p>
        </w:tc>
        <w:tc>
          <w:tcPr>
            <w:tcW w:w="0" w:type="dxa"/>
            <w:vAlign w:val="bottom"/>
          </w:tcPr>
          <w:p>
            <w:pPr>
              <w:spacing w:after="0"/>
              <w:rPr>
                <w:sz w:val="1"/>
                <w:szCs w:val="1"/>
                <w:color w:val="auto"/>
              </w:rPr>
            </w:pPr>
          </w:p>
        </w:tc>
      </w:tr>
      <w:tr>
        <w:trPr>
          <w:trHeight w:val="209"/>
        </w:trPr>
        <w:tc>
          <w:tcPr>
            <w:tcW w:w="770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68,623</w:t>
            </w:r>
          </w:p>
        </w:tc>
        <w:tc>
          <w:tcPr>
            <w:tcW w:w="0" w:type="dxa"/>
            <w:vAlign w:val="bottom"/>
          </w:tcPr>
          <w:p>
            <w:pPr>
              <w:spacing w:after="0"/>
              <w:rPr>
                <w:sz w:val="1"/>
                <w:szCs w:val="1"/>
                <w:color w:val="auto"/>
              </w:rPr>
            </w:pPr>
          </w:p>
        </w:tc>
      </w:tr>
      <w:tr>
        <w:trPr>
          <w:trHeight w:val="229"/>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236,651</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330,043</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169,124</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563,548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804,441</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1,143,673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588,298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1,731,971</w:t>
            </w:r>
          </w:p>
        </w:tc>
        <w:tc>
          <w:tcPr>
            <w:tcW w:w="0" w:type="dxa"/>
            <w:vAlign w:val="bottom"/>
          </w:tcPr>
          <w:p>
            <w:pPr>
              <w:spacing w:after="0"/>
              <w:rPr>
                <w:sz w:val="1"/>
                <w:szCs w:val="1"/>
                <w:color w:val="auto"/>
              </w:rPr>
            </w:pPr>
          </w:p>
        </w:tc>
      </w:tr>
      <w:tr>
        <w:trPr>
          <w:trHeight w:val="21"/>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7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(1)  Includes U.S. export sales of $470.0 million for the three months ended March 31, 2025.</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7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Major Products and Services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Company’s major products and services in the reportable segments were as follows: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7"/>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891,630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891,630</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372,906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196,595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569,501</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467,306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467,306</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1,264,536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663,901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1,928,437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7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7"/>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776,871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776,871</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538,710</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416,390</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1,143,673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588,298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1,731,971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p>
      <w:pPr>
        <w:spacing w:after="0" w:line="140"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33655</wp:posOffset>
            </wp:positionV>
            <wp:extent cx="22459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Products and services transferred over time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399"/>
        <w:spacing w:after="0"/>
        <w:tabs>
          <w:tab w:leader="none" w:pos="1559" w:val="left"/>
          <w:tab w:leader="none" w:pos="2779" w:val="left"/>
        </w:tabs>
        <w:rPr>
          <w:sz w:val="20"/>
          <w:szCs w:val="20"/>
          <w:color w:val="auto"/>
        </w:rPr>
      </w:pPr>
      <w:r>
        <w:rPr>
          <w:rFonts w:ascii="Times New Roman" w:cs="Times New Roman" w:eastAsia="Times New Roman" w:hAnsi="Times New Roman"/>
          <w:sz w:val="14"/>
          <w:szCs w:val="14"/>
          <w:b w:val="1"/>
          <w:bCs w:val="1"/>
          <w:color w:val="auto"/>
        </w:rPr>
        <w:t>EIG</w:t>
      </w:r>
      <w:r>
        <w:rPr>
          <w:sz w:val="20"/>
          <w:szCs w:val="20"/>
          <w:color w:val="auto"/>
        </w:rPr>
        <w:tab/>
      </w:r>
      <w:r>
        <w:rPr>
          <w:rFonts w:ascii="Times New Roman" w:cs="Times New Roman" w:eastAsia="Times New Roman" w:hAnsi="Times New Roman"/>
          <w:sz w:val="14"/>
          <w:szCs w:val="14"/>
          <w:b w:val="1"/>
          <w:bCs w:val="1"/>
          <w:color w:val="auto"/>
        </w:rPr>
        <w:t>EMG</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41910</wp:posOffset>
            </wp:positionV>
            <wp:extent cx="22459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62" w:lineRule="exact"/>
        <w:rPr>
          <w:sz w:val="20"/>
          <w:szCs w:val="20"/>
          <w:color w:val="auto"/>
        </w:rPr>
      </w:pPr>
    </w:p>
    <w:p>
      <w:pPr>
        <w:ind w:left="129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7" w:lineRule="exact"/>
        <w:rPr>
          <w:sz w:val="20"/>
          <w:szCs w:val="20"/>
          <w:color w:val="auto"/>
        </w:rPr>
      </w:pPr>
    </w:p>
    <w:p>
      <w:pPr>
        <w:ind w:left="299" w:hanging="299"/>
        <w:spacing w:after="0"/>
        <w:tabs>
          <w:tab w:leader="none" w:pos="29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1,001,212  $    589,065  $  1,590,277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-125095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jc w:val="both"/>
        <w:ind w:left="439"/>
        <w:spacing w:after="0"/>
        <w:tabs>
          <w:tab w:leader="none" w:pos="1719" w:val="left"/>
          <w:tab w:leader="none" w:pos="2839" w:val="left"/>
        </w:tabs>
        <w:rPr>
          <w:sz w:val="20"/>
          <w:szCs w:val="20"/>
          <w:color w:val="auto"/>
        </w:rPr>
      </w:pPr>
      <w:r>
        <w:rPr>
          <w:rFonts w:ascii="Times New Roman" w:cs="Times New Roman" w:eastAsia="Times New Roman" w:hAnsi="Times New Roman"/>
          <w:sz w:val="18"/>
          <w:szCs w:val="18"/>
          <w:b w:val="1"/>
          <w:bCs w:val="1"/>
          <w:color w:val="auto"/>
        </w:rPr>
        <w:t>263,324</w:t>
      </w:r>
      <w:r>
        <w:rPr>
          <w:sz w:val="20"/>
          <w:szCs w:val="20"/>
          <w:color w:val="auto"/>
        </w:rPr>
        <w:tab/>
      </w:r>
      <w:r>
        <w:rPr>
          <w:rFonts w:ascii="Times New Roman" w:cs="Times New Roman" w:eastAsia="Times New Roman" w:hAnsi="Times New Roman"/>
          <w:sz w:val="18"/>
          <w:szCs w:val="18"/>
          <w:b w:val="1"/>
          <w:bCs w:val="1"/>
          <w:color w:val="auto"/>
        </w:rPr>
        <w:t>74,836</w:t>
      </w:r>
      <w:r>
        <w:rPr>
          <w:sz w:val="20"/>
          <w:szCs w:val="20"/>
          <w:color w:val="auto"/>
        </w:rPr>
        <w:tab/>
      </w:r>
      <w:r>
        <w:rPr>
          <w:rFonts w:ascii="Times New Roman" w:cs="Times New Roman" w:eastAsia="Times New Roman" w:hAnsi="Times New Roman"/>
          <w:sz w:val="17"/>
          <w:szCs w:val="17"/>
          <w:b w:val="1"/>
          <w:bCs w:val="1"/>
          <w:color w:val="auto"/>
        </w:rPr>
        <w:t>338,160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14605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ind w:left="299" w:hanging="299"/>
        <w:spacing w:after="0"/>
        <w:tabs>
          <w:tab w:leader="none" w:pos="29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1,264,536  $    663,901  $  1,928,437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22459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19"/>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22459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69" w:lineRule="exact"/>
        <w:rPr>
          <w:sz w:val="20"/>
          <w:szCs w:val="20"/>
          <w:color w:val="auto"/>
        </w:rPr>
      </w:pPr>
    </w:p>
    <w:p>
      <w:pPr>
        <w:sectPr>
          <w:pgSz w:w="11900" w:h="16838" w:orient="portrait"/>
          <w:cols w:equalWidth="0" w:num="2">
            <w:col w:w="7001" w:space="720"/>
            <w:col w:w="3519"/>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6"/>
                <w:szCs w:val="16"/>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7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7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1,440,295</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Products and services transferred over time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236,786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291,676</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1,143,673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1,731,971</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accrued product warranty obligation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r>
      <w:tr>
        <w:trPr>
          <w:trHeight w:val="192"/>
        </w:trPr>
        <w:tc>
          <w:tcPr>
            <w:tcW w:w="8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6"/>
                <w:szCs w:val="16"/>
                <w:color w:val="auto"/>
              </w:rPr>
            </w:pPr>
          </w:p>
        </w:tc>
      </w:tr>
      <w:tr>
        <w:trPr>
          <w:trHeight w:val="37"/>
        </w:trPr>
        <w:tc>
          <w:tcPr>
            <w:tcW w:w="8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38,555</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Warranty accruals related to acquired businesses and other during the period</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43,415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40,221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2026, the Company had $1,154.0 million of accounts receivable, net of allowances of $13.5 million. At December 31, 2025, the Company had $1,119.3 million of accounts receivable, net of allowance of $13.7 million. Changes in the allowance were not material for the three months ended March 31, 2026.</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The number of weighted average shares used in the calculation of basic earnings per share and diluted earnings per share was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6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8640" w:type="dxa"/>
            <w:vAlign w:val="bottom"/>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640" w:type="dxa"/>
            <w:vAlign w:val="bottom"/>
          </w:tcPr>
          <w:p>
            <w:pPr>
              <w:spacing w:after="0"/>
              <w:rPr>
                <w:sz w:val="17"/>
                <w:szCs w:val="17"/>
                <w:color w:val="auto"/>
              </w:rPr>
            </w:pPr>
          </w:p>
        </w:tc>
        <w:tc>
          <w:tcPr>
            <w:tcW w:w="1800" w:type="dxa"/>
            <w:vAlign w:val="bottom"/>
            <w:gridSpan w:val="3"/>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7"/>
                <w:szCs w:val="17"/>
                <w:color w:val="auto"/>
              </w:rPr>
            </w:pPr>
          </w:p>
        </w:tc>
      </w:tr>
      <w:tr>
        <w:trPr>
          <w:trHeight w:val="23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228,903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230,668</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plans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229,835</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231,542</w:t>
            </w:r>
          </w:p>
        </w:tc>
      </w:tr>
      <w:tr>
        <w:trPr>
          <w:trHeight w:val="21"/>
        </w:trPr>
        <w:tc>
          <w:tcPr>
            <w:tcW w:w="8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diluted earnings per share for the three months ended March 31, 2025 excluded an immaterial number of stock options because the exercise prices of these stock options exceeded the average market price of the Company’s common shares, and the effect of their inclusion would have been antidilutive. There were no antidilutive shares for the three months ended March 31,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Company’s assets that are measured at fair value on a recurring basis, consistent with the fair value hierarchy,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gridSpan w:val="3"/>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102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8,244</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8,244</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395"/>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102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8,199</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8,199</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fair value of mutual fund investments is based on quoted market prices. The mutual fund investments are shown as a component of investments and other assets on the consolidated balance sheet.</w:t>
      </w:r>
    </w:p>
    <w:p>
      <w:pPr>
        <w:spacing w:after="0" w:line="16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gains and losses on the investments noted above were not significant. No transfers between level 1 and level 2 investments occurred during the three months ended March 31, 2026 and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cash equivalents and mutual fund investments are recorded at fair value at March 31, 2026 and December 31, 2025 in the accompanying consolidated balance sheet.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estimated fair values of the Company’s financial instrument liabilities, for which fair value is measured for disclosure purposes only, compared to the recorded amounts at March 31, 2026 and December 31, 2025:</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6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8"/>
        </w:trPr>
        <w:tc>
          <w:tcPr>
            <w:tcW w:w="4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264"/>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center"/>
              <w:ind w:right="404"/>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4"/>
        </w:trPr>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7"/>
                <w:szCs w:val="17"/>
                <w:color w:val="auto"/>
              </w:rPr>
            </w:pPr>
          </w:p>
        </w:tc>
        <w:tc>
          <w:tcPr>
            <w:tcW w:w="1160" w:type="dxa"/>
            <w:vAlign w:val="bottom"/>
          </w:tcPr>
          <w:p>
            <w:pPr>
              <w:jc w:val="center"/>
              <w:ind w:right="4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7"/>
                <w:szCs w:val="17"/>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4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(1,508,804)</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(1,463,418)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(1,527,238)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(1,488,009)</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net short-term borrowings approximates the carrying value.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Hedging Activities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designated certain foreign-currency-denominated long-term borrowings as hedges of the net investment in certain foreign operations. As of March 31, 2026, these net investment hedges included British-pound-and Euro-denominated long-term debt. These borrowings were designed to create net investment hedges in certain designated foreign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subsidiaries. The Company designated the British-pound- and Euro-denominated loans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March 31, 2026, the Company had $296.6 million of British-pound-denominated loans and $662.2 million in Euro-denominated loans, which were designated as a hedge against the net investment in British pound and Euro functional currency foreign subsidiaries. As a result of the British-pound-and Euro-denominated loans designated and 100% effective as net investment hedges, $18.4 million of pre-tax currency remeasurement gains have been included in the foreign currency translation component of other comprehensive income for the three months ended March 31, 2026.</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Inventories,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and parts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112,300</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191,667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179,792</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822,384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814,313</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1,143,418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1,106,405</w:t>
            </w:r>
          </w:p>
        </w:tc>
      </w:tr>
      <w:tr>
        <w:trPr>
          <w:trHeight w:val="21"/>
        </w:trPr>
        <w:tc>
          <w:tcPr>
            <w:tcW w:w="8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Leases and Other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commitments under operating leases for certain facilities, vehicles and equipment used in its operations. Cash used in operations for operating leases was not materially different from operating lease expense for the three months ended March 31, 2026 and 2025. The Company's leases have a weighted average remaining lease term of approximately seven years.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38"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6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3,696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040" w:type="dxa"/>
            <w:vAlign w:val="bottom"/>
          </w:tcPr>
          <w:p>
            <w:pPr>
              <w:spacing w:after="0"/>
              <w:rPr>
                <w:sz w:val="22"/>
                <w:szCs w:val="22"/>
                <w:color w:val="auto"/>
              </w:rPr>
            </w:pPr>
          </w:p>
        </w:tc>
        <w:tc>
          <w:tcPr>
            <w:tcW w:w="146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4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6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263,167</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Accrued Liabilities and other</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61,031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61,133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Other long-term liabilities</w:t>
            </w:r>
          </w:p>
        </w:tc>
        <w:tc>
          <w:tcPr>
            <w:tcW w:w="6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217,054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6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278,085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9"/>
              </w:rPr>
              <w:t>AMETEK, Inc.</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9680" w:type="dxa"/>
            <w:vAlign w:val="bottom"/>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680" w:type="dxa"/>
            <w:vAlign w:val="bottom"/>
          </w:tcPr>
          <w:p>
            <w:pPr>
              <w:jc w:val="center"/>
              <w:ind w:left="147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9680" w:type="dxa"/>
            <w:vAlign w:val="bottom"/>
          </w:tcPr>
          <w:p>
            <w:pPr>
              <w:jc w:val="center"/>
              <w:ind w:left="147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9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as of March 31, 2026 were as follows: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4"/>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 Liability Maturity Analysis</w:t>
            </w:r>
          </w:p>
        </w:tc>
        <w:tc>
          <w:tcPr>
            <w:tcW w:w="160" w:type="dxa"/>
            <w:vAlign w:val="bottom"/>
          </w:tcPr>
          <w:p>
            <w:pPr>
              <w:spacing w:after="0"/>
              <w:rPr>
                <w:sz w:val="24"/>
                <w:szCs w:val="24"/>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7"/>
        </w:trPr>
        <w:tc>
          <w:tcPr>
            <w:tcW w:w="96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9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54,080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62,473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41,905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34,662</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84,759</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327,881</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49,796</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278,085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any significant leases that have not yet commenced.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its business, the Company issues guarantees, stand-by letters of credit and surety bonds to provide financial or performance assurance to third parties on behalf of its consolidated subsidiaries to support or enhance the subsidiary's stand-alone creditworthiness. At March 31, 2026, the maximum amount of future payment obligations relative to these various guarantees was $337.7 million and the outstanding liability under certain of those guarantees was $210.8 million.</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spent $209.6 million in cash, net of cash acquired, to acquire LKC Technologies ("LKC") in January 2026. LKC is a leading provider of innovative technologies to enable the effective diagnosis and management of ophthalmic conditions. LKC is part of EIG.</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allocation of the purchase price for the net assets of the LKC acquisition based on the estimated fair values at acquisition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r>
      <w:tr>
        <w:trPr>
          <w:trHeight w:val="230"/>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117.3</w:t>
            </w:r>
          </w:p>
        </w:tc>
      </w:tr>
      <w:tr>
        <w:trPr>
          <w:trHeight w:val="229"/>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w:t>
            </w:r>
          </w:p>
        </w:tc>
      </w:tr>
      <w:tr>
        <w:trPr>
          <w:trHeight w:val="230"/>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r>
      <w:tr>
        <w:trPr>
          <w:trHeight w:val="230"/>
        </w:trPr>
        <w:tc>
          <w:tcPr>
            <w:tcW w:w="9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working capital and other</w:t>
            </w:r>
            <w:r>
              <w:rPr>
                <w:rFonts w:ascii="Times New Roman" w:cs="Times New Roman" w:eastAsia="Times New Roman" w:hAnsi="Times New Roman"/>
                <w:sz w:val="23"/>
                <w:szCs w:val="23"/>
                <w:color w:val="auto"/>
                <w:vertAlign w:val="superscript"/>
              </w:rPr>
              <w:t>(1)</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r>
      <w:tr>
        <w:trPr>
          <w:trHeight w:val="223"/>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217.8</w:t>
            </w:r>
          </w:p>
        </w:tc>
      </w:tr>
      <w:tr>
        <w:trPr>
          <w:trHeight w:val="230"/>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Acquisition date fair value of cash acquired</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r>
      <w:tr>
        <w:trPr>
          <w:trHeight w:val="223"/>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paid</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209.6</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63"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 million in accounts receivable, whose fair value, contractual cash flows and expected cash flows are approximately equal.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allocated to goodwill is reflective of the benefits the Company expects to realize from the acquisitions. LKC's design and engineering capabilities complement the Company's existing ultra precision technologies business.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March 31, 2026, the purchase price allocated to other intangible assets of $115.5 million consists of $21.0 million of indefinite-lived intangible trade names, which are not subject to amortization. The remaining $94.5 million of other intangible assets consists of $73.5 million of customer relationships, which are being amortized over a period of 15 years, and $21.0 million of purchased technology, which is being amortized over a period of 15 years. Amortization expense for each of the next five years for the 2026 acquisition is expected to approximate $6 million per year.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LKC acquisition had an immaterial impact on reported net sales, net income, and diluted earnings per share for the three months ended March 31, 2026. Had the acquisition been made at the beginning of 2026 or 2025, pro forma net sales, net income, and diluted earnings per share for the three months ended March 31, 2026 and 2025, would not have been materially different than the amounts reported.</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finalizing the measurement of certain tangible assets and liabilities, including accounts receivable and inventory, as well as the associated income tax considerations, for its July 2025 acquisition of FARO Technologies. The Company is in the process of finalizing the measurement of the intangible assets and tangible assets and liabilities, as well as the associated income tax considerations, for its January 2026 acquisition of LKC.</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2025, the Company acquired Kern Microtechnik ("Kern"). The Kern acquisition included an $8.9 million estimated fair value contingent payment due upon Kern achieving certain cumulative revenue and EBITDA targets over the period January 1, 2025 to January 1, 2027. The contingent liability was based on a probabilistic approach using level 3 inputs. At March 31, 2026, there was no change to the estimated fair value of the contingent payment liability.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subsequent to March 31, 2026</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2026, the Company entered into a definitive agreement to acquire First Aviation Services, Inc. ("First Aviation"), a leading provider of highly engineered, mission-critical defense and aviation maintenance, repair and overhaul services and a manufacturer of related proprietary components. First Aviation has annual sales of approximately $80 million. First Aviation will join the Electromechanical Group.</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amounts of goodwill by segment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EIG</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EMG</w:t>
            </w:r>
          </w:p>
        </w:tc>
        <w:tc>
          <w:tcPr>
            <w:tcW w:w="36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5,008.2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7,170.8</w:t>
            </w:r>
          </w:p>
        </w:tc>
      </w:tr>
      <w:tr>
        <w:trPr>
          <w:trHeight w:val="230"/>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acquired from 2026 acquisitions</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117.3</w:t>
            </w:r>
          </w:p>
        </w:tc>
      </w:tr>
      <w:tr>
        <w:trPr>
          <w:trHeight w:val="23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price allocation adjustments and other</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29"/>
        </w:trPr>
        <w:tc>
          <w:tcPr>
            <w:tcW w:w="6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5,110.4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7,266.4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effective tax rate for the three months ended March 31, 2026 and 2025 was 19.0%.</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At March 31, 2026, the Company had gross uncertain tax benefits of $239.5 million, of which $190.8 million, if recognized, would impact the effective tax rate.</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is a reconciliation of the liability for uncertain tax positions (in millions):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Additions for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Reductions for tax positions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1028" w:hanging="1028"/>
        <w:spacing w:after="0"/>
        <w:tabs>
          <w:tab w:leader="none" w:pos="102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229.3</w:t>
      </w:r>
    </w:p>
    <w:p>
      <w:pPr>
        <w:spacing w:after="0" w:line="38" w:lineRule="exact"/>
        <w:rPr>
          <w:rFonts w:ascii="Times New Roman" w:cs="Times New Roman" w:eastAsia="Times New Roman" w:hAnsi="Times New Roman"/>
          <w:sz w:val="17"/>
          <w:szCs w:val="17"/>
          <w:color w:val="auto"/>
        </w:rPr>
      </w:pPr>
    </w:p>
    <w:p>
      <w:pPr>
        <w:ind w:left="11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10.2</w:t>
      </w:r>
    </w:p>
    <w:p>
      <w:pPr>
        <w:spacing w:after="0" w:line="34" w:lineRule="exact"/>
        <w:rPr>
          <w:rFonts w:ascii="Times New Roman" w:cs="Times New Roman" w:eastAsia="Times New Roman" w:hAnsi="Times New Roman"/>
          <w:sz w:val="17"/>
          <w:szCs w:val="17"/>
          <w:color w:val="auto"/>
        </w:rPr>
      </w:pPr>
    </w:p>
    <w:p>
      <w:pPr>
        <w:ind w:left="124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83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7" w:lineRule="exact"/>
        <w:rPr>
          <w:sz w:val="20"/>
          <w:szCs w:val="20"/>
          <w:color w:val="auto"/>
        </w:rPr>
      </w:pPr>
    </w:p>
    <w:p>
      <w:pPr>
        <w:ind w:left="1028" w:hanging="1028"/>
        <w:spacing w:after="0"/>
        <w:tabs>
          <w:tab w:leader="none" w:pos="1028"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27305</wp:posOffset>
            </wp:positionV>
            <wp:extent cx="9683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52705</wp:posOffset>
            </wp:positionV>
            <wp:extent cx="9683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8972" w:space="720"/>
            <w:col w:w="1548"/>
          </w:cols>
          <w:pgMar w:left="320" w:top="121" w:right="339" w:bottom="1440" w:gutter="0" w:footer="0" w:header="0"/>
          <w:type w:val="continuous"/>
        </w:sectPr>
      </w:pPr>
    </w:p>
    <w:p>
      <w:pPr>
        <w:spacing w:after="0" w:line="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additions above primarily reflect the tax positions for foreign tax planning initiatives. The Company recognizes interest and penalties accrued related to uncertain tax positions in income tax expense. The amounts recognized in income tax expense for interest and penalties during the three months ended March 31, 2026 and 2025 were not significant.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The Organization for Economic Cooperation and Development’s (“OECD”) Pillar Two initiative set a 15% global minimum tax for certain multinationals, effective January 1, 2024, in most countries where the Company operates. In January 2026, new OECD guidance proposed a Side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Side (“SbS”) framework to limit Pillar Two taxes for U.S.-parented groups. Relief is contingent upon the implementation of the SbS framework within each respective jurisdiction's domestic legislation. For the three months ended March 31, 2026, the Company has recorded any incremental top-up tax in its income tax expense, based on the currently enacted Pillar Two framework, in jurisdictions where the effective tax rate does not meet the 15% minimum threshold.</w:t>
      </w:r>
    </w:p>
    <w:p>
      <w:pPr>
        <w:spacing w:after="0" w:line="9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plans are described in Note 11, Share-Based Compensation, to the consolidated financial statements in Part II, Item 8, filed on the Company’s Annual Report on Form 10-K for the year ended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share-based compensation expense was as follows:</w:t>
      </w:r>
    </w:p>
    <w:p>
      <w:pPr>
        <w:spacing w:after="0" w:line="138"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8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7"/>
                <w:szCs w:val="17"/>
                <w:color w:val="auto"/>
              </w:rPr>
            </w:pP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2,822</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expense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5,262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 expense</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expense</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9,708</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9,464</w:t>
            </w:r>
          </w:p>
        </w:tc>
      </w:tr>
      <w:tr>
        <w:trPr>
          <w:trHeight w:val="21"/>
        </w:trPr>
        <w:tc>
          <w:tcPr>
            <w:tcW w:w="8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7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7"/>
                <w:szCs w:val="17"/>
                <w:color w:val="auto"/>
              </w:rPr>
            </w:pPr>
          </w:p>
        </w:tc>
        <w:tc>
          <w:tcPr>
            <w:tcW w:w="176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Black-Scholes-Merton fair value per stock option granted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51.29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stock option activity and related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1"/>
                <w:szCs w:val="11"/>
                <w:color w:val="auto"/>
              </w:rPr>
            </w:pPr>
          </w:p>
        </w:tc>
        <w:tc>
          <w:tcPr>
            <w:tcW w:w="128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7"/>
                <w:szCs w:val="17"/>
                <w:color w:val="auto"/>
              </w:rPr>
            </w:pPr>
          </w:p>
        </w:tc>
        <w:tc>
          <w:tcPr>
            <w:tcW w:w="12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54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212.77</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111.40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174.86</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136.12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163.6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1,629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119.29</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2"/>
              <w:spacing w:after="0" w:line="203" w:lineRule="exact"/>
              <w:rPr>
                <w:sz w:val="20"/>
                <w:szCs w:val="20"/>
                <w:color w:val="auto"/>
              </w:rPr>
            </w:pPr>
            <w:r>
              <w:rPr>
                <w:rFonts w:ascii="Times New Roman" w:cs="Times New Roman" w:eastAsia="Times New Roman" w:hAnsi="Times New Roman"/>
                <w:sz w:val="18"/>
                <w:szCs w:val="18"/>
                <w:b w:val="1"/>
                <w:bCs w:val="1"/>
                <w:color w:val="auto"/>
              </w:rPr>
              <w:t>154.9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three months ended March 31, 2026 was $9.1 million. The total fair value of stock options vested during the three months ended March 31, 2026 was $11.7 million. As of March 31, 2026, there was approximately $21.9 million of expected future pre-tax compensation expense related to the 0.5 million non-vested stock options outstanding, which is expected to be recognized over a weighted average period of approximately two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restricted stock activity and related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26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December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213.45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167.48</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176.96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March 31, 2026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194.98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vested during the three months ended March 31, 2026 was $20.5 million. As of March 31, 2026, there was approximately $51.1 million of expected future pre-tax compensation expense related to the 0.3 million non-vested restricted shares outstanding, which is expected to be recognized over a weighted average period of approximately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performance restricted stock activity and related information: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December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166.06</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212.77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Performance assumption change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138.46</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138.46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163.73</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March 31, 2026</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189.78</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120" w:hanging="112"/>
        <w:spacing w:after="0" w:line="220" w:lineRule="auto"/>
        <w:tabs>
          <w:tab w:leader="none" w:pos="1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number of PRSUs above target levels based on performance metrics.</w:t>
      </w:r>
    </w:p>
    <w:p>
      <w:pPr>
        <w:spacing w:after="0" w:line="1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there was approximately $23.3 million of expected future pre-tax compensation expense related to the 0.2 million non-vested restricted shares outstanding, which is expected to be recognized over a weighted average period of approximately one year.</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Retirement and Pension Plans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periodic pension benefit expense (income) were as follows:</w:t>
      </w:r>
    </w:p>
    <w:p>
      <w:pPr>
        <w:spacing w:after="0" w:line="130"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7"/>
                <w:szCs w:val="17"/>
                <w:color w:val="auto"/>
              </w:rPr>
            </w:pP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(14,453)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(13,094)</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Pension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w:t>
            </w: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plans: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13,479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12,504</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plans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r>
      <w:tr>
        <w:trPr>
          <w:trHeight w:val="223"/>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14,308</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pension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defined benefit plans, the net periodic benefit income, other than the service cost component, is included in “Other (expense) income, net” in the consolidated statement of income.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contributions to the Company’s defined benefit pension plans were $1.4 million and $1.5 million, respectively. The Company’s current estimate of 2026 contributions to its worldwide defined benefit pension plans is in line with the range disclosed in Note 12 of the Company’s Annual Report on Form 10-K for the year ended December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tab/>
        <w:t>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historic processes in the manufacture of products have resulted in environmentally hazardous waste by-products as defined by federal and state laws and regulations. At March 31, 2026, the Company is named a Potentially Responsible Party (“PRP”) at 13 non-AMETEK-owned former waste disposal or treatment sites (the “non-owned” sites). The Company is identified as a “de minimis” party in a majority of these sites based on the low volume of waste attributed to the Company relative to the amounts attributed to other named PRPs.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environmental reserves at March 31, 2026 and December 31, 2025 were $40.4 million and $37.4 million, respectively, for both non-owned and owned sites. For the three months ended March 31, 2026, the Company recorded $5.2 million in reserves. Additionally, the Company spent $2.2 million on environmental matters for the three months ended March 31, 2026.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Reportable Segments</w:t>
      </w:r>
    </w:p>
    <w:p>
      <w:pPr>
        <w:spacing w:after="0" w:line="67"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The Company has two reportable segments, Electronic Instruments Group and Electromechanical Group. The Company identifies its operating segments for segment reporting purposes primarily on the basis of product type, production processes, distribution methods and management organizations.</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Reportable Segment Financial Information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240" w:type="dxa"/>
            <w:vAlign w:val="bottom"/>
          </w:tcPr>
          <w:p>
            <w:pPr>
              <w:spacing w:after="0"/>
              <w:rPr>
                <w:sz w:val="16"/>
                <w:szCs w:val="16"/>
                <w:color w:val="auto"/>
              </w:rPr>
            </w:pP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6"/>
                <w:szCs w:val="16"/>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663,901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1,264,536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1,928,437</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470,092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740,786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1,210,878</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172,855</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170,766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373,938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544,704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29,768</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170,766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373,938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(29,768)</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514,936</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(20,909)</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(1,047)</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170,766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492,980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36,261</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50,826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69,229</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105,490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5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111,576</w:t>
            </w:r>
          </w:p>
        </w:tc>
      </w:tr>
      <w:tr>
        <w:trPr>
          <w:trHeight w:val="95"/>
        </w:trPr>
        <w:tc>
          <w:tcPr>
            <w:tcW w:w="5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4,871,662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10,738,867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699,006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16,309,535</w:t>
            </w:r>
          </w:p>
        </w:tc>
      </w:tr>
      <w:tr>
        <w:trPr>
          <w:trHeight w:val="2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9,344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12,841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25,468</w:t>
            </w:r>
          </w:p>
        </w:tc>
      </w:tr>
    </w:tbl>
    <w:p>
      <w:pPr>
        <w:spacing w:after="0" w:line="121"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 million of acquisition-related costs.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sales.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3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3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40" w:type="dxa"/>
            <w:vAlign w:val="bottom"/>
          </w:tcPr>
          <w:p>
            <w:pPr>
              <w:spacing w:after="0"/>
              <w:rPr>
                <w:sz w:val="16"/>
                <w:szCs w:val="16"/>
                <w:color w:val="auto"/>
              </w:rPr>
            </w:pP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6"/>
                <w:szCs w:val="16"/>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29"/>
        </w:trPr>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1,143,673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1,731,971</w:t>
            </w: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1,106,971</w:t>
            </w: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142,232</w:t>
            </w: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128,718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354,050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482,768</w:t>
            </w: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27,939</w:t>
            </w: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128,718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354,050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454,829</w:t>
            </w: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(18,993)</w:t>
            </w: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48"/>
        </w:trPr>
        <w:tc>
          <w:tcPr>
            <w:tcW w:w="5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434,222</w:t>
            </w:r>
          </w:p>
        </w:tc>
      </w:tr>
      <w:tr>
        <w:trPr>
          <w:trHeight w:val="20"/>
        </w:trPr>
        <w:tc>
          <w:tcPr>
            <w:tcW w:w="52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6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35,586</w:t>
            </w: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70,781</w:t>
            </w:r>
          </w:p>
        </w:tc>
      </w:tr>
      <w:tr>
        <w:trPr>
          <w:trHeight w:val="248"/>
        </w:trPr>
        <w:tc>
          <w:tcPr>
            <w:tcW w:w="5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106,367</w:t>
            </w:r>
          </w:p>
        </w:tc>
      </w:tr>
      <w:tr>
        <w:trPr>
          <w:trHeight w:val="20"/>
        </w:trPr>
        <w:tc>
          <w:tcPr>
            <w:tcW w:w="52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360" w:type="dxa"/>
            <w:vAlign w:val="bottom"/>
          </w:tcPr>
          <w:p>
            <w:pPr>
              <w:spacing w:after="0"/>
              <w:rPr>
                <w:sz w:val="3"/>
                <w:szCs w:val="3"/>
                <w:color w:val="auto"/>
              </w:rPr>
            </w:pPr>
          </w:p>
        </w:tc>
        <w:tc>
          <w:tcPr>
            <w:tcW w:w="4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9"/>
        </w:trPr>
        <w:tc>
          <w:tcPr>
            <w:tcW w:w="5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94,865</w:t>
            </w:r>
          </w:p>
        </w:tc>
      </w:tr>
      <w:tr>
        <w:trPr>
          <w:trHeight w:val="94"/>
        </w:trPr>
        <w:tc>
          <w:tcPr>
            <w:tcW w:w="52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9,459,042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14,877,096</w:t>
            </w: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23,069</w:t>
            </w:r>
          </w:p>
        </w:tc>
      </w:tr>
      <w:tr>
        <w:trPr>
          <w:trHeight w:val="36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Included in cost of sales.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10"/>
        </w:trPr>
        <w:tc>
          <w:tcPr>
            <w:tcW w:w="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820"/>
        <w:spacing w:after="0" w:line="32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Recent Trends</w:t>
      </w: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Recent geopolitical developments in the Middle East, including the conflict involving Iran, have contributed to increased uncertainty in global markets. Although we have limited Middle East sales exposure and do not have material operations or assets located in the region, we are not immune to the broader macroeconomic uncertainty an extended conflict may create on the global economy.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businesses have been proactive in addressing the impacts of tariffs, including targeted pricing initiatives, strategic adjustments to our global supply chains, and leveraging our worldwide manufacturing footprint to localize production and adapt to changing demand patterns. While recent tariff-related changes did not have a material impact on our results of operations for the three months ended March 31, 2026, as the situation continues to evolve, we cannot be certain of the outcome, which could adversely impact demand for our products, costs, inflation, customers, suppliers, and the overall global economy. We continue to monitor and analyze the impacts of the tariffs and the evolving macroeconomic environment and will continue to implement appropriate actions as necessary to mitigate their effects on our businesses.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quarter ended March 31, 2026, the Company posted record operating income, orders, and backlog, as well as strong operating margins. Contributions from the acquisitions of FARO Technologies ("FARO") in July 2025 and LKC Technologies in January 2026 as well as our Operational Excellence initiatives had a positive impact on the first quarter of 2026 results. The Company recorded $1.6 million of pre-tax acquisition-related costs related to the FARO acquisition, which are comprised of ongoing integration costs, in the first quarter of 2026. These integration costs are recorded in Cost of sales and primarily include employee severance.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first quarter of 2026 compared with the first quarter of 2025</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for the first quarter of 2026 were $1,928.4 million, an increase of $196.4 million or 11.3%, compared with net sales of $1,732.0 million for the first quarter of 2025. The increase in net sales for the first quarter of 2026 was due to a 5% increase in organic sales, a 4% increase from acquisitions, as well as a 2% favorable effect of foreign currency translation.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international sales for the first quarter of 2026 were $923.7 million or 47.9% of net sales, an increase of $119.3 million or 14.8%, compared with international sales of $804.4 million or 46.4% of net sales for the first quarter of 2025. The increase in international sales was primarily driven by higher demand in Europe and Asia, as well as contributions from recent acquisitions.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Orders for the first quarter of 2026 were a record $2,217.6 million, an increase of $419.8 million or 23.3%, compared with $1,797.8 million for the first quarter of 2025. The increase in orders for the first quarter of 2026 was due to a 22% increase in organic orders, a 2% increase from acquisitions, partially offset by a 1% unfavorable effect of foreign currency translation. The Company's backlog of unfilled orders at March 31, 2026 was a record $3,870.7 million, an increase of $289.2 million or 8.1% compared with $3,581.5 million at December 31, 2025.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sales for the first quarter of 2026 was $1,210.9 million or 62.8% of net sales, an increase of $103.9 million or 9.4%, compared with $1,107.0 million or 63.9% of net sales for the first quarter of 2025. The cost of sales increase was primarily due to the net sales increase discussed above, partially offset by continued benefits from the Company's Operational Excellence initiatives.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Segment operating income for the first quarter of 2026 was $544.7 million, an increase of $61.9 million or 12.8%, compared with segment operating income of $482.8 million for the first quarter of 2025. Segment operating margins, as a percentage of net sales, increased to 28.2% for the first quarter of 2026, compared with 27.9% for the first quarter of 2025. In the first quarter of 2026, segment operating margins were negatively impacted 90 basis points by the dilutive impact of recent acquisitions and 10 basis points from acquisition-related costs. Excluding the dilutive impact of recent acquisitions and acquisition-related costs, segment operating margins increased 130 basis points compared to the first quarter of 2025 due to the sales increase discussed above, as well as continued benefits from the Company's Operational Excellence initiatives.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first quarter of 2026 were $202.6 million or 10.5% of net sales, an increase of $32.4 million or 19.1%, compared with $170.2 million or 9.8% of net sales for the first quarter of 2025. Selling expenses increased primarily due to the net sales increase discussed above, as well as higher selling expense related to recent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acquisitions. General and administrative expenses for the first quarter of 2026 were $29.8 million, compared with $27.9 million for the first quarter of 2025.</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Consolidated operating income was a record $514.9 million or 26.7% of net sales for the first quarter of 2026, an increase of $60.1 million or 13.2%, compared with $454.8 million or 26.3% of net sales for the first quarter of 2025. In the first quarter of 2026, operating margins were negatively impacted 80 basis points by the dilutive impact of recent acquisitions and 10 basis points from acquisition-related costs. Excluding the dilutive impact of recent acquisitions and acquisition-related costs, operating margins increased 130 basis points compared to the first quarter of 2025 due to the sales increase discussed above, as well as continued benefits from the Company's Operational Excellence initiatives.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for the first quarter of 2026 was $20.9 million, an increase of $1.9 million or 10.1%, compared with $19.0 million for the first quarter of 2025.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 net was $1.0 million for the first quarter of 2026, compared with $1.6 million of other expense, net for the first quarter of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effective tax rate for the first quarter of 2026 and 2025 was 19.0%.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for the first quarter of 2026 was $399.4 million, an increase of $47.6 million or 13.5%, compared with $351.8 million for the first quarter of 2025.</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first quarter of 2026 were a record $1.74, an increase of $0.22 or 14.5%, compared with $1.52 per diluted share for the first quarter of 2025.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 net sales totaled $1,264.5 million for the first quarter of 2026, an increase of $120.8 million or 10.6%, compared with $1,143.7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quarter of 2025. The net sales increase was due to a 2% organic sales increase, 7% increase from recent acquisitions, as well as a 1% favorable effect of foreign currency translation.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EIG’s operating income was $373.9 million for the first quarter of 2026, an increase of $19.8 million or 5.6%, compared with $354.1 million for the first quarter of 2025. EIG’s operating margins were 29.6% of net sales for the first quarter of 2026, compared with 31.0% for the first quarter of 2025. In the first quarter of 2026, EIG's operating margins were negatively impacted 140 basis points by the dilutive impact of recent acquisitions and 10 basis points from acquisition-related expenses. Excluding the dilutive impact of recent acquisitions and acquisition-related expenses, EIG's operating margins increased 10 basis points compared to the first quarter of 2025 due to the sales increase discussed above, as well as continued benefits from the Company's Operational Excellence initiatives.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a record $663.9 million for the first quarter of 2026, an increase of $75.6 million or 12.9%, compared with $588.3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quarter of 2025. The net sales increase was due to a 11% organic sales increase, as well as a 2% favorable effect of foreign currency translation.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EMG’s operating income was a record $170.8 million for the first quarter of 2026, an increase of $42.1 million or 32.7%, compared with $128.7 million for the first quarter of 2025. EMG’s operating margins were 25.7% of net sales for the first quarter of 2026, compared with 21.9% for the first quarter of 2025. EMG's operating margins increased 380 basis points compared to the first quarter of 2025 due to the sales increase discussed above, as well as continued benefits from the Company's Operational Excellence initiatives.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totaled $451.5 million for the first three months of 2026, an increase of $34.0 million or 8.1%, compared with $417.5 million for the first three months of 2025. The increase in cash provided by operating activities for the first three months of 2026 was primarily due to higher net income, partially offset by higher working capital requirements.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Free cash flow (cash flow provided by operating activities less capital expenditures) was $426.0 million for the first three months of 2026, compared with $394.4 million for the first three months of 2025. EBITDA (earnings before interest,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taxes, depreciation and amortization) was $618.3 million for the first three months of 2026, compared with $558.5 million for the first three months of 2025. Free cash flow and EBITDA are presented because the Company is aware that they are measures used by third parties in evaluating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used by investing activities totaled $234.6 million for the first three months of 2026, compared with cash used by investing activities of $125.7 million for the first three months of 2025. For the first three months of 2026, the Company paid $209.6 million, net of cash acquired, to purchase LKC Technologies. For the first three months of 2025, the Company paid $103.2 million, net of cash acquired, to purchase Kern Microtechnik. Additions to property, plant and equipment totaled $25.5 million for the first three months of 2026, compared with $23.1 million for the first three months of 2025.</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Cash used by financing activities totaled $188.0 million for the first three months of 2026, compared with cash used by financing activities of $277.7 million for the first three months of 2025. At March 31, 2026, total debt, net was $2,177.5 million, compared with $2,283.3 million at December 31, 2025. For the first three months of 2026, total borrowings decreased by $82.7 million compared with a $185.1 million decrease for the first three months of</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2025. At March 31, 2026, the Company had available borrowing capacity of $1,573.4 million under its revolving credit facility, excluding the $700 million accordion feature.</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debt-to-capital ratio was 16.6% at March 31, 2026, compared with 17.7% at December 31, 2025. The net debt-to-capital ratio (total debt, net less cash and cash equivalents divided by the sum of net debt and stockholders’ equity) was 13.4% at March 31, 2026, compared with 14.7% at December 31, 2025. The net debt-to-capital ratio is presented because the Company is aware that this measure is used by third parties in evaluating the Company.</w:t>
      </w:r>
    </w:p>
    <w:p>
      <w:pPr>
        <w:spacing w:after="0" w:line="4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 financing activities for the first three months of 2026 included cash dividends paid of $77.8 million, compared with $71.5 million for the first three months of 2025. Effective February 12, 2026, the Company’s Board of Directors approved an 10% increase in the quarterly cash dividend on the Company’s common stock to $0.34 per common share from $0.31 per common share. The Company repurchased $27.9 million of its common stock for the first three months of 2026, compared with $18.0 million for the first three months of 2025. Proceeds from stock option exercises were $9.6 million for the first three months of 2026, compared with $4.7 million for the first three months of 2025.</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all of the Company’s cash flow activities for the first three months of 2026, cash and cash equivalents at March 31, 2026 totaled $481.3 million, compared with $458.0 million at December 31, 2025. At March 31, 2026, the Company had $380.5 million in cash outside the United States, compared with $374.5 million at December 31, 2025.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subsequent to March 31, 2026</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2026, the Company entered into a definitive agreement to acquire First Aviation Services, Inc. ("First Aviation"), a leading provider of highly engineered, mission-critical defense and aviation maintenance, repair and overhaul services and a manufacturer of related proprietary components. First Aviation has annual sales of approximately $80 million. First Aviation will join the Electromechanical Group.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critical accounting policies are detailed in Part II, Item 7, Management’s Discussion and Analysis of Financial Condition of its Annual Report on Form 10-K for the year ended December 31, 2025. Primary disclosure of the Company’s significant accounting policies is also included in Note 1 to the Consolidated Financial Statements included in Part II, Item 8 of its Annual Report on Form 10-K.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Company’s ability to consummate and successfully integrate future acquisitions; risks associated with international sales and operations, including supply chain disruptions; tariffs, trade disputes and currency conditions; the Company’s ability to successfully develop new products, open new facilities or transfer product lines; the price and availability of raw materials; compliance with government regulations, including environmental regulations; changes in the competitive environment or the effects of competition in the Company’s markets; the ability to maintain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adequate liquidity and financing sources; and general economic conditions affecting the industries the Company serves. A detailed discussion of these and other factors that may affect the Company’s future results is contained in AMETEK’s filings with the U.S. Securities and Exchange Commission, including its most recent reports on Form 10-K, 10-Q, and 8-K. AMETEK disclaims any intention or obligation to update or revise any forward-looking statements, unless required by the securities laws to do so.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March 31, 2026. Based on that evaluation, the Company’s principal executive officer and principal financial officer concluded that the Company’s disclosure controls and procedures are effective at the reasonable assurance level.</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Such evaluation did not identify any change in the Company’s internal control over financial reporting during the quarter ended March 31, 2026 that has materially affected, or is reasonably likely to materially affect, the Company’s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Purchase of equity securities by the issuer and affiliated purchasers.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reflects purchases of AMETEK, Inc. common stock by the Company during the three months ended March 31,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 (1)(2)</w:t>
            </w: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Plan (2)</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37"/>
        </w:trPr>
        <w:tc>
          <w:tcPr>
            <w:tcW w:w="474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to January 31, 2026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806,994,962</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2026 to February 28, 2026</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806,994,962</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to March 31, 2026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799,060,816</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7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60" w:lineRule="auto"/>
        <w:tabs>
          <w:tab w:leader="none" w:pos="5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surrendered to the Company to satisfy tax withholding obligations in connection with employees’ share-based compensation awards.</w:t>
      </w:r>
    </w:p>
    <w:p>
      <w:pPr>
        <w:spacing w:after="0" w:line="194"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7, 2025, the Company's Board of Directors approved a $1.25 billion share repurchase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authorization. This new authorization replaces the previous $1 billion share repurchase authorization approved in</w:t>
      </w:r>
    </w:p>
    <w:p>
      <w:pPr>
        <w:spacing w:after="0" w:line="9"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color w:val="auto"/>
        </w:rPr>
        <w:t>May 2022. Consists of the number of shares purchased pursuant to the Company’s Board of Directors $1.25 billion authorization for the repurchase of its common stock. Such purchases may be effected from time to time in the open market or in private transactions, subject to market conditions and at management’s discretion.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5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440" w:type="dxa"/>
            <w:vAlign w:val="bottom"/>
            <w:gridSpan w:val="3"/>
            <w:vMerge w:val="restart"/>
          </w:tcPr>
          <w:p>
            <w:pPr>
              <w:ind w:left="4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4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jc w:val="center"/>
              <w:ind w:left="334"/>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7"/>
              </w:rPr>
              <w:t>101.SCH*</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760" w:right="640" w:hanging="1266"/>
        <w:spacing w:after="0" w:line="237" w:lineRule="auto"/>
        <w:tabs>
          <w:tab w:leader="none" w:pos="1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Filed electronically herewith.</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u w:val="single" w:color="auto"/>
          <w:color w:val="auto"/>
        </w:rPr>
        <w:t>AMETEK, Inc.</w:t>
      </w:r>
    </w:p>
    <w:p>
      <w:pPr>
        <w:spacing w:after="0" w:line="200" w:lineRule="exact"/>
        <w:rPr>
          <w:sz w:val="20"/>
          <w:szCs w:val="20"/>
          <w:color w:val="auto"/>
        </w:rPr>
      </w:pPr>
    </w:p>
    <w:p>
      <w:pPr>
        <w:spacing w:after="0" w:line="336"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ROBERT J. AMODEI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Robert J. Amodei</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 – Controller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30,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Zapico, certify that:</w:t>
      </w:r>
    </w:p>
    <w:p>
      <w:pPr>
        <w:spacing w:after="0" w:line="11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AMETEK, Inc. (the “registrant”);</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995"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Dalip M. Puri, certify that:</w:t>
      </w:r>
    </w:p>
    <w:p>
      <w:pPr>
        <w:spacing w:after="0" w:line="117" w:lineRule="exact"/>
        <w:rPr>
          <w:sz w:val="20"/>
          <w:szCs w:val="20"/>
          <w:color w:val="auto"/>
        </w:rPr>
      </w:pPr>
    </w:p>
    <w:p>
      <w:pPr>
        <w:jc w:val="both"/>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Dalip M. Puri</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ectPr>
          <w:pgSz w:w="11900" w:h="16838" w:orient="portrait"/>
          <w:cols w:equalWidth="0" w:num="1">
            <w:col w:w="11240"/>
          </w:cols>
          <w:pgMar w:left="320" w:top="99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March 31, 2026 as filed with the Securities and Exchange Commission on the date hereof (the “Report”), I, David A. Zapico, Chairman of the Board and Chief Executive Officer of the Company, certify to such officer's knowledge, pursuant to 18 U.S.C. Section 1350, as adopted pursuant to Section 906 of the Sarbanes-Oxley Act of 2002, that:</w:t>
      </w:r>
    </w:p>
    <w:p>
      <w:pPr>
        <w:spacing w:after="0" w:line="72"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ectPr>
          <w:pgSz w:w="11900" w:h="16838" w:orient="portrait"/>
          <w:cols w:equalWidth="0" w:num="1">
            <w:col w:w="11240"/>
          </w:cols>
          <w:pgMar w:left="320" w:top="99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March 31, 2026 as filed with the Securities and Exchange Commission on the date hereof (the “Report”), I, Dalip M. Puri, Executive Vice President – Chief Financial Officer of the Company, certify to such officer's knowledge, pursuant to 18 U.S.C. Section 1350, as adopted pursuant to Section 906 of the Sarbanes-Oxley Act of 2002, that:</w:t>
      </w:r>
    </w:p>
    <w:p>
      <w:pPr>
        <w:spacing w:after="0" w:line="72"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Dalip M. Puri</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2026-04-30T13:37:04Z</dcterms:created>
  <dcterms:modified xsi:type="dcterms:W3CDTF">2026-04-30T13:37:04Z</dcterms:modified>
</cp:coreProperties>
</file>