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671830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586105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6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2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7" w:lineRule="exact"/>
        <w:rPr>
          <w:sz w:val="24"/>
          <w:szCs w:val="24"/>
          <w:color w:val="auto"/>
        </w:rPr>
      </w:pPr>
    </w:p>
    <w:p>
      <w:pPr>
        <w:ind w:left="4540"/>
        <w:spacing w:after="0"/>
        <w:rPr>
          <w:sz w:val="20"/>
          <w:szCs w:val="20"/>
          <w:color w:val="auto"/>
        </w:rPr>
      </w:pPr>
      <w:r>
        <w:rPr>
          <w:rFonts w:ascii="Arial" w:cs="Arial" w:eastAsia="Arial" w:hAnsi="Arial"/>
          <w:sz w:val="22"/>
          <w:szCs w:val="22"/>
          <w:color w:val="auto"/>
        </w:rPr>
        <w:t>__________________</w:t>
      </w:r>
    </w:p>
    <w:p>
      <w:pPr>
        <w:spacing w:after="0" w:line="1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51" w:lineRule="exact"/>
        <w:rPr>
          <w:sz w:val="24"/>
          <w:szCs w:val="24"/>
          <w:color w:val="auto"/>
        </w:rPr>
      </w:pPr>
    </w:p>
    <w:p>
      <w:pPr>
        <w:ind w:left="4540"/>
        <w:spacing w:after="0"/>
        <w:rPr>
          <w:sz w:val="20"/>
          <w:szCs w:val="20"/>
          <w:color w:val="auto"/>
        </w:rPr>
      </w:pPr>
      <w:r>
        <w:rPr>
          <w:rFonts w:ascii="Arial" w:cs="Arial" w:eastAsia="Arial" w:hAnsi="Arial"/>
          <w:sz w:val="22"/>
          <w:szCs w:val="22"/>
          <w:color w:val="auto"/>
        </w:rPr>
        <w:t>__________________</w:t>
      </w:r>
    </w:p>
    <w:p>
      <w:pPr>
        <w:spacing w:after="0" w:line="16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17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 Securities Exchange Act of 1934</w:t>
      </w:r>
    </w:p>
    <w:p>
      <w:pPr>
        <w:spacing w:after="0" w:line="18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May 7, 2026</w:t>
      </w:r>
    </w:p>
    <w:p>
      <w:pPr>
        <w:spacing w:after="0" w:line="31" w:lineRule="exact"/>
        <w:rPr>
          <w:sz w:val="24"/>
          <w:szCs w:val="24"/>
          <w:color w:val="auto"/>
        </w:rPr>
      </w:pPr>
    </w:p>
    <w:p>
      <w:pPr>
        <w:ind w:left="4540"/>
        <w:spacing w:after="0"/>
        <w:rPr>
          <w:sz w:val="20"/>
          <w:szCs w:val="20"/>
          <w:color w:val="auto"/>
        </w:rPr>
      </w:pPr>
      <w:r>
        <w:rPr>
          <w:rFonts w:ascii="Arial" w:cs="Arial" w:eastAsia="Arial" w:hAnsi="Arial"/>
          <w:sz w:val="22"/>
          <w:szCs w:val="22"/>
          <w:color w:val="auto"/>
        </w:rPr>
        <w:t>__________________</w:t>
      </w:r>
    </w:p>
    <w:p>
      <w:pPr>
        <w:spacing w:after="0" w:line="1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AMETEK, Inc.</w:t>
      </w:r>
    </w:p>
    <w:p>
      <w:pPr>
        <w:spacing w:after="0" w:line="5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(Exact name of registrant as specified in its charter)</w:t>
      </w:r>
    </w:p>
    <w:p>
      <w:pPr>
        <w:spacing w:after="0" w:line="11" w:lineRule="exact"/>
        <w:rPr>
          <w:sz w:val="24"/>
          <w:szCs w:val="24"/>
          <w:color w:val="auto"/>
        </w:rPr>
      </w:pPr>
    </w:p>
    <w:p>
      <w:pPr>
        <w:ind w:left="4540"/>
        <w:spacing w:after="0"/>
        <w:rPr>
          <w:sz w:val="20"/>
          <w:szCs w:val="20"/>
          <w:color w:val="auto"/>
        </w:rPr>
      </w:pPr>
      <w:r>
        <w:rPr>
          <w:rFonts w:ascii="Arial" w:cs="Arial" w:eastAsia="Arial" w:hAnsi="Arial"/>
          <w:sz w:val="22"/>
          <w:szCs w:val="22"/>
          <w:color w:val="auto"/>
        </w:rPr>
        <w:t>__________________</w:t>
      </w:r>
    </w:p>
    <w:p>
      <w:pPr>
        <w:spacing w:after="0" w:line="221" w:lineRule="exact"/>
        <w:rPr>
          <w:sz w:val="24"/>
          <w:szCs w:val="24"/>
          <w:color w:val="auto"/>
        </w:rPr>
      </w:pPr>
    </w:p>
    <w:tbl>
      <w:tblPr>
        <w:tblLayout w:type="fixed"/>
        <w:tblInd w:w="1260" w:type="dxa"/>
        <w:tblCellMar>
          <w:top w:w="0" w:type="dxa"/>
          <w:left w:w="0" w:type="dxa"/>
          <w:bottom w:w="0" w:type="dxa"/>
          <w:right w:w="0" w:type="dxa"/>
        </w:tblCellMar>
      </w:tblPr>
      <w:tr>
        <w:trPr>
          <w:trHeight w:val="238"/>
        </w:trPr>
        <w:tc>
          <w:tcPr>
            <w:tcW w:w="3200" w:type="dxa"/>
            <w:vAlign w:val="bottom"/>
          </w:tcPr>
          <w:p>
            <w:pPr>
              <w:jc w:val="center"/>
              <w:ind w:right="759"/>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2740" w:type="dxa"/>
            <w:vAlign w:val="bottom"/>
          </w:tcPr>
          <w:p>
            <w:pPr>
              <w:jc w:val="center"/>
              <w:ind w:right="182"/>
              <w:spacing w:after="0"/>
              <w:rPr>
                <w:sz w:val="20"/>
                <w:szCs w:val="20"/>
                <w:color w:val="auto"/>
              </w:rPr>
            </w:pPr>
            <w:r>
              <w:rPr>
                <w:rFonts w:ascii="Times New Roman" w:cs="Times New Roman" w:eastAsia="Times New Roman" w:hAnsi="Times New Roman"/>
                <w:sz w:val="18"/>
                <w:szCs w:val="18"/>
                <w:b w:val="1"/>
                <w:bCs w:val="1"/>
                <w:color w:val="auto"/>
                <w:w w:val="99"/>
              </w:rPr>
              <w:t>1-12981</w:t>
            </w:r>
          </w:p>
        </w:tc>
        <w:tc>
          <w:tcPr>
            <w:tcW w:w="2240" w:type="dxa"/>
            <w:vAlign w:val="bottom"/>
          </w:tcPr>
          <w:p>
            <w:pPr>
              <w:jc w:val="right"/>
              <w:ind w:right="61"/>
              <w:spacing w:after="0"/>
              <w:rPr>
                <w:sz w:val="20"/>
                <w:szCs w:val="20"/>
                <w:color w:val="auto"/>
              </w:rPr>
            </w:pPr>
            <w:r>
              <w:rPr>
                <w:rFonts w:ascii="Times New Roman" w:cs="Times New Roman" w:eastAsia="Times New Roman" w:hAnsi="Times New Roman"/>
                <w:sz w:val="18"/>
                <w:szCs w:val="18"/>
                <w:b w:val="1"/>
                <w:bCs w:val="1"/>
                <w:color w:val="auto"/>
              </w:rPr>
              <w:t>14-1682544</w:t>
            </w:r>
          </w:p>
        </w:tc>
      </w:tr>
      <w:tr>
        <w:trPr>
          <w:trHeight w:val="164"/>
        </w:trPr>
        <w:tc>
          <w:tcPr>
            <w:tcW w:w="3200" w:type="dxa"/>
            <w:vAlign w:val="bottom"/>
          </w:tcPr>
          <w:p>
            <w:pPr>
              <w:jc w:val="center"/>
              <w:ind w:right="759"/>
              <w:spacing w:after="0"/>
              <w:rPr>
                <w:sz w:val="20"/>
                <w:szCs w:val="20"/>
                <w:color w:val="auto"/>
              </w:rPr>
            </w:pPr>
            <w:r>
              <w:rPr>
                <w:rFonts w:ascii="Times New Roman" w:cs="Times New Roman" w:eastAsia="Times New Roman" w:hAnsi="Times New Roman"/>
                <w:sz w:val="14"/>
                <w:szCs w:val="14"/>
                <w:b w:val="1"/>
                <w:bCs w:val="1"/>
                <w:color w:val="auto"/>
              </w:rPr>
              <w:t>(State or other jurisdiction</w:t>
            </w:r>
          </w:p>
        </w:tc>
        <w:tc>
          <w:tcPr>
            <w:tcW w:w="2740" w:type="dxa"/>
            <w:vAlign w:val="bottom"/>
          </w:tcPr>
          <w:p>
            <w:pPr>
              <w:jc w:val="center"/>
              <w:ind w:right="202"/>
              <w:spacing w:after="0"/>
              <w:rPr>
                <w:sz w:val="20"/>
                <w:szCs w:val="20"/>
                <w:color w:val="auto"/>
              </w:rPr>
            </w:pPr>
            <w:r>
              <w:rPr>
                <w:rFonts w:ascii="Times New Roman" w:cs="Times New Roman" w:eastAsia="Times New Roman" w:hAnsi="Times New Roman"/>
                <w:sz w:val="14"/>
                <w:szCs w:val="14"/>
                <w:b w:val="1"/>
                <w:bCs w:val="1"/>
                <w:color w:val="auto"/>
              </w:rPr>
              <w:t>(Commission</w:t>
            </w:r>
          </w:p>
        </w:tc>
        <w:tc>
          <w:tcPr>
            <w:tcW w:w="2240" w:type="dxa"/>
            <w:vAlign w:val="bottom"/>
          </w:tcPr>
          <w:p>
            <w:pPr>
              <w:jc w:val="center"/>
              <w:ind w:left="1021"/>
              <w:spacing w:after="0"/>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3200" w:type="dxa"/>
            <w:vAlign w:val="bottom"/>
          </w:tcPr>
          <w:p>
            <w:pPr>
              <w:jc w:val="center"/>
              <w:ind w:right="739"/>
              <w:spacing w:after="0"/>
              <w:rPr>
                <w:sz w:val="20"/>
                <w:szCs w:val="20"/>
                <w:color w:val="auto"/>
              </w:rPr>
            </w:pPr>
            <w:r>
              <w:rPr>
                <w:rFonts w:ascii="Times New Roman" w:cs="Times New Roman" w:eastAsia="Times New Roman" w:hAnsi="Times New Roman"/>
                <w:sz w:val="14"/>
                <w:szCs w:val="14"/>
                <w:b w:val="1"/>
                <w:bCs w:val="1"/>
                <w:color w:val="auto"/>
              </w:rPr>
              <w:t>of incorporation)</w:t>
            </w:r>
          </w:p>
        </w:tc>
        <w:tc>
          <w:tcPr>
            <w:tcW w:w="2740" w:type="dxa"/>
            <w:vAlign w:val="bottom"/>
          </w:tcPr>
          <w:p>
            <w:pPr>
              <w:jc w:val="center"/>
              <w:ind w:right="202"/>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2240" w:type="dxa"/>
            <w:vAlign w:val="bottom"/>
          </w:tcPr>
          <w:p>
            <w:pPr>
              <w:jc w:val="center"/>
              <w:ind w:left="1021"/>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496"/>
        </w:trPr>
        <w:tc>
          <w:tcPr>
            <w:tcW w:w="3200" w:type="dxa"/>
            <w:vAlign w:val="bottom"/>
          </w:tcPr>
          <w:p>
            <w:pPr>
              <w:jc w:val="center"/>
              <w:ind w:right="739"/>
              <w:spacing w:after="0"/>
              <w:rPr>
                <w:sz w:val="20"/>
                <w:szCs w:val="20"/>
                <w:color w:val="auto"/>
              </w:rPr>
            </w:pPr>
            <w:r>
              <w:rPr>
                <w:rFonts w:ascii="Times New Roman" w:cs="Times New Roman" w:eastAsia="Times New Roman" w:hAnsi="Times New Roman"/>
                <w:sz w:val="18"/>
                <w:szCs w:val="18"/>
                <w:b w:val="1"/>
                <w:bCs w:val="1"/>
                <w:color w:val="auto"/>
                <w:w w:val="99"/>
              </w:rPr>
              <w:t>1100 Cassatt Road</w:t>
            </w:r>
          </w:p>
        </w:tc>
        <w:tc>
          <w:tcPr>
            <w:tcW w:w="2740" w:type="dxa"/>
            <w:vAlign w:val="bottom"/>
          </w:tcPr>
          <w:p>
            <w:pPr>
              <w:spacing w:after="0"/>
              <w:rPr>
                <w:sz w:val="24"/>
                <w:szCs w:val="24"/>
                <w:color w:val="auto"/>
              </w:rPr>
            </w:pPr>
          </w:p>
        </w:tc>
        <w:tc>
          <w:tcPr>
            <w:tcW w:w="2240" w:type="dxa"/>
            <w:vAlign w:val="bottom"/>
          </w:tcPr>
          <w:p>
            <w:pPr>
              <w:spacing w:after="0"/>
              <w:rPr>
                <w:sz w:val="24"/>
                <w:szCs w:val="24"/>
                <w:color w:val="auto"/>
              </w:rPr>
            </w:pPr>
          </w:p>
        </w:tc>
      </w:tr>
      <w:tr>
        <w:trPr>
          <w:trHeight w:val="286"/>
        </w:trPr>
        <w:tc>
          <w:tcPr>
            <w:tcW w:w="3200" w:type="dxa"/>
            <w:vAlign w:val="bottom"/>
          </w:tcPr>
          <w:p>
            <w:pPr>
              <w:ind w:left="540"/>
              <w:spacing w:after="0"/>
              <w:rPr>
                <w:sz w:val="20"/>
                <w:szCs w:val="20"/>
                <w:color w:val="auto"/>
              </w:rPr>
            </w:pPr>
            <w:r>
              <w:rPr>
                <w:rFonts w:ascii="Times New Roman" w:cs="Times New Roman" w:eastAsia="Times New Roman" w:hAnsi="Times New Roman"/>
                <w:sz w:val="18"/>
                <w:szCs w:val="18"/>
                <w:b w:val="1"/>
                <w:bCs w:val="1"/>
                <w:color w:val="auto"/>
              </w:rPr>
              <w:t>Berwyn, Pennsylvania</w:t>
            </w:r>
          </w:p>
        </w:tc>
        <w:tc>
          <w:tcPr>
            <w:tcW w:w="2740" w:type="dxa"/>
            <w:vAlign w:val="bottom"/>
          </w:tcPr>
          <w:p>
            <w:pPr>
              <w:spacing w:after="0"/>
              <w:rPr>
                <w:sz w:val="24"/>
                <w:szCs w:val="24"/>
                <w:color w:val="auto"/>
              </w:rPr>
            </w:pPr>
          </w:p>
        </w:tc>
        <w:tc>
          <w:tcPr>
            <w:tcW w:w="2240" w:type="dxa"/>
            <w:vAlign w:val="bottom"/>
          </w:tcPr>
          <w:p>
            <w:pPr>
              <w:jc w:val="right"/>
              <w:ind w:right="261"/>
              <w:spacing w:after="0"/>
              <w:rPr>
                <w:sz w:val="20"/>
                <w:szCs w:val="20"/>
                <w:color w:val="auto"/>
              </w:rPr>
            </w:pPr>
            <w:r>
              <w:rPr>
                <w:rFonts w:ascii="Times New Roman" w:cs="Times New Roman" w:eastAsia="Times New Roman" w:hAnsi="Times New Roman"/>
                <w:sz w:val="18"/>
                <w:szCs w:val="18"/>
                <w:b w:val="1"/>
                <w:bCs w:val="1"/>
                <w:color w:val="auto"/>
              </w:rPr>
              <w:t>19312</w:t>
            </w:r>
          </w:p>
        </w:tc>
      </w:tr>
      <w:tr>
        <w:trPr>
          <w:trHeight w:val="190"/>
        </w:trPr>
        <w:tc>
          <w:tcPr>
            <w:tcW w:w="3200" w:type="dxa"/>
            <w:vAlign w:val="bottom"/>
          </w:tcPr>
          <w:p>
            <w:pPr>
              <w:jc w:val="center"/>
              <w:ind w:right="739"/>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2740" w:type="dxa"/>
            <w:vAlign w:val="bottom"/>
          </w:tcPr>
          <w:p>
            <w:pPr>
              <w:spacing w:after="0"/>
              <w:rPr>
                <w:sz w:val="16"/>
                <w:szCs w:val="16"/>
                <w:color w:val="auto"/>
              </w:rPr>
            </w:pPr>
          </w:p>
        </w:tc>
        <w:tc>
          <w:tcPr>
            <w:tcW w:w="2240" w:type="dxa"/>
            <w:vAlign w:val="bottom"/>
          </w:tcPr>
          <w:p>
            <w:pPr>
              <w:jc w:val="center"/>
              <w:ind w:left="1021"/>
              <w:spacing w:after="0"/>
              <w:rPr>
                <w:sz w:val="20"/>
                <w:szCs w:val="20"/>
                <w:color w:val="auto"/>
              </w:rPr>
            </w:pPr>
            <w:r>
              <w:rPr>
                <w:rFonts w:ascii="Times New Roman" w:cs="Times New Roman" w:eastAsia="Times New Roman" w:hAnsi="Times New Roman"/>
                <w:sz w:val="14"/>
                <w:szCs w:val="14"/>
                <w:b w:val="1"/>
                <w:bCs w:val="1"/>
                <w:color w:val="auto"/>
              </w:rPr>
              <w:t>(Zip Code)</w:t>
            </w:r>
          </w:p>
        </w:tc>
      </w:tr>
    </w:tbl>
    <w:p>
      <w:pPr>
        <w:spacing w:after="0" w:line="17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 xml:space="preserve">Registrant’s telephone number, including area code: </w:t>
      </w:r>
      <w:r>
        <w:rPr>
          <w:rFonts w:ascii="Times New Roman" w:cs="Times New Roman" w:eastAsia="Times New Roman" w:hAnsi="Times New Roman"/>
          <w:sz w:val="17"/>
          <w:szCs w:val="17"/>
          <w:b w:val="1"/>
          <w:bCs w:val="1"/>
          <w:color w:val="auto"/>
        </w:rPr>
        <w:t>(610) 647-2121</w:t>
      </w:r>
    </w:p>
    <w:p>
      <w:pPr>
        <w:spacing w:after="0" w:line="19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11" w:lineRule="exact"/>
        <w:rPr>
          <w:sz w:val="24"/>
          <w:szCs w:val="24"/>
          <w:color w:val="auto"/>
        </w:rPr>
      </w:pPr>
    </w:p>
    <w:p>
      <w:pPr>
        <w:ind w:left="4540"/>
        <w:spacing w:after="0"/>
        <w:rPr>
          <w:sz w:val="20"/>
          <w:szCs w:val="20"/>
          <w:color w:val="auto"/>
        </w:rPr>
      </w:pPr>
      <w:r>
        <w:rPr>
          <w:rFonts w:ascii="Arial" w:cs="Arial" w:eastAsia="Arial" w:hAnsi="Arial"/>
          <w:sz w:val="22"/>
          <w:szCs w:val="22"/>
          <w:color w:val="auto"/>
        </w:rPr>
        <w:t>__________________</w:t>
      </w:r>
    </w:p>
    <w:p>
      <w:pPr>
        <w:spacing w:after="0" w:line="184"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Instructions A.2. below):</w:t>
      </w:r>
    </w:p>
    <w:p>
      <w:pPr>
        <w:spacing w:after="0" w:line="121" w:lineRule="exact"/>
        <w:rPr>
          <w:sz w:val="24"/>
          <w:szCs w:val="24"/>
          <w:color w:val="auto"/>
        </w:rPr>
      </w:pPr>
    </w:p>
    <w:p>
      <w:pPr>
        <w:ind w:left="340" w:hanging="333"/>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84" w:lineRule="exact"/>
        <w:rPr>
          <w:rFonts w:ascii="MS PGothic" w:cs="MS PGothic" w:eastAsia="MS PGothic" w:hAnsi="MS PGothic"/>
          <w:sz w:val="18"/>
          <w:szCs w:val="18"/>
          <w:color w:val="auto"/>
        </w:rPr>
      </w:pPr>
    </w:p>
    <w:p>
      <w:pPr>
        <w:ind w:left="340" w:hanging="333"/>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98" w:lineRule="exact"/>
        <w:rPr>
          <w:rFonts w:ascii="MS PGothic" w:cs="MS PGothic" w:eastAsia="MS PGothic" w:hAnsi="MS PGothic"/>
          <w:sz w:val="18"/>
          <w:szCs w:val="18"/>
          <w:color w:val="auto"/>
        </w:rPr>
      </w:pPr>
    </w:p>
    <w:p>
      <w:pPr>
        <w:ind w:left="340" w:hanging="333"/>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84" w:lineRule="exact"/>
        <w:rPr>
          <w:rFonts w:ascii="MS PGothic" w:cs="MS PGothic" w:eastAsia="MS PGothic" w:hAnsi="MS PGothic"/>
          <w:sz w:val="18"/>
          <w:szCs w:val="18"/>
          <w:color w:val="auto"/>
        </w:rPr>
      </w:pPr>
    </w:p>
    <w:p>
      <w:pPr>
        <w:ind w:left="340" w:hanging="333"/>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329" w:lineRule="exact"/>
        <w:rPr>
          <w:sz w:val="24"/>
          <w:szCs w:val="24"/>
          <w:color w:val="auto"/>
        </w:rPr>
      </w:pPr>
    </w:p>
    <w:tbl>
      <w:tblPr>
        <w:tblLayout w:type="fixed"/>
        <w:tblInd w:w="0" w:type="dxa"/>
        <w:tblCellMar>
          <w:top w:w="0" w:type="dxa"/>
          <w:left w:w="0" w:type="dxa"/>
          <w:bottom w:w="0" w:type="dxa"/>
          <w:right w:w="0" w:type="dxa"/>
        </w:tblCellMar>
      </w:tblPr>
      <w:tr>
        <w:trPr>
          <w:trHeight w:val="188"/>
        </w:trPr>
        <w:tc>
          <w:tcPr>
            <w:tcW w:w="3460" w:type="dxa"/>
            <w:vAlign w:val="bottom"/>
          </w:tcPr>
          <w:p>
            <w:pPr>
              <w:spacing w:after="0"/>
              <w:rPr>
                <w:sz w:val="16"/>
                <w:szCs w:val="16"/>
                <w:color w:val="auto"/>
              </w:rPr>
            </w:pPr>
          </w:p>
        </w:tc>
        <w:tc>
          <w:tcPr>
            <w:tcW w:w="4320" w:type="dxa"/>
            <w:vAlign w:val="bottom"/>
            <w:gridSpan w:val="3"/>
          </w:tcPr>
          <w:p>
            <w:pPr>
              <w:ind w:left="280"/>
              <w:spacing w:after="0"/>
              <w:rPr>
                <w:sz w:val="20"/>
                <w:szCs w:val="20"/>
                <w:color w:val="auto"/>
              </w:rPr>
            </w:pPr>
            <w:r>
              <w:rPr>
                <w:rFonts w:ascii="Times New Roman" w:cs="Times New Roman" w:eastAsia="Times New Roman" w:hAnsi="Times New Roman"/>
                <w:sz w:val="14"/>
                <w:szCs w:val="14"/>
                <w:color w:val="auto"/>
              </w:rPr>
              <w:t>Securities registered pursuant to Section 12(b) of the Act:</w:t>
            </w:r>
          </w:p>
        </w:tc>
        <w:tc>
          <w:tcPr>
            <w:tcW w:w="3460" w:type="dxa"/>
            <w:vAlign w:val="bottom"/>
          </w:tcPr>
          <w:p>
            <w:pPr>
              <w:spacing w:after="0"/>
              <w:rPr>
                <w:sz w:val="16"/>
                <w:szCs w:val="16"/>
                <w:color w:val="auto"/>
              </w:rPr>
            </w:pPr>
          </w:p>
        </w:tc>
      </w:tr>
      <w:tr>
        <w:trPr>
          <w:trHeight w:val="216"/>
        </w:trPr>
        <w:tc>
          <w:tcPr>
            <w:tcW w:w="34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Title of each class</w:t>
            </w:r>
          </w:p>
        </w:tc>
        <w:tc>
          <w:tcPr>
            <w:tcW w:w="420" w:type="dxa"/>
            <w:vAlign w:val="bottom"/>
          </w:tcPr>
          <w:p>
            <w:pPr>
              <w:spacing w:after="0"/>
              <w:rPr>
                <w:sz w:val="18"/>
                <w:szCs w:val="18"/>
                <w:color w:val="auto"/>
              </w:rPr>
            </w:pPr>
          </w:p>
        </w:tc>
        <w:tc>
          <w:tcPr>
            <w:tcW w:w="3900" w:type="dxa"/>
            <w:vAlign w:val="bottom"/>
            <w:gridSpan w:val="2"/>
          </w:tcPr>
          <w:p>
            <w:pPr>
              <w:jc w:val="center"/>
              <w:ind w:right="440"/>
              <w:spacing w:after="0"/>
              <w:rPr>
                <w:sz w:val="20"/>
                <w:szCs w:val="20"/>
                <w:color w:val="auto"/>
              </w:rPr>
            </w:pPr>
            <w:r>
              <w:rPr>
                <w:rFonts w:ascii="Times New Roman" w:cs="Times New Roman" w:eastAsia="Times New Roman" w:hAnsi="Times New Roman"/>
                <w:sz w:val="14"/>
                <w:szCs w:val="14"/>
                <w:color w:val="auto"/>
              </w:rPr>
              <w:t>Trading symbol(s)</w:t>
            </w:r>
          </w:p>
        </w:tc>
        <w:tc>
          <w:tcPr>
            <w:tcW w:w="34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Name of each exchange on which registered</w:t>
            </w:r>
          </w:p>
        </w:tc>
      </w:tr>
      <w:tr>
        <w:trPr>
          <w:trHeight w:val="24"/>
        </w:trPr>
        <w:tc>
          <w:tcPr>
            <w:tcW w:w="3460" w:type="dxa"/>
            <w:vAlign w:val="bottom"/>
            <w:tcBorders>
              <w:bottom w:val="single" w:sz="8" w:color="auto"/>
            </w:tcBorders>
          </w:tcPr>
          <w:p>
            <w:pPr>
              <w:spacing w:after="0"/>
              <w:rPr>
                <w:sz w:val="2"/>
                <w:szCs w:val="2"/>
                <w:color w:val="auto"/>
              </w:rPr>
            </w:pPr>
          </w:p>
        </w:tc>
        <w:tc>
          <w:tcPr>
            <w:tcW w:w="420" w:type="dxa"/>
            <w:vAlign w:val="bottom"/>
          </w:tcPr>
          <w:p>
            <w:pPr>
              <w:spacing w:after="0"/>
              <w:rPr>
                <w:sz w:val="2"/>
                <w:szCs w:val="2"/>
                <w:color w:val="auto"/>
              </w:rPr>
            </w:pPr>
          </w:p>
        </w:tc>
        <w:tc>
          <w:tcPr>
            <w:tcW w:w="3460" w:type="dxa"/>
            <w:vAlign w:val="bottom"/>
            <w:tcBorders>
              <w:bottom w:val="single" w:sz="8" w:color="auto"/>
            </w:tcBorders>
          </w:tcPr>
          <w:p>
            <w:pPr>
              <w:spacing w:after="0"/>
              <w:rPr>
                <w:sz w:val="2"/>
                <w:szCs w:val="2"/>
                <w:color w:val="auto"/>
              </w:rPr>
            </w:pPr>
          </w:p>
        </w:tc>
        <w:tc>
          <w:tcPr>
            <w:tcW w:w="440" w:type="dxa"/>
            <w:vAlign w:val="bottom"/>
          </w:tcPr>
          <w:p>
            <w:pPr>
              <w:spacing w:after="0"/>
              <w:rPr>
                <w:sz w:val="2"/>
                <w:szCs w:val="2"/>
                <w:color w:val="auto"/>
              </w:rPr>
            </w:pPr>
          </w:p>
        </w:tc>
        <w:tc>
          <w:tcPr>
            <w:tcW w:w="3460" w:type="dxa"/>
            <w:vAlign w:val="bottom"/>
            <w:tcBorders>
              <w:bottom w:val="single" w:sz="8" w:color="auto"/>
            </w:tcBorders>
          </w:tcPr>
          <w:p>
            <w:pPr>
              <w:spacing w:after="0"/>
              <w:rPr>
                <w:sz w:val="2"/>
                <w:szCs w:val="2"/>
                <w:color w:val="auto"/>
              </w:rPr>
            </w:pPr>
          </w:p>
        </w:tc>
      </w:tr>
      <w:tr>
        <w:trPr>
          <w:trHeight w:val="206"/>
        </w:trPr>
        <w:tc>
          <w:tcPr>
            <w:tcW w:w="34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Common Stock, $0.01 Par Value (voting)</w:t>
            </w:r>
          </w:p>
        </w:tc>
        <w:tc>
          <w:tcPr>
            <w:tcW w:w="420" w:type="dxa"/>
            <w:vAlign w:val="bottom"/>
          </w:tcPr>
          <w:p>
            <w:pPr>
              <w:spacing w:after="0"/>
              <w:rPr>
                <w:sz w:val="17"/>
                <w:szCs w:val="17"/>
                <w:color w:val="auto"/>
              </w:rPr>
            </w:pPr>
          </w:p>
        </w:tc>
        <w:tc>
          <w:tcPr>
            <w:tcW w:w="34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AME</w:t>
            </w:r>
          </w:p>
        </w:tc>
        <w:tc>
          <w:tcPr>
            <w:tcW w:w="440" w:type="dxa"/>
            <w:vAlign w:val="bottom"/>
          </w:tcPr>
          <w:p>
            <w:pPr>
              <w:spacing w:after="0"/>
              <w:rPr>
                <w:sz w:val="17"/>
                <w:szCs w:val="17"/>
                <w:color w:val="auto"/>
              </w:rPr>
            </w:pPr>
          </w:p>
        </w:tc>
        <w:tc>
          <w:tcPr>
            <w:tcW w:w="34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New York Stock Exchange</w:t>
            </w:r>
          </w:p>
        </w:tc>
      </w:tr>
    </w:tbl>
    <w:p>
      <w:pPr>
        <w:spacing w:after="0" w:line="161" w:lineRule="exact"/>
        <w:rPr>
          <w:sz w:val="24"/>
          <w:szCs w:val="24"/>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80"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39" w:lineRule="exact"/>
        <w:rPr>
          <w:sz w:val="24"/>
          <w:szCs w:val="24"/>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444500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3"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663575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629285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t>Item 5.07 Submission of Matters to a Vote of Security Holders.</w:t>
      </w:r>
    </w:p>
    <w:p>
      <w:pPr>
        <w:spacing w:after="0" w:line="256"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The Annual Meeting of Stockholders of AMETEK, Inc. (the “Company”) was held on May 7, 2026. The following matters were voted on at the Annual Meeting and received the number of votes indicated:</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1) </w:t>
      </w:r>
      <w:r>
        <w:rPr>
          <w:rFonts w:ascii="Times New Roman" w:cs="Times New Roman" w:eastAsia="Times New Roman" w:hAnsi="Times New Roman"/>
          <w:sz w:val="18"/>
          <w:szCs w:val="18"/>
          <w:u w:val="single" w:color="auto"/>
          <w:color w:val="auto"/>
        </w:rPr>
        <w:t>Election of Directors.</w:t>
      </w:r>
      <w:r>
        <w:rPr>
          <w:rFonts w:ascii="Times New Roman" w:cs="Times New Roman" w:eastAsia="Times New Roman" w:hAnsi="Times New Roman"/>
          <w:sz w:val="18"/>
          <w:szCs w:val="18"/>
          <w:color w:val="auto"/>
        </w:rPr>
        <w:t xml:space="preserve"> The following nominees were elected to the Board of Directors for a term expiring in 2029:</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32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Nominee</w:t>
            </w:r>
          </w:p>
        </w:tc>
        <w:tc>
          <w:tcPr>
            <w:tcW w:w="2900" w:type="dxa"/>
            <w:vAlign w:val="bottom"/>
            <w:gridSpan w:val="3"/>
          </w:tcPr>
          <w:p>
            <w:pPr>
              <w:jc w:val="center"/>
              <w:ind w:left="1270"/>
              <w:spacing w:after="0"/>
              <w:rPr>
                <w:sz w:val="20"/>
                <w:szCs w:val="20"/>
                <w:color w:val="auto"/>
              </w:rPr>
            </w:pPr>
            <w:r>
              <w:rPr>
                <w:rFonts w:ascii="Times New Roman" w:cs="Times New Roman" w:eastAsia="Times New Roman" w:hAnsi="Times New Roman"/>
                <w:sz w:val="18"/>
                <w:szCs w:val="18"/>
                <w:b w:val="1"/>
                <w:bCs w:val="1"/>
                <w:color w:val="auto"/>
                <w:w w:val="97"/>
              </w:rPr>
              <w:t>Votes For</w:t>
            </w:r>
          </w:p>
        </w:tc>
        <w:tc>
          <w:tcPr>
            <w:tcW w:w="2120" w:type="dxa"/>
            <w:vAlign w:val="bottom"/>
            <w:gridSpan w:val="3"/>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7"/>
              </w:rPr>
              <w:t>Votes Against</w:t>
            </w:r>
          </w:p>
        </w:tc>
        <w:tc>
          <w:tcPr>
            <w:tcW w:w="9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Abstain</w:t>
            </w:r>
          </w:p>
        </w:tc>
        <w:tc>
          <w:tcPr>
            <w:tcW w:w="2020" w:type="dxa"/>
            <w:vAlign w:val="bottom"/>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Broker Non-Votes</w:t>
            </w:r>
          </w:p>
        </w:tc>
      </w:tr>
      <w:tr>
        <w:trPr>
          <w:trHeight w:val="20"/>
        </w:trPr>
        <w:tc>
          <w:tcPr>
            <w:tcW w:w="20" w:type="dxa"/>
            <w:vAlign w:val="bottom"/>
          </w:tcPr>
          <w:p>
            <w:pPr>
              <w:spacing w:after="0" w:line="20" w:lineRule="exact"/>
              <w:rPr>
                <w:sz w:val="1"/>
                <w:szCs w:val="1"/>
                <w:color w:val="auto"/>
              </w:rPr>
            </w:pPr>
          </w:p>
        </w:tc>
        <w:tc>
          <w:tcPr>
            <w:tcW w:w="680" w:type="dxa"/>
            <w:vAlign w:val="bottom"/>
            <w:tcBorders>
              <w:top w:val="single" w:sz="8" w:color="auto"/>
            </w:tcBorders>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720" w:type="dxa"/>
            <w:vAlign w:val="bottom"/>
            <w:tcBorders>
              <w:top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40" w:type="dxa"/>
            <w:vAlign w:val="bottom"/>
            <w:tcBorders>
              <w:top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00" w:type="dxa"/>
            <w:vAlign w:val="bottom"/>
            <w:tcBorders>
              <w:top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380" w:type="dxa"/>
            <w:vAlign w:val="bottom"/>
            <w:tcBorders>
              <w:top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3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Thomas A. Amato</w:t>
            </w:r>
          </w:p>
        </w:tc>
        <w:tc>
          <w:tcPr>
            <w:tcW w:w="2900" w:type="dxa"/>
            <w:vAlign w:val="bottom"/>
            <w:gridSpan w:val="3"/>
            <w:shd w:val="clear" w:color="auto" w:fill="CCEEFF"/>
          </w:tcPr>
          <w:p>
            <w:pPr>
              <w:jc w:val="center"/>
              <w:ind w:left="1270"/>
              <w:spacing w:after="0"/>
              <w:rPr>
                <w:sz w:val="20"/>
                <w:szCs w:val="20"/>
                <w:color w:val="auto"/>
              </w:rPr>
            </w:pPr>
            <w:r>
              <w:rPr>
                <w:rFonts w:ascii="Times New Roman" w:cs="Times New Roman" w:eastAsia="Times New Roman" w:hAnsi="Times New Roman"/>
                <w:sz w:val="18"/>
                <w:szCs w:val="18"/>
                <w:color w:val="auto"/>
                <w:w w:val="99"/>
              </w:rPr>
              <w:t>182,796,796</w:t>
            </w:r>
          </w:p>
        </w:tc>
        <w:tc>
          <w:tcPr>
            <w:tcW w:w="1380" w:type="dxa"/>
            <w:vAlign w:val="bottom"/>
            <w:gridSpan w:val="2"/>
            <w:shd w:val="clear" w:color="auto" w:fill="CCEEFF"/>
          </w:tcPr>
          <w:p>
            <w:pPr>
              <w:jc w:val="center"/>
              <w:ind w:left="250"/>
              <w:spacing w:after="0"/>
              <w:rPr>
                <w:sz w:val="20"/>
                <w:szCs w:val="20"/>
                <w:color w:val="auto"/>
              </w:rPr>
            </w:pPr>
            <w:r>
              <w:rPr>
                <w:rFonts w:ascii="Times New Roman" w:cs="Times New Roman" w:eastAsia="Times New Roman" w:hAnsi="Times New Roman"/>
                <w:sz w:val="18"/>
                <w:szCs w:val="18"/>
                <w:color w:val="auto"/>
                <w:w w:val="98"/>
              </w:rPr>
              <w:t>11,986,624</w:t>
            </w:r>
          </w:p>
        </w:tc>
        <w:tc>
          <w:tcPr>
            <w:tcW w:w="740" w:type="dxa"/>
            <w:vAlign w:val="bottom"/>
            <w:shd w:val="clear" w:color="auto" w:fill="CCEEFF"/>
          </w:tcPr>
          <w:p>
            <w:pPr>
              <w:spacing w:after="0"/>
              <w:rPr>
                <w:sz w:val="19"/>
                <w:szCs w:val="19"/>
                <w:color w:val="auto"/>
              </w:rPr>
            </w:pPr>
          </w:p>
        </w:tc>
        <w:tc>
          <w:tcPr>
            <w:tcW w:w="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81,927</w:t>
            </w:r>
          </w:p>
        </w:tc>
        <w:tc>
          <w:tcPr>
            <w:tcW w:w="340" w:type="dxa"/>
            <w:vAlign w:val="bottom"/>
            <w:shd w:val="clear" w:color="auto" w:fill="CCEEFF"/>
          </w:tcPr>
          <w:p>
            <w:pPr>
              <w:spacing w:after="0"/>
              <w:rPr>
                <w:sz w:val="19"/>
                <w:szCs w:val="19"/>
                <w:color w:val="auto"/>
              </w:rPr>
            </w:pPr>
          </w:p>
        </w:tc>
        <w:tc>
          <w:tcPr>
            <w:tcW w:w="1720" w:type="dxa"/>
            <w:vAlign w:val="bottom"/>
            <w:gridSpan w:val="2"/>
            <w:shd w:val="clear" w:color="auto" w:fill="CCEEFF"/>
          </w:tcPr>
          <w:p>
            <w:pPr>
              <w:jc w:val="center"/>
              <w:ind w:left="230"/>
              <w:spacing w:after="0"/>
              <w:rPr>
                <w:sz w:val="20"/>
                <w:szCs w:val="20"/>
                <w:color w:val="auto"/>
              </w:rPr>
            </w:pPr>
            <w:r>
              <w:rPr>
                <w:rFonts w:ascii="Times New Roman" w:cs="Times New Roman" w:eastAsia="Times New Roman" w:hAnsi="Times New Roman"/>
                <w:sz w:val="18"/>
                <w:szCs w:val="18"/>
                <w:color w:val="auto"/>
                <w:w w:val="99"/>
              </w:rPr>
              <w:t>9,932,025</w:t>
            </w:r>
          </w:p>
        </w:tc>
        <w:tc>
          <w:tcPr>
            <w:tcW w:w="300" w:type="dxa"/>
            <w:vAlign w:val="bottom"/>
            <w:shd w:val="clear" w:color="auto" w:fill="CCEEFF"/>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3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Anthony J. Conti</w:t>
            </w:r>
          </w:p>
        </w:tc>
        <w:tc>
          <w:tcPr>
            <w:tcW w:w="2900" w:type="dxa"/>
            <w:vAlign w:val="bottom"/>
            <w:gridSpan w:val="3"/>
          </w:tcPr>
          <w:p>
            <w:pPr>
              <w:jc w:val="center"/>
              <w:ind w:left="1270"/>
              <w:spacing w:after="0"/>
              <w:rPr>
                <w:sz w:val="20"/>
                <w:szCs w:val="20"/>
                <w:color w:val="auto"/>
              </w:rPr>
            </w:pPr>
            <w:r>
              <w:rPr>
                <w:rFonts w:ascii="Times New Roman" w:cs="Times New Roman" w:eastAsia="Times New Roman" w:hAnsi="Times New Roman"/>
                <w:sz w:val="18"/>
                <w:szCs w:val="18"/>
                <w:color w:val="auto"/>
                <w:w w:val="99"/>
              </w:rPr>
              <w:t>174,230,378</w:t>
            </w:r>
          </w:p>
        </w:tc>
        <w:tc>
          <w:tcPr>
            <w:tcW w:w="1380" w:type="dxa"/>
            <w:vAlign w:val="bottom"/>
            <w:gridSpan w:val="2"/>
          </w:tcPr>
          <w:p>
            <w:pPr>
              <w:jc w:val="center"/>
              <w:ind w:left="250"/>
              <w:spacing w:after="0"/>
              <w:rPr>
                <w:sz w:val="20"/>
                <w:szCs w:val="20"/>
                <w:color w:val="auto"/>
              </w:rPr>
            </w:pPr>
            <w:r>
              <w:rPr>
                <w:rFonts w:ascii="Times New Roman" w:cs="Times New Roman" w:eastAsia="Times New Roman" w:hAnsi="Times New Roman"/>
                <w:sz w:val="18"/>
                <w:szCs w:val="18"/>
                <w:color w:val="auto"/>
                <w:w w:val="98"/>
              </w:rPr>
              <w:t>19,682,080</w:t>
            </w:r>
          </w:p>
        </w:tc>
        <w:tc>
          <w:tcPr>
            <w:tcW w:w="740" w:type="dxa"/>
            <w:vAlign w:val="bottom"/>
          </w:tcPr>
          <w:p>
            <w:pPr>
              <w:spacing w:after="0"/>
              <w:rPr>
                <w:sz w:val="19"/>
                <w:szCs w:val="19"/>
                <w:color w:val="auto"/>
              </w:rPr>
            </w:pPr>
          </w:p>
        </w:tc>
        <w:tc>
          <w:tcPr>
            <w:tcW w:w="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952,889</w:t>
            </w:r>
          </w:p>
        </w:tc>
        <w:tc>
          <w:tcPr>
            <w:tcW w:w="340" w:type="dxa"/>
            <w:vAlign w:val="bottom"/>
          </w:tcPr>
          <w:p>
            <w:pPr>
              <w:spacing w:after="0"/>
              <w:rPr>
                <w:sz w:val="19"/>
                <w:szCs w:val="19"/>
                <w:color w:val="auto"/>
              </w:rPr>
            </w:pPr>
          </w:p>
        </w:tc>
        <w:tc>
          <w:tcPr>
            <w:tcW w:w="1720" w:type="dxa"/>
            <w:vAlign w:val="bottom"/>
            <w:gridSpan w:val="2"/>
          </w:tcPr>
          <w:p>
            <w:pPr>
              <w:jc w:val="center"/>
              <w:ind w:left="230"/>
              <w:spacing w:after="0"/>
              <w:rPr>
                <w:sz w:val="20"/>
                <w:szCs w:val="20"/>
                <w:color w:val="auto"/>
              </w:rPr>
            </w:pPr>
            <w:r>
              <w:rPr>
                <w:rFonts w:ascii="Times New Roman" w:cs="Times New Roman" w:eastAsia="Times New Roman" w:hAnsi="Times New Roman"/>
                <w:sz w:val="18"/>
                <w:szCs w:val="18"/>
                <w:color w:val="auto"/>
                <w:w w:val="99"/>
              </w:rPr>
              <w:t>9,932,025</w:t>
            </w:r>
          </w:p>
        </w:tc>
        <w:tc>
          <w:tcPr>
            <w:tcW w:w="300" w:type="dxa"/>
            <w:vAlign w:val="bottom"/>
          </w:tcPr>
          <w:p>
            <w:pPr>
              <w:spacing w:after="0"/>
              <w:rPr>
                <w:sz w:val="19"/>
                <w:szCs w:val="19"/>
                <w:color w:val="auto"/>
              </w:rPr>
            </w:pPr>
          </w:p>
        </w:tc>
      </w:tr>
      <w:tr>
        <w:trPr>
          <w:trHeight w:val="229"/>
        </w:trPr>
        <w:tc>
          <w:tcPr>
            <w:tcW w:w="20" w:type="dxa"/>
            <w:vAlign w:val="bottom"/>
            <w:shd w:val="clear" w:color="auto" w:fill="CCEEFF"/>
          </w:tcPr>
          <w:p>
            <w:pPr>
              <w:spacing w:after="0"/>
              <w:rPr>
                <w:sz w:val="19"/>
                <w:szCs w:val="19"/>
                <w:color w:val="auto"/>
              </w:rPr>
            </w:pPr>
          </w:p>
        </w:tc>
        <w:tc>
          <w:tcPr>
            <w:tcW w:w="3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Gretchen W. McClain</w:t>
            </w:r>
          </w:p>
        </w:tc>
        <w:tc>
          <w:tcPr>
            <w:tcW w:w="2900" w:type="dxa"/>
            <w:vAlign w:val="bottom"/>
            <w:gridSpan w:val="3"/>
            <w:shd w:val="clear" w:color="auto" w:fill="CCEEFF"/>
          </w:tcPr>
          <w:p>
            <w:pPr>
              <w:jc w:val="center"/>
              <w:ind w:left="1270"/>
              <w:spacing w:after="0"/>
              <w:rPr>
                <w:sz w:val="20"/>
                <w:szCs w:val="20"/>
                <w:color w:val="auto"/>
              </w:rPr>
            </w:pPr>
            <w:r>
              <w:rPr>
                <w:rFonts w:ascii="Times New Roman" w:cs="Times New Roman" w:eastAsia="Times New Roman" w:hAnsi="Times New Roman"/>
                <w:sz w:val="18"/>
                <w:szCs w:val="18"/>
                <w:color w:val="auto"/>
                <w:w w:val="99"/>
              </w:rPr>
              <w:t>168,186,398</w:t>
            </w:r>
          </w:p>
        </w:tc>
        <w:tc>
          <w:tcPr>
            <w:tcW w:w="1380" w:type="dxa"/>
            <w:vAlign w:val="bottom"/>
            <w:gridSpan w:val="2"/>
            <w:shd w:val="clear" w:color="auto" w:fill="CCEEFF"/>
          </w:tcPr>
          <w:p>
            <w:pPr>
              <w:jc w:val="center"/>
              <w:ind w:left="250"/>
              <w:spacing w:after="0"/>
              <w:rPr>
                <w:sz w:val="20"/>
                <w:szCs w:val="20"/>
                <w:color w:val="auto"/>
              </w:rPr>
            </w:pPr>
            <w:r>
              <w:rPr>
                <w:rFonts w:ascii="Times New Roman" w:cs="Times New Roman" w:eastAsia="Times New Roman" w:hAnsi="Times New Roman"/>
                <w:sz w:val="18"/>
                <w:szCs w:val="18"/>
                <w:color w:val="auto"/>
                <w:w w:val="98"/>
              </w:rPr>
              <w:t>25,727,604</w:t>
            </w:r>
          </w:p>
        </w:tc>
        <w:tc>
          <w:tcPr>
            <w:tcW w:w="740" w:type="dxa"/>
            <w:vAlign w:val="bottom"/>
            <w:shd w:val="clear" w:color="auto" w:fill="CCEEFF"/>
          </w:tcPr>
          <w:p>
            <w:pPr>
              <w:spacing w:after="0"/>
              <w:rPr>
                <w:sz w:val="19"/>
                <w:szCs w:val="19"/>
                <w:color w:val="auto"/>
              </w:rPr>
            </w:pPr>
          </w:p>
        </w:tc>
        <w:tc>
          <w:tcPr>
            <w:tcW w:w="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951,345</w:t>
            </w:r>
          </w:p>
        </w:tc>
        <w:tc>
          <w:tcPr>
            <w:tcW w:w="340" w:type="dxa"/>
            <w:vAlign w:val="bottom"/>
            <w:shd w:val="clear" w:color="auto" w:fill="CCEEFF"/>
          </w:tcPr>
          <w:p>
            <w:pPr>
              <w:spacing w:after="0"/>
              <w:rPr>
                <w:sz w:val="19"/>
                <w:szCs w:val="19"/>
                <w:color w:val="auto"/>
              </w:rPr>
            </w:pPr>
          </w:p>
        </w:tc>
        <w:tc>
          <w:tcPr>
            <w:tcW w:w="1720" w:type="dxa"/>
            <w:vAlign w:val="bottom"/>
            <w:gridSpan w:val="2"/>
            <w:shd w:val="clear" w:color="auto" w:fill="CCEEFF"/>
          </w:tcPr>
          <w:p>
            <w:pPr>
              <w:jc w:val="center"/>
              <w:ind w:left="230"/>
              <w:spacing w:after="0"/>
              <w:rPr>
                <w:sz w:val="20"/>
                <w:szCs w:val="20"/>
                <w:color w:val="auto"/>
              </w:rPr>
            </w:pPr>
            <w:r>
              <w:rPr>
                <w:rFonts w:ascii="Times New Roman" w:cs="Times New Roman" w:eastAsia="Times New Roman" w:hAnsi="Times New Roman"/>
                <w:sz w:val="18"/>
                <w:szCs w:val="18"/>
                <w:color w:val="auto"/>
                <w:w w:val="99"/>
              </w:rPr>
              <w:t>9,932,025</w:t>
            </w:r>
          </w:p>
        </w:tc>
        <w:tc>
          <w:tcPr>
            <w:tcW w:w="300" w:type="dxa"/>
            <w:vAlign w:val="bottom"/>
            <w:shd w:val="clear" w:color="auto" w:fill="CCEEFF"/>
          </w:tcPr>
          <w:p>
            <w:pPr>
              <w:spacing w:after="0"/>
              <w:rPr>
                <w:sz w:val="19"/>
                <w:szCs w:val="19"/>
                <w:color w:val="auto"/>
              </w:rPr>
            </w:pPr>
          </w:p>
        </w:tc>
      </w:tr>
    </w:tbl>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the remaining five Board members, Tod E. Carpenter, Karleen M. Oberton, and Suzanne L. Stefany terms expire in 2027. Dean Seavers and David 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Zapico terms expire in 2028.</w:t>
      </w:r>
    </w:p>
    <w:p>
      <w:pPr>
        <w:spacing w:after="0" w:line="234" w:lineRule="exact"/>
        <w:rPr>
          <w:sz w:val="20"/>
          <w:szCs w:val="20"/>
          <w:color w:val="auto"/>
        </w:rPr>
      </w:pPr>
    </w:p>
    <w:p>
      <w:pPr>
        <w:ind w:right="280" w:firstLine="8"/>
        <w:spacing w:after="0" w:line="282" w:lineRule="auto"/>
        <w:tabs>
          <w:tab w:leader="none" w:pos="19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Advisory Approval of the Company’s Executive Compensation.</w:t>
      </w:r>
      <w:r>
        <w:rPr>
          <w:rFonts w:ascii="Times New Roman" w:cs="Times New Roman" w:eastAsia="Times New Roman" w:hAnsi="Times New Roman"/>
          <w:sz w:val="18"/>
          <w:szCs w:val="18"/>
          <w:color w:val="auto"/>
        </w:rPr>
        <w:t xml:space="preserve"> The stockholders approved, on an advisory (non-binding) basis, the compensation of certain executive officers. The result of the vote was as follows: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700" w:type="dxa"/>
            <w:vAlign w:val="bottom"/>
            <w:gridSpan w:val="3"/>
          </w:tcPr>
          <w:p>
            <w:pPr>
              <w:jc w:val="center"/>
              <w:ind w:right="40"/>
              <w:spacing w:after="0"/>
              <w:rPr>
                <w:sz w:val="20"/>
                <w:szCs w:val="20"/>
                <w:color w:val="auto"/>
              </w:rPr>
            </w:pPr>
            <w:r>
              <w:rPr>
                <w:rFonts w:ascii="Times New Roman" w:cs="Times New Roman" w:eastAsia="Times New Roman" w:hAnsi="Times New Roman"/>
                <w:sz w:val="18"/>
                <w:szCs w:val="18"/>
                <w:b w:val="1"/>
                <w:bCs w:val="1"/>
                <w:color w:val="auto"/>
                <w:w w:val="97"/>
              </w:rPr>
              <w:t>Votes For</w:t>
            </w:r>
          </w:p>
        </w:tc>
        <w:tc>
          <w:tcPr>
            <w:tcW w:w="3960" w:type="dxa"/>
            <w:vAlign w:val="bottom"/>
            <w:gridSpan w:val="3"/>
          </w:tcPr>
          <w:p>
            <w:pPr>
              <w:jc w:val="center"/>
              <w:ind w:right="1080"/>
              <w:spacing w:after="0"/>
              <w:rPr>
                <w:sz w:val="20"/>
                <w:szCs w:val="20"/>
                <w:color w:val="auto"/>
              </w:rPr>
            </w:pPr>
            <w:r>
              <w:rPr>
                <w:rFonts w:ascii="Times New Roman" w:cs="Times New Roman" w:eastAsia="Times New Roman" w:hAnsi="Times New Roman"/>
                <w:sz w:val="18"/>
                <w:szCs w:val="18"/>
                <w:b w:val="1"/>
                <w:bCs w:val="1"/>
                <w:color w:val="auto"/>
                <w:w w:val="97"/>
              </w:rPr>
              <w:t>Votes Against</w:t>
            </w:r>
          </w:p>
        </w:tc>
        <w:tc>
          <w:tcPr>
            <w:tcW w:w="15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Abstain</w:t>
            </w:r>
          </w:p>
        </w:tc>
        <w:tc>
          <w:tcPr>
            <w:tcW w:w="3040" w:type="dxa"/>
            <w:vAlign w:val="bottom"/>
            <w:gridSpan w:val="3"/>
          </w:tcPr>
          <w:p>
            <w:pPr>
              <w:jc w:val="center"/>
              <w:ind w:left="130"/>
              <w:spacing w:after="0"/>
              <w:rPr>
                <w:sz w:val="20"/>
                <w:szCs w:val="20"/>
                <w:color w:val="auto"/>
              </w:rPr>
            </w:pPr>
            <w:r>
              <w:rPr>
                <w:rFonts w:ascii="Times New Roman" w:cs="Times New Roman" w:eastAsia="Times New Roman" w:hAnsi="Times New Roman"/>
                <w:sz w:val="18"/>
                <w:szCs w:val="18"/>
                <w:b w:val="1"/>
                <w:bCs w:val="1"/>
                <w:color w:val="auto"/>
                <w:w w:val="98"/>
              </w:rPr>
              <w:t>Broker Non-Votes</w:t>
            </w:r>
          </w:p>
        </w:tc>
      </w:tr>
      <w:tr>
        <w:trPr>
          <w:trHeight w:val="21"/>
        </w:trPr>
        <w:tc>
          <w:tcPr>
            <w:tcW w:w="960" w:type="dxa"/>
            <w:vAlign w:val="bottom"/>
          </w:tcPr>
          <w:p>
            <w:pPr>
              <w:spacing w:after="0" w:line="20" w:lineRule="exact"/>
              <w:rPr>
                <w:sz w:val="1"/>
                <w:szCs w:val="1"/>
                <w:color w:val="auto"/>
              </w:rPr>
            </w:pPr>
          </w:p>
        </w:tc>
        <w:tc>
          <w:tcPr>
            <w:tcW w:w="740" w:type="dxa"/>
            <w:vAlign w:val="bottom"/>
            <w:tcBorders>
              <w:top w:val="single" w:sz="8" w:color="auto"/>
            </w:tcBorders>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40" w:type="dxa"/>
            <w:vAlign w:val="bottom"/>
            <w:tcBorders>
              <w:top w:val="single" w:sz="8" w:color="auto"/>
            </w:tcBorders>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600" w:type="dxa"/>
            <w:vAlign w:val="bottom"/>
            <w:tcBorders>
              <w:top w:val="single" w:sz="8" w:color="auto"/>
            </w:tcBorders>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380" w:type="dxa"/>
            <w:vAlign w:val="bottom"/>
            <w:tcBorders>
              <w:top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r>
      <w:tr>
        <w:trPr>
          <w:trHeight w:val="229"/>
        </w:trPr>
        <w:tc>
          <w:tcPr>
            <w:tcW w:w="2700" w:type="dxa"/>
            <w:vAlign w:val="bottom"/>
            <w:gridSpan w:val="3"/>
            <w:shd w:val="clear" w:color="auto" w:fill="CCEEFF"/>
          </w:tcPr>
          <w:p>
            <w:pPr>
              <w:jc w:val="right"/>
              <w:ind w:right="920"/>
              <w:spacing w:after="0"/>
              <w:rPr>
                <w:sz w:val="20"/>
                <w:szCs w:val="20"/>
                <w:color w:val="auto"/>
              </w:rPr>
            </w:pPr>
            <w:r>
              <w:rPr>
                <w:rFonts w:ascii="Times New Roman" w:cs="Times New Roman" w:eastAsia="Times New Roman" w:hAnsi="Times New Roman"/>
                <w:sz w:val="18"/>
                <w:szCs w:val="18"/>
                <w:color w:val="auto"/>
              </w:rPr>
              <w:t>183,197,200</w:t>
            </w:r>
          </w:p>
        </w:tc>
        <w:tc>
          <w:tcPr>
            <w:tcW w:w="19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11,316,518</w:t>
            </w:r>
          </w:p>
        </w:tc>
        <w:tc>
          <w:tcPr>
            <w:tcW w:w="20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99"/>
              </w:rPr>
              <w:t>351,629</w:t>
            </w:r>
          </w:p>
        </w:tc>
        <w:tc>
          <w:tcPr>
            <w:tcW w:w="940" w:type="dxa"/>
            <w:vAlign w:val="bottom"/>
            <w:shd w:val="clear" w:color="auto" w:fill="CCEEFF"/>
          </w:tcPr>
          <w:p>
            <w:pPr>
              <w:spacing w:after="0"/>
              <w:rPr>
                <w:sz w:val="19"/>
                <w:szCs w:val="19"/>
                <w:color w:val="auto"/>
              </w:rPr>
            </w:pPr>
          </w:p>
        </w:tc>
        <w:tc>
          <w:tcPr>
            <w:tcW w:w="23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9,932,025</w:t>
            </w:r>
          </w:p>
        </w:tc>
        <w:tc>
          <w:tcPr>
            <w:tcW w:w="720" w:type="dxa"/>
            <w:vAlign w:val="bottom"/>
            <w:shd w:val="clear" w:color="auto" w:fill="CCEEFF"/>
          </w:tcPr>
          <w:p>
            <w:pPr>
              <w:spacing w:after="0"/>
              <w:rPr>
                <w:sz w:val="19"/>
                <w:szCs w:val="19"/>
                <w:color w:val="auto"/>
              </w:rPr>
            </w:pPr>
          </w:p>
        </w:tc>
      </w:tr>
    </w:tbl>
    <w:p>
      <w:pPr>
        <w:spacing w:after="0" w:line="319" w:lineRule="exact"/>
        <w:rPr>
          <w:sz w:val="20"/>
          <w:szCs w:val="20"/>
          <w:color w:val="auto"/>
        </w:rPr>
      </w:pPr>
    </w:p>
    <w:p>
      <w:pPr>
        <w:ind w:right="300" w:firstLine="8"/>
        <w:spacing w:after="0" w:line="282" w:lineRule="auto"/>
        <w:tabs>
          <w:tab w:leader="none" w:pos="19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Ratification of Appointment of Independent Registered Public Accounting Firm.</w:t>
      </w:r>
      <w:r>
        <w:rPr>
          <w:rFonts w:ascii="Times New Roman" w:cs="Times New Roman" w:eastAsia="Times New Roman" w:hAnsi="Times New Roman"/>
          <w:sz w:val="18"/>
          <w:szCs w:val="18"/>
          <w:color w:val="auto"/>
        </w:rPr>
        <w:t xml:space="preserve"> The stockholders ratified the appointment of Ernst &amp; Young LLP as independent registered public accounting firm for the Company for the year ending December 31, 2026. The result of the vote was as follows: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460" w:type="dxa"/>
            <w:vAlign w:val="bottom"/>
          </w:tcPr>
          <w:p>
            <w:pPr>
              <w:spacing w:after="0"/>
              <w:rPr>
                <w:sz w:val="18"/>
                <w:szCs w:val="18"/>
                <w:color w:val="auto"/>
              </w:rPr>
            </w:pPr>
          </w:p>
        </w:tc>
        <w:tc>
          <w:tcPr>
            <w:tcW w:w="2200" w:type="dxa"/>
            <w:vAlign w:val="bottom"/>
            <w:gridSpan w:val="2"/>
          </w:tcPr>
          <w:p>
            <w:pPr>
              <w:jc w:val="center"/>
              <w:ind w:right="1460"/>
              <w:spacing w:after="0"/>
              <w:rPr>
                <w:sz w:val="20"/>
                <w:szCs w:val="20"/>
                <w:color w:val="auto"/>
              </w:rPr>
            </w:pPr>
            <w:r>
              <w:rPr>
                <w:rFonts w:ascii="Times New Roman" w:cs="Times New Roman" w:eastAsia="Times New Roman" w:hAnsi="Times New Roman"/>
                <w:sz w:val="18"/>
                <w:szCs w:val="18"/>
                <w:b w:val="1"/>
                <w:bCs w:val="1"/>
                <w:color w:val="auto"/>
                <w:w w:val="97"/>
              </w:rPr>
              <w:t>Votes For</w:t>
            </w:r>
          </w:p>
        </w:tc>
        <w:tc>
          <w:tcPr>
            <w:tcW w:w="3880" w:type="dxa"/>
            <w:vAlign w:val="bottom"/>
            <w:gridSpan w:val="3"/>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7"/>
              </w:rPr>
              <w:t>Votes Against</w:t>
            </w:r>
          </w:p>
        </w:tc>
        <w:tc>
          <w:tcPr>
            <w:tcW w:w="370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Abstain</w:t>
            </w:r>
          </w:p>
        </w:tc>
      </w:tr>
      <w:tr>
        <w:trPr>
          <w:trHeight w:val="20"/>
        </w:trPr>
        <w:tc>
          <w:tcPr>
            <w:tcW w:w="1460" w:type="dxa"/>
            <w:vAlign w:val="bottom"/>
          </w:tcPr>
          <w:p>
            <w:pPr>
              <w:spacing w:after="0" w:line="20" w:lineRule="exact"/>
              <w:rPr>
                <w:sz w:val="1"/>
                <w:szCs w:val="1"/>
                <w:color w:val="auto"/>
              </w:rPr>
            </w:pPr>
          </w:p>
        </w:tc>
        <w:tc>
          <w:tcPr>
            <w:tcW w:w="740" w:type="dxa"/>
            <w:vAlign w:val="bottom"/>
            <w:tcBorders>
              <w:top w:val="single" w:sz="8" w:color="auto"/>
            </w:tcBorders>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40" w:type="dxa"/>
            <w:vAlign w:val="bottom"/>
            <w:tcBorders>
              <w:top w:val="single" w:sz="8" w:color="auto"/>
            </w:tcBorders>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600" w:type="dxa"/>
            <w:vAlign w:val="bottom"/>
            <w:tcBorders>
              <w:top w:val="single" w:sz="8" w:color="auto"/>
            </w:tcBorders>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r>
      <w:tr>
        <w:trPr>
          <w:trHeight w:val="230"/>
        </w:trPr>
        <w:tc>
          <w:tcPr>
            <w:tcW w:w="3660" w:type="dxa"/>
            <w:vAlign w:val="bottom"/>
            <w:gridSpan w:val="3"/>
            <w:shd w:val="clear" w:color="auto" w:fill="CCEEFF"/>
          </w:tcPr>
          <w:p>
            <w:pPr>
              <w:jc w:val="right"/>
              <w:ind w:right="1380"/>
              <w:spacing w:after="0"/>
              <w:rPr>
                <w:sz w:val="20"/>
                <w:szCs w:val="20"/>
                <w:color w:val="auto"/>
              </w:rPr>
            </w:pPr>
            <w:r>
              <w:rPr>
                <w:rFonts w:ascii="Times New Roman" w:cs="Times New Roman" w:eastAsia="Times New Roman" w:hAnsi="Times New Roman"/>
                <w:sz w:val="18"/>
                <w:szCs w:val="18"/>
                <w:color w:val="auto"/>
              </w:rPr>
              <w:t>184,817,440</w:t>
            </w:r>
          </w:p>
        </w:tc>
        <w:tc>
          <w:tcPr>
            <w:tcW w:w="24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18,965,778</w:t>
            </w:r>
          </w:p>
        </w:tc>
        <w:tc>
          <w:tcPr>
            <w:tcW w:w="1460" w:type="dxa"/>
            <w:vAlign w:val="bottom"/>
            <w:shd w:val="clear" w:color="auto" w:fill="CCEEFF"/>
          </w:tcPr>
          <w:p>
            <w:pPr>
              <w:spacing w:after="0"/>
              <w:rPr>
                <w:sz w:val="19"/>
                <w:szCs w:val="19"/>
                <w:color w:val="auto"/>
              </w:rPr>
            </w:pPr>
          </w:p>
        </w:tc>
        <w:tc>
          <w:tcPr>
            <w:tcW w:w="3700" w:type="dxa"/>
            <w:vAlign w:val="bottom"/>
            <w:gridSpan w:val="3"/>
            <w:shd w:val="clear" w:color="auto" w:fill="CCEEFF"/>
          </w:tcPr>
          <w:p>
            <w:pPr>
              <w:jc w:val="right"/>
              <w:ind w:right="1540"/>
              <w:spacing w:after="0"/>
              <w:rPr>
                <w:sz w:val="20"/>
                <w:szCs w:val="20"/>
                <w:color w:val="auto"/>
              </w:rPr>
            </w:pPr>
            <w:r>
              <w:rPr>
                <w:rFonts w:ascii="Times New Roman" w:cs="Times New Roman" w:eastAsia="Times New Roman" w:hAnsi="Times New Roman"/>
                <w:sz w:val="18"/>
                <w:szCs w:val="18"/>
                <w:color w:val="auto"/>
              </w:rPr>
              <w:t>1,014,154</w:t>
            </w:r>
          </w:p>
        </w:tc>
      </w:tr>
    </w:tbl>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Exhibits.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Exhibit No.</w:t>
            </w:r>
          </w:p>
        </w:tc>
        <w:tc>
          <w:tcPr>
            <w:tcW w:w="340" w:type="dxa"/>
            <w:vAlign w:val="bottom"/>
          </w:tcPr>
          <w:p>
            <w:pPr>
              <w:spacing w:after="0"/>
              <w:rPr>
                <w:sz w:val="16"/>
                <w:szCs w:val="16"/>
                <w:color w:val="auto"/>
              </w:rPr>
            </w:pPr>
          </w:p>
        </w:tc>
        <w:tc>
          <w:tcPr>
            <w:tcW w:w="10080" w:type="dxa"/>
            <w:vAlign w:val="bottom"/>
            <w:gridSpan w:val="3"/>
          </w:tcPr>
          <w:p>
            <w:pPr>
              <w:ind w:left="340"/>
              <w:spacing w:after="0"/>
              <w:rPr>
                <w:sz w:val="20"/>
                <w:szCs w:val="20"/>
                <w:color w:val="auto"/>
              </w:rPr>
            </w:pPr>
            <w:r>
              <w:rPr>
                <w:rFonts w:ascii="Times New Roman" w:cs="Times New Roman" w:eastAsia="Times New Roman" w:hAnsi="Times New Roman"/>
                <w:sz w:val="16"/>
                <w:szCs w:val="16"/>
                <w:b w:val="1"/>
                <w:bCs w:val="1"/>
                <w:color w:val="auto"/>
              </w:rPr>
              <w:t>Description</w:t>
            </w:r>
          </w:p>
        </w:tc>
      </w:tr>
      <w:tr>
        <w:trPr>
          <w:trHeight w:val="20"/>
        </w:trPr>
        <w:tc>
          <w:tcPr>
            <w:tcW w:w="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8940" w:type="dxa"/>
            <w:vAlign w:val="bottom"/>
          </w:tcPr>
          <w:p>
            <w:pPr>
              <w:spacing w:after="0" w:line="20" w:lineRule="exact"/>
              <w:rPr>
                <w:sz w:val="1"/>
                <w:szCs w:val="1"/>
                <w:color w:val="auto"/>
              </w:rPr>
            </w:pPr>
          </w:p>
        </w:tc>
      </w:tr>
      <w:tr>
        <w:trPr>
          <w:trHeight w:val="412"/>
        </w:trPr>
        <w:tc>
          <w:tcPr>
            <w:tcW w:w="20" w:type="dxa"/>
            <w:vAlign w:val="bottom"/>
          </w:tcPr>
          <w:p>
            <w:pPr>
              <w:spacing w:after="0"/>
              <w:rPr>
                <w:sz w:val="24"/>
                <w:szCs w:val="24"/>
                <w:color w:val="auto"/>
              </w:rPr>
            </w:pPr>
          </w:p>
        </w:tc>
        <w:tc>
          <w:tcPr>
            <w:tcW w:w="800" w:type="dxa"/>
            <w:vAlign w:val="bottom"/>
          </w:tcPr>
          <w:p>
            <w:pPr>
              <w:jc w:val="right"/>
              <w:ind w:right="75"/>
              <w:spacing w:after="0"/>
              <w:rPr>
                <w:sz w:val="20"/>
                <w:szCs w:val="20"/>
                <w:color w:val="auto"/>
              </w:rPr>
            </w:pPr>
            <w:r>
              <w:rPr>
                <w:rFonts w:ascii="Times New Roman" w:cs="Times New Roman" w:eastAsia="Times New Roman" w:hAnsi="Times New Roman"/>
                <w:sz w:val="18"/>
                <w:szCs w:val="18"/>
                <w:color w:val="auto"/>
              </w:rPr>
              <w:t>104</w:t>
            </w:r>
          </w:p>
        </w:tc>
        <w:tc>
          <w:tcPr>
            <w:tcW w:w="340" w:type="dxa"/>
            <w:vAlign w:val="bottom"/>
          </w:tcPr>
          <w:p>
            <w:pPr>
              <w:spacing w:after="0"/>
              <w:rPr>
                <w:sz w:val="24"/>
                <w:szCs w:val="24"/>
                <w:color w:val="auto"/>
              </w:rPr>
            </w:pPr>
          </w:p>
        </w:tc>
        <w:tc>
          <w:tcPr>
            <w:tcW w:w="1008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857"/>
        </w:trPr>
        <w:tc>
          <w:tcPr>
            <w:tcW w:w="2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89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2" w:name="page3"/>
    <w:bookmarkEnd w:id="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0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62"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8"/>
          <w:szCs w:val="18"/>
          <w:color w:val="auto"/>
        </w:rPr>
        <w:t>AMETEK, Inc.</w:t>
      </w:r>
    </w:p>
    <w:p>
      <w:pPr>
        <w:spacing w:after="0" w:line="293" w:lineRule="exact"/>
        <w:rPr>
          <w:sz w:val="20"/>
          <w:szCs w:val="20"/>
          <w:color w:val="auto"/>
        </w:rPr>
      </w:pPr>
    </w:p>
    <w:p>
      <w:pPr>
        <w:ind w:left="20"/>
        <w:spacing w:after="0"/>
        <w:tabs>
          <w:tab w:leader="none" w:pos="5440" w:val="left"/>
          <w:tab w:leader="none" w:pos="5880" w:val="left"/>
        </w:tabs>
        <w:rPr>
          <w:sz w:val="20"/>
          <w:szCs w:val="20"/>
          <w:color w:val="auto"/>
        </w:rPr>
      </w:pPr>
      <w:r>
        <w:rPr>
          <w:rFonts w:ascii="Times New Roman" w:cs="Times New Roman" w:eastAsia="Times New Roman" w:hAnsi="Times New Roman"/>
          <w:sz w:val="18"/>
          <w:szCs w:val="18"/>
          <w:color w:val="auto"/>
        </w:rPr>
        <w:t>May 11,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ROBERT J. AMODEI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3733800</wp:posOffset>
            </wp:positionH>
            <wp:positionV relativeFrom="paragraph">
              <wp:posOffset>43180</wp:posOffset>
            </wp:positionV>
            <wp:extent cx="340296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402965" cy="8255"/>
                    </a:xfrm>
                    <a:prstGeom prst="rect">
                      <a:avLst/>
                    </a:prstGeom>
                    <a:noFill/>
                  </pic:spPr>
                </pic:pic>
              </a:graphicData>
            </a:graphic>
          </wp:anchor>
        </w:drawing>
      </w:r>
    </w:p>
    <w:p>
      <w:pPr>
        <w:spacing w:after="0" w:line="57" w:lineRule="exact"/>
        <w:rPr>
          <w:sz w:val="20"/>
          <w:szCs w:val="20"/>
          <w:color w:val="auto"/>
        </w:rPr>
      </w:pPr>
    </w:p>
    <w:p>
      <w:pPr>
        <w:ind w:left="5900"/>
        <w:spacing w:after="0"/>
        <w:rPr>
          <w:sz w:val="20"/>
          <w:szCs w:val="20"/>
          <w:color w:val="auto"/>
        </w:rPr>
      </w:pPr>
      <w:r>
        <w:rPr>
          <w:rFonts w:ascii="Times New Roman" w:cs="Times New Roman" w:eastAsia="Times New Roman" w:hAnsi="Times New Roman"/>
          <w:sz w:val="18"/>
          <w:szCs w:val="18"/>
          <w:color w:val="auto"/>
        </w:rPr>
        <w:t>Name: Robert J. Amodei</w:t>
      </w:r>
    </w:p>
    <w:p>
      <w:pPr>
        <w:spacing w:after="0" w:line="36" w:lineRule="exact"/>
        <w:rPr>
          <w:sz w:val="20"/>
          <w:szCs w:val="20"/>
          <w:color w:val="auto"/>
        </w:rPr>
      </w:pPr>
    </w:p>
    <w:p>
      <w:pPr>
        <w:ind w:left="5900"/>
        <w:spacing w:after="0"/>
        <w:rPr>
          <w:sz w:val="20"/>
          <w:szCs w:val="20"/>
          <w:color w:val="auto"/>
        </w:rPr>
      </w:pPr>
      <w:r>
        <w:rPr>
          <w:rFonts w:ascii="Times New Roman" w:cs="Times New Roman" w:eastAsia="Times New Roman" w:hAnsi="Times New Roman"/>
          <w:sz w:val="18"/>
          <w:szCs w:val="18"/>
          <w:color w:val="auto"/>
        </w:rPr>
        <w:t>Title: Senior Vice President - Controller</w:t>
      </w:r>
    </w:p>
    <w:sectPr>
      <w:pgSz w:w="11900" w:h="16838" w:orient="portrait"/>
      <w:cols w:equalWidth="0" w:num="1">
        <w:col w:w="11200"/>
      </w:cols>
      <w:pgMar w:left="320" w:top="941"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decimal"/>
      <w:start w:val="2"/>
    </w:lvl>
  </w:abstractNum>
  <w:abstractNum w:abstractNumId="2">
    <w:nsid w:val="19495CFF"/>
    <w:multiLevelType w:val="hybridMultilevel"/>
    <w:lvl w:ilvl="0">
      <w:lvlJc w:val="left"/>
      <w:lvlText w:val="%1)"/>
      <w:numFmt w:val="decimal"/>
      <w:start w:val="3"/>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2026-05-11T09:12:17Z</dcterms:created>
  <dcterms:modified xsi:type="dcterms:W3CDTF">2026-05-11T09:12:17Z</dcterms:modified>
</cp:coreProperties>
</file>