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2"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27"/>
          <w:szCs w:val="27"/>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2"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23"/>
          <w:szCs w:val="2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Cassatt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19312-1177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8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160" w:firstLine="648"/>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8"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6"/>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AME</w:t>
            </w:r>
          </w:p>
        </w:tc>
        <w:tc>
          <w:tcPr>
            <w:tcW w:w="1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July 31, 2023 was 230,712,117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70"/>
        </w:trPr>
        <w:tc>
          <w:tcPr>
            <w:tcW w:w="20" w:type="dxa"/>
            <w:vAlign w:val="bottom"/>
          </w:tcPr>
          <w:p>
            <w:pPr>
              <w:spacing w:after="0"/>
              <w:rPr>
                <w:sz w:val="23"/>
                <w:szCs w:val="23"/>
                <w:color w:val="auto"/>
              </w:rPr>
            </w:pPr>
          </w:p>
        </w:tc>
        <w:tc>
          <w:tcPr>
            <w:tcW w:w="10400" w:type="dxa"/>
            <w:vAlign w:val="bottom"/>
            <w:gridSpan w:val="17"/>
          </w:tcPr>
          <w:p>
            <w:pPr>
              <w:spacing w:after="0"/>
              <w:rPr>
                <w:sz w:val="20"/>
                <w:szCs w:val="20"/>
                <w:color w:val="auto"/>
              </w:rPr>
            </w:pPr>
            <w:r>
              <w:rPr>
                <w:rFonts w:ascii="Arial" w:cs="Arial" w:eastAsia="Arial" w:hAnsi="Arial"/>
                <w:sz w:val="18"/>
                <w:szCs w:val="18"/>
                <w:b w:val="1"/>
                <w:bCs w:val="1"/>
                <w:color w:val="0000FF"/>
              </w:rPr>
              <w:t>PART I. FINANCIAL INFORMATION</w:t>
            </w:r>
          </w:p>
        </w:tc>
        <w:tc>
          <w:tcPr>
            <w:tcW w:w="820" w:type="dxa"/>
            <w:vAlign w:val="bottom"/>
          </w:tcPr>
          <w:p>
            <w:pPr>
              <w:spacing w:after="0"/>
              <w:rPr>
                <w:sz w:val="23"/>
                <w:szCs w:val="23"/>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1.Financial Statements</w:t>
            </w:r>
          </w:p>
        </w:tc>
        <w:tc>
          <w:tcPr>
            <w:tcW w:w="734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Consolidated Statement of Income for the three and six months ended June 30, 2023 and 2022</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Statement of Comprehensive Income for the three and six months ended June 30, 2023 and 2022</w:t>
            </w:r>
          </w:p>
        </w:tc>
        <w:tc>
          <w:tcPr>
            <w:tcW w:w="9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Consolidated Balance Sheet at June 30, 2023 and December 31, 2022</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 of Stockholders’ Equity for the three and six months ended June 30, 2023 and 2022</w:t>
            </w:r>
          </w:p>
        </w:tc>
        <w:tc>
          <w:tcPr>
            <w:tcW w:w="198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Statement of Cash Flows for the six months ended June 30, 2023 and 2022</w:t>
            </w:r>
          </w:p>
        </w:tc>
        <w:tc>
          <w:tcPr>
            <w:tcW w:w="252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0000FF"/>
              </w:rPr>
              <w:t>Item 2.Management’s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Item 4.Controls and Procedures</w:t>
            </w:r>
          </w:p>
        </w:tc>
        <w:tc>
          <w:tcPr>
            <w:tcW w:w="4700" w:type="dxa"/>
            <w:vAlign w:val="bottom"/>
            <w:tcBorders>
              <w:top w:val="single" w:sz="8" w:color="0000FF"/>
            </w:tcBorders>
            <w:gridSpan w:val="6"/>
          </w:tcPr>
          <w:p>
            <w:pPr>
              <w:spacing w:after="0"/>
              <w:rPr>
                <w:sz w:val="18"/>
                <w:szCs w:val="18"/>
                <w:color w:val="auto"/>
              </w:rPr>
            </w:pPr>
          </w:p>
        </w:tc>
        <w:tc>
          <w:tcPr>
            <w:tcW w:w="29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20" w:type="dxa"/>
            <w:vAlign w:val="bottom"/>
          </w:tcPr>
          <w:p>
            <w:pPr>
              <w:spacing w:after="0"/>
              <w:rPr>
                <w:sz w:val="24"/>
                <w:szCs w:val="24"/>
                <w:color w:val="auto"/>
              </w:rPr>
            </w:pPr>
          </w:p>
        </w:tc>
        <w:tc>
          <w:tcPr>
            <w:tcW w:w="2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rPr>
              <w:t>PART II. OTHER INFORMATION</w:t>
            </w:r>
          </w:p>
        </w:tc>
        <w:tc>
          <w:tcPr>
            <w:tcW w:w="762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5. Other Information</w:t>
            </w:r>
          </w:p>
        </w:tc>
        <w:tc>
          <w:tcPr>
            <w:tcW w:w="5100" w:type="dxa"/>
            <w:vAlign w:val="bottom"/>
            <w:gridSpan w:val="6"/>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6.Exhibits</w:t>
            </w:r>
          </w:p>
        </w:tc>
        <w:tc>
          <w:tcPr>
            <w:tcW w:w="8080" w:type="dxa"/>
            <w:vAlign w:val="bottom"/>
            <w:gridSpan w:val="1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885"/>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500" w:type="dxa"/>
            <w:vAlign w:val="bottom"/>
            <w:gridSpan w:val="9"/>
          </w:tcPr>
          <w:p>
            <w:pPr>
              <w:jc w:val="right"/>
              <w:ind w:right="2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1,646,111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1,514,552</w:t>
            </w:r>
          </w:p>
        </w:tc>
        <w:tc>
          <w:tcPr>
            <w:tcW w:w="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3,243,228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2,973,077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1,053,190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988,175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2,075,715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1,937,008</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174,130</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161,535</w:t>
            </w:r>
          </w:p>
        </w:tc>
        <w:tc>
          <w:tcPr>
            <w:tcW w:w="2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343,181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317,987</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1,227,320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1,149,710</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2,418,896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2,254,995</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418,791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364,842</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824,332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718,082</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(18,723)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(39,292)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(3,684)</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(9,057)</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396,384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346,465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775,983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682,687</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72,142</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64,092</w:t>
            </w:r>
          </w:p>
        </w:tc>
        <w:tc>
          <w:tcPr>
            <w:tcW w:w="2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146,029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127,867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324,242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282,373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629,954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554,820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60" w:type="dxa"/>
            <w:vAlign w:val="bottom"/>
            <w:tcBorders>
              <w:top w:val="single" w:sz="8" w:color="CCEEFF"/>
            </w:tcBorders>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230,478</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230,100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230,302</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230,790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231,261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231,247</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231,245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232,156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tcPr>
          <w:p>
            <w:pPr>
              <w:ind w:left="20"/>
              <w:spacing w:after="0"/>
              <w:rPr>
                <w:sz w:val="20"/>
                <w:szCs w:val="20"/>
                <w:color w:val="auto"/>
              </w:rPr>
            </w:pPr>
            <w:r>
              <w:rPr>
                <w:rFonts w:ascii="Arial" w:cs="Arial" w:eastAsia="Arial" w:hAnsi="Arial"/>
                <w:sz w:val="18"/>
                <w:szCs w:val="18"/>
                <w:color w:val="auto"/>
              </w:rPr>
              <w:t>Dividends declared and paid per share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220"/>
        <w:spacing w:after="0"/>
        <w:rPr>
          <w:sz w:val="20"/>
          <w:szCs w:val="20"/>
          <w:color w:val="auto"/>
        </w:rPr>
      </w:pPr>
      <w:r>
        <w:rPr>
          <w:rFonts w:ascii="Arial" w:cs="Arial" w:eastAsia="Arial" w:hAnsi="Arial"/>
          <w:sz w:val="15"/>
          <w:szCs w:val="15"/>
          <w:b w:val="1"/>
          <w:bCs w:val="1"/>
          <w:color w:val="auto"/>
        </w:rPr>
        <w:t>Condensed Consolidated Statement of Comprehensive Income</w:t>
      </w:r>
    </w:p>
    <w:p>
      <w:pPr>
        <w:spacing w:after="0" w:line="44"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4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Six Months Ended</w:t>
            </w:r>
          </w:p>
        </w:tc>
      </w:tr>
      <w:tr>
        <w:trPr>
          <w:trHeight w:val="196"/>
        </w:trPr>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29"/>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350,692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222,033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682,903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479,334</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19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605,587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345,386</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936,909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919,335</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1,107,824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1,044,284</w:t>
            </w:r>
          </w:p>
        </w:tc>
      </w:tr>
      <w:tr>
        <w:trPr>
          <w:trHeight w:val="23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249,235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219,053</w:t>
            </w:r>
          </w:p>
        </w:tc>
      </w:tr>
      <w:tr>
        <w:trPr>
          <w:trHeight w:val="227"/>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2,899,555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2,528,058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637,540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635,641</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171,616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5,449,590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5,372,562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3,279,269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3,342,085</w:t>
            </w:r>
          </w:p>
        </w:tc>
      </w:tr>
      <w:tr>
        <w:trPr>
          <w:trHeight w:val="23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402,281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382,479</w:t>
            </w:r>
          </w:p>
        </w:tc>
      </w:tr>
      <w:tr>
        <w:trPr>
          <w:trHeight w:val="252"/>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12,839,851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12,431,120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226,079</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487,663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497,134</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357,674</w:t>
            </w:r>
          </w:p>
        </w:tc>
      </w:tr>
      <w:tr>
        <w:trPr>
          <w:trHeight w:val="239"/>
        </w:trPr>
        <w:tc>
          <w:tcPr>
            <w:tcW w:w="80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48,171</w:t>
            </w:r>
          </w:p>
        </w:tc>
      </w:tr>
      <w:tr>
        <w:trPr>
          <w:trHeight w:val="234"/>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417,337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435,144</w:t>
            </w: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1,341,190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1,564,202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2,186,299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2,158,928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652,695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694,267</w:t>
            </w: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578,296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537,211</w:t>
            </w: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4,758,480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4,954,608</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9"/>
        </w:trPr>
        <w:tc>
          <w:tcPr>
            <w:tcW w:w="80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34"/>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1,123,920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1,094,236</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9,372,368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8,857,485</w:t>
            </w:r>
          </w:p>
        </w:tc>
      </w:tr>
      <w:tr>
        <w:trPr>
          <w:trHeight w:val="24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(521,996)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(574,945)</w:t>
            </w: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(1,895,628)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(1,902,964)</w:t>
            </w:r>
          </w:p>
        </w:tc>
      </w:tr>
      <w:tr>
        <w:trPr>
          <w:trHeight w:val="223"/>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8,081,371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7,476,512</w:t>
            </w:r>
          </w:p>
        </w:tc>
      </w:tr>
      <w:tr>
        <w:trPr>
          <w:trHeight w:val="237"/>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12,839,851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12,431,120</w:t>
            </w:r>
          </w:p>
        </w:tc>
      </w:tr>
      <w:tr>
        <w:trPr>
          <w:trHeight w:val="20"/>
        </w:trPr>
        <w:tc>
          <w:tcPr>
            <w:tcW w:w="8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Common stock, $0.01 par value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39"/>
        </w:trPr>
        <w:tc>
          <w:tcPr>
            <w:tcW w:w="6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Shares issued</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Capital in excess of par value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1,012,526</w:t>
            </w:r>
          </w:p>
        </w:tc>
        <w:tc>
          <w:tcPr>
            <w:tcW w:w="0" w:type="dxa"/>
            <w:vAlign w:val="bottom"/>
          </w:tcPr>
          <w:p>
            <w:pPr>
              <w:spacing w:after="0"/>
              <w:rPr>
                <w:sz w:val="1"/>
                <w:szCs w:val="1"/>
                <w:color w:val="auto"/>
              </w:rPr>
            </w:pPr>
          </w:p>
        </w:tc>
      </w:tr>
      <w:tr>
        <w:trPr>
          <w:trHeight w:val="239"/>
        </w:trPr>
        <w:tc>
          <w:tcPr>
            <w:tcW w:w="6200" w:type="dxa"/>
            <w:vAlign w:val="bottom"/>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18,977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12,581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22,860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0" w:type="dxa"/>
            <w:vAlign w:val="bottom"/>
          </w:tcPr>
          <w:p>
            <w:pPr>
              <w:spacing w:after="0"/>
              <w:rPr>
                <w:sz w:val="1"/>
                <w:szCs w:val="1"/>
                <w:color w:val="auto"/>
              </w:rPr>
            </w:pPr>
          </w:p>
        </w:tc>
      </w:tr>
      <w:tr>
        <w:trPr>
          <w:trHeight w:val="223"/>
        </w:trPr>
        <w:tc>
          <w:tcPr>
            <w:tcW w:w="6200" w:type="dxa"/>
            <w:vAlign w:val="bottom"/>
          </w:tcPr>
          <w:p>
            <w:pPr>
              <w:ind w:left="68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1,123,920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1,040,951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1,123,920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1,040,951</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9,105,705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8,121,781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8,857,485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7,900,113</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324,242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629,954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554,820</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(115,071)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(101,197)</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2"/>
        </w:trPr>
        <w:tc>
          <w:tcPr>
            <w:tcW w:w="6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9,372,368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8,353,735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9,372,368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8,353,735</w:t>
            </w:r>
          </w:p>
        </w:tc>
        <w:tc>
          <w:tcPr>
            <w:tcW w:w="0" w:type="dxa"/>
            <w:vAlign w:val="bottom"/>
          </w:tcPr>
          <w:p>
            <w:pPr>
              <w:spacing w:after="0"/>
              <w:rPr>
                <w:sz w:val="1"/>
                <w:szCs w:val="1"/>
                <w:color w:val="auto"/>
              </w:rPr>
            </w:pPr>
          </w:p>
        </w:tc>
      </w:tr>
      <w:tr>
        <w:trPr>
          <w:trHeight w:val="22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(275,365)</w:t>
            </w:r>
          </w:p>
        </w:tc>
        <w:tc>
          <w:tcPr>
            <w:tcW w:w="0" w:type="dxa"/>
            <w:vAlign w:val="bottom"/>
          </w:tcPr>
          <w:p>
            <w:pPr>
              <w:spacing w:after="0"/>
              <w:rPr>
                <w:sz w:val="1"/>
                <w:szCs w:val="1"/>
                <w:color w:val="auto"/>
              </w:rPr>
            </w:pPr>
          </w:p>
        </w:tc>
      </w:tr>
      <w:tr>
        <w:trPr>
          <w:trHeight w:val="239"/>
        </w:trPr>
        <w:tc>
          <w:tcPr>
            <w:tcW w:w="6200" w:type="dxa"/>
            <w:vAlign w:val="bottom"/>
          </w:tcPr>
          <w:p>
            <w:pPr>
              <w:ind w:left="680"/>
              <w:spacing w:after="0"/>
              <w:rPr>
                <w:sz w:val="20"/>
                <w:szCs w:val="20"/>
                <w:color w:val="auto"/>
              </w:rPr>
            </w:pPr>
            <w:r>
              <w:rPr>
                <w:rFonts w:ascii="Arial" w:cs="Arial" w:eastAsia="Arial" w:hAnsi="Arial"/>
                <w:sz w:val="18"/>
                <w:szCs w:val="18"/>
                <w:color w:val="auto"/>
              </w:rPr>
              <w:t>Translation adjustments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29,840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62,660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(114,576)</w:t>
            </w: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long-term intercompany notes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Arial" w:cs="Arial" w:eastAsia="Arial" w:hAnsi="Arial"/>
                <w:sz w:val="18"/>
                <w:szCs w:val="18"/>
                <w:color w:val="auto"/>
                <w:w w:val="98"/>
              </w:rPr>
              <w:t>Net investment hedge instruments gain (loss), net of tax of $2,317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00" w:type="dxa"/>
            <w:vAlign w:val="bottom"/>
          </w:tcPr>
          <w:p>
            <w:pPr>
              <w:ind w:left="680"/>
              <w:spacing w:after="0" w:line="189" w:lineRule="exact"/>
              <w:rPr>
                <w:sz w:val="20"/>
                <w:szCs w:val="20"/>
                <w:color w:val="auto"/>
              </w:rPr>
            </w:pPr>
            <w:r>
              <w:rPr>
                <w:rFonts w:ascii="Arial" w:cs="Arial" w:eastAsia="Arial" w:hAnsi="Arial"/>
                <w:sz w:val="18"/>
                <w:szCs w:val="18"/>
                <w:color w:val="auto"/>
                <w:w w:val="94"/>
              </w:rPr>
              <w:t>$(13,777) for the quarter ended June 30, 2023 and 2022 and $6,122 and</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42,303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60,209</w:t>
            </w:r>
          </w:p>
        </w:tc>
        <w:tc>
          <w:tcPr>
            <w:tcW w:w="0" w:type="dxa"/>
            <w:vAlign w:val="bottom"/>
          </w:tcPr>
          <w:p>
            <w:pPr>
              <w:spacing w:after="0"/>
              <w:rPr>
                <w:sz w:val="1"/>
                <w:szCs w:val="1"/>
                <w:color w:val="auto"/>
              </w:rPr>
            </w:pPr>
          </w:p>
        </w:tc>
      </w:tr>
      <w:tr>
        <w:trPr>
          <w:trHeight w:val="217"/>
        </w:trPr>
        <w:tc>
          <w:tcPr>
            <w:tcW w:w="6200" w:type="dxa"/>
            <w:vAlign w:val="bottom"/>
          </w:tcPr>
          <w:p>
            <w:pPr>
              <w:ind w:left="680"/>
              <w:spacing w:after="0"/>
              <w:rPr>
                <w:sz w:val="20"/>
                <w:szCs w:val="20"/>
                <w:color w:val="auto"/>
              </w:rPr>
            </w:pPr>
            <w:r>
              <w:rPr>
                <w:rFonts w:ascii="Arial" w:cs="Arial" w:eastAsia="Arial" w:hAnsi="Arial"/>
                <w:sz w:val="18"/>
                <w:szCs w:val="18"/>
                <w:color w:val="auto"/>
                <w:w w:val="93"/>
              </w:rPr>
              <w:t>$(19,608) for the six months ended June 30, 2023 and 2022 , respectively</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(318,359)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(352,851)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(318,359)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(352,851)</w:t>
            </w:r>
          </w:p>
        </w:tc>
        <w:tc>
          <w:tcPr>
            <w:tcW w:w="0" w:type="dxa"/>
            <w:vAlign w:val="bottom"/>
          </w:tcPr>
          <w:p>
            <w:pPr>
              <w:spacing w:after="0"/>
              <w:rPr>
                <w:sz w:val="1"/>
                <w:szCs w:val="1"/>
                <w:color w:val="auto"/>
              </w:rPr>
            </w:pPr>
          </w:p>
        </w:tc>
      </w:tr>
      <w:tr>
        <w:trPr>
          <w:trHeight w:val="217"/>
        </w:trPr>
        <w:tc>
          <w:tcPr>
            <w:tcW w:w="6200" w:type="dxa"/>
            <w:vAlign w:val="bottom"/>
          </w:tcPr>
          <w:p>
            <w:pPr>
              <w:ind w:left="360"/>
              <w:spacing w:after="0"/>
              <w:rPr>
                <w:sz w:val="20"/>
                <w:szCs w:val="20"/>
                <w:color w:val="auto"/>
              </w:rPr>
            </w:pPr>
            <w:r>
              <w:rPr>
                <w:rFonts w:ascii="Arial" w:cs="Arial" w:eastAsia="Arial" w:hAnsi="Arial"/>
                <w:sz w:val="18"/>
                <w:szCs w:val="18"/>
                <w:color w:val="auto"/>
              </w:rPr>
              <w:t>Defined benefit pension plans: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(195,079)</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Arial" w:cs="Arial" w:eastAsia="Arial" w:hAnsi="Arial"/>
                <w:sz w:val="18"/>
                <w:szCs w:val="18"/>
                <w:color w:val="auto"/>
                <w:w w:val="92"/>
              </w:rPr>
              <w:t>Amortization of net actuarial loss and other, net of tax of $(518) and $(326)</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Arial" w:cs="Arial" w:eastAsia="Arial" w:hAnsi="Arial"/>
                <w:sz w:val="18"/>
                <w:szCs w:val="18"/>
                <w:color w:val="auto"/>
                <w:w w:val="92"/>
              </w:rPr>
              <w:t>for the quarter ended June 30, 2023 and 2022 and $(1,036) and $(652) for</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6200" w:type="dxa"/>
            <w:vAlign w:val="bottom"/>
          </w:tcPr>
          <w:p>
            <w:pPr>
              <w:ind w:left="680"/>
              <w:spacing w:after="0"/>
              <w:rPr>
                <w:sz w:val="20"/>
                <w:szCs w:val="20"/>
                <w:color w:val="auto"/>
              </w:rPr>
            </w:pPr>
            <w:r>
              <w:rPr>
                <w:rFonts w:ascii="Arial" w:cs="Arial" w:eastAsia="Arial" w:hAnsi="Arial"/>
                <w:sz w:val="18"/>
                <w:szCs w:val="18"/>
                <w:color w:val="auto"/>
              </w:rPr>
              <w:t>the six months ended June 30, 2023 and 2022 , respectively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(203,637)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(193,079)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(203,637)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(193,079)</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w w:val="93"/>
              </w:rPr>
              <w:t>Accumulated other comprehensive loss at the end of the period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(521,996)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(545,930)</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(1,895,200)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(1,725,629)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(1,902,964)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(1,573,000)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39"/>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 of treasury stock</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(174,655)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(331,379)</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(1,895,628)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(1,901,360)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(1,895,628)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(1,901,360)</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8,081,371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6,950,091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8,081,371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6,950,091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629,954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554,820</w:t>
            </w:r>
          </w:p>
        </w:tc>
      </w:tr>
      <w:tr>
        <w:trPr>
          <w:trHeight w:val="237"/>
        </w:trPr>
        <w:tc>
          <w:tcPr>
            <w:tcW w:w="8020" w:type="dxa"/>
            <w:vAlign w:val="bottom"/>
          </w:tcPr>
          <w:p>
            <w:pPr>
              <w:ind w:left="68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80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163,935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155,218</w:t>
            </w:r>
          </w:p>
        </w:tc>
      </w:tr>
      <w:tr>
        <w:trPr>
          <w:trHeight w:val="229"/>
        </w:trPr>
        <w:tc>
          <w:tcPr>
            <w:tcW w:w="8020" w:type="dxa"/>
            <w:vAlign w:val="bottom"/>
          </w:tcPr>
          <w:p>
            <w:pPr>
              <w:ind w:left="112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(38,144)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(19,459)</w:t>
            </w:r>
          </w:p>
        </w:tc>
      </w:tr>
      <w:tr>
        <w:trPr>
          <w:trHeight w:val="243"/>
        </w:trPr>
        <w:tc>
          <w:tcPr>
            <w:tcW w:w="80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r>
      <w:tr>
        <w:trPr>
          <w:trHeight w:val="229"/>
        </w:trPr>
        <w:tc>
          <w:tcPr>
            <w:tcW w:w="8020" w:type="dxa"/>
            <w:vAlign w:val="bottom"/>
          </w:tcPr>
          <w:p>
            <w:pPr>
              <w:ind w:left="1120"/>
              <w:spacing w:after="0"/>
              <w:rPr>
                <w:sz w:val="20"/>
                <w:szCs w:val="20"/>
                <w:color w:val="auto"/>
              </w:rPr>
            </w:pPr>
            <w:r>
              <w:rPr>
                <w:rFonts w:ascii="Arial" w:cs="Arial" w:eastAsia="Arial" w:hAnsi="Arial"/>
                <w:sz w:val="18"/>
                <w:szCs w:val="18"/>
                <w:color w:val="auto"/>
              </w:rPr>
              <w:t>Gain on sale of facilities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(7,054)</w:t>
            </w:r>
          </w:p>
        </w:tc>
      </w:tr>
      <w:tr>
        <w:trPr>
          <w:trHeight w:val="229"/>
        </w:trPr>
        <w:tc>
          <w:tcPr>
            <w:tcW w:w="80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change in assets and liabilities, net of acquisitions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(245,958)</w:t>
            </w:r>
          </w:p>
        </w:tc>
      </w:tr>
      <w:tr>
        <w:trPr>
          <w:trHeight w:val="239"/>
        </w:trPr>
        <w:tc>
          <w:tcPr>
            <w:tcW w:w="8020" w:type="dxa"/>
            <w:vAlign w:val="bottom"/>
          </w:tcPr>
          <w:p>
            <w:pPr>
              <w:ind w:left="1120"/>
              <w:spacing w:after="0"/>
              <w:rPr>
                <w:sz w:val="20"/>
                <w:szCs w:val="20"/>
                <w:color w:val="auto"/>
              </w:rPr>
            </w:pPr>
            <w:r>
              <w:rPr>
                <w:rFonts w:ascii="Arial" w:cs="Arial" w:eastAsia="Arial" w:hAnsi="Arial"/>
                <w:sz w:val="18"/>
                <w:szCs w:val="18"/>
                <w:color w:val="auto"/>
              </w:rPr>
              <w:t>Pension contributions</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(3,884)</w:t>
            </w:r>
          </w:p>
        </w:tc>
      </w:tr>
      <w:tr>
        <w:trPr>
          <w:trHeight w:val="234"/>
        </w:trPr>
        <w:tc>
          <w:tcPr>
            <w:tcW w:w="80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(18,973)</w:t>
            </w: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operating activities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721,783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437,237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8020" w:type="dxa"/>
            <w:vAlign w:val="bottom"/>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(47,835)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(52,540)</w:t>
            </w:r>
          </w:p>
        </w:tc>
      </w:tr>
      <w:tr>
        <w:trPr>
          <w:trHeight w:val="234"/>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businesses, net of cash acquired</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(99,266)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Proceeds from sale of facilities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11,754</w:t>
            </w:r>
          </w:p>
        </w:tc>
      </w:tr>
      <w:tr>
        <w:trPr>
          <w:trHeight w:val="24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investing activities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(41,033)</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(219,610)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56,490</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(331,379)</w:t>
            </w:r>
          </w:p>
        </w:tc>
      </w:tr>
      <w:tr>
        <w:trPr>
          <w:trHeight w:val="239"/>
        </w:trPr>
        <w:tc>
          <w:tcPr>
            <w:tcW w:w="8020" w:type="dxa"/>
            <w:vAlign w:val="bottom"/>
          </w:tcPr>
          <w:p>
            <w:pPr>
              <w:ind w:left="360"/>
              <w:spacing w:after="0"/>
              <w:rPr>
                <w:sz w:val="20"/>
                <w:szCs w:val="20"/>
                <w:color w:val="auto"/>
              </w:rPr>
            </w:pPr>
            <w:r>
              <w:rPr>
                <w:rFonts w:ascii="Arial" w:cs="Arial" w:eastAsia="Arial" w:hAnsi="Arial"/>
                <w:sz w:val="18"/>
                <w:szCs w:val="18"/>
                <w:color w:val="auto"/>
              </w:rPr>
              <w:t>Cash dividends paid</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(115,071)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(101,197)</w:t>
            </w:r>
          </w:p>
        </w:tc>
      </w:tr>
      <w:tr>
        <w:trPr>
          <w:trHeight w:val="234"/>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29,055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(12,134)</w:t>
            </w:r>
          </w:p>
        </w:tc>
      </w:tr>
      <w:tr>
        <w:trPr>
          <w:trHeight w:val="236"/>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financing activities</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(317,091)</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(370,393)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345,386</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346,772</w:t>
            </w: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605,587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348,653</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2023, the consolidated results of its operations for the three and six months ended June 30, 2023 and 2022 and its cash flows for the six months ended June 30, 2023 and 2022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2022 as filed with the U.S. Securities and Exchange Commission.</w:t>
      </w: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119,741</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95,274</w:t>
            </w:r>
          </w:p>
        </w:tc>
        <w:tc>
          <w:tcPr>
            <w:tcW w:w="0" w:type="dxa"/>
            <w:vAlign w:val="bottom"/>
          </w:tcPr>
          <w:p>
            <w:pPr>
              <w:spacing w:after="0"/>
              <w:rPr>
                <w:sz w:val="1"/>
                <w:szCs w:val="1"/>
                <w:color w:val="auto"/>
              </w:rPr>
            </w:pPr>
          </w:p>
        </w:tc>
      </w:tr>
      <w:tr>
        <w:trPr>
          <w:trHeight w:val="23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June 30</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137,444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107,902</w:t>
            </w:r>
          </w:p>
        </w:tc>
        <w:tc>
          <w:tcPr>
            <w:tcW w:w="0" w:type="dxa"/>
            <w:vAlign w:val="bottom"/>
          </w:tcPr>
          <w:p>
            <w:pPr>
              <w:spacing w:after="0"/>
              <w:rPr>
                <w:sz w:val="1"/>
                <w:szCs w:val="1"/>
                <w:color w:val="auto"/>
              </w:rPr>
            </w:pPr>
          </w:p>
        </w:tc>
      </w:tr>
      <w:tr>
        <w:trPr>
          <w:trHeight w:val="25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398,692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328,816</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June 30</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443,768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369,926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(45,076)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(27,373)</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net change for the six months ended June 30, 2023 was primarily driven by contract liabilities, specifically growth in advance payments from customers. For the six months ended June 30, 2023 and 2022, the Company recognized revenue of $268.0 million and $219.3 million, respectively, that was previously included in the beginning balance of contract liabilities.</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June 30, 2023 and December 31, 2022, $61.2 million and $41.0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remaining performance obligations not expected to be completed within one year as of June 30, 2023 and December 31, 2022 were $573.0 million and $526.0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sales were attributed to geographic areas based on the location of the customer. Information about the Company’s operations in different geographic areas was as follows for the three and six months ended June 30: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right"/>
              <w:ind w:right="594"/>
              <w:spacing w:after="0"/>
              <w:rPr>
                <w:sz w:val="20"/>
                <w:szCs w:val="20"/>
                <w:color w:val="auto"/>
              </w:rPr>
            </w:pPr>
            <w:r>
              <w:rPr>
                <w:rFonts w:ascii="Arial" w:cs="Arial" w:eastAsia="Arial" w:hAnsi="Arial"/>
                <w:sz w:val="14"/>
                <w:szCs w:val="14"/>
                <w:b w:val="1"/>
                <w:bCs w:val="1"/>
                <w:color w:val="auto"/>
              </w:rPr>
              <w:t>Three months ended June 30, 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2023</w:t>
            </w:r>
          </w:p>
        </w:tc>
        <w:tc>
          <w:tcPr>
            <w:tcW w:w="800" w:type="dxa"/>
            <w:vAlign w:val="bottom"/>
            <w:tcBorders>
              <w:bottom w:val="single" w:sz="8" w:color="auto"/>
            </w:tcBorders>
          </w:tcPr>
          <w:p>
            <w:pPr>
              <w:spacing w:after="0"/>
              <w:rPr>
                <w:sz w:val="16"/>
                <w:szCs w:val="16"/>
                <w:color w:val="auto"/>
              </w:rPr>
            </w:pPr>
          </w:p>
        </w:tc>
      </w:tr>
      <w:tr>
        <w:trPr>
          <w:trHeight w:val="203"/>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EIG</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EMG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EIG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EMG</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6"/>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575,281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284,611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859,892</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1,137,177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531,730</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1,668,907</w:t>
            </w:r>
          </w:p>
        </w:tc>
      </w:tr>
      <w:tr>
        <w:trPr>
          <w:trHeight w:val="223"/>
        </w:trPr>
        <w:tc>
          <w:tcPr>
            <w:tcW w:w="3940" w:type="dxa"/>
            <w:vAlign w:val="bottom"/>
            <w:tcBorders>
              <w:top w:val="single" w:sz="8" w:color="CCEEFF"/>
            </w:tcBorders>
          </w:tcPr>
          <w:p>
            <w:pPr>
              <w:ind w:left="20"/>
              <w:spacing w:after="0" w:line="22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51,552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51,188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110,652</w:t>
            </w:r>
          </w:p>
        </w:tc>
      </w:tr>
      <w:tr>
        <w:trPr>
          <w:trHeight w:val="239"/>
        </w:trPr>
        <w:tc>
          <w:tcPr>
            <w:tcW w:w="394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130,811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110,876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241,687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266,469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227,683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494,152</w:t>
            </w:r>
          </w:p>
        </w:tc>
      </w:tr>
      <w:tr>
        <w:trPr>
          <w:trHeight w:val="234"/>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290,636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343,389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574,528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103,658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678,186</w:t>
            </w: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Other foreign countries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114,768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149,591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222,531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68,800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291,331</w:t>
            </w:r>
          </w:p>
        </w:tc>
      </w:tr>
      <w:tr>
        <w:trPr>
          <w:trHeight w:val="236"/>
        </w:trPr>
        <w:tc>
          <w:tcPr>
            <w:tcW w:w="3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559,365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226,854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786,219</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1,114,716</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459,605</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1,574,321</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1,134,646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511,465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1,646,111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2,251,893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991,335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3,243,228</w:t>
            </w:r>
          </w:p>
        </w:tc>
      </w:tr>
      <w:tr>
        <w:trPr>
          <w:trHeight w:val="21"/>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U.S. export sales of $439.1 million and $873.3 million for the three and six months ended June 30, 2023, respectively.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right"/>
              <w:ind w:right="614"/>
              <w:spacing w:after="0"/>
              <w:rPr>
                <w:sz w:val="20"/>
                <w:szCs w:val="20"/>
                <w:color w:val="auto"/>
              </w:rPr>
            </w:pPr>
            <w:r>
              <w:rPr>
                <w:rFonts w:ascii="Arial" w:cs="Arial" w:eastAsia="Arial" w:hAnsi="Arial"/>
                <w:sz w:val="14"/>
                <w:szCs w:val="14"/>
                <w:b w:val="1"/>
                <w:bCs w:val="1"/>
                <w:color w:val="auto"/>
              </w:rPr>
              <w:t>Three months ended June 30, 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2022</w:t>
            </w:r>
          </w:p>
        </w:tc>
        <w:tc>
          <w:tcPr>
            <w:tcW w:w="820" w:type="dxa"/>
            <w:vAlign w:val="bottom"/>
            <w:tcBorders>
              <w:bottom w:val="single" w:sz="8" w:color="auto"/>
            </w:tcBorders>
          </w:tcPr>
          <w:p>
            <w:pPr>
              <w:spacing w:after="0"/>
              <w:rPr>
                <w:sz w:val="16"/>
                <w:szCs w:val="16"/>
                <w:color w:val="auto"/>
              </w:rPr>
            </w:pPr>
          </w:p>
        </w:tc>
      </w:tr>
      <w:tr>
        <w:trPr>
          <w:trHeight w:val="195"/>
        </w:trPr>
        <w:tc>
          <w:tcPr>
            <w:tcW w:w="3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EIG</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EMG</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EIG</w:t>
            </w: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EMG</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4"/>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551,967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792,403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1,035,593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471,813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1,507,406</w:t>
            </w:r>
          </w:p>
        </w:tc>
      </w:tr>
      <w:tr>
        <w:trPr>
          <w:trHeight w:val="223"/>
        </w:trPr>
        <w:tc>
          <w:tcPr>
            <w:tcW w:w="3900" w:type="dxa"/>
            <w:vAlign w:val="bottom"/>
          </w:tcPr>
          <w:p>
            <w:pPr>
              <w:ind w:left="20"/>
              <w:spacing w:after="0" w:line="223"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107,256</w:t>
            </w: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217,456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230,139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222,193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452,332</w:t>
            </w:r>
          </w:p>
        </w:tc>
      </w:tr>
      <w:tr>
        <w:trPr>
          <w:trHeight w:val="243"/>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325,457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511,652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644,716</w:t>
            </w:r>
          </w:p>
        </w:tc>
      </w:tr>
      <w:tr>
        <w:trPr>
          <w:trHeight w:val="229"/>
        </w:trPr>
        <w:tc>
          <w:tcPr>
            <w:tcW w:w="3900" w:type="dxa"/>
            <w:vAlign w:val="bottom"/>
          </w:tcPr>
          <w:p>
            <w:pPr>
              <w:ind w:left="360"/>
              <w:spacing w:after="0"/>
              <w:rPr>
                <w:sz w:val="20"/>
                <w:szCs w:val="20"/>
                <w:color w:val="auto"/>
              </w:rPr>
            </w:pPr>
            <w:r>
              <w:rPr>
                <w:rFonts w:ascii="Arial" w:cs="Arial" w:eastAsia="Arial" w:hAnsi="Arial"/>
                <w:sz w:val="18"/>
                <w:szCs w:val="18"/>
                <w:color w:val="auto"/>
              </w:rPr>
              <w:t>Other foreign countries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128,566</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191,618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69,749</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261,367</w:t>
            </w:r>
          </w:p>
        </w:tc>
      </w:tr>
      <w:tr>
        <w:trPr>
          <w:trHeight w:val="223"/>
        </w:trPr>
        <w:tc>
          <w:tcPr>
            <w:tcW w:w="3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476,281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980,414</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485,257</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1,465,671</w:t>
            </w: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1,028,248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486,304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1,514,552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2,016,007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957,070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2,973,077</w:t>
            </w:r>
          </w:p>
        </w:tc>
      </w:tr>
      <w:tr>
        <w:trPr>
          <w:trHeight w:val="20"/>
        </w:trPr>
        <w:tc>
          <w:tcPr>
            <w:tcW w:w="3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U.S. export sales of $394.7 million and $801.2 million for the three and six months ended June 30, 2022, respectively.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7"/>
          </w:tcPr>
          <w:p>
            <w:pPr>
              <w:jc w:val="right"/>
              <w:ind w:right="616"/>
              <w:spacing w:after="0"/>
              <w:rPr>
                <w:sz w:val="20"/>
                <w:szCs w:val="20"/>
                <w:color w:val="auto"/>
              </w:rPr>
            </w:pPr>
            <w:r>
              <w:rPr>
                <w:rFonts w:ascii="Arial" w:cs="Arial" w:eastAsia="Arial" w:hAnsi="Arial"/>
                <w:sz w:val="14"/>
                <w:szCs w:val="14"/>
                <w:b w:val="1"/>
                <w:bCs w:val="1"/>
                <w:color w:val="auto"/>
              </w:rPr>
              <w:t>Three months ended June 30, 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7"/>
          </w:tcPr>
          <w:p>
            <w:pPr>
              <w:jc w:val="right"/>
              <w:ind w:right="674"/>
              <w:spacing w:after="0"/>
              <w:rPr>
                <w:sz w:val="20"/>
                <w:szCs w:val="20"/>
                <w:color w:val="auto"/>
              </w:rPr>
            </w:pPr>
            <w:r>
              <w:rPr>
                <w:rFonts w:ascii="Arial" w:cs="Arial" w:eastAsia="Arial" w:hAnsi="Arial"/>
                <w:sz w:val="14"/>
                <w:szCs w:val="14"/>
                <w:b w:val="1"/>
                <w:bCs w:val="1"/>
                <w:color w:val="auto"/>
              </w:rPr>
              <w:t>Six months ended June 30, 2023</w:t>
            </w:r>
          </w:p>
        </w:tc>
      </w:tr>
      <w:tr>
        <w:trPr>
          <w:trHeight w:val="25"/>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4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EIG</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EMG</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EIG</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EMG</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89"/>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8"/>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798,667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798,667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1,593,100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1,593,100</w:t>
            </w: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335,979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149,792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485,771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658,793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292,842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951,635</w:t>
            </w:r>
          </w:p>
        </w:tc>
      </w:tr>
      <w:tr>
        <w:trPr>
          <w:trHeight w:val="23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361,673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361,673</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698,493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698,493</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1,134,646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511,465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7"/>
              </w:rPr>
              <w:t>1,646,111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2,251,893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991,335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3,243,228</w:t>
            </w:r>
          </w:p>
        </w:tc>
      </w:tr>
      <w:tr>
        <w:trPr>
          <w:trHeight w:val="21"/>
        </w:trPr>
        <w:tc>
          <w:tcPr>
            <w:tcW w:w="4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7"/>
          </w:tcPr>
          <w:p>
            <w:pPr>
              <w:jc w:val="right"/>
              <w:ind w:right="616"/>
              <w:spacing w:after="0"/>
              <w:rPr>
                <w:sz w:val="20"/>
                <w:szCs w:val="20"/>
                <w:color w:val="auto"/>
              </w:rPr>
            </w:pPr>
            <w:r>
              <w:rPr>
                <w:rFonts w:ascii="Arial" w:cs="Arial" w:eastAsia="Arial" w:hAnsi="Arial"/>
                <w:sz w:val="14"/>
                <w:szCs w:val="14"/>
                <w:b w:val="1"/>
                <w:bCs w:val="1"/>
                <w:color w:val="auto"/>
              </w:rPr>
              <w:t>Three months ended June 30, 2022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7"/>
          </w:tcPr>
          <w:p>
            <w:pPr>
              <w:jc w:val="right"/>
              <w:ind w:right="674"/>
              <w:spacing w:after="0"/>
              <w:rPr>
                <w:sz w:val="20"/>
                <w:szCs w:val="20"/>
                <w:color w:val="auto"/>
              </w:rPr>
            </w:pPr>
            <w:r>
              <w:rPr>
                <w:rFonts w:ascii="Arial" w:cs="Arial" w:eastAsia="Arial" w:hAnsi="Arial"/>
                <w:sz w:val="14"/>
                <w:szCs w:val="14"/>
                <w:b w:val="1"/>
                <w:bCs w:val="1"/>
                <w:color w:val="auto"/>
              </w:rPr>
              <w:t>Six months ended June 30, 2022</w:t>
            </w:r>
          </w:p>
        </w:tc>
      </w:tr>
      <w:tr>
        <w:trPr>
          <w:trHeight w:val="26"/>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4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EIG</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EMG</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EIG</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EMG</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89"/>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8"/>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768,261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768,261</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1,460,953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1,460,953</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137,340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397,327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555,054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264,082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819,136</w:t>
            </w: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348,964</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692,988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692,988</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1,028,248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1,514,552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2,016,007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2,973,077</w:t>
            </w:r>
          </w:p>
        </w:tc>
      </w:tr>
      <w:tr>
        <w:trPr>
          <w:trHeight w:val="21"/>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Recognition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right="140"/>
        <w:spacing w:after="0" w:line="334" w:lineRule="auto"/>
        <w:rPr>
          <w:sz w:val="20"/>
          <w:szCs w:val="20"/>
          <w:color w:val="auto"/>
        </w:rPr>
      </w:pPr>
      <w:r>
        <w:rPr>
          <w:rFonts w:ascii="Arial" w:cs="Arial" w:eastAsia="Arial" w:hAnsi="Arial"/>
          <w:sz w:val="16"/>
          <w:szCs w:val="16"/>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3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Three months ended June 30, 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7"/>
          </w:tcPr>
          <w:p>
            <w:pPr>
              <w:jc w:val="center"/>
              <w:ind w:right="137"/>
              <w:spacing w:after="0"/>
              <w:rPr>
                <w:sz w:val="20"/>
                <w:szCs w:val="20"/>
                <w:color w:val="auto"/>
              </w:rPr>
            </w:pPr>
            <w:r>
              <w:rPr>
                <w:rFonts w:ascii="Arial" w:cs="Arial" w:eastAsia="Arial" w:hAnsi="Arial"/>
                <w:sz w:val="14"/>
                <w:szCs w:val="14"/>
                <w:b w:val="1"/>
                <w:bCs w:val="1"/>
                <w:color w:val="auto"/>
                <w:w w:val="89"/>
              </w:rPr>
              <w:t>Six months ended June 30, 2023</w:t>
            </w:r>
          </w:p>
        </w:tc>
      </w:tr>
      <w:tr>
        <w:trPr>
          <w:trHeight w:val="26"/>
        </w:trPr>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EIG</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EMG</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EIG</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EMG</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Total</w:t>
            </w:r>
          </w:p>
        </w:tc>
      </w:t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9"/>
        </w:trPr>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936,934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463,618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1,400,552</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1,872,242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877,219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2,749,461</w:t>
            </w:r>
          </w:p>
        </w:tc>
      </w:tr>
      <w:tr>
        <w:trPr>
          <w:trHeight w:val="243"/>
        </w:trPr>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197,712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245,559</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379,651</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114,116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493,767</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1,134,646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511,465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1,646,111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2,251,893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991,335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3,243,228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41"/>
        </w:trPr>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1"/>
              </w:rPr>
              <w:t>Three months ended June 30, 2022</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89"/>
              </w:rPr>
              <w:t>Six months ended June 30, 2022</w:t>
            </w:r>
          </w:p>
        </w:tc>
      </w:tr>
      <w:tr>
        <w:trPr>
          <w:trHeight w:val="223"/>
        </w:trPr>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EIG</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EMG</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EIG</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EMG</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Total</w:t>
            </w:r>
          </w:p>
        </w:tc>
      </w:t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-1123315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-822960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280" w:space="720"/>
            <w:col w:w="7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839,948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423,506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1,263,454</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1,652,896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836,160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2,489,056</w:t>
            </w:r>
          </w:p>
        </w:tc>
      </w:tr>
      <w:tr>
        <w:trPr>
          <w:trHeight w:val="23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188,300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251,098</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484,021</w:t>
            </w:r>
          </w:p>
        </w:tc>
      </w:tr>
      <w:tr>
        <w:trPr>
          <w:trHeight w:val="25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1,028,248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1,514,552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2,016,007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2,973,077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95"/>
        </w:trPr>
        <w:tc>
          <w:tcPr>
            <w:tcW w:w="80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r>
      <w:tr>
        <w:trPr>
          <w:trHeight w:val="190"/>
        </w:trPr>
        <w:tc>
          <w:tcPr>
            <w:tcW w:w="8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26,487</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27,478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9,397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5,143</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(7,289)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(6,023)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28,839</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25,966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2023, the Company had $936.9 million of accounts receivable, net of allowances of $14.3 million. Changes in the allowance were not material for the three and six months ended June 30, 2023.</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0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6"/>
        </w:trPr>
        <w:tc>
          <w:tcPr>
            <w:tcW w:w="60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340" w:type="dxa"/>
            <w:vAlign w:val="bottom"/>
            <w:tcBorders>
              <w:top w:val="single" w:sz="8" w:color="auto"/>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2022</w:t>
            </w:r>
          </w:p>
        </w:tc>
      </w:tr>
      <w:tr>
        <w:trPr>
          <w:trHeight w:val="194"/>
        </w:trPr>
        <w:tc>
          <w:tcPr>
            <w:tcW w:w="6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80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230,478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230,100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230,302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230,790</w:t>
            </w:r>
          </w:p>
        </w:tc>
      </w:tr>
      <w:tr>
        <w:trPr>
          <w:trHeight w:val="24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231,261</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231,247</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231,245</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232,156</w:t>
            </w:r>
          </w:p>
        </w:tc>
      </w:tr>
      <w:tr>
        <w:trPr>
          <w:trHeight w:val="20"/>
        </w:trPr>
        <w:tc>
          <w:tcPr>
            <w:tcW w:w="6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2"/>
              </w:rPr>
              <w:t>June 30, 2023</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9"/>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39"/>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9"/>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4"/>
        </w:trPr>
        <w:tc>
          <w:tcPr>
            <w:tcW w:w="5820" w:type="dxa"/>
            <w:vAlign w:val="bottom"/>
          </w:tcPr>
          <w:p>
            <w:pPr>
              <w:ind w:left="2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402"/>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4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39"/>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9"/>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9,856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For the six months ended June 30, 2023 and 2022, gains and losses on the investments noted above were not significant. No transfers between level 1 and level 2 investments occurred during the six months ended June 30, 2023 and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June 30, 2023, the Company had a Euro forward contract for a total notional value of 40.0 million Euros and Canadian dollar forward contracts for a notional value of 64.2 million Canadian dollars. Foreign currency forward contracts are valued as level 2 assets as they are corroborated by foreign currency exchange rates and shown as a component of other current assets on the consolidated balance sheet. For the six months ended June 30, 2023, realized and unrealized gains and losses on the foreign currency forward contracts were not significant.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June 30, 2023 and December 31, 2022 in the accompanying consolidated balance sheet.</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June 30, 2023 and December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December 31, 2022</w:t>
            </w:r>
          </w:p>
        </w:tc>
      </w:tr>
      <w:tr>
        <w:trPr>
          <w:trHeight w:val="179"/>
        </w:trPr>
        <w:tc>
          <w:tcPr>
            <w:tcW w:w="4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64"/>
              <w:spacing w:after="0"/>
              <w:rPr>
                <w:sz w:val="20"/>
                <w:szCs w:val="20"/>
                <w:color w:val="auto"/>
              </w:rPr>
            </w:pPr>
            <w:r>
              <w:rPr>
                <w:rFonts w:ascii="Arial" w:cs="Arial" w:eastAsia="Arial" w:hAnsi="Arial"/>
                <w:sz w:val="14"/>
                <w:szCs w:val="14"/>
                <w:b w:val="1"/>
                <w:bCs w:val="1"/>
                <w:color w:val="auto"/>
                <w:w w:val="89"/>
              </w:rPr>
              <w:t>Recorded</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center"/>
              <w:ind w:right="404"/>
              <w:spacing w:after="0"/>
              <w:rPr>
                <w:sz w:val="20"/>
                <w:szCs w:val="20"/>
                <w:color w:val="auto"/>
              </w:rPr>
            </w:pPr>
            <w:r>
              <w:rPr>
                <w:rFonts w:ascii="Arial" w:cs="Arial" w:eastAsia="Arial" w:hAnsi="Arial"/>
                <w:sz w:val="14"/>
                <w:szCs w:val="14"/>
                <w:b w:val="1"/>
                <w:bCs w:val="1"/>
                <w:color w:val="auto"/>
                <w:w w:val="89"/>
              </w:rPr>
              <w:t>Recorded</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6"/>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264"/>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1140" w:type="dxa"/>
            <w:vAlign w:val="bottom"/>
          </w:tcPr>
          <w:p>
            <w:pPr>
              <w:jc w:val="right"/>
              <w:ind w:right="36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center"/>
              <w:ind w:right="40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47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4"/>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4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(2,188,710)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(2,033,991)</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(2,161,643)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(2,010,867)</w:t>
            </w:r>
          </w:p>
        </w:tc>
      </w:tr>
    </w:tbl>
    <w:p>
      <w:pPr>
        <w:spacing w:after="0" w:line="202"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Hedging Activities</w:t>
      </w:r>
    </w:p>
    <w:p>
      <w:pPr>
        <w:spacing w:after="0" w:line="12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June 30, 2023,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At June 30, 2023, the Company had $260.5 million of British-pound-denominated loans, which were designated as a hedge against the net investment in British pound functional currency foreign subsidiaries. At June 30, 2023, the Company had $584.1 million in Euro-denominated loans, which were designated as a hedge against the net investment in Euro functional currency foreign subsidiaries. As a result of the British-pound- and Euro-denominated loans designated and 100% effective as net investment hedges, $24.9 million of pre-tax currency remeasurement losses have been included in the foreign currency translation component of other comprehensive income for the six months ended June 30, 2023.</w:t>
      </w: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Inventories,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43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1076"/>
              <w:spacing w:after="0"/>
              <w:rPr>
                <w:sz w:val="20"/>
                <w:szCs w:val="20"/>
                <w:color w:val="auto"/>
              </w:rPr>
            </w:pPr>
            <w:r>
              <w:rPr>
                <w:rFonts w:ascii="Arial" w:cs="Arial" w:eastAsia="Arial" w:hAnsi="Arial"/>
                <w:sz w:val="14"/>
                <w:szCs w:val="14"/>
                <w:b w:val="1"/>
                <w:bCs w:val="1"/>
                <w:color w:val="auto"/>
              </w:rPr>
              <w:t>(In thousands)</w:t>
            </w:r>
          </w:p>
        </w:tc>
      </w:tr>
      <w:tr>
        <w:trPr>
          <w:trHeight w:val="39"/>
        </w:trPr>
        <w:tc>
          <w:tcPr>
            <w:tcW w:w="8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and parts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124,959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151,875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138,043</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830,990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775,252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1,107,824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1,044,284</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has commitments under operating leases for certain facilities, vehicles and equipment used in its operations. Cash used in operations for operating leases was not materially different from operating lease expense for the six months ended June 30, 2023 and 2022. The Company's leases have a weighted average remaining lease term of approximately 5 years. Certain lease agreements contain provisions for future rent increases.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9"/>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30,582</w:t>
            </w:r>
          </w:p>
        </w:tc>
        <w:tc>
          <w:tcPr>
            <w:tcW w:w="4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2,399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5,946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36,528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900" w:type="dxa"/>
            <w:vAlign w:val="bottom"/>
            <w:gridSpan w:val="2"/>
          </w:tcPr>
          <w:p>
            <w:pPr>
              <w:ind w:left="660"/>
              <w:spacing w:after="0"/>
              <w:rPr>
                <w:sz w:val="20"/>
                <w:szCs w:val="20"/>
                <w:color w:val="auto"/>
              </w:rPr>
            </w:pPr>
            <w:r>
              <w:rPr>
                <w:rFonts w:ascii="Arial" w:cs="Arial" w:eastAsia="Arial" w:hAnsi="Arial"/>
                <w:sz w:val="18"/>
                <w:szCs w:val="18"/>
                <w:color w:val="auto"/>
                <w:w w:val="89"/>
              </w:rPr>
              <w:t>Supplemental balance sheet information related to leases was as follows: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7"/>
          </w:tcPr>
          <w:p>
            <w:pPr>
              <w:jc w:val="right"/>
              <w:ind w:right="119"/>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9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171,616</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46,158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129,557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Total lease liabilities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5"/>
              </w:rPr>
              <w:t>175,715</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ind w:left="660"/>
              <w:spacing w:after="0"/>
              <w:rPr>
                <w:sz w:val="20"/>
                <w:szCs w:val="20"/>
                <w:color w:val="auto"/>
              </w:rPr>
            </w:pPr>
            <w:r>
              <w:rPr>
                <w:rFonts w:ascii="Arial" w:cs="Arial" w:eastAsia="Arial" w:hAnsi="Arial"/>
                <w:sz w:val="18"/>
                <w:szCs w:val="18"/>
                <w:color w:val="auto"/>
              </w:rPr>
              <w:t>Maturities of lease liabilities as of June 30, 2023 were as follows:</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5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39"/>
        </w:trPr>
        <w:tc>
          <w:tcPr>
            <w:tcW w:w="59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2023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2026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spent $99.3 million in cash, net of cash acquired, to acquire Bison Gear &amp; Engineering Corp. ("Bison") in March 2023. Bison is a leading manufacturer of highly engineered motion control solutions serving diverse markets and applications. Bison is part of EMG.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represents the allocation of the purchase price for the net assets of the Bison acquisition based on the estimated fair values at acquisition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r>
      <w:tr>
        <w:trPr>
          <w:trHeight w:val="24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r>
      <w:tr>
        <w:trPr>
          <w:trHeight w:val="230"/>
        </w:trPr>
        <w:tc>
          <w:tcPr>
            <w:tcW w:w="9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Net working capital and other</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$9.7 million in accounts receivable, whose fair value, contractual cash flows and expected cash flows are approximately equal.</w:t>
      </w:r>
    </w:p>
    <w:p>
      <w:pPr>
        <w:spacing w:after="0" w:line="237"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amount allocated to goodwill is reflective of the benefits the Company expects to realize from the Bison acquisition. Bison's engineering expertise and broad product portfolio complement the Company's existing motion control and automation solutions business. The Company expects approximately $23.5 million of the goodwill relating to the Bison acquisition will be tax deductible in future years.</w:t>
      </w:r>
    </w:p>
    <w:p>
      <w:pPr>
        <w:spacing w:after="0" w:line="165"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At June 30, 2023, the purchase price allocated to other intangible assets of $52.8 million consists of $8.8 million of indefinite-lived intangible trade names, which are not subject to amortization. The remaining $44.0 million of other intangible assets consists of $33.0 million of customer relationships, which are being amortized over a period of 17 years, and $11.0 million of purchased technology, which is being amortized over a period of 17 years. Amortization expense for each of the next five years for the 2023 acquisition is expected to approximate $3 million per year.</w:t>
      </w:r>
    </w:p>
    <w:p>
      <w:pPr>
        <w:spacing w:after="0" w:line="4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 finalized its measurements of certain tangible and intangible assets and liabilities for its September 2022 acquisition of Navitar, Inc., which had no material impact to the consolidated statement of income and balance sheet. The Company has substantially completed its purchase accounting, however it is in the process of finalizing the accounting for income taxes, for its October 2022 acquisition of RTDS Technologies. The Company is in the process of finalizing the measurement of the intangible assets and tangible assets and liabilities for its March 2023 acquisition of Bison.</w:t>
      </w:r>
    </w:p>
    <w:p>
      <w:pPr>
        <w:spacing w:after="0" w:line="157"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Bison acquisition had an immaterial impact on reported net sales, net income, and diluted earnings per share for the three and six months ended June 30, 2023. Had the acquisition been made at the beginning of 2023 or 2022, pro forma net sales, net income, and diluted earnings per share for the three and six months ended June 30, 2023 and 2022, would not have been materially different than the amounts reported.</w:t>
      </w: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EIG</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EMG</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94"/>
        </w:trPr>
        <w:tc>
          <w:tcPr>
            <w:tcW w:w="6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1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4,236.1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5,372.6</w:t>
            </w:r>
          </w:p>
        </w:tc>
      </w:tr>
      <w:tr>
        <w:trPr>
          <w:trHeight w:val="239"/>
        </w:trPr>
        <w:tc>
          <w:tcPr>
            <w:tcW w:w="6380" w:type="dxa"/>
            <w:vAlign w:val="bottom"/>
          </w:tcPr>
          <w:p>
            <w:pPr>
              <w:ind w:left="360"/>
              <w:spacing w:after="0"/>
              <w:rPr>
                <w:sz w:val="20"/>
                <w:szCs w:val="20"/>
                <w:color w:val="auto"/>
              </w:rPr>
            </w:pPr>
            <w:r>
              <w:rPr>
                <w:rFonts w:ascii="Arial" w:cs="Arial" w:eastAsia="Arial" w:hAnsi="Arial"/>
                <w:sz w:val="18"/>
                <w:szCs w:val="18"/>
                <w:color w:val="auto"/>
              </w:rPr>
              <w:t>Goodwill acquired from 2023 acquisitions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r>
      <w:tr>
        <w:trPr>
          <w:trHeight w:val="234"/>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9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4,278.4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5,449.6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June 30, 2023, the Company had gross uncertain tax benefits of $191.1 million, of which $140.3 million, if recognized, would impact the effective tax rate.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liability for uncertain tax positions (in millions):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Reductions for tax positions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35" w:hanging="1035"/>
        <w:spacing w:after="0"/>
        <w:tabs>
          <w:tab w:leader="none" w:pos="1035" w:val="left"/>
        </w:tabs>
        <w:numPr>
          <w:ilvl w:val="0"/>
          <w:numId w:val="6"/>
        </w:numPr>
        <w:rPr>
          <w:rFonts w:ascii="Arial" w:cs="Arial" w:eastAsia="Arial" w:hAnsi="Arial"/>
          <w:sz w:val="16"/>
          <w:szCs w:val="16"/>
          <w:color w:val="auto"/>
        </w:rPr>
      </w:pPr>
      <w:r>
        <w:rPr>
          <w:rFonts w:ascii="Arial" w:cs="Arial" w:eastAsia="Arial" w:hAnsi="Arial"/>
          <w:sz w:val="16"/>
          <w:szCs w:val="16"/>
          <w:color w:val="auto"/>
        </w:rPr>
        <w:t>174.7</w:t>
      </w:r>
    </w:p>
    <w:p>
      <w:pPr>
        <w:spacing w:after="0" w:line="46" w:lineRule="exact"/>
        <w:rPr>
          <w:rFonts w:ascii="Arial" w:cs="Arial" w:eastAsia="Arial" w:hAnsi="Arial"/>
          <w:sz w:val="16"/>
          <w:szCs w:val="16"/>
          <w:color w:val="auto"/>
        </w:rPr>
      </w:pPr>
    </w:p>
    <w:p>
      <w:pPr>
        <w:ind w:left="1135"/>
        <w:spacing w:after="0"/>
        <w:rPr>
          <w:rFonts w:ascii="Arial" w:cs="Arial" w:eastAsia="Arial" w:hAnsi="Arial"/>
          <w:sz w:val="16"/>
          <w:szCs w:val="16"/>
          <w:color w:val="auto"/>
        </w:rPr>
      </w:pPr>
      <w:r>
        <w:rPr>
          <w:rFonts w:ascii="Arial" w:cs="Arial" w:eastAsia="Arial" w:hAnsi="Arial"/>
          <w:sz w:val="16"/>
          <w:szCs w:val="16"/>
          <w:b w:val="1"/>
          <w:bCs w:val="1"/>
          <w:color w:val="auto"/>
        </w:rPr>
        <w:t>16.4</w:t>
      </w:r>
    </w:p>
    <w:p>
      <w:pPr>
        <w:spacing w:after="0" w:line="45" w:lineRule="exact"/>
        <w:rPr>
          <w:rFonts w:ascii="Arial" w:cs="Arial" w:eastAsia="Arial" w:hAnsi="Arial"/>
          <w:sz w:val="16"/>
          <w:szCs w:val="16"/>
          <w:color w:val="auto"/>
        </w:rPr>
      </w:pPr>
    </w:p>
    <w:p>
      <w:pPr>
        <w:ind w:left="1275"/>
        <w:spacing w:after="0"/>
        <w:rPr>
          <w:rFonts w:ascii="Arial" w:cs="Arial" w:eastAsia="Arial" w:hAnsi="Arial"/>
          <w:sz w:val="16"/>
          <w:szCs w:val="16"/>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9855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5" w:lineRule="exact"/>
        <w:rPr>
          <w:sz w:val="20"/>
          <w:szCs w:val="20"/>
          <w:color w:val="auto"/>
        </w:rPr>
      </w:pPr>
    </w:p>
    <w:p>
      <w:pPr>
        <w:ind w:left="1035" w:hanging="1035"/>
        <w:spacing w:after="0"/>
        <w:tabs>
          <w:tab w:leader="none" w:pos="103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191.1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985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57785</wp:posOffset>
            </wp:positionV>
            <wp:extent cx="9855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8965" w:space="720"/>
            <w:col w:w="1555"/>
          </w:cols>
          <w:pgMar w:left="320" w:top="125" w:right="339" w:bottom="1440" w:gutter="0" w:footer="0" w:header="0"/>
          <w:type w:val="continuous"/>
        </w:sectPr>
      </w:pPr>
    </w:p>
    <w:p>
      <w:pPr>
        <w:spacing w:after="0" w:line="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six months ended June 30, 2023 and 2022 were not significant.</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effective tax rate for the three months ended June 30, 2023 was 18.2%, compared with 18.5% for the three months ended June 30, 2022. The lower effective tax rate in the second quarter of 2023 primarily reflects improved utilization of foreign tax credits.</w:t>
      </w:r>
    </w:p>
    <w:p>
      <w:pPr>
        <w:spacing w:after="0" w:line="19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6"/>
        </w:trPr>
        <w:tc>
          <w:tcPr>
            <w:tcW w:w="47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188"/>
        </w:trPr>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3,596</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7,180</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5,257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10,297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10,031</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 expense</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3,728</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900" w:type="dxa"/>
            <w:vAlign w:val="bottom"/>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12,581</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12,956</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22,860</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22,527</w:t>
            </w:r>
          </w:p>
        </w:tc>
      </w:tr>
      <w:tr>
        <w:trPr>
          <w:trHeight w:val="20"/>
        </w:trPr>
        <w:tc>
          <w:tcPr>
            <w:tcW w:w="4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3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Year Ended December 31,</w:t>
            </w:r>
          </w:p>
        </w:tc>
      </w:tr>
      <w:tr>
        <w:trPr>
          <w:trHeight w:val="196"/>
        </w:trPr>
        <w:tc>
          <w:tcPr>
            <w:tcW w:w="7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39"/>
        </w:trPr>
        <w:tc>
          <w:tcPr>
            <w:tcW w:w="75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0.72 %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0.65 %</w:t>
            </w: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38.11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32.54</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7"/>
              <w:spacing w:after="0" w:line="144"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5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7"/>
              <w:spacing w:after="0" w:line="13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2"/>
              <w:spacing w:after="0" w:line="13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520" w:type="dxa"/>
            <w:vAlign w:val="bottom"/>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138.46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122.05</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187.7</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Exercisable at June 30, 2023</w:t>
            </w:r>
          </w:p>
        </w:tc>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2,070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83.59</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ind w:right="2"/>
              <w:spacing w:after="0" w:line="203" w:lineRule="exact"/>
              <w:rPr>
                <w:sz w:val="20"/>
                <w:szCs w:val="20"/>
                <w:color w:val="auto"/>
              </w:rPr>
            </w:pPr>
            <w:r>
              <w:rPr>
                <w:rFonts w:ascii="Arial" w:cs="Arial" w:eastAsia="Arial" w:hAnsi="Arial"/>
                <w:sz w:val="18"/>
                <w:szCs w:val="18"/>
                <w:b w:val="1"/>
                <w:bCs w:val="1"/>
                <w:color w:val="auto"/>
              </w:rPr>
              <w:t>162.1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aggregate intrinsic value of stock options exercised during the six months ended June 30, 2023 was $34.7 million. The total fair value of stock options vested during the six months ended June 30, 2023 was $12.8 million. As of June 30, 2023, there was approximately $25.6 million of expected future pre-tax compensation expense related to the 0.9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9"/>
        </w:trPr>
        <w:tc>
          <w:tcPr>
            <w:tcW w:w="8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8"/>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020" w:type="dxa"/>
            <w:vAlign w:val="bottom"/>
          </w:tcPr>
          <w:p>
            <w:pPr>
              <w:spacing w:after="0"/>
              <w:rPr>
                <w:sz w:val="12"/>
                <w:szCs w:val="12"/>
                <w:color w:val="auto"/>
              </w:rPr>
            </w:pPr>
          </w:p>
        </w:tc>
        <w:tc>
          <w:tcPr>
            <w:tcW w:w="154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16"/>
                <w:szCs w:val="16"/>
                <w:color w:val="auto"/>
              </w:rPr>
            </w:pP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December 31,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0" w:type="dxa"/>
            <w:vAlign w:val="bottom"/>
          </w:tcPr>
          <w:p>
            <w:pPr>
              <w:spacing w:after="0"/>
              <w:rPr>
                <w:sz w:val="1"/>
                <w:szCs w:val="1"/>
                <w:color w:val="auto"/>
              </w:rPr>
            </w:pPr>
          </w:p>
        </w:tc>
      </w:tr>
      <w:tr>
        <w:trPr>
          <w:trHeight w:val="239"/>
        </w:trPr>
        <w:tc>
          <w:tcPr>
            <w:tcW w:w="8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138.60</w:t>
            </w: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104.06</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125.89</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June 30, 2023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total fair value of restricted stock vested during the six months ended June 30, 2023 was $16.1 million. As of June 30, 2023, there was approximately $34.7 million of expected future pre-tax compensation expense related to the 0.3 million non-vested restricted shares outstanding, which is expected to be recognized over a weighted average period of approximately two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2023,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performance restricted stock activity and related information: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8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7"/>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8020" w:type="dxa"/>
            <w:vAlign w:val="bottom"/>
          </w:tcPr>
          <w:p>
            <w:pPr>
              <w:spacing w:after="0"/>
              <w:rPr>
                <w:sz w:val="12"/>
                <w:szCs w:val="12"/>
                <w:color w:val="auto"/>
              </w:rPr>
            </w:pPr>
          </w:p>
        </w:tc>
        <w:tc>
          <w:tcPr>
            <w:tcW w:w="154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020" w:type="dxa"/>
            <w:vAlign w:val="bottom"/>
          </w:tcPr>
          <w:p>
            <w:pPr>
              <w:spacing w:after="0"/>
              <w:rPr>
                <w:sz w:val="15"/>
                <w:szCs w:val="15"/>
                <w:color w:val="auto"/>
              </w:rPr>
            </w:pP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performance restricted stock outstanding at December 31, 2022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138.46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Performance assumption change </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63.37</w:t>
            </w:r>
          </w:p>
        </w:tc>
        <w:tc>
          <w:tcPr>
            <w:tcW w:w="0" w:type="dxa"/>
            <w:vAlign w:val="bottom"/>
          </w:tcPr>
          <w:p>
            <w:pPr>
              <w:spacing w:after="0"/>
              <w:rPr>
                <w:sz w:val="1"/>
                <w:szCs w:val="1"/>
                <w:color w:val="auto"/>
              </w:rPr>
            </w:pPr>
          </w:p>
        </w:tc>
      </w:tr>
      <w:tr>
        <w:trPr>
          <w:trHeight w:val="239"/>
        </w:trPr>
        <w:tc>
          <w:tcPr>
            <w:tcW w:w="8020" w:type="dxa"/>
            <w:vAlign w:val="bottom"/>
          </w:tcPr>
          <w:p>
            <w:pPr>
              <w:ind w:left="36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63.37</w:t>
            </w: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Non-vested performance restricted stock outstanding at June 30, 2023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ind w:left="120" w:hanging="112"/>
        <w:spacing w:after="0" w:line="217" w:lineRule="auto"/>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Reflects the number of PRSUs above target levels based on performance metrics.</w:t>
      </w:r>
    </w:p>
    <w:p>
      <w:pPr>
        <w:spacing w:after="0" w:line="10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As of June 30, 2023, there was approximately $11.4 million of expected future pre-tax compensation expense related to the 0.2 million non-vested restricted shares outstanding, which is expected to be recognized over a weighted average period of approximately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pension benefit expense (income)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r>
      <w:tr>
        <w:trPr>
          <w:trHeight w:val="188"/>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749</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1,331</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1,489</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w:t>
            </w: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(13,071)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(15,033)</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(26,067)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(30,301)</w:t>
            </w:r>
          </w:p>
        </w:tc>
      </w:tr>
      <w:tr>
        <w:trPr>
          <w:trHeight w:val="23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5,663</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(1,914)</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(3,848)</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(13,147)</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10,512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24,028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23,072</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1,999</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4,570</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12,511</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28,598</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27,467</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10,597</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24,750</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defined benefit plans, the net periodic benefit income, other than the service cost component, is included in “Other (expense) income, net” in the consolidated statement of income.</w:t>
      </w:r>
    </w:p>
    <w:p>
      <w:pPr>
        <w:spacing w:after="0" w:line="170"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For the six months ended June 30, 2023 and 2022, contributions to the Company’s defined benefit pension plans were $2.9 million and $3.9 million, respectively. The Company’s current estimate of 2023 contributions to its worldwide defined benefit pension plans is in line with the range disclosed in Note 12 of the Company’s Annual Report on Form 10-K for the year ended December 31, 2022.</w:t>
      </w: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June 30, 2023,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Total environmental reserves at June 30, 2023 and December 31, 2022 were $41.1 million and $40.5 million, respectively, for both non-owned and owned sites. For the six months ended June 30, 2023, the Company recorded $3.5 million in reserves. Additionally, the Company spent $4.1 million on environmental matters for the six months ended June 30, 2023.</w:t>
      </w:r>
    </w:p>
    <w:p>
      <w:pPr>
        <w:spacing w:after="0" w:line="184"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5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6"/>
        </w:trPr>
        <w:tc>
          <w:tcPr>
            <w:tcW w:w="5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2022</w:t>
            </w:r>
          </w:p>
        </w:tc>
      </w:tr>
      <w:tr>
        <w:trPr>
          <w:trHeight w:val="188"/>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1,134,646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1,028,248</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2,251,893</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2,016,007</w:t>
            </w:r>
          </w:p>
        </w:tc>
      </w:tr>
      <w:tr>
        <w:trPr>
          <w:trHeight w:val="23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511,465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486,304</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991,335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957,070</w:t>
            </w:r>
          </w:p>
        </w:tc>
      </w:tr>
      <w:tr>
        <w:trPr>
          <w:trHeight w:val="237"/>
        </w:trPr>
        <w:tc>
          <w:tcPr>
            <w:tcW w:w="5360" w:type="dxa"/>
            <w:vAlign w:val="bottom"/>
          </w:tcPr>
          <w:p>
            <w:pPr>
              <w:ind w:left="140"/>
              <w:spacing w:after="0"/>
              <w:rPr>
                <w:sz w:val="20"/>
                <w:szCs w:val="20"/>
                <w:color w:val="auto"/>
              </w:rPr>
            </w:pPr>
            <w:r>
              <w:rPr>
                <w:rFonts w:ascii="Arial" w:cs="Arial" w:eastAsia="Arial" w:hAnsi="Arial"/>
                <w:sz w:val="18"/>
                <w:szCs w:val="18"/>
                <w:color w:val="auto"/>
              </w:rPr>
              <w:t>Consolidated net sales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1,646,111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1,514,552</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3,243,228</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2,973,077</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and income before income taxes: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Electronic Instruments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307,052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265,115</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616,799</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509,889</w:t>
            </w:r>
          </w:p>
        </w:tc>
      </w:tr>
      <w:tr>
        <w:trPr>
          <w:trHeight w:val="230"/>
        </w:trPr>
        <w:tc>
          <w:tcPr>
            <w:tcW w:w="5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Electromechanical</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256,719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252,580</w:t>
            </w:r>
          </w:p>
        </w:tc>
      </w:tr>
      <w:tr>
        <w:trPr>
          <w:trHeight w:val="223"/>
        </w:trPr>
        <w:tc>
          <w:tcPr>
            <w:tcW w:w="5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segment operating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389,486</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873,518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762,469</w:t>
            </w:r>
          </w:p>
        </w:tc>
      </w:tr>
      <w:tr>
        <w:trPr>
          <w:trHeight w:val="239"/>
        </w:trPr>
        <w:tc>
          <w:tcPr>
            <w:tcW w:w="5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Corporate administrative expenses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(24,644)</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(49,186)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(44,387)</w:t>
            </w:r>
          </w:p>
        </w:tc>
      </w:tr>
      <w:tr>
        <w:trPr>
          <w:trHeight w:val="227"/>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418,791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364,842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824,332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718,082</w:t>
            </w: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(20,350)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(39,920)</w:t>
            </w:r>
          </w:p>
        </w:tc>
      </w:tr>
      <w:tr>
        <w:trPr>
          <w:trHeight w:val="243"/>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Consolidated 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396,384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346,465</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775,983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682,687</w:t>
            </w:r>
          </w:p>
        </w:tc>
      </w:tr>
      <w:tr>
        <w:trPr>
          <w:trHeight w:val="21"/>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For the quarter ended June 30, 2023, the Company posted record sales, operating income, operating margins, net income, diluted earnings per share, and backlog. We achieved these results from organic sales growth, contributions from the acquisitions of Navitar in September 2022, RTDS in October 2022, and Bison Gear &amp; Engineering Corp. ("Bison") in March 2023, as well as our Operational Excellence initiatives. We continue to experience heightened levels of inflation in material costs, supply chain constraints, as well as continued uncertainty in the global economy. We expect material cost inflation to remain elevated throughout 2023, but anticipate pricing actions to mitigate this inflationary pressure. In response to supply chain pressures, we are maintaining elevated levels of inventory and seek alternative sources of supply, when necessary, to support sales and backlog growth. We continue to evaluate the extent to which these factors will impact our business, financial condition, and results of operations and will take additional actions as necessary throughout 2023 to mitigate this inflationary pressure. For 2023, our record backlog, the full year impact of the 2022 acquisitions, the 2023 acquisition of Bison, and continued focus on and implementation of our Operational Excellence initiatives are expected to have a positive impact on the remainder of our 2023 results.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second quarter of 2023 compared with the second quarter of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sales for the second quarter of 2023 were a record $1,646.1 million, an increase of $131.5 million or 8.7%, compared with net sales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$1,514.6 million for the second quarter of 2022. The increase in net sales for the second quarter of 2023 was due to a 5% increase in organic sales and a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from acquisitions.</w:t>
      </w:r>
    </w:p>
    <w:p>
      <w:pPr>
        <w:spacing w:after="0" w:line="2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Total international sales for the second quarter of 2023 were $786.2 million or 47.8% of net sales, an increase of $64.8 million or 9.0%, compared with international sales of $721.4 million or 47.6% of net sales for the second quarter of 2022. The increase in international sales was primarily driven by strong demand in Europe during the quarter as well as contributions from the 2022 acquisitions.</w:t>
      </w:r>
    </w:p>
    <w:p>
      <w:pPr>
        <w:spacing w:after="0" w:line="18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Orders for the second quarter of 2023 were $1,654.4 million, a increase of $9.9 million or 0.6%, compared with $1,644.5 million for the second quarter of 2022. The increase in orders for the second quarter of 2023 was due to a 2% increase from acquisitions and a 3% favorable effect of foreign currency translation, partially offset by an organic order decrease. As a result, the Company's backlog of unfilled orders at June 30, 2023 was a record $3,441.9 million, an increase of $223.3 million or 6.9% compared with $3,218.6 million at December 31, 2022.</w:t>
      </w:r>
    </w:p>
    <w:p>
      <w:pPr>
        <w:spacing w:after="0" w:line="171"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Segment operating income for the second quarter of 2023 was $443.3 million, an increase of $53.8 million or 13.8%, compared with segment operating income of $389.5 million for the second quarter of 2022. Segment operating margins, as a percentage of net sales, increased to 26.9% for the second quarter of 2023, compared with 25.7% for the second quarter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2022. Segment operating income and operating margins were positively impacted in 2023 by the increase in sales discussed above, as well as continued benefits from the Company's Operational Excellence initiatives.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for the second quarter of 2023 was $1,053.2 million or 64.0% of net sales, an increase of $65.0 million or 6.6%,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$988.2 million or 65.2% of net sales for the second quarter of 2022. The cost of sales increase was primarily due to the net sales increase discussed above.</w:t>
      </w:r>
    </w:p>
    <w:p>
      <w:pPr>
        <w:spacing w:after="0" w:line="2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Selling, general and administrative expenses for the second quarter of 2023 were $174.1 million or 10.6% of net sales, an increase of $12.6 million or 7.8%, compared with $161.5 million or 10.7% of net sales for the second quarter of 2022. The selling expense increase is primarily due to the net sales increase discussed above. General and administrative expenses for the second quarter of 2023 were $24.5 million, compared with $24.6 million for the second quarter of 2022.</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Consolidated operating income was a record $418.8 million or 25.4% of net sales for the second quarter of 2023, an increase of $53.9 million or 14.8%, compared with $364.8 million or 24.1% of net sales for the second quarter of 2022.</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Other expense, net was $3.7 million for the second quarter of 2023, compared with $2.0 million of other income, net for the second quarter of 2022, a change of $5.7 million. The second quarter of 2023 includes lower pension income compared to the second quarter of 2022.</w:t>
      </w:r>
    </w:p>
    <w:p>
      <w:pPr>
        <w:spacing w:after="0" w:line="14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effective tax rate for the second quarter of 2023 was 18.2%, compared with 18.5% for the second quarter of 2022. The lower effective tax rate in the second quarter of 2023 primarily reflects improved utilization of foreign tax credits.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income for the second quarter of 2023 was a record $324.2 million, an increase of $41.8 million or 14.8%, compared with $282.4 million for the second quarter of 2022.</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Diluted earnings per share for the second quarter of 2023 were a record $1.40, an increase of $0.18 or 14.8%, compared with $1.22 per diluted share for the second quarter of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1"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b w:val="1"/>
          <w:bCs w:val="1"/>
          <w:color w:val="auto"/>
        </w:rPr>
        <w:t>EIG</w:t>
      </w:r>
      <w:r>
        <w:rPr>
          <w:rFonts w:ascii="Arial" w:cs="Arial" w:eastAsia="Arial" w:hAnsi="Arial"/>
          <w:sz w:val="16"/>
          <w:szCs w:val="16"/>
          <w:b w:val="1"/>
          <w:bCs w:val="1"/>
          <w:i w:val="1"/>
          <w:iCs w:val="1"/>
          <w:color w:val="auto"/>
        </w:rPr>
        <w:t>’</w:t>
      </w:r>
      <w:r>
        <w:rPr>
          <w:rFonts w:ascii="Arial" w:cs="Arial" w:eastAsia="Arial" w:hAnsi="Arial"/>
          <w:sz w:val="16"/>
          <w:szCs w:val="16"/>
          <w:color w:val="auto"/>
        </w:rPr>
        <w:t>s net sales totaled $1,134.6 million for the second quarter of 2023, an increase of $106.4 million or 10.3%, compared with $1,028.2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second quarter of 2022. The net sales increase was due to an 8% increase in organic sales and a 3% increase from the 2022 acquisitions.</w:t>
      </w:r>
    </w:p>
    <w:p>
      <w:pPr>
        <w:spacing w:after="0" w:line="12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EIG’s operating income was $307.1 million for the second quarter of 2023, an increase of $42.0 million or 15.8%, compared with $265.1 million for the second quarter of 2022. EIG’s operating margins were 27.1% of net sales for the second quarter of 2023, compared with 25.8% for the second quarter of 2022. EIG's operating margins increased in the second quarter of 2023 compared to the second quarter of 2022 due to the sales increase discussed above as well as continued benefits from the Company's Operational Excellence initiatives.</w:t>
      </w:r>
    </w:p>
    <w:p>
      <w:pPr>
        <w:spacing w:after="0" w:line="167" w:lineRule="exact"/>
        <w:rPr>
          <w:sz w:val="20"/>
          <w:szCs w:val="20"/>
          <w:color w:val="auto"/>
        </w:rPr>
      </w:pPr>
    </w:p>
    <w:p>
      <w:pPr>
        <w:ind w:right="1000" w:firstLine="648"/>
        <w:spacing w:after="0" w:line="312" w:lineRule="auto"/>
        <w:rPr>
          <w:sz w:val="20"/>
          <w:szCs w:val="20"/>
          <w:color w:val="auto"/>
        </w:rPr>
      </w:pPr>
      <w:r>
        <w:rPr>
          <w:rFonts w:ascii="Arial" w:cs="Arial" w:eastAsia="Arial" w:hAnsi="Arial"/>
          <w:sz w:val="17"/>
          <w:szCs w:val="17"/>
          <w:b w:val="1"/>
          <w:bCs w:val="1"/>
          <w:color w:val="auto"/>
        </w:rPr>
        <w:t xml:space="preserve">EMG’s </w:t>
      </w:r>
      <w:r>
        <w:rPr>
          <w:rFonts w:ascii="Arial" w:cs="Arial" w:eastAsia="Arial" w:hAnsi="Arial"/>
          <w:sz w:val="17"/>
          <w:szCs w:val="17"/>
          <w:color w:val="auto"/>
        </w:rPr>
        <w:t>net sales totaled a record $511.5 million for the second quarter of 2023, an increase of $25.2 million or 5.2%, compared with</w:t>
      </w:r>
      <w:r>
        <w:rPr>
          <w:rFonts w:ascii="Arial" w:cs="Arial" w:eastAsia="Arial" w:hAnsi="Arial"/>
          <w:sz w:val="17"/>
          <w:szCs w:val="17"/>
          <w:b w:val="1"/>
          <w:bCs w:val="1"/>
          <w:color w:val="auto"/>
        </w:rPr>
        <w:t xml:space="preserve"> </w:t>
      </w:r>
      <w:r>
        <w:rPr>
          <w:rFonts w:ascii="Arial" w:cs="Arial" w:eastAsia="Arial" w:hAnsi="Arial"/>
          <w:sz w:val="17"/>
          <w:szCs w:val="17"/>
          <w:color w:val="auto"/>
        </w:rPr>
        <w:t>$486.3 million for the second quarter of 2022. The net sales increase was due to a 5% increase from the 2023 acquisition.</w:t>
      </w:r>
    </w:p>
    <w:p>
      <w:pPr>
        <w:spacing w:after="0" w:line="14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EMG’s operating income was $136.2 million for the second quarter of 2023, an increase of $11.8 million or 9.5%, compared with $124.4 million for the second quarter of 2022. EMG’s operating margins were 26.6% of net sales for the second quarter of 2023, compared with 25.6% for the second quarter of 2022. EMG's operating margins increased in the second quarter of 2023 compared to the second quarter of 2022 due to the sales increase discussed above as well as continued benefits from the Company's Operational Excellence initiatives. EMG's operating margins in the second quarter of 2023 were negatively impacted by the dilutive impact of the 2023 acquisition. Excluding the dilutive impact of the 2023 acquisition, EMG's operating margins increased 180 basis points compared with the second quarter of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first six months of 2023 compared with the first six months of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for the first six months of 2023 were $3,243.2 million, an increase of $270.1 million or 9.1%, compared with net sales of</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$2,973.1 million for the first six months of 2022. The increase in net sales for the first six months of 2023 was due to a 7% organic sales increase and a 3% increase from acquisitions, partially offset by an unfavorable 1% effect of foreign currency translation.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Total international sales for the first six months of 2023 were $1,574.3 million or 48.5% of net sales, an increase of $108.6 million or 7.4%, compared with international sales of $1,465.7 million or 49.3% of net sales for the first six months of 2022. The increase in international sales was primarily driven by strong demand in Europe and Asia as well as contributions from the 2022 acquisitions.</w:t>
      </w:r>
    </w:p>
    <w:p>
      <w:pPr>
        <w:spacing w:after="0" w:line="16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Orders for the first six months of 2023 were $3,466.4 million, an increase of $119.0 million or 3.6%, compared with $3,347.4 million for the first six months of 2022. The increase in orders for the first six months of 2023 was due to a 4% increase from acquisitions and a 2% favorable effect of foreign currency translation, partially offset by an organic order decrease.</w:t>
      </w:r>
    </w:p>
    <w:p>
      <w:pPr>
        <w:spacing w:after="0" w:line="18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Segment operating income for the first six months of 2023 was $873.5 million, an increase of $111.0 million or 14.6%, compared with segment operating income of $762.5 million for the first six months of 2022. Segment operating margins, as a percentage of net sales, increased to 26.9% for the first six months of 2023, compared with 25.6% for the first six months of 2022. Segment operating income and operating margins were positively impacted in 2023 by the increase in sales discussed above, as well as continued benefits from the Company's Operational Excellence initiatives. In the first six months of 2022, segment operating income included a $7.1 million gain on the sale of a facility which increased operating margins by 20 basis points.</w:t>
      </w:r>
    </w:p>
    <w:p>
      <w:pPr>
        <w:spacing w:after="0" w:line="16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Cost of sales for the first six months of 2023 was $2,075.7 million or 64.0% of net sales, an increase of $138.7 million or 7.2%, compared with $1,937.0 million or 65.2% of net sales for the first six months of 2022. The cost of sales increase was primarily due to the net sales increase discussed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expenses for the first six months of 2023 were $343.2 million or 10.6% of net sales, an increase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$25.2 million or 7.9%, compared with $318.0 million or 10.7% of net sales for the first six months of 2022. Selling expenses increased primarily due to the net sales increase discussed above. General and administrative expenses for the first six months of 2023 were $49.2 million, compared with $44.4 million for the first six months of 2022. The general and administrative expenses in the first six months of 2023 include higher employee compensation costs compared to the first six months of 2022.</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Consolidated operating income was $824.3 million or 25.4% of net sales for the first six months of 2023, an increase of $106.2 million or 14.8%, compared with $718.1 million or 24.2% of net sales for the first six months of 2022.</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Other expense, net was $9.1 million for the first six months of 2023, compared with $4.5 million of other income, net for the first six months of 2022, a change of $13.6 million. The first six months of 2023 includes lower pension income compared to the first six months of 2022.</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tax rate for the first six months of 2023 was 18.8%, compared with 18.7% for the first six months of 2022.</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income for the first six months of 2023 was $630.0 million, an increase of $75.2 million or 13.5%, compared with $554.8 million for the first six months of 2022.</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Diluted earnings per share for the first six months of 2023 were $2.72, an increase of $0.33 or 13.8%, compared with $2.39 per diluted share for the first six months of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3"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EIG’</w:t>
      </w:r>
      <w:r>
        <w:rPr>
          <w:rFonts w:ascii="Arial" w:cs="Arial" w:eastAsia="Arial" w:hAnsi="Arial"/>
          <w:sz w:val="18"/>
          <w:szCs w:val="18"/>
          <w:color w:val="auto"/>
        </w:rPr>
        <w:t>s net sales totaled $2,251.9 million for the first six months of 2023, an increase of $235.9 million or 11.7%, compared with $2,016.0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six months of 2022. The net sales increase was due to a 9% organic sales increase and a 3% increase from acquisitions, partially offset by an unfavorable 1% effect of foreign currency translation.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EIG’s operating income was $616.8 million for the first six months of 2023, an increase of $106.9 million or 21.0%, compared with</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$509.9 million for the first six months of 2022. EIG’s operating margins were 27.4% of net sales for the first six months of 2023, compared with 25.3% for the first six months of 2022. EIG operating margins increased in the first six months of 2023 compared to the first six months of 2022, due to the increase in net sales discussed above, as well as continued benefits from the Company's Operational Excellence initiatives.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$991.3 million for the first six months of 2023, an increase of $34.2 million or 3.6%, compared with $957.1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six months of 2022. The net sales increase was due to a 1% organic sales increase and a 3% increase from acquisitions, partially offset by an unfavorable 1% effect of foreign currency translation.</w:t>
      </w:r>
    </w:p>
    <w:p>
      <w:pPr>
        <w:spacing w:after="0" w:line="18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EMG’s operating income was $256.7 million for the first six months of 2023, an increase of $4.1 million or 1.6%, compared with $252.6 million for the first six months of 2022. EMG’s operating margins were 25.9% of net sales for the first six months of 2023, compared with 26.4% for the first six months of 2022. EMG's operating margins were negatively impacted by the dilutive impact of the 2023 acquisition. For the first six months of 2022, EMG's operating income included a $7.1 million gain on the sale of a facility, which increased EMG operating margins by 70 basis points. Excluding the dilutive impact of the 2023 acquisition and the gain on the sale of a facility, EMG operating margins for the first six months of 2023 increased 120 basis points compared to the first six months of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Cash provided by operating activities totaled $721.8 million for the first six months of 2023, an increase of $284.6 million or 65.1%, compared with $437.2 million for the first six months of 2022. The increase in cash provided by operating activities for the first six months of 2023 was primarily due to improved working capital management and higher net income.</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Free cash flow (cash flow provided by operating activities less capital expenditures) was $673.9 million for the first six months of 2023, compared with $384.7 million for the first six months of 2022. EBITDA (earnings before interest, income taxes, depreciation and amortization) was $977.3 million for the first six months of 2023, compared with $877.2 million for the first six months of 2022. Free cash flow and EBITDA are presented because the Company is aware that they are measures used by third parties in evaluating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by investing activities totaled $150.0 million for the first six months of 2023, compared with cash used by investing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$41.0 million for the first six months of 2022. For the first six months of 2023, the Company paid $99.3 million, net of cash acquired, to purchase Bison.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first six months of 2022, the Company received $11.8 million from the sale of a facility. Additions to property, plant and equipment totaled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$47.8 million for the first six months of 2023, compared with $52.5 million for the first six months of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by financing activities totaled $317.1 million for the first six months of 2023, compared with cash used by financing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$370.4 million for the first six months of 2022. At June 30, 2023, total debt, net was $2,191.7 million, compared with $2,385.0 million at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2022. For the first six months of 2023, total borrowings decreased by $219.6 million compared with a $56.5 million increase for the first six months of</w:t>
      </w:r>
    </w:p>
    <w:p>
      <w:pPr>
        <w:spacing w:after="0" w:line="2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2022. At June 30, 2023, the Company had available borrowing capacity of $2,969.9 million under its revolving credit facility, including the $700 million accordion feature.</w:t>
      </w:r>
    </w:p>
    <w:p>
      <w:pPr>
        <w:spacing w:after="0" w:line="18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debt-to-capital ratio was 21.3% at June 30, 2023, compared with 24.2% at December 31, 2022. The net debt-to-capital ratio (total debt, net less cash and cash equivalents divided by the sum of net debt and stockholders’ equity) was 16.4% at June 30, 2023, compared with 21.4% at December 31, 2022. The net debt-to-capital ratio is presented because the Company is aware that this measure is used by third parties in evaluating the Company.</w:t>
      </w:r>
    </w:p>
    <w:p>
      <w:pPr>
        <w:spacing w:after="0" w:line="14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Additional financing activities for the first six months of 2023 included cash dividends paid of $115.1 million, compared with $101.2 million for the first six months of 2022. Effective February 9, 2023, the Company’s Board of Directors approved a 14% increase in the quarterly cash dividend on the Company’s common stock to $0.25 per common share from $0.22 per common share. The Company repurchased $6.5 million of its common stock for the first six months of 2023, compared with $331.4 million for the first six months of 2022. Proceeds from stock option exercises were $29.1 million for the first six months of 2023, compared with $17.8 million for the first six months of 2022.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of all of the Company’s cash flow activities for the first six months of 2023, cash and cash equivalents at June 30, 2023 totaled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$605.6 million, compared with $345.4 million at December 31, 2022. At June 30, 2023, the Company had $457.2 million in cash outside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$334.1 million at December 31, 2022. The Company utilizes this cash to fund its international operations, as well as to acquire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businesses. The Company is in compliance with all covenants, including financial covenants, for all of its debt agreements. The Company believes it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sufficient cash-generating capabilities from domestic and unrestricted foreign sources, available credit facilities and access to long-term capital funds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enable it to meet its operating needs and contractual obligations in the foreseeable future.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2022.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2023. Based on that evaluation, the Company’s principal executive officer and principal financial officer concluded that the Company’s disclosure controls and procedures are effective at the reasonable assurance level.</w:t>
      </w:r>
    </w:p>
    <w:p>
      <w:pPr>
        <w:spacing w:after="0" w:line="84"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Such evaluation did not identify any change in the Company’s internal control over financial reporting during the quarter ended June 30,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purchases of AMETEK, Inc. common stock by the Company during the three months ended June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of Shares</w:t>
            </w: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Purchased as</w:t>
            </w: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Part of Publicly</w:t>
            </w: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Average Price</w:t>
            </w:r>
          </w:p>
        </w:tc>
        <w:tc>
          <w:tcPr>
            <w:tcW w:w="100" w:type="dxa"/>
            <w:vAlign w:val="bottom"/>
          </w:tcPr>
          <w:p>
            <w:pPr>
              <w:spacing w:after="0"/>
              <w:rPr>
                <w:sz w:val="15"/>
                <w:szCs w:val="15"/>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Announced</w:t>
            </w: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tcPr>
          <w:p>
            <w:pPr>
              <w:spacing w:after="0"/>
              <w:rPr>
                <w:sz w:val="16"/>
                <w:szCs w:val="16"/>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Plan (2)</w:t>
            </w: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the Plan</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to April 30, 2023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817,400,913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May 1, 2023 to May 31, 2023</w:t>
            </w:r>
          </w:p>
        </w:tc>
        <w:tc>
          <w:tcPr>
            <w:tcW w:w="15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817,378,870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2023 to June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817,378,870</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145.02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500" w:hanging="652"/>
        <w:spacing w:after="0" w:line="260"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198" w:lineRule="exact"/>
        <w:rPr>
          <w:rFonts w:ascii="Arial" w:cs="Arial" w:eastAsia="Arial" w:hAnsi="Arial"/>
          <w:sz w:val="18"/>
          <w:szCs w:val="18"/>
          <w:color w:val="auto"/>
        </w:rPr>
      </w:pPr>
    </w:p>
    <w:p>
      <w:pPr>
        <w:ind w:left="660" w:right="80" w:hanging="652"/>
        <w:spacing w:after="0" w:line="248" w:lineRule="auto"/>
        <w:tabs>
          <w:tab w:leader="none" w:pos="4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the number of shares purchased pursuant to the Company’s Board of Directors $1 billion authorization for the repurchase of its common stock announced in May 2022. Such purchases may be effected from time to time in the open market or in private transactions, subject to market conditions and at management’s discretion.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 and Policies</w:t>
      </w:r>
    </w:p>
    <w:p>
      <w:pPr>
        <w:spacing w:after="0" w:line="256"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During the quarter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0" w:type="dxa"/>
            <w:vAlign w:val="bottom"/>
            <w:gridSpan w:val="2"/>
          </w:tcPr>
          <w:p>
            <w:pPr>
              <w:jc w:val="center"/>
              <w:ind w:left="353"/>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7"/>
        </w:trPr>
        <w:tc>
          <w:tcPr>
            <w:tcW w:w="840" w:type="dxa"/>
            <w:vAlign w:val="bottom"/>
            <w:gridSpan w:val="2"/>
          </w:tcPr>
          <w:p>
            <w:pPr>
              <w:jc w:val="center"/>
              <w:ind w:left="353"/>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jc w:val="center"/>
              <w:ind w:left="353"/>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840" w:type="dxa"/>
            <w:vAlign w:val="bottom"/>
            <w:gridSpan w:val="2"/>
          </w:tcPr>
          <w:p>
            <w:pPr>
              <w:jc w:val="center"/>
              <w:ind w:left="353"/>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2*</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2"/>
              </w:rPr>
              <w:t>Certification of Chief Financial Officer, Pursuant to Section 906 of the Sarbanes-Oxley Act of 2002.</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4"/>
              </w:rPr>
              <w:t>101.INS*</w:t>
            </w:r>
          </w:p>
        </w:tc>
        <w:tc>
          <w:tcPr>
            <w:tcW w:w="48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4"/>
              </w:rPr>
              <w:t>101.SCH*</w:t>
            </w:r>
          </w:p>
        </w:tc>
        <w:tc>
          <w:tcPr>
            <w:tcW w:w="48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8"/>
              </w:rPr>
              <w:t>101.CAL*</w:t>
            </w:r>
          </w:p>
        </w:tc>
        <w:tc>
          <w:tcPr>
            <w:tcW w:w="48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97"/>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7"/>
              </w:rPr>
              <w:t>101.DEF*</w:t>
            </w:r>
          </w:p>
        </w:tc>
        <w:tc>
          <w:tcPr>
            <w:tcW w:w="48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9"/>
              </w:rPr>
              <w:t>101.LAB*</w:t>
            </w:r>
          </w:p>
        </w:tc>
        <w:tc>
          <w:tcPr>
            <w:tcW w:w="48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1"/>
              </w:rPr>
              <w:t>101.PRE*</w:t>
            </w:r>
          </w:p>
        </w:tc>
        <w:tc>
          <w:tcPr>
            <w:tcW w:w="48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780" w:right="640" w:hanging="1273"/>
        <w:spacing w:after="0" w:line="235" w:lineRule="auto"/>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AMETEK, Inc.</w:t>
      </w:r>
    </w:p>
    <w:p>
      <w:pPr>
        <w:spacing w:after="0" w:line="200" w:lineRule="exact"/>
        <w:rPr>
          <w:sz w:val="20"/>
          <w:szCs w:val="20"/>
          <w:color w:val="auto"/>
        </w:rPr>
      </w:pPr>
    </w:p>
    <w:p>
      <w:pPr>
        <w:spacing w:after="0" w:line="32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M. Montgomery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 Comptroller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125" w:right="6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25800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99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17" w:lineRule="exact"/>
        <w:rPr>
          <w:sz w:val="20"/>
          <w:szCs w:val="20"/>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8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4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2580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99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June 30, 2023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80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064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June 30, 2023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6"/>
          <w:szCs w:val="16"/>
          <w:color w:val="auto"/>
        </w:rPr>
        <w:t>ILLIAM</w:t>
      </w:r>
      <w:r>
        <w:rPr>
          <w:rFonts w:ascii="Arial" w:cs="Arial" w:eastAsia="Arial" w:hAnsi="Arial"/>
          <w:sz w:val="18"/>
          <w:szCs w:val="18"/>
          <w:color w:val="auto"/>
        </w:rPr>
        <w:t xml:space="preserve"> J. B</w:t>
      </w:r>
      <w:r>
        <w:rPr>
          <w:rFonts w:ascii="Arial" w:cs="Arial" w:eastAsia="Arial" w:hAnsi="Arial"/>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80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064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2023-08-01T13:22:55Z</dcterms:created>
  <dcterms:modified xsi:type="dcterms:W3CDTF">2023-08-01T13:22:55Z</dcterms:modified>
</cp:coreProperties>
</file>