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4" w:lineRule="exact"/>
        <w:rPr>
          <w:sz w:val="24"/>
          <w:szCs w:val="24"/>
          <w:color w:val="auto"/>
        </w:rPr>
      </w:pPr>
    </w:p>
    <w:p>
      <w:pPr>
        <w:jc w:val="center"/>
        <w:ind w:right="-39"/>
        <w:spacing w:after="0"/>
        <w:tabs>
          <w:tab w:leader="none" w:pos="26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87" w:lineRule="exact"/>
        <w:rPr>
          <w:sz w:val="24"/>
          <w:szCs w:val="24"/>
          <w:color w:val="auto"/>
        </w:rPr>
      </w:pPr>
    </w:p>
    <w:p>
      <w:pPr>
        <w:spacing w:after="0"/>
        <w:tabs>
          <w:tab w:leader="none" w:pos="3120" w:val="left"/>
        </w:tabs>
        <w:rPr>
          <w:sz w:val="20"/>
          <w:szCs w:val="20"/>
          <w:color w:val="auto"/>
        </w:rPr>
      </w:pPr>
      <w:r>
        <w:rPr>
          <w:rFonts w:ascii="Arial" w:cs="Arial" w:eastAsia="Arial" w:hAnsi="Arial"/>
          <w:sz w:val="18"/>
          <w:szCs w:val="18"/>
          <w:color w:val="auto"/>
        </w:rPr>
        <w:t>Filed by the Registrant x</w:t>
      </w:r>
      <w:r>
        <w:rPr>
          <w:sz w:val="20"/>
          <w:szCs w:val="20"/>
          <w:color w:val="auto"/>
        </w:rPr>
        <w:tab/>
      </w:r>
      <w:r>
        <w:rPr>
          <w:rFonts w:ascii="Arial" w:cs="Arial" w:eastAsia="Arial" w:hAnsi="Arial"/>
          <w:sz w:val="16"/>
          <w:szCs w:val="16"/>
          <w:color w:val="auto"/>
        </w:rPr>
        <w:t>Filed by a Party other than the Registrant o</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43" w:lineRule="exact"/>
        <w:rPr>
          <w:sz w:val="24"/>
          <w:szCs w:val="24"/>
          <w:color w:val="auto"/>
        </w:rPr>
      </w:pPr>
    </w:p>
    <w:p>
      <w:pPr>
        <w:ind w:left="800" w:hanging="774"/>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57" w:lineRule="exact"/>
        <w:rPr>
          <w:rFonts w:ascii="Arial" w:cs="Arial" w:eastAsia="Arial" w:hAnsi="Arial"/>
          <w:sz w:val="18"/>
          <w:szCs w:val="18"/>
          <w:color w:val="auto"/>
        </w:rPr>
      </w:pPr>
    </w:p>
    <w:p>
      <w:pPr>
        <w:ind w:left="800" w:hanging="774"/>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158" w:lineRule="exact"/>
        <w:rPr>
          <w:sz w:val="24"/>
          <w:szCs w:val="24"/>
          <w:color w:val="auto"/>
        </w:rPr>
      </w:pPr>
    </w:p>
    <w:p>
      <w:pPr>
        <w:ind w:left="800" w:hanging="774"/>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158" w:lineRule="exact"/>
        <w:rPr>
          <w:sz w:val="24"/>
          <w:szCs w:val="24"/>
          <w:color w:val="auto"/>
        </w:rPr>
      </w:pPr>
    </w:p>
    <w:p>
      <w:pPr>
        <w:ind w:left="800" w:hanging="77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157" w:lineRule="exact"/>
        <w:rPr>
          <w:rFonts w:ascii="Arial" w:cs="Arial" w:eastAsia="Arial" w:hAnsi="Arial"/>
          <w:sz w:val="18"/>
          <w:szCs w:val="18"/>
          <w:color w:val="auto"/>
        </w:rPr>
      </w:pPr>
    </w:p>
    <w:p>
      <w:pPr>
        <w:ind w:left="800" w:hanging="77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 240.14a-12</w:t>
      </w:r>
    </w:p>
    <w:p>
      <w:pPr>
        <w:spacing w:after="0" w:line="344"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AMETEK,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5" w:lineRule="exact"/>
        <w:rPr>
          <w:sz w:val="24"/>
          <w:szCs w:val="24"/>
          <w:color w:val="auto"/>
        </w:rPr>
      </w:pPr>
    </w:p>
    <w:p>
      <w:pPr>
        <w:ind w:left="3680"/>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11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8" w:lineRule="exact"/>
        <w:rPr>
          <w:sz w:val="24"/>
          <w:szCs w:val="24"/>
          <w:color w:val="auto"/>
        </w:rPr>
      </w:pPr>
    </w:p>
    <w:p>
      <w:pPr>
        <w:ind w:left="1000" w:hanging="974"/>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1000" w:hanging="974"/>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171" w:lineRule="exact"/>
        <w:rPr>
          <w:rFonts w:ascii="Arial" w:cs="Arial" w:eastAsia="Arial" w:hAnsi="Arial"/>
          <w:sz w:val="18"/>
          <w:szCs w:val="18"/>
          <w:color w:val="auto"/>
        </w:rPr>
      </w:pPr>
    </w:p>
    <w:p>
      <w:pPr>
        <w:ind w:left="1860" w:hanging="862"/>
        <w:spacing w:after="0"/>
        <w:tabs>
          <w:tab w:leader="none" w:pos="1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71" w:lineRule="exact"/>
        <w:rPr>
          <w:rFonts w:ascii="Arial" w:cs="Arial" w:eastAsia="Arial" w:hAnsi="Arial"/>
          <w:sz w:val="18"/>
          <w:szCs w:val="18"/>
          <w:color w:val="auto"/>
        </w:rPr>
      </w:pPr>
    </w:p>
    <w:p>
      <w:pPr>
        <w:ind w:left="1860" w:hanging="862"/>
        <w:spacing w:after="0"/>
        <w:tabs>
          <w:tab w:leader="none" w:pos="1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71" w:lineRule="exact"/>
        <w:rPr>
          <w:rFonts w:ascii="Arial" w:cs="Arial" w:eastAsia="Arial" w:hAnsi="Arial"/>
          <w:sz w:val="18"/>
          <w:szCs w:val="18"/>
          <w:color w:val="auto"/>
        </w:rPr>
      </w:pPr>
    </w:p>
    <w:p>
      <w:pPr>
        <w:ind w:left="1860" w:right="260" w:hanging="862"/>
        <w:spacing w:after="0" w:line="277" w:lineRule="auto"/>
        <w:tabs>
          <w:tab w:leader="none" w:pos="1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75" w:lineRule="exact"/>
        <w:rPr>
          <w:rFonts w:ascii="Arial" w:cs="Arial" w:eastAsia="Arial" w:hAnsi="Arial"/>
          <w:sz w:val="18"/>
          <w:szCs w:val="18"/>
          <w:color w:val="auto"/>
        </w:rPr>
      </w:pPr>
    </w:p>
    <w:p>
      <w:pPr>
        <w:ind w:left="1860" w:hanging="862"/>
        <w:spacing w:after="0"/>
        <w:tabs>
          <w:tab w:leader="none" w:pos="1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30" w:lineRule="exact"/>
        <w:rPr>
          <w:rFonts w:ascii="Arial" w:cs="Arial" w:eastAsia="Arial" w:hAnsi="Arial"/>
          <w:sz w:val="18"/>
          <w:szCs w:val="18"/>
          <w:color w:val="auto"/>
        </w:rPr>
      </w:pPr>
    </w:p>
    <w:p>
      <w:pPr>
        <w:ind w:left="1860" w:hanging="862"/>
        <w:spacing w:after="0"/>
        <w:tabs>
          <w:tab w:leader="none" w:pos="1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1170940</wp:posOffset>
            </wp:positionH>
            <wp:positionV relativeFrom="paragraph">
              <wp:posOffset>66040</wp:posOffset>
            </wp:positionV>
            <wp:extent cx="59664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-147320</wp:posOffset>
            </wp:positionV>
            <wp:extent cx="59664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-361950</wp:posOffset>
            </wp:positionV>
            <wp:extent cx="59664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-713105</wp:posOffset>
            </wp:positionV>
            <wp:extent cx="59664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-953135</wp:posOffset>
            </wp:positionV>
            <wp:extent cx="59664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38" w:lineRule="exact"/>
        <w:rPr>
          <w:sz w:val="24"/>
          <w:szCs w:val="24"/>
          <w:color w:val="auto"/>
        </w:rPr>
      </w:pPr>
    </w:p>
    <w:p>
      <w:pPr>
        <w:ind w:left="1000" w:hanging="974"/>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17" w:lineRule="exact"/>
        <w:rPr>
          <w:sz w:val="24"/>
          <w:szCs w:val="24"/>
          <w:color w:val="auto"/>
        </w:rPr>
      </w:pPr>
    </w:p>
    <w:p>
      <w:pPr>
        <w:ind w:left="1000" w:hanging="974"/>
        <w:spacing w:after="0" w:line="258" w:lineRule="auto"/>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 (a)(2) and identify the filing for which the offsetting fee was paid previously. Identify the previous filing by registration statement number, or the Form or Schedule and the date of its filing.</w:t>
      </w:r>
    </w:p>
    <w:p>
      <w:pPr>
        <w:spacing w:after="0" w:line="52" w:lineRule="exact"/>
        <w:rPr>
          <w:rFonts w:ascii="Arial" w:cs="Arial" w:eastAsia="Arial" w:hAnsi="Arial"/>
          <w:sz w:val="17"/>
          <w:szCs w:val="17"/>
          <w:color w:val="auto"/>
        </w:rPr>
      </w:pPr>
    </w:p>
    <w:p>
      <w:pPr>
        <w:ind w:left="1860" w:hanging="862"/>
        <w:spacing w:after="0"/>
        <w:tabs>
          <w:tab w:leader="none" w:pos="18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30" w:lineRule="exact"/>
        <w:rPr>
          <w:rFonts w:ascii="Arial" w:cs="Arial" w:eastAsia="Arial" w:hAnsi="Arial"/>
          <w:sz w:val="18"/>
          <w:szCs w:val="18"/>
          <w:color w:val="auto"/>
        </w:rPr>
      </w:pPr>
    </w:p>
    <w:p>
      <w:pPr>
        <w:ind w:left="1860" w:hanging="862"/>
        <w:spacing w:after="0"/>
        <w:tabs>
          <w:tab w:leader="none" w:pos="1860" w:val="left"/>
        </w:tabs>
        <w:numPr>
          <w:ilvl w:val="1"/>
          <w:numId w:val="7"/>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30" w:lineRule="exact"/>
        <w:rPr>
          <w:rFonts w:ascii="Arial" w:cs="Arial" w:eastAsia="Arial" w:hAnsi="Arial"/>
          <w:sz w:val="18"/>
          <w:szCs w:val="18"/>
          <w:color w:val="auto"/>
        </w:rPr>
      </w:pPr>
    </w:p>
    <w:p>
      <w:pPr>
        <w:ind w:left="1860" w:hanging="862"/>
        <w:spacing w:after="0"/>
        <w:tabs>
          <w:tab w:leader="none" w:pos="1860" w:val="left"/>
        </w:tabs>
        <w:numPr>
          <w:ilvl w:val="1"/>
          <w:numId w:val="7"/>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30" w:lineRule="exact"/>
        <w:rPr>
          <w:rFonts w:ascii="Arial" w:cs="Arial" w:eastAsia="Arial" w:hAnsi="Arial"/>
          <w:sz w:val="18"/>
          <w:szCs w:val="18"/>
          <w:color w:val="auto"/>
        </w:rPr>
      </w:pPr>
    </w:p>
    <w:p>
      <w:pPr>
        <w:ind w:left="1860" w:hanging="862"/>
        <w:spacing w:after="0"/>
        <w:tabs>
          <w:tab w:leader="none" w:pos="18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1170940</wp:posOffset>
            </wp:positionH>
            <wp:positionV relativeFrom="paragraph">
              <wp:posOffset>92075</wp:posOffset>
            </wp:positionV>
            <wp:extent cx="59664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-147320</wp:posOffset>
            </wp:positionV>
            <wp:extent cx="59664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-361950</wp:posOffset>
            </wp:positionV>
            <wp:extent cx="59664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-575945</wp:posOffset>
            </wp:positionV>
            <wp:extent cx="59664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ectPr>
          <w:pgSz w:w="11900" w:h="16838" w:orient="portrait"/>
          <w:cols w:equalWidth="0" w:num="1">
            <w:col w:w="11200"/>
          </w:cols>
          <w:pgMar w:left="320" w:top="1246" w:right="37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6995160" cy="89668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6995160" cy="8966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2702560</wp:posOffset>
            </wp:positionH>
            <wp:positionV relativeFrom="page">
              <wp:posOffset>714375</wp:posOffset>
            </wp:positionV>
            <wp:extent cx="2143125" cy="3429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143125" cy="342900"/>
                    </a:xfrm>
                    <a:prstGeom prst="rect">
                      <a:avLst/>
                    </a:prstGeom>
                    <a:noFill/>
                  </pic:spPr>
                </pic:pic>
              </a:graphicData>
            </a:graphic>
          </wp:anchor>
        </w:drawing>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NOTICE OF ANNUAL MEETING OF STOCKHOLDERS</w:t>
      </w:r>
    </w:p>
    <w:p>
      <w:pPr>
        <w:spacing w:after="0" w:line="105"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Thursday, May 5, 2022</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11:00 a.m. Eastern Time</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Via webcast: www.virtualshareholdermeeting.com/AME2022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Dear Fellow Stockholder</w:t>
      </w:r>
      <w:r>
        <w:rPr>
          <w:rFonts w:ascii="Arial" w:cs="Arial" w:eastAsia="Arial" w:hAnsi="Arial"/>
          <w:sz w:val="18"/>
          <w:szCs w:val="18"/>
          <w:color w:val="auto"/>
        </w:rPr>
        <w:t>:</w:t>
      </w:r>
    </w:p>
    <w:p>
      <w:pPr>
        <w:spacing w:after="0" w:line="18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behalf of the Board of Directors, it is my pleasure to invite you to attend the 2022 Annual Meeting of Stockholders of AMETEK, Inc. At the meeting, you will be asked to:</w:t>
      </w:r>
    </w:p>
    <w:p>
      <w:pPr>
        <w:spacing w:after="0" w:line="62" w:lineRule="exact"/>
        <w:rPr>
          <w:sz w:val="20"/>
          <w:szCs w:val="20"/>
          <w:color w:val="auto"/>
        </w:rPr>
      </w:pPr>
    </w:p>
    <w:p>
      <w:pPr>
        <w:ind w:left="1620" w:hanging="316"/>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Elect three Directors for a term of three years;</w:t>
      </w:r>
    </w:p>
    <w:p>
      <w:pPr>
        <w:spacing w:after="0" w:line="117" w:lineRule="exact"/>
        <w:rPr>
          <w:rFonts w:ascii="Arial" w:cs="Arial" w:eastAsia="Arial" w:hAnsi="Arial"/>
          <w:sz w:val="18"/>
          <w:szCs w:val="18"/>
          <w:color w:val="auto"/>
        </w:rPr>
      </w:pPr>
    </w:p>
    <w:p>
      <w:pPr>
        <w:ind w:left="1620" w:hanging="316"/>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Cast an advisory vote to approve the compensation of our named executive officers;</w:t>
      </w:r>
    </w:p>
    <w:p>
      <w:pPr>
        <w:spacing w:after="0" w:line="117" w:lineRule="exact"/>
        <w:rPr>
          <w:rFonts w:ascii="Arial" w:cs="Arial" w:eastAsia="Arial" w:hAnsi="Arial"/>
          <w:sz w:val="18"/>
          <w:szCs w:val="18"/>
          <w:color w:val="auto"/>
        </w:rPr>
      </w:pPr>
    </w:p>
    <w:p>
      <w:pPr>
        <w:ind w:left="1620" w:hanging="316"/>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Ratify the appointment of Ernst &amp; Young LLP as our independent registered public accounting firm for 2022; and</w:t>
      </w:r>
    </w:p>
    <w:p>
      <w:pPr>
        <w:spacing w:after="0" w:line="117" w:lineRule="exact"/>
        <w:rPr>
          <w:rFonts w:ascii="Arial" w:cs="Arial" w:eastAsia="Arial" w:hAnsi="Arial"/>
          <w:sz w:val="18"/>
          <w:szCs w:val="18"/>
          <w:color w:val="auto"/>
        </w:rPr>
      </w:pPr>
    </w:p>
    <w:p>
      <w:pPr>
        <w:ind w:left="1620" w:hanging="316"/>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Transact any other business properly brought before the meeting.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2022 Annual Meeting of Stockholders of AMETEK, Inc. will be held on May 5, 2022 at 11:00 a.m. Eastern Time, as a virtual meeting</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at www.virtualshareholdermeeting.com/AME2022. The meeting is being held virtually as part of our precautions regarding the COVID-19 pandemic. You will be able to listen to the meeting live, submit questions and vote online.</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Only stockholders of record at the close of business on March 10, 2022 will be entitled to vote at the meeting. Your vote is important. You can vote in one of four ways: (1) via the internet, (2) by telephone using a toll-free number, (3) by completing, signing and dating your proxy card, and returning it promptly in the envelope provided, or (4) at the meeting by following the instructions available on the meeting website during the meeting. Please refer to your proxy card for specific proxy voting instructions.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We have enclosed and posted on our website with this proxy statement our Annual Report on Form 10-K for the fiscal year ended December 31, 2021.</w:t>
      </w:r>
    </w:p>
    <w:p>
      <w:pPr>
        <w:spacing w:after="0" w:line="208"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Even if you expect to attend the meeting, we urge you to vote your shares via the internet, by telephone or by mailing your proxy as soon as possible. Submitting your proxy now will not prevent you from voting your stock at the meeting if you want to, as your proxy is revocable at your option. We appreciate your interest in AMETEK.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414145" cy="436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1414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David A. Zapico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Chairman and Chief Executive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Berwyn,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Dated: March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4" w:lineRule="exact"/>
        <w:rPr>
          <w:sz w:val="20"/>
          <w:szCs w:val="20"/>
          <w:color w:val="auto"/>
        </w:rPr>
      </w:pPr>
    </w:p>
    <w:p>
      <w:pPr>
        <w:jc w:val="center"/>
        <w:ind w:left="440" w:right="1560"/>
        <w:spacing w:after="0" w:line="255"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MAY 5, 2022 Our Notice of 2022 Annual Meeting of Stockholders, Notice of Internet Availability of Proxy Materials, Form 10-K for the year ended December 31, 2021, Proxy Statement and</w:t>
      </w:r>
    </w:p>
    <w:p>
      <w:pPr>
        <w:spacing w:after="0" w:line="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other related materials are available at: https://www.ametek.com/2022proxy.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i w:val="1"/>
          <w:iCs w:val="1"/>
          <w:color w:val="auto"/>
        </w:rPr>
        <w:t>Principal executive offices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1100 Cassatt Road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Berwyn, Pennsylvania 19312-1177</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PROXY STATEMENT</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Beginning on or about March 14, 2022, we are sending a Notice of Internet Availability of Proxy Materials (the “Notice”) to our stockholders of record as of March 10, 2022, who may view proxy materials on the internet, and may also request and receive a paper or e-mail copy of the proxy materials by following the instructions provided in the Notice. The Board of Directors is soliciting proxies in connection with the election of Directors and other actions to be taken at the meeting and at any adjournment or postponement of the meeting. The Board of Directors encourages you to read this proxy statement and to vote on the matters to be considered at the meeting.</w:t>
      </w:r>
    </w:p>
    <w:p>
      <w:pPr>
        <w:sectPr>
          <w:pgSz w:w="11900" w:h="16838" w:orient="portrait"/>
          <w:cols w:equalWidth="0" w:num="1">
            <w:col w:w="11220"/>
          </w:cols>
          <w:pgMar w:left="320" w:top="1043"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40" w:type="dxa"/>
            <w:vAlign w:val="bottom"/>
            <w:gridSpan w:val="5"/>
          </w:tcPr>
          <w:p>
            <w:pPr>
              <w:ind w:left="600"/>
              <w:spacing w:after="0"/>
              <w:rPr>
                <w:sz w:val="20"/>
                <w:szCs w:val="20"/>
                <w:color w:val="auto"/>
              </w:rPr>
            </w:pPr>
            <w:r>
              <w:rPr>
                <w:rFonts w:ascii="Arial" w:cs="Arial" w:eastAsia="Arial" w:hAnsi="Arial"/>
                <w:sz w:val="22"/>
                <w:szCs w:val="22"/>
                <w:b w:val="1"/>
                <w:bCs w:val="1"/>
                <w:color w:val="auto"/>
              </w:rPr>
              <w:t>TABLE OF CONTENTS</w:t>
            </w:r>
          </w:p>
        </w:tc>
        <w:tc>
          <w:tcPr>
            <w:tcW w:w="2400" w:type="dxa"/>
            <w:vAlign w:val="bottom"/>
          </w:tcPr>
          <w:p>
            <w:pPr>
              <w:spacing w:after="0"/>
              <w:rPr>
                <w:sz w:val="24"/>
                <w:szCs w:val="24"/>
                <w:color w:val="auto"/>
              </w:rPr>
            </w:pPr>
          </w:p>
        </w:tc>
      </w:tr>
      <w:tr>
        <w:trPr>
          <w:trHeight w:val="422"/>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02"/>
        </w:trPr>
        <w:tc>
          <w:tcPr>
            <w:tcW w:w="20" w:type="dxa"/>
            <w:vAlign w:val="bottom"/>
          </w:tcPr>
          <w:p>
            <w:pPr>
              <w:spacing w:after="0"/>
              <w:rPr>
                <w:sz w:val="17"/>
                <w:szCs w:val="17"/>
                <w:color w:val="auto"/>
              </w:rPr>
            </w:pPr>
          </w:p>
        </w:tc>
        <w:tc>
          <w:tcPr>
            <w:tcW w:w="1460" w:type="dxa"/>
            <w:vAlign w:val="bottom"/>
            <w:tcBorders>
              <w:bottom w:val="single" w:sz="8" w:color="0000FF"/>
            </w:tcBorders>
            <w:gridSpan w:val="7"/>
          </w:tcPr>
          <w:p>
            <w:pPr>
              <w:spacing w:after="0" w:line="182" w:lineRule="exact"/>
              <w:rPr>
                <w:rFonts w:ascii="Arial" w:cs="Arial" w:eastAsia="Arial" w:hAnsi="Arial"/>
                <w:sz w:val="18"/>
                <w:szCs w:val="18"/>
                <w:color w:val="0000FF"/>
                <w:w w:val="91"/>
              </w:rPr>
            </w:pPr>
            <w:hyperlink w:anchor="page5">
              <w:r>
                <w:rPr>
                  <w:rFonts w:ascii="Arial" w:cs="Arial" w:eastAsia="Arial" w:hAnsi="Arial"/>
                  <w:sz w:val="18"/>
                  <w:szCs w:val="18"/>
                  <w:color w:val="0000FF"/>
                  <w:w w:val="91"/>
                </w:rPr>
                <w:t>Company Overview</w:t>
              </w:r>
            </w:hyperlink>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400" w:type="dxa"/>
            <w:vAlign w:val="bottom"/>
          </w:tcPr>
          <w:p>
            <w:pPr>
              <w:jc w:val="right"/>
              <w:spacing w:after="0" w:line="196" w:lineRule="exact"/>
              <w:rPr>
                <w:rFonts w:ascii="Arial" w:cs="Arial" w:eastAsia="Arial" w:hAnsi="Arial"/>
                <w:sz w:val="18"/>
                <w:szCs w:val="18"/>
                <w:color w:val="auto"/>
              </w:rPr>
            </w:pPr>
            <w:hyperlink w:anchor="page5">
              <w:r>
                <w:rPr>
                  <w:rFonts w:ascii="Arial" w:cs="Arial" w:eastAsia="Arial" w:hAnsi="Arial"/>
                  <w:sz w:val="18"/>
                  <w:szCs w:val="18"/>
                  <w:color w:val="auto"/>
                </w:rPr>
                <w:t>1</w:t>
              </w:r>
            </w:hyperlink>
          </w:p>
        </w:tc>
      </w:tr>
      <w:tr>
        <w:trPr>
          <w:trHeight w:val="250"/>
        </w:trPr>
        <w:tc>
          <w:tcPr>
            <w:tcW w:w="20" w:type="dxa"/>
            <w:vAlign w:val="bottom"/>
          </w:tcPr>
          <w:p>
            <w:pPr>
              <w:spacing w:after="0"/>
              <w:rPr>
                <w:sz w:val="21"/>
                <w:szCs w:val="21"/>
                <w:color w:val="auto"/>
              </w:rPr>
            </w:pPr>
          </w:p>
        </w:tc>
        <w:tc>
          <w:tcPr>
            <w:tcW w:w="1180" w:type="dxa"/>
            <w:vAlign w:val="bottom"/>
            <w:tcBorders>
              <w:bottom w:val="single" w:sz="8" w:color="0000FF"/>
            </w:tcBorders>
            <w:gridSpan w:val="4"/>
          </w:tcPr>
          <w:p>
            <w:pPr>
              <w:spacing w:after="0"/>
              <w:rPr>
                <w:rFonts w:ascii="Arial" w:cs="Arial" w:eastAsia="Arial" w:hAnsi="Arial"/>
                <w:sz w:val="18"/>
                <w:szCs w:val="18"/>
                <w:color w:val="0000FF"/>
                <w:w w:val="90"/>
              </w:rPr>
            </w:pPr>
            <w:hyperlink w:anchor="page7">
              <w:r>
                <w:rPr>
                  <w:rFonts w:ascii="Arial" w:cs="Arial" w:eastAsia="Arial" w:hAnsi="Arial"/>
                  <w:sz w:val="18"/>
                  <w:szCs w:val="18"/>
                  <w:color w:val="0000FF"/>
                  <w:w w:val="90"/>
                </w:rPr>
                <w:t>Proxy Summary</w:t>
              </w:r>
            </w:hyperlink>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40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3</w:t>
              </w:r>
            </w:hyperlink>
          </w:p>
        </w:tc>
      </w:tr>
      <w:tr>
        <w:trPr>
          <w:trHeight w:val="250"/>
        </w:trPr>
        <w:tc>
          <w:tcPr>
            <w:tcW w:w="20" w:type="dxa"/>
            <w:vAlign w:val="bottom"/>
          </w:tcPr>
          <w:p>
            <w:pPr>
              <w:spacing w:after="0"/>
              <w:rPr>
                <w:sz w:val="21"/>
                <w:szCs w:val="21"/>
                <w:color w:val="auto"/>
              </w:rPr>
            </w:pPr>
          </w:p>
        </w:tc>
        <w:tc>
          <w:tcPr>
            <w:tcW w:w="1320" w:type="dxa"/>
            <w:vAlign w:val="bottom"/>
            <w:tcBorders>
              <w:bottom w:val="single" w:sz="8" w:color="0000FF"/>
            </w:tcBorders>
            <w:gridSpan w:val="5"/>
          </w:tcPr>
          <w:p>
            <w:pPr>
              <w:spacing w:after="0"/>
              <w:rPr>
                <w:rFonts w:ascii="Arial" w:cs="Arial" w:eastAsia="Arial" w:hAnsi="Arial"/>
                <w:sz w:val="18"/>
                <w:szCs w:val="18"/>
                <w:color w:val="0000FF"/>
                <w:w w:val="87"/>
              </w:rPr>
            </w:pPr>
            <w:hyperlink w:anchor="page8">
              <w:r>
                <w:rPr>
                  <w:rFonts w:ascii="Arial" w:cs="Arial" w:eastAsia="Arial" w:hAnsi="Arial"/>
                  <w:sz w:val="18"/>
                  <w:szCs w:val="18"/>
                  <w:color w:val="0000FF"/>
                  <w:w w:val="87"/>
                </w:rPr>
                <w:t>Voting Procedures</w:t>
              </w:r>
            </w:hyperlink>
          </w:p>
        </w:tc>
        <w:tc>
          <w:tcPr>
            <w:tcW w:w="40" w:type="dxa"/>
            <w:vAlign w:val="bottom"/>
          </w:tcPr>
          <w:p>
            <w:pPr>
              <w:spacing w:after="0"/>
              <w:rPr>
                <w:sz w:val="21"/>
                <w:szCs w:val="21"/>
                <w:color w:val="auto"/>
              </w:rPr>
            </w:pPr>
          </w:p>
        </w:tc>
        <w:tc>
          <w:tcPr>
            <w:tcW w:w="28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40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4</w:t>
              </w:r>
            </w:hyperlink>
          </w:p>
        </w:tc>
      </w:tr>
      <w:tr>
        <w:trPr>
          <w:trHeight w:val="250"/>
        </w:trPr>
        <w:tc>
          <w:tcPr>
            <w:tcW w:w="20" w:type="dxa"/>
            <w:vAlign w:val="bottom"/>
          </w:tcPr>
          <w:p>
            <w:pPr>
              <w:spacing w:after="0"/>
              <w:rPr>
                <w:sz w:val="21"/>
                <w:szCs w:val="21"/>
                <w:color w:val="auto"/>
              </w:rPr>
            </w:pPr>
          </w:p>
        </w:tc>
        <w:tc>
          <w:tcPr>
            <w:tcW w:w="1640" w:type="dxa"/>
            <w:vAlign w:val="bottom"/>
            <w:tcBorders>
              <w:bottom w:val="single" w:sz="8" w:color="0000FF"/>
            </w:tcBorders>
            <w:gridSpan w:val="8"/>
          </w:tcPr>
          <w:p>
            <w:pPr>
              <w:spacing w:after="0"/>
              <w:rPr>
                <w:rFonts w:ascii="Arial" w:cs="Arial" w:eastAsia="Arial" w:hAnsi="Arial"/>
                <w:sz w:val="18"/>
                <w:szCs w:val="18"/>
                <w:color w:val="0000FF"/>
                <w:w w:val="88"/>
              </w:rPr>
            </w:pPr>
            <w:hyperlink w:anchor="page11">
              <w:r>
                <w:rPr>
                  <w:rFonts w:ascii="Arial" w:cs="Arial" w:eastAsia="Arial" w:hAnsi="Arial"/>
                  <w:sz w:val="18"/>
                  <w:szCs w:val="18"/>
                  <w:color w:val="0000FF"/>
                  <w:w w:val="88"/>
                </w:rPr>
                <w:t>Corporate Governance</w:t>
              </w:r>
            </w:hyperlink>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400" w:type="dxa"/>
            <w:vAlign w:val="bottom"/>
          </w:tcPr>
          <w:p>
            <w:pPr>
              <w:jc w:val="right"/>
              <w:spacing w:after="0"/>
              <w:rPr>
                <w:rFonts w:ascii="Arial" w:cs="Arial" w:eastAsia="Arial" w:hAnsi="Arial"/>
                <w:sz w:val="18"/>
                <w:szCs w:val="18"/>
                <w:color w:val="auto"/>
              </w:rPr>
            </w:pPr>
            <w:hyperlink w:anchor="page11">
              <w:r>
                <w:rPr>
                  <w:rFonts w:ascii="Arial" w:cs="Arial" w:eastAsia="Arial" w:hAnsi="Arial"/>
                  <w:sz w:val="18"/>
                  <w:szCs w:val="18"/>
                  <w:color w:val="auto"/>
                </w:rPr>
                <w:t>7</w:t>
              </w:r>
            </w:hyperlink>
          </w:p>
        </w:tc>
      </w:tr>
      <w:tr>
        <w:trPr>
          <w:trHeight w:val="250"/>
        </w:trPr>
        <w:tc>
          <w:tcPr>
            <w:tcW w:w="20" w:type="dxa"/>
            <w:vAlign w:val="bottom"/>
          </w:tcPr>
          <w:p>
            <w:pPr>
              <w:spacing w:after="0"/>
              <w:rPr>
                <w:sz w:val="21"/>
                <w:szCs w:val="21"/>
                <w:color w:val="auto"/>
              </w:rPr>
            </w:pPr>
          </w:p>
        </w:tc>
        <w:tc>
          <w:tcPr>
            <w:tcW w:w="5680" w:type="dxa"/>
            <w:vAlign w:val="bottom"/>
            <w:tcBorders>
              <w:bottom w:val="single" w:sz="8" w:color="0000FF"/>
            </w:tcBorders>
            <w:gridSpan w:val="21"/>
          </w:tcPr>
          <w:p>
            <w:pPr>
              <w:spacing w:after="0"/>
              <w:rPr>
                <w:rFonts w:ascii="Arial" w:cs="Arial" w:eastAsia="Arial" w:hAnsi="Arial"/>
                <w:sz w:val="18"/>
                <w:szCs w:val="18"/>
                <w:color w:val="0000FF"/>
                <w:w w:val="91"/>
              </w:rPr>
            </w:pPr>
            <w:hyperlink w:anchor="page21">
              <w:r>
                <w:rPr>
                  <w:rFonts w:ascii="Arial" w:cs="Arial" w:eastAsia="Arial" w:hAnsi="Arial"/>
                  <w:sz w:val="18"/>
                  <w:szCs w:val="18"/>
                  <w:color w:val="0000FF"/>
                  <w:w w:val="91"/>
                </w:rPr>
                <w:t xml:space="preserve">Stockholder Proposals and Director Nominations for the </w:t>
              </w:r>
            </w:hyperlink>
            <w:r>
              <w:rPr>
                <w:rFonts w:ascii="Arial" w:cs="Arial" w:eastAsia="Arial" w:hAnsi="Arial"/>
                <w:sz w:val="18"/>
                <w:szCs w:val="18"/>
                <w:color w:val="0000FF"/>
                <w:w w:val="91"/>
              </w:rPr>
              <w:t xml:space="preserve">2023 </w:t>
            </w:r>
            <w:hyperlink w:anchor="page21">
              <w:r>
                <w:rPr>
                  <w:rFonts w:ascii="Arial" w:cs="Arial" w:eastAsia="Arial" w:hAnsi="Arial"/>
                  <w:sz w:val="18"/>
                  <w:szCs w:val="18"/>
                  <w:color w:val="0000FF"/>
                  <w:w w:val="91"/>
                </w:rPr>
                <w:t>Annual Meeting</w:t>
              </w:r>
            </w:hyperlink>
          </w:p>
        </w:tc>
        <w:tc>
          <w:tcPr>
            <w:tcW w:w="10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400" w:type="dxa"/>
            <w:vAlign w:val="bottom"/>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17</w:t>
              </w:r>
            </w:hyperlink>
          </w:p>
        </w:tc>
      </w:tr>
      <w:tr>
        <w:trPr>
          <w:trHeight w:val="250"/>
        </w:trPr>
        <w:tc>
          <w:tcPr>
            <w:tcW w:w="2260" w:type="dxa"/>
            <w:vAlign w:val="bottom"/>
            <w:tcBorders>
              <w:bottom w:val="single" w:sz="8" w:color="0000FF"/>
            </w:tcBorders>
            <w:gridSpan w:val="13"/>
          </w:tcPr>
          <w:p>
            <w:pPr>
              <w:spacing w:after="0"/>
              <w:rPr>
                <w:rFonts w:ascii="Arial" w:cs="Arial" w:eastAsia="Arial" w:hAnsi="Arial"/>
                <w:sz w:val="18"/>
                <w:szCs w:val="18"/>
                <w:color w:val="0000FF"/>
                <w:w w:val="92"/>
              </w:rPr>
            </w:pPr>
            <w:hyperlink w:anchor="page22">
              <w:r>
                <w:rPr>
                  <w:rFonts w:ascii="Arial" w:cs="Arial" w:eastAsia="Arial" w:hAnsi="Arial"/>
                  <w:sz w:val="18"/>
                  <w:szCs w:val="18"/>
                  <w:color w:val="0000FF"/>
                  <w:w w:val="92"/>
                </w:rPr>
                <w:t>Report of the Audit Committee</w:t>
              </w:r>
            </w:hyperlink>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0" w:type="dxa"/>
            <w:vAlign w:val="bottom"/>
            <w:gridSpan w:val="2"/>
          </w:tcPr>
          <w:p>
            <w:pPr>
              <w:spacing w:after="0"/>
              <w:rPr>
                <w:sz w:val="21"/>
                <w:szCs w:val="21"/>
                <w:color w:val="auto"/>
              </w:rPr>
            </w:pPr>
          </w:p>
        </w:tc>
        <w:tc>
          <w:tcPr>
            <w:tcW w:w="2060" w:type="dxa"/>
            <w:vAlign w:val="bottom"/>
          </w:tcPr>
          <w:p>
            <w:pPr>
              <w:spacing w:after="0"/>
              <w:rPr>
                <w:sz w:val="21"/>
                <w:szCs w:val="21"/>
                <w:color w:val="auto"/>
              </w:rPr>
            </w:pPr>
          </w:p>
        </w:tc>
        <w:tc>
          <w:tcPr>
            <w:tcW w:w="2400" w:type="dxa"/>
            <w:vAlign w:val="bottom"/>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18</w:t>
              </w:r>
            </w:hyperlink>
          </w:p>
        </w:tc>
      </w:tr>
      <w:tr>
        <w:trPr>
          <w:trHeight w:val="250"/>
        </w:trPr>
        <w:tc>
          <w:tcPr>
            <w:tcW w:w="20" w:type="dxa"/>
            <w:vAlign w:val="bottom"/>
          </w:tcPr>
          <w:p>
            <w:pPr>
              <w:spacing w:after="0"/>
              <w:rPr>
                <w:sz w:val="21"/>
                <w:szCs w:val="21"/>
                <w:color w:val="auto"/>
              </w:rPr>
            </w:pPr>
          </w:p>
        </w:tc>
        <w:tc>
          <w:tcPr>
            <w:tcW w:w="2480" w:type="dxa"/>
            <w:vAlign w:val="bottom"/>
            <w:tcBorders>
              <w:bottom w:val="single" w:sz="8" w:color="0000FF"/>
            </w:tcBorders>
            <w:gridSpan w:val="13"/>
          </w:tcPr>
          <w:p>
            <w:pPr>
              <w:spacing w:after="0"/>
              <w:rPr>
                <w:rFonts w:ascii="Arial" w:cs="Arial" w:eastAsia="Arial" w:hAnsi="Arial"/>
                <w:sz w:val="18"/>
                <w:szCs w:val="18"/>
                <w:color w:val="0000FF"/>
                <w:w w:val="91"/>
              </w:rPr>
            </w:pPr>
            <w:hyperlink w:anchor="page23">
              <w:r>
                <w:rPr>
                  <w:rFonts w:ascii="Arial" w:cs="Arial" w:eastAsia="Arial" w:hAnsi="Arial"/>
                  <w:sz w:val="18"/>
                  <w:szCs w:val="18"/>
                  <w:color w:val="0000FF"/>
                  <w:w w:val="91"/>
                </w:rPr>
                <w:t>Proposal 1 -- Election of Directors</w:t>
              </w:r>
            </w:hyperlink>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0" w:type="dxa"/>
            <w:vAlign w:val="bottom"/>
            <w:gridSpan w:val="2"/>
          </w:tcPr>
          <w:p>
            <w:pPr>
              <w:spacing w:after="0"/>
              <w:rPr>
                <w:sz w:val="21"/>
                <w:szCs w:val="21"/>
                <w:color w:val="auto"/>
              </w:rPr>
            </w:pPr>
          </w:p>
        </w:tc>
        <w:tc>
          <w:tcPr>
            <w:tcW w:w="2060" w:type="dxa"/>
            <w:vAlign w:val="bottom"/>
          </w:tcPr>
          <w:p>
            <w:pPr>
              <w:spacing w:after="0"/>
              <w:rPr>
                <w:sz w:val="21"/>
                <w:szCs w:val="21"/>
                <w:color w:val="auto"/>
              </w:rPr>
            </w:pPr>
          </w:p>
        </w:tc>
        <w:tc>
          <w:tcPr>
            <w:tcW w:w="2400" w:type="dxa"/>
            <w:vAlign w:val="bottom"/>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19</w:t>
              </w:r>
            </w:hyperlink>
          </w:p>
        </w:tc>
      </w:tr>
      <w:tr>
        <w:trPr>
          <w:trHeight w:val="250"/>
        </w:trPr>
        <w:tc>
          <w:tcPr>
            <w:tcW w:w="20" w:type="dxa"/>
            <w:vAlign w:val="bottom"/>
          </w:tcPr>
          <w:p>
            <w:pPr>
              <w:spacing w:after="0"/>
              <w:rPr>
                <w:sz w:val="21"/>
                <w:szCs w:val="21"/>
                <w:color w:val="auto"/>
              </w:rPr>
            </w:pPr>
          </w:p>
        </w:tc>
        <w:tc>
          <w:tcPr>
            <w:tcW w:w="5540" w:type="dxa"/>
            <w:vAlign w:val="bottom"/>
            <w:tcBorders>
              <w:bottom w:val="single" w:sz="8" w:color="0000FF"/>
            </w:tcBorders>
            <w:gridSpan w:val="20"/>
          </w:tcPr>
          <w:p>
            <w:pPr>
              <w:spacing w:after="0"/>
              <w:rPr>
                <w:rFonts w:ascii="Arial" w:cs="Arial" w:eastAsia="Arial" w:hAnsi="Arial"/>
                <w:sz w:val="18"/>
                <w:szCs w:val="18"/>
                <w:color w:val="0000FF"/>
                <w:w w:val="91"/>
              </w:rPr>
            </w:pPr>
            <w:hyperlink w:anchor="page24">
              <w:r>
                <w:rPr>
                  <w:rFonts w:ascii="Arial" w:cs="Arial" w:eastAsia="Arial" w:hAnsi="Arial"/>
                  <w:sz w:val="18"/>
                  <w:szCs w:val="18"/>
                  <w:color w:val="0000FF"/>
                  <w:w w:val="91"/>
                </w:rPr>
                <w:t>Proposal 2 -- Advisory Approval of the Company’s Executive Compensation</w:t>
              </w:r>
            </w:hyperlink>
          </w:p>
        </w:tc>
        <w:tc>
          <w:tcPr>
            <w:tcW w:w="1200" w:type="dxa"/>
            <w:vAlign w:val="bottom"/>
            <w:gridSpan w:val="2"/>
          </w:tcPr>
          <w:p>
            <w:pPr>
              <w:spacing w:after="0"/>
              <w:rPr>
                <w:sz w:val="21"/>
                <w:szCs w:val="21"/>
                <w:color w:val="auto"/>
              </w:rPr>
            </w:pPr>
          </w:p>
        </w:tc>
        <w:tc>
          <w:tcPr>
            <w:tcW w:w="2060" w:type="dxa"/>
            <w:vAlign w:val="bottom"/>
          </w:tcPr>
          <w:p>
            <w:pPr>
              <w:spacing w:after="0"/>
              <w:rPr>
                <w:sz w:val="21"/>
                <w:szCs w:val="21"/>
                <w:color w:val="auto"/>
              </w:rPr>
            </w:pPr>
          </w:p>
        </w:tc>
        <w:tc>
          <w:tcPr>
            <w:tcW w:w="240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20</w:t>
              </w:r>
            </w:hyperlink>
          </w:p>
        </w:tc>
      </w:tr>
      <w:tr>
        <w:trPr>
          <w:trHeight w:val="250"/>
        </w:trPr>
        <w:tc>
          <w:tcPr>
            <w:tcW w:w="20" w:type="dxa"/>
            <w:vAlign w:val="bottom"/>
          </w:tcPr>
          <w:p>
            <w:pPr>
              <w:spacing w:after="0"/>
              <w:rPr>
                <w:sz w:val="21"/>
                <w:szCs w:val="21"/>
                <w:color w:val="auto"/>
              </w:rPr>
            </w:pPr>
          </w:p>
        </w:tc>
        <w:tc>
          <w:tcPr>
            <w:tcW w:w="6740" w:type="dxa"/>
            <w:vAlign w:val="bottom"/>
            <w:tcBorders>
              <w:bottom w:val="single" w:sz="8" w:color="0000FF"/>
            </w:tcBorders>
            <w:gridSpan w:val="22"/>
          </w:tcPr>
          <w:p>
            <w:pPr>
              <w:spacing w:after="0"/>
              <w:rPr>
                <w:rFonts w:ascii="Arial" w:cs="Arial" w:eastAsia="Arial" w:hAnsi="Arial"/>
                <w:sz w:val="18"/>
                <w:szCs w:val="18"/>
                <w:color w:val="0000FF"/>
                <w:w w:val="92"/>
              </w:rPr>
            </w:pPr>
            <w:hyperlink w:anchor="page25">
              <w:r>
                <w:rPr>
                  <w:rFonts w:ascii="Arial" w:cs="Arial" w:eastAsia="Arial" w:hAnsi="Arial"/>
                  <w:sz w:val="18"/>
                  <w:szCs w:val="18"/>
                  <w:color w:val="0000FF"/>
                  <w:w w:val="92"/>
                </w:rPr>
                <w:t>Proposal 3 -- Ratification of Appointment of Independent Registered Public Accounting Firm</w:t>
              </w:r>
            </w:hyperlink>
          </w:p>
        </w:tc>
        <w:tc>
          <w:tcPr>
            <w:tcW w:w="2060" w:type="dxa"/>
            <w:vAlign w:val="bottom"/>
          </w:tcPr>
          <w:p>
            <w:pPr>
              <w:spacing w:after="0"/>
              <w:rPr>
                <w:sz w:val="21"/>
                <w:szCs w:val="21"/>
                <w:color w:val="auto"/>
              </w:rPr>
            </w:pPr>
          </w:p>
        </w:tc>
        <w:tc>
          <w:tcPr>
            <w:tcW w:w="240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21</w:t>
              </w:r>
            </w:hyperlink>
          </w:p>
        </w:tc>
      </w:tr>
      <w:tr>
        <w:trPr>
          <w:trHeight w:val="250"/>
        </w:trPr>
        <w:tc>
          <w:tcPr>
            <w:tcW w:w="20" w:type="dxa"/>
            <w:vAlign w:val="bottom"/>
          </w:tcPr>
          <w:p>
            <w:pPr>
              <w:spacing w:after="0"/>
              <w:rPr>
                <w:sz w:val="21"/>
                <w:szCs w:val="21"/>
                <w:color w:val="auto"/>
              </w:rPr>
            </w:pPr>
          </w:p>
        </w:tc>
        <w:tc>
          <w:tcPr>
            <w:tcW w:w="1680" w:type="dxa"/>
            <w:vAlign w:val="bottom"/>
            <w:tcBorders>
              <w:bottom w:val="single" w:sz="8" w:color="0000FF"/>
            </w:tcBorders>
            <w:gridSpan w:val="9"/>
          </w:tcPr>
          <w:p>
            <w:pPr>
              <w:spacing w:after="0"/>
              <w:rPr>
                <w:rFonts w:ascii="Arial" w:cs="Arial" w:eastAsia="Arial" w:hAnsi="Arial"/>
                <w:sz w:val="18"/>
                <w:szCs w:val="18"/>
                <w:color w:val="0000FF"/>
                <w:w w:val="91"/>
              </w:rPr>
            </w:pPr>
            <w:hyperlink w:anchor="page26">
              <w:r>
                <w:rPr>
                  <w:rFonts w:ascii="Arial" w:cs="Arial" w:eastAsia="Arial" w:hAnsi="Arial"/>
                  <w:sz w:val="18"/>
                  <w:szCs w:val="18"/>
                  <w:color w:val="0000FF"/>
                  <w:w w:val="91"/>
                </w:rPr>
                <w:t>The Board of Directors</w:t>
              </w:r>
            </w:hyperlink>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gridSpan w:val="3"/>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140" w:type="dxa"/>
            <w:vAlign w:val="bottom"/>
            <w:gridSpan w:val="4"/>
          </w:tcPr>
          <w:p>
            <w:pPr>
              <w:spacing w:after="0"/>
              <w:rPr>
                <w:sz w:val="21"/>
                <w:szCs w:val="21"/>
                <w:color w:val="auto"/>
              </w:rPr>
            </w:pPr>
          </w:p>
        </w:tc>
        <w:tc>
          <w:tcPr>
            <w:tcW w:w="240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22</w:t>
              </w:r>
            </w:hyperlink>
          </w:p>
        </w:tc>
      </w:tr>
      <w:tr>
        <w:trPr>
          <w:trHeight w:val="250"/>
        </w:trPr>
        <w:tc>
          <w:tcPr>
            <w:tcW w:w="20" w:type="dxa"/>
            <w:vAlign w:val="bottom"/>
          </w:tcPr>
          <w:p>
            <w:pPr>
              <w:spacing w:after="0"/>
              <w:rPr>
                <w:sz w:val="21"/>
                <w:szCs w:val="21"/>
                <w:color w:val="auto"/>
              </w:rPr>
            </w:pPr>
          </w:p>
        </w:tc>
        <w:tc>
          <w:tcPr>
            <w:tcW w:w="1360" w:type="dxa"/>
            <w:vAlign w:val="bottom"/>
            <w:tcBorders>
              <w:bottom w:val="single" w:sz="8" w:color="0000FF"/>
            </w:tcBorders>
            <w:gridSpan w:val="6"/>
          </w:tcPr>
          <w:p>
            <w:pPr>
              <w:spacing w:after="0"/>
              <w:rPr>
                <w:rFonts w:ascii="Arial" w:cs="Arial" w:eastAsia="Arial" w:hAnsi="Arial"/>
                <w:sz w:val="18"/>
                <w:szCs w:val="18"/>
                <w:color w:val="0000FF"/>
                <w:w w:val="92"/>
              </w:rPr>
            </w:pPr>
            <w:hyperlink w:anchor="page30">
              <w:r>
                <w:rPr>
                  <w:rFonts w:ascii="Arial" w:cs="Arial" w:eastAsia="Arial" w:hAnsi="Arial"/>
                  <w:sz w:val="18"/>
                  <w:szCs w:val="18"/>
                  <w:color w:val="0000FF"/>
                  <w:w w:val="92"/>
                </w:rPr>
                <w:t>Executive Officers</w:t>
              </w:r>
            </w:hyperlink>
          </w:p>
        </w:tc>
        <w:tc>
          <w:tcPr>
            <w:tcW w:w="500" w:type="dxa"/>
            <w:vAlign w:val="bottom"/>
            <w:gridSpan w:val="4"/>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gridSpan w:val="3"/>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140" w:type="dxa"/>
            <w:vAlign w:val="bottom"/>
            <w:gridSpan w:val="4"/>
          </w:tcPr>
          <w:p>
            <w:pPr>
              <w:spacing w:after="0"/>
              <w:rPr>
                <w:sz w:val="21"/>
                <w:szCs w:val="21"/>
                <w:color w:val="auto"/>
              </w:rPr>
            </w:pPr>
          </w:p>
        </w:tc>
        <w:tc>
          <w:tcPr>
            <w:tcW w:w="240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26</w:t>
              </w:r>
            </w:hyperlink>
          </w:p>
        </w:tc>
      </w:tr>
      <w:tr>
        <w:trPr>
          <w:trHeight w:val="250"/>
        </w:trPr>
        <w:tc>
          <w:tcPr>
            <w:tcW w:w="20" w:type="dxa"/>
            <w:vAlign w:val="bottom"/>
          </w:tcPr>
          <w:p>
            <w:pPr>
              <w:spacing w:after="0"/>
              <w:rPr>
                <w:sz w:val="21"/>
                <w:szCs w:val="21"/>
                <w:color w:val="auto"/>
              </w:rPr>
            </w:pPr>
          </w:p>
        </w:tc>
        <w:tc>
          <w:tcPr>
            <w:tcW w:w="1860" w:type="dxa"/>
            <w:vAlign w:val="bottom"/>
            <w:tcBorders>
              <w:bottom w:val="single" w:sz="8" w:color="0000FF"/>
            </w:tcBorders>
            <w:gridSpan w:val="10"/>
          </w:tcPr>
          <w:p>
            <w:pPr>
              <w:spacing w:after="0"/>
              <w:rPr>
                <w:rFonts w:ascii="Arial" w:cs="Arial" w:eastAsia="Arial" w:hAnsi="Arial"/>
                <w:sz w:val="18"/>
                <w:szCs w:val="18"/>
                <w:color w:val="0000FF"/>
                <w:w w:val="90"/>
              </w:rPr>
            </w:pPr>
            <w:hyperlink w:anchor="page30">
              <w:r>
                <w:rPr>
                  <w:rFonts w:ascii="Arial" w:cs="Arial" w:eastAsia="Arial" w:hAnsi="Arial"/>
                  <w:sz w:val="18"/>
                  <w:szCs w:val="18"/>
                  <w:color w:val="0000FF"/>
                  <w:w w:val="90"/>
                </w:rPr>
                <w:t>Executive Compensation:</w:t>
              </w:r>
            </w:hyperlink>
          </w:p>
        </w:tc>
        <w:tc>
          <w:tcPr>
            <w:tcW w:w="6940" w:type="dxa"/>
            <w:vAlign w:val="bottom"/>
            <w:gridSpan w:val="13"/>
          </w:tcPr>
          <w:p>
            <w:pPr>
              <w:spacing w:after="0"/>
              <w:rPr>
                <w:sz w:val="21"/>
                <w:szCs w:val="21"/>
                <w:color w:val="auto"/>
              </w:rPr>
            </w:pPr>
          </w:p>
        </w:tc>
        <w:tc>
          <w:tcPr>
            <w:tcW w:w="240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60" w:type="dxa"/>
            <w:vAlign w:val="bottom"/>
            <w:tcBorders>
              <w:bottom w:val="single" w:sz="8" w:color="0000FF"/>
            </w:tcBorders>
            <w:gridSpan w:val="14"/>
          </w:tcPr>
          <w:p>
            <w:pPr>
              <w:ind w:left="20"/>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Compensation Discussion and Analysis</w:t>
              </w:r>
            </w:hyperlink>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140" w:type="dxa"/>
            <w:vAlign w:val="bottom"/>
            <w:gridSpan w:val="4"/>
          </w:tcPr>
          <w:p>
            <w:pPr>
              <w:spacing w:after="0"/>
              <w:rPr>
                <w:sz w:val="21"/>
                <w:szCs w:val="21"/>
                <w:color w:val="auto"/>
              </w:rPr>
            </w:pPr>
          </w:p>
        </w:tc>
        <w:tc>
          <w:tcPr>
            <w:tcW w:w="240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27</w:t>
              </w:r>
            </w:hyperlink>
          </w:p>
        </w:tc>
      </w:tr>
      <w:tr>
        <w:trPr>
          <w:trHeight w:val="250"/>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20" w:type="dxa"/>
            <w:vAlign w:val="bottom"/>
            <w:tcBorders>
              <w:bottom w:val="single" w:sz="8" w:color="0000FF"/>
            </w:tcBorders>
            <w:gridSpan w:val="13"/>
          </w:tcPr>
          <w:p>
            <w:pPr>
              <w:ind w:left="20"/>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Compensation Committee Report</w:t>
              </w:r>
            </w:hyperlink>
          </w:p>
        </w:tc>
        <w:tc>
          <w:tcPr>
            <w:tcW w:w="72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140" w:type="dxa"/>
            <w:vAlign w:val="bottom"/>
            <w:gridSpan w:val="4"/>
          </w:tcPr>
          <w:p>
            <w:pPr>
              <w:spacing w:after="0"/>
              <w:rPr>
                <w:sz w:val="21"/>
                <w:szCs w:val="21"/>
                <w:color w:val="auto"/>
              </w:rPr>
            </w:pPr>
          </w:p>
        </w:tc>
        <w:tc>
          <w:tcPr>
            <w:tcW w:w="240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35</w:t>
              </w:r>
            </w:hyperlink>
          </w:p>
        </w:tc>
      </w:tr>
      <w:tr>
        <w:trPr>
          <w:trHeight w:val="250"/>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60" w:type="dxa"/>
            <w:vAlign w:val="bottom"/>
            <w:tcBorders>
              <w:bottom w:val="single" w:sz="8" w:color="0000FF"/>
            </w:tcBorders>
            <w:gridSpan w:val="10"/>
          </w:tcPr>
          <w:p>
            <w:pPr>
              <w:ind w:left="20"/>
              <w:spacing w:after="0"/>
              <w:rPr>
                <w:rFonts w:ascii="Arial" w:cs="Arial" w:eastAsia="Arial" w:hAnsi="Arial"/>
                <w:sz w:val="18"/>
                <w:szCs w:val="18"/>
                <w:color w:val="0000FF"/>
                <w:w w:val="86"/>
              </w:rPr>
            </w:pPr>
            <w:hyperlink w:anchor="page40">
              <w:r>
                <w:rPr>
                  <w:rFonts w:ascii="Arial" w:cs="Arial" w:eastAsia="Arial" w:hAnsi="Arial"/>
                  <w:sz w:val="18"/>
                  <w:szCs w:val="18"/>
                  <w:color w:val="0000FF"/>
                  <w:w w:val="86"/>
                </w:rPr>
                <w:t>Compensation Tables</w:t>
              </w:r>
            </w:hyperlink>
          </w:p>
        </w:tc>
        <w:tc>
          <w:tcPr>
            <w:tcW w:w="1580" w:type="dxa"/>
            <w:vAlign w:val="bottom"/>
            <w:gridSpan w:val="5"/>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140" w:type="dxa"/>
            <w:vAlign w:val="bottom"/>
            <w:gridSpan w:val="4"/>
          </w:tcPr>
          <w:p>
            <w:pPr>
              <w:spacing w:after="0"/>
              <w:rPr>
                <w:sz w:val="21"/>
                <w:szCs w:val="21"/>
                <w:color w:val="auto"/>
              </w:rPr>
            </w:pPr>
          </w:p>
        </w:tc>
        <w:tc>
          <w:tcPr>
            <w:tcW w:w="240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36</w:t>
              </w:r>
            </w:hyperlink>
          </w:p>
        </w:tc>
      </w:tr>
      <w:tr>
        <w:trPr>
          <w:trHeight w:val="250"/>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340" w:type="dxa"/>
            <w:vAlign w:val="bottom"/>
            <w:tcBorders>
              <w:bottom w:val="single" w:sz="8" w:color="0000FF"/>
            </w:tcBorders>
            <w:gridSpan w:val="18"/>
          </w:tcPr>
          <w:p>
            <w:pPr>
              <w:ind w:left="20"/>
              <w:spacing w:after="0"/>
              <w:rPr>
                <w:rFonts w:ascii="Arial" w:cs="Arial" w:eastAsia="Arial" w:hAnsi="Arial"/>
                <w:sz w:val="18"/>
                <w:szCs w:val="18"/>
                <w:color w:val="0000FF"/>
                <w:w w:val="90"/>
              </w:rPr>
            </w:pPr>
            <w:hyperlink w:anchor="page47">
              <w:r>
                <w:rPr>
                  <w:rFonts w:ascii="Arial" w:cs="Arial" w:eastAsia="Arial" w:hAnsi="Arial"/>
                  <w:sz w:val="18"/>
                  <w:szCs w:val="18"/>
                  <w:color w:val="0000FF"/>
                  <w:w w:val="90"/>
                </w:rPr>
                <w:t>Potential Payments Upon Termination or Change of Control</w:t>
              </w:r>
            </w:hyperlink>
          </w:p>
        </w:tc>
        <w:tc>
          <w:tcPr>
            <w:tcW w:w="4140" w:type="dxa"/>
            <w:vAlign w:val="bottom"/>
            <w:gridSpan w:val="4"/>
          </w:tcPr>
          <w:p>
            <w:pPr>
              <w:spacing w:after="0"/>
              <w:rPr>
                <w:sz w:val="21"/>
                <w:szCs w:val="21"/>
                <w:color w:val="auto"/>
              </w:rPr>
            </w:pPr>
          </w:p>
        </w:tc>
        <w:tc>
          <w:tcPr>
            <w:tcW w:w="240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43</w:t>
              </w:r>
            </w:hyperlink>
          </w:p>
        </w:tc>
      </w:tr>
      <w:tr>
        <w:trPr>
          <w:trHeight w:val="250"/>
        </w:trPr>
        <w:tc>
          <w:tcPr>
            <w:tcW w:w="20" w:type="dxa"/>
            <w:vAlign w:val="bottom"/>
          </w:tcPr>
          <w:p>
            <w:pPr>
              <w:spacing w:after="0"/>
              <w:rPr>
                <w:sz w:val="21"/>
                <w:szCs w:val="21"/>
                <w:color w:val="auto"/>
              </w:rPr>
            </w:pPr>
          </w:p>
        </w:tc>
        <w:tc>
          <w:tcPr>
            <w:tcW w:w="3860" w:type="dxa"/>
            <w:vAlign w:val="bottom"/>
            <w:tcBorders>
              <w:bottom w:val="single" w:sz="8" w:color="0000FF"/>
            </w:tcBorders>
            <w:gridSpan w:val="18"/>
          </w:tcPr>
          <w:p>
            <w:pPr>
              <w:spacing w:after="0"/>
              <w:rPr>
                <w:rFonts w:ascii="Arial" w:cs="Arial" w:eastAsia="Arial" w:hAnsi="Arial"/>
                <w:sz w:val="18"/>
                <w:szCs w:val="18"/>
                <w:color w:val="0000FF"/>
                <w:w w:val="91"/>
              </w:rPr>
            </w:pPr>
            <w:hyperlink w:anchor="page50">
              <w:r>
                <w:rPr>
                  <w:rFonts w:ascii="Arial" w:cs="Arial" w:eastAsia="Arial" w:hAnsi="Arial"/>
                  <w:sz w:val="18"/>
                  <w:szCs w:val="18"/>
                  <w:color w:val="0000FF"/>
                  <w:w w:val="91"/>
                </w:rPr>
                <w:t>Stock Ownership of Executive Officers and Directors</w:t>
              </w:r>
            </w:hyperlink>
          </w:p>
        </w:tc>
        <w:tc>
          <w:tcPr>
            <w:tcW w:w="4940" w:type="dxa"/>
            <w:vAlign w:val="bottom"/>
            <w:gridSpan w:val="5"/>
          </w:tcPr>
          <w:p>
            <w:pPr>
              <w:spacing w:after="0"/>
              <w:rPr>
                <w:sz w:val="21"/>
                <w:szCs w:val="21"/>
                <w:color w:val="auto"/>
              </w:rPr>
            </w:pPr>
          </w:p>
        </w:tc>
        <w:tc>
          <w:tcPr>
            <w:tcW w:w="2400" w:type="dxa"/>
            <w:vAlign w:val="bottom"/>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46</w:t>
              </w:r>
            </w:hyperlink>
          </w:p>
        </w:tc>
      </w:tr>
      <w:tr>
        <w:trPr>
          <w:trHeight w:val="250"/>
        </w:trPr>
        <w:tc>
          <w:tcPr>
            <w:tcW w:w="20" w:type="dxa"/>
            <w:vAlign w:val="bottom"/>
          </w:tcPr>
          <w:p>
            <w:pPr>
              <w:spacing w:after="0"/>
              <w:rPr>
                <w:sz w:val="21"/>
                <w:szCs w:val="21"/>
                <w:color w:val="auto"/>
              </w:rPr>
            </w:pPr>
          </w:p>
        </w:tc>
        <w:tc>
          <w:tcPr>
            <w:tcW w:w="3460" w:type="dxa"/>
            <w:vAlign w:val="bottom"/>
            <w:tcBorders>
              <w:bottom w:val="single" w:sz="8" w:color="0000FF"/>
            </w:tcBorders>
            <w:gridSpan w:val="16"/>
          </w:tcPr>
          <w:p>
            <w:pPr>
              <w:spacing w:after="0"/>
              <w:rPr>
                <w:rFonts w:ascii="Arial" w:cs="Arial" w:eastAsia="Arial" w:hAnsi="Arial"/>
                <w:sz w:val="18"/>
                <w:szCs w:val="18"/>
                <w:color w:val="0000FF"/>
                <w:w w:val="92"/>
              </w:rPr>
            </w:pPr>
            <w:hyperlink w:anchor="page52">
              <w:r>
                <w:rPr>
                  <w:rFonts w:ascii="Arial" w:cs="Arial" w:eastAsia="Arial" w:hAnsi="Arial"/>
                  <w:sz w:val="18"/>
                  <w:szCs w:val="18"/>
                  <w:color w:val="0000FF"/>
                  <w:w w:val="92"/>
                </w:rPr>
                <w:t>Beneficial Ownership of Principal Stockholders</w:t>
              </w:r>
            </w:hyperlink>
          </w:p>
        </w:tc>
        <w:tc>
          <w:tcPr>
            <w:tcW w:w="100" w:type="dxa"/>
            <w:vAlign w:val="bottom"/>
          </w:tcPr>
          <w:p>
            <w:pPr>
              <w:spacing w:after="0"/>
              <w:rPr>
                <w:sz w:val="21"/>
                <w:szCs w:val="21"/>
                <w:color w:val="auto"/>
              </w:rPr>
            </w:pPr>
          </w:p>
        </w:tc>
        <w:tc>
          <w:tcPr>
            <w:tcW w:w="5240" w:type="dxa"/>
            <w:vAlign w:val="bottom"/>
            <w:gridSpan w:val="6"/>
          </w:tcPr>
          <w:p>
            <w:pPr>
              <w:spacing w:after="0"/>
              <w:rPr>
                <w:sz w:val="21"/>
                <w:szCs w:val="21"/>
                <w:color w:val="auto"/>
              </w:rPr>
            </w:pPr>
          </w:p>
        </w:tc>
        <w:tc>
          <w:tcPr>
            <w:tcW w:w="2400" w:type="dxa"/>
            <w:vAlign w:val="bottom"/>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48</w:t>
              </w:r>
            </w:hyperlink>
          </w:p>
        </w:tc>
      </w:tr>
      <w:tr>
        <w:trPr>
          <w:trHeight w:val="250"/>
        </w:trPr>
        <w:tc>
          <w:tcPr>
            <w:tcW w:w="20" w:type="dxa"/>
            <w:vAlign w:val="bottom"/>
          </w:tcPr>
          <w:p>
            <w:pPr>
              <w:spacing w:after="0"/>
              <w:rPr>
                <w:sz w:val="21"/>
                <w:szCs w:val="21"/>
                <w:color w:val="auto"/>
              </w:rPr>
            </w:pPr>
          </w:p>
        </w:tc>
        <w:tc>
          <w:tcPr>
            <w:tcW w:w="11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0"/>
              </w:rPr>
              <w:t>CEO Pay Ratio</w:t>
            </w:r>
          </w:p>
        </w:tc>
        <w:tc>
          <w:tcPr>
            <w:tcW w:w="2440" w:type="dxa"/>
            <w:vAlign w:val="bottom"/>
            <w:gridSpan w:val="14"/>
          </w:tcPr>
          <w:p>
            <w:pPr>
              <w:spacing w:after="0"/>
              <w:rPr>
                <w:sz w:val="21"/>
                <w:szCs w:val="21"/>
                <w:color w:val="auto"/>
              </w:rPr>
            </w:pPr>
          </w:p>
        </w:tc>
        <w:tc>
          <w:tcPr>
            <w:tcW w:w="5240" w:type="dxa"/>
            <w:vAlign w:val="bottom"/>
            <w:gridSpan w:val="6"/>
          </w:tcPr>
          <w:p>
            <w:pPr>
              <w:spacing w:after="0"/>
              <w:rPr>
                <w:sz w:val="21"/>
                <w:szCs w:val="21"/>
                <w:color w:val="auto"/>
              </w:rPr>
            </w:pPr>
          </w:p>
        </w:tc>
        <w:tc>
          <w:tcPr>
            <w:tcW w:w="2400" w:type="dxa"/>
            <w:vAlign w:val="bottom"/>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48</w:t>
              </w:r>
            </w:hyperlink>
          </w:p>
        </w:tc>
      </w:tr>
      <w:tr>
        <w:trPr>
          <w:trHeight w:val="250"/>
        </w:trPr>
        <w:tc>
          <w:tcPr>
            <w:tcW w:w="20" w:type="dxa"/>
            <w:vAlign w:val="bottom"/>
          </w:tcPr>
          <w:p>
            <w:pPr>
              <w:spacing w:after="0"/>
              <w:rPr>
                <w:sz w:val="21"/>
                <w:szCs w:val="21"/>
                <w:color w:val="auto"/>
              </w:rPr>
            </w:pPr>
          </w:p>
        </w:tc>
        <w:tc>
          <w:tcPr>
            <w:tcW w:w="1100" w:type="dxa"/>
            <w:vAlign w:val="bottom"/>
            <w:tcBorders>
              <w:bottom w:val="single" w:sz="8" w:color="0000FF"/>
            </w:tcBorders>
            <w:gridSpan w:val="2"/>
          </w:tcPr>
          <w:p>
            <w:pPr>
              <w:spacing w:after="0"/>
              <w:rPr>
                <w:rFonts w:ascii="Arial" w:cs="Arial" w:eastAsia="Arial" w:hAnsi="Arial"/>
                <w:sz w:val="18"/>
                <w:szCs w:val="18"/>
                <w:color w:val="0000FF"/>
                <w:w w:val="87"/>
              </w:rPr>
            </w:pPr>
            <w:hyperlink w:anchor="page53">
              <w:r>
                <w:rPr>
                  <w:rFonts w:ascii="Arial" w:cs="Arial" w:eastAsia="Arial" w:hAnsi="Arial"/>
                  <w:sz w:val="18"/>
                  <w:szCs w:val="18"/>
                  <w:color w:val="0000FF"/>
                  <w:w w:val="87"/>
                </w:rPr>
                <w:t>Other Business</w:t>
              </w:r>
            </w:hyperlink>
          </w:p>
        </w:tc>
        <w:tc>
          <w:tcPr>
            <w:tcW w:w="2460" w:type="dxa"/>
            <w:vAlign w:val="bottom"/>
            <w:gridSpan w:val="15"/>
          </w:tcPr>
          <w:p>
            <w:pPr>
              <w:spacing w:after="0"/>
              <w:rPr>
                <w:sz w:val="21"/>
                <w:szCs w:val="21"/>
                <w:color w:val="auto"/>
              </w:rPr>
            </w:pPr>
          </w:p>
        </w:tc>
        <w:tc>
          <w:tcPr>
            <w:tcW w:w="5240" w:type="dxa"/>
            <w:vAlign w:val="bottom"/>
            <w:gridSpan w:val="6"/>
          </w:tcPr>
          <w:p>
            <w:pPr>
              <w:spacing w:after="0"/>
              <w:rPr>
                <w:sz w:val="21"/>
                <w:szCs w:val="21"/>
                <w:color w:val="auto"/>
              </w:rPr>
            </w:pPr>
          </w:p>
        </w:tc>
        <w:tc>
          <w:tcPr>
            <w:tcW w:w="2400" w:type="dxa"/>
            <w:vAlign w:val="bottom"/>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49</w:t>
              </w:r>
            </w:hyperlink>
          </w:p>
        </w:tc>
      </w:tr>
      <w:tr>
        <w:trPr>
          <w:trHeight w:val="250"/>
        </w:trPr>
        <w:tc>
          <w:tcPr>
            <w:tcW w:w="20" w:type="dxa"/>
            <w:vAlign w:val="bottom"/>
          </w:tcPr>
          <w:p>
            <w:pPr>
              <w:spacing w:after="0"/>
              <w:rPr>
                <w:sz w:val="21"/>
                <w:szCs w:val="21"/>
                <w:color w:val="auto"/>
              </w:rPr>
            </w:pPr>
          </w:p>
        </w:tc>
        <w:tc>
          <w:tcPr>
            <w:tcW w:w="356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0"/>
              </w:rPr>
              <w:t>Multiple Stockholders Sharing the Same Address</w:t>
            </w:r>
          </w:p>
        </w:tc>
        <w:tc>
          <w:tcPr>
            <w:tcW w:w="5240" w:type="dxa"/>
            <w:vAlign w:val="bottom"/>
            <w:gridSpan w:val="6"/>
          </w:tcPr>
          <w:p>
            <w:pPr>
              <w:spacing w:after="0"/>
              <w:rPr>
                <w:sz w:val="21"/>
                <w:szCs w:val="21"/>
                <w:color w:val="auto"/>
              </w:rPr>
            </w:pPr>
          </w:p>
        </w:tc>
        <w:tc>
          <w:tcPr>
            <w:tcW w:w="2400" w:type="dxa"/>
            <w:vAlign w:val="bottom"/>
          </w:tcPr>
          <w:p>
            <w:pPr>
              <w:jc w:val="right"/>
              <w:spacing w:after="0"/>
              <w:rPr>
                <w:rFonts w:ascii="Arial" w:cs="Arial" w:eastAsia="Arial" w:hAnsi="Arial"/>
                <w:sz w:val="18"/>
                <w:szCs w:val="18"/>
                <w:color w:val="auto"/>
              </w:rPr>
            </w:pPr>
            <w:hyperlink w:anchor="page54">
              <w:r>
                <w:rPr>
                  <w:rFonts w:ascii="Arial" w:cs="Arial" w:eastAsia="Arial" w:hAnsi="Arial"/>
                  <w:sz w:val="18"/>
                  <w:szCs w:val="18"/>
                  <w:color w:val="auto"/>
                </w:rPr>
                <w:t>49</w:t>
              </w:r>
            </w:hyperlink>
          </w:p>
        </w:tc>
      </w:tr>
    </w:tbl>
    <w:p>
      <w:pPr>
        <w:sectPr>
          <w:pgSz w:w="11900" w:h="16838" w:orient="portrait"/>
          <w:cols w:equalWidth="0" w:num="1">
            <w:col w:w="11220"/>
          </w:cols>
          <w:pgMar w:left="320" w:top="936" w:right="3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22"/>
          <w:szCs w:val="22"/>
          <w:b w:val="1"/>
          <w:bCs w:val="1"/>
          <w:color w:val="auto"/>
        </w:rPr>
        <w:t>COMPANY OVERVIEW</w:t>
      </w:r>
    </w:p>
    <w:p>
      <w:pPr>
        <w:spacing w:after="0" w:line="111"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AMETEK is a market-leading global provider of differentiated technology solutions serving a broad set of customers in diverse and attractive niche markets. AMETEK has delivered strong, sustainable growth for its stakeholders, reflecting the tremendous efforts of our employees, and the strength and flexibility of the AMETEK Growth Model. AMETEK is headquartered in Berwyn, Pennsylvania and has approximately 18,500 employees across more than 150 operating locations in 30 countries. The company has been listed on the New York Stock Exchange (NYSE) since 1930.</w:t>
      </w:r>
    </w:p>
    <w:p>
      <w:pPr>
        <w:spacing w:after="0" w:line="49"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 xml:space="preserve">AMETEK’s mission is to </w:t>
      </w:r>
      <w:r>
        <w:rPr>
          <w:rFonts w:ascii="Arial" w:cs="Arial" w:eastAsia="Arial" w:hAnsi="Arial"/>
          <w:sz w:val="16"/>
          <w:szCs w:val="16"/>
          <w:b w:val="1"/>
          <w:bCs w:val="1"/>
          <w:i w:val="1"/>
          <w:iCs w:val="1"/>
          <w:color w:val="auto"/>
        </w:rPr>
        <w:t>solve our customers’ most complex challenges with differentiated technology solutions.</w:t>
      </w:r>
      <w:r>
        <w:rPr>
          <w:rFonts w:ascii="Arial" w:cs="Arial" w:eastAsia="Arial" w:hAnsi="Arial"/>
          <w:sz w:val="16"/>
          <w:szCs w:val="16"/>
          <w:color w:val="auto"/>
        </w:rPr>
        <w:t xml:space="preserve"> We continuously expand our portfolio of differentiated products and solutions through our investment in research, development and engineering, along with strategic acquisitions. Many of our products are creating a more sustainable future by supporting environmentally focused applications across our end markets.</w:t>
      </w:r>
    </w:p>
    <w:p>
      <w:pPr>
        <w:spacing w:after="0" w:line="4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AMETEK’s core values are ingrained across our company and are aligned with the distributed nature of our business model. They are based on doing what is right for our employees, customers, suppliers, investors, and the communities where we operate.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Our Core Values:</w:t>
      </w:r>
    </w:p>
    <w:p>
      <w:pPr>
        <w:spacing w:after="0" w:line="23" w:lineRule="exact"/>
        <w:rPr>
          <w:sz w:val="20"/>
          <w:szCs w:val="20"/>
          <w:color w:val="auto"/>
        </w:rPr>
      </w:pPr>
    </w:p>
    <w:p>
      <w:pPr>
        <w:ind w:left="820" w:hanging="407"/>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Ethics &amp; Integrity</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Respect for the Individual</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Diversity &amp; Inclusion</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Teamwork</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Social Responsibility</w:t>
      </w:r>
    </w:p>
    <w:p>
      <w:pPr>
        <w:spacing w:after="0" w:line="103"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AMETEK’s businesses are leaders in the niche markets they serve, due to their deep domain expertise and differentiated technology. While our businesses serve many different end markets, they strategically focus on market segments and applications with attractive secular growth characteristics.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AMETEK consists of two operating groups: Electronic Instruments Group (EIG) and Electromechanical Group (EMG).</w:t>
      </w:r>
    </w:p>
    <w:p>
      <w:pPr>
        <w:spacing w:after="0" w:line="198" w:lineRule="exact"/>
        <w:rPr>
          <w:sz w:val="20"/>
          <w:szCs w:val="20"/>
          <w:color w:val="auto"/>
        </w:rPr>
      </w:pPr>
    </w:p>
    <w:p>
      <w:pPr>
        <w:ind w:left="820" w:right="100" w:hanging="407"/>
        <w:spacing w:after="0" w:line="258" w:lineRule="auto"/>
        <w:tabs>
          <w:tab w:leader="none" w:pos="8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EIG is a worldwide leader in the design and manufacture of advanced analytical, test and measurement instrumentation for aerospace, medical, power, energy, research and industrial markets.</w:t>
      </w:r>
    </w:p>
    <w:p>
      <w:pPr>
        <w:spacing w:after="0" w:line="1" w:lineRule="exact"/>
        <w:rPr>
          <w:rFonts w:ascii="Arial" w:cs="Arial" w:eastAsia="Arial" w:hAnsi="Arial"/>
          <w:sz w:val="18"/>
          <w:szCs w:val="18"/>
          <w:color w:val="auto"/>
        </w:rPr>
      </w:pPr>
    </w:p>
    <w:p>
      <w:pPr>
        <w:ind w:left="820" w:right="340" w:hanging="407"/>
        <w:spacing w:after="0" w:line="260" w:lineRule="auto"/>
        <w:tabs>
          <w:tab w:leader="none" w:pos="8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EMG is a differentiated supplier of automation and precision motion control solutions, as well as highly engineered electrical interconnects, specialty metals and thermal management systems.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AMETEK Growth Model</w:t>
      </w:r>
    </w:p>
    <w:p>
      <w:pPr>
        <w:spacing w:after="0" w:line="27"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The AMETEK Growth Model has proven successful and is a result of the well-ingrained performance-based culture embodied at AMETEK. It serves as the engine that powers our growth, innovation, and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58420</wp:posOffset>
            </wp:positionV>
            <wp:extent cx="3000375" cy="29146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000375"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8"/>
          <w:szCs w:val="18"/>
          <w:b w:val="1"/>
          <w:bCs w:val="1"/>
          <w:color w:val="auto"/>
        </w:rPr>
        <w:t>AMETEK, INC. 2022 Proxy Statement</w:t>
      </w:r>
      <w:r>
        <w:rPr>
          <w:sz w:val="20"/>
          <w:szCs w:val="20"/>
          <w:color w:val="auto"/>
        </w:rPr>
        <w:tab/>
      </w:r>
      <w:r>
        <w:rPr>
          <w:rFonts w:ascii="Arial" w:cs="Arial" w:eastAsia="Arial" w:hAnsi="Arial"/>
          <w:sz w:val="13"/>
          <w:szCs w:val="13"/>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The AMETEK Growth Model has allowed the company to:</w:t>
      </w:r>
    </w:p>
    <w:p>
      <w:pPr>
        <w:spacing w:after="0" w:line="23" w:lineRule="exact"/>
        <w:rPr>
          <w:sz w:val="20"/>
          <w:szCs w:val="20"/>
          <w:color w:val="auto"/>
        </w:rPr>
      </w:pPr>
    </w:p>
    <w:p>
      <w:pPr>
        <w:ind w:left="820" w:hanging="407"/>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Transition into higher-quality, niche businesses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Drive strong and consistent sales and earnings growth</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Generate robust cash flows to accelerate growth through niche, differentiated acquisitions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 world-class talent</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Deliver consistent and superior shareholder returns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Position AMETEK as a premier multi-industry company</w:t>
      </w:r>
    </w:p>
    <w:p>
      <w:pPr>
        <w:spacing w:after="0" w:line="1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Each element of the Growth Model supports and enhances the others, while playing an important role in achieving our vision of doubling earnings per share growth through each business cycle. As the AMETEK Growth Model has evolved, it has provided tremendous growth for the company, resulting in superior shareholder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31440" cy="46977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31440" cy="4697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Sustainability</w:t>
      </w:r>
    </w:p>
    <w:p>
      <w:pPr>
        <w:spacing w:after="0" w:line="27"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AMETEK remains focused on creating a sustainable future for our stakeholders. We are proud of the important steps we have taken to further our sustainability efforts. In the fourth quarter of this past year, we published our 2021 Sustainability Report highlighting AMETEK’s commitment to environmental stewardship, social responsibility, diversity and inclusion, and sound corporate governance. The report includes additional information on all our sustainability initiatives, the progress we have made, and the commitments we are making to create a better future for all of our stakeholders.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2021 Sustainability Report is available on our website at </w:t>
      </w:r>
      <w:r>
        <w:rPr>
          <w:rFonts w:ascii="Arial" w:cs="Arial" w:eastAsia="Arial" w:hAnsi="Arial"/>
          <w:sz w:val="18"/>
          <w:szCs w:val="18"/>
          <w:u w:val="single" w:color="auto"/>
          <w:color w:val="auto"/>
        </w:rPr>
        <w:t>www.ametek.com/aboutus/sustainability</w:t>
      </w:r>
      <w:r>
        <w:rPr>
          <w:rFonts w:ascii="Arial" w:cs="Arial" w:eastAsia="Arial" w:hAnsi="Arial"/>
          <w:sz w:val="18"/>
          <w:szCs w:val="18"/>
          <w:color w:val="auto"/>
        </w:rPr>
        <w:t>.</w:t>
      </w:r>
    </w:p>
    <w:p>
      <w:pPr>
        <w:spacing w:after="0" w:line="200" w:lineRule="exact"/>
        <w:rPr>
          <w:sz w:val="20"/>
          <w:szCs w:val="20"/>
          <w:color w:val="auto"/>
        </w:rPr>
      </w:pPr>
    </w:p>
    <w:p>
      <w:pPr>
        <w:spacing w:after="0" w:line="318" w:lineRule="exact"/>
        <w:rPr>
          <w:sz w:val="20"/>
          <w:szCs w:val="20"/>
          <w:color w:val="auto"/>
        </w:rPr>
      </w:pPr>
    </w:p>
    <w:p>
      <w:pPr>
        <w:ind w:left="460" w:hanging="434"/>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AMETEK, INC.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PROXY SUMMARY</w:t>
      </w:r>
    </w:p>
    <w:p>
      <w:pPr>
        <w:spacing w:after="0" w:line="19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i w:val="1"/>
          <w:iCs w:val="1"/>
          <w:color w:val="auto"/>
        </w:rPr>
        <w:t>This summary highlights information contained elsewhere in this proxy statement. This summary does not contain all of the information you should consider, and you should read the entire proxy statement before voting.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0575" cy="120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0575" cy="120015"/>
                    </a:xfrm>
                    <a:prstGeom prst="rect">
                      <a:avLst/>
                    </a:prstGeom>
                    <a:noFill/>
                  </pic:spPr>
                </pic:pic>
              </a:graphicData>
            </a:graphic>
          </wp:anchor>
        </w:drawing>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r>
              <w:rPr>
                <w:rFonts w:ascii="Arial" w:cs="Arial" w:eastAsia="Arial" w:hAnsi="Arial"/>
                <w:sz w:val="18"/>
                <w:szCs w:val="18"/>
                <w:b w:val="1"/>
                <w:bCs w:val="1"/>
                <w:color w:val="auto"/>
              </w:rPr>
              <w:t>Proposals for Voting</w:t>
            </w:r>
          </w:p>
        </w:tc>
        <w:tc>
          <w:tcPr>
            <w:tcW w:w="3820" w:type="dxa"/>
            <w:vAlign w:val="bottom"/>
            <w:gridSpan w:val="3"/>
          </w:tcPr>
          <w:p>
            <w:pPr>
              <w:ind w:left="200"/>
              <w:spacing w:after="0"/>
              <w:rPr>
                <w:sz w:val="20"/>
                <w:szCs w:val="20"/>
                <w:color w:val="auto"/>
              </w:rPr>
            </w:pPr>
            <w:r>
              <w:rPr>
                <w:rFonts w:ascii="Arial" w:cs="Arial" w:eastAsia="Arial" w:hAnsi="Arial"/>
                <w:sz w:val="18"/>
                <w:szCs w:val="18"/>
                <w:b w:val="1"/>
                <w:bCs w:val="1"/>
                <w:color w:val="auto"/>
                <w:w w:val="93"/>
              </w:rPr>
              <w:t>Board Vote Recommendation  Vote Required</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w w:val="90"/>
              </w:rPr>
              <w:t>Page Reference</w:t>
            </w:r>
          </w:p>
        </w:tc>
        <w:tc>
          <w:tcPr>
            <w:tcW w:w="0" w:type="dxa"/>
            <w:vAlign w:val="bottom"/>
          </w:tcPr>
          <w:p>
            <w:pPr>
              <w:spacing w:after="0"/>
              <w:rPr>
                <w:sz w:val="1"/>
                <w:szCs w:val="1"/>
                <w:color w:val="auto"/>
              </w:rPr>
            </w:pPr>
          </w:p>
        </w:tc>
      </w:tr>
      <w:tr>
        <w:trPr>
          <w:trHeight w:val="283"/>
        </w:trPr>
        <w:tc>
          <w:tcPr>
            <w:tcW w:w="1920" w:type="dxa"/>
            <w:vAlign w:val="bottom"/>
          </w:tcPr>
          <w:p>
            <w:pPr>
              <w:spacing w:after="0"/>
              <w:rPr>
                <w:sz w:val="20"/>
                <w:szCs w:val="20"/>
                <w:color w:val="auto"/>
              </w:rPr>
            </w:pPr>
            <w:r>
              <w:rPr>
                <w:rFonts w:ascii="Arial" w:cs="Arial" w:eastAsia="Arial" w:hAnsi="Arial"/>
                <w:sz w:val="18"/>
                <w:szCs w:val="18"/>
                <w:color w:val="auto"/>
              </w:rPr>
              <w:t>Elect three Directors</w:t>
            </w:r>
          </w:p>
        </w:tc>
        <w:tc>
          <w:tcPr>
            <w:tcW w:w="1780" w:type="dxa"/>
            <w:vAlign w:val="bottom"/>
            <w:gridSpan w:val="2"/>
          </w:tcPr>
          <w:p>
            <w:pPr>
              <w:ind w:left="12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each nominee</w:t>
            </w:r>
          </w:p>
        </w:tc>
        <w:tc>
          <w:tcPr>
            <w:tcW w:w="2040" w:type="dxa"/>
            <w:vAlign w:val="bottom"/>
          </w:tcPr>
          <w:p>
            <w:pPr>
              <w:ind w:left="120"/>
              <w:spacing w:after="0"/>
              <w:rPr>
                <w:sz w:val="20"/>
                <w:szCs w:val="20"/>
                <w:color w:val="auto"/>
              </w:rPr>
            </w:pPr>
            <w:r>
              <w:rPr>
                <w:rFonts w:ascii="Arial" w:cs="Arial" w:eastAsia="Arial" w:hAnsi="Arial"/>
                <w:sz w:val="18"/>
                <w:szCs w:val="18"/>
                <w:color w:val="auto"/>
              </w:rPr>
              <w:t>Majority of votes cast</w:t>
            </w:r>
          </w:p>
        </w:tc>
        <w:tc>
          <w:tcPr>
            <w:tcW w:w="260" w:type="dxa"/>
            <w:vAlign w:val="bottom"/>
            <w:gridSpan w:val="2"/>
          </w:tcPr>
          <w:p>
            <w:pPr>
              <w:jc w:val="right"/>
              <w:ind w:right="80"/>
              <w:spacing w:after="0"/>
              <w:rPr>
                <w:rFonts w:ascii="Arial" w:cs="Arial" w:eastAsia="Arial" w:hAnsi="Arial"/>
                <w:sz w:val="18"/>
                <w:szCs w:val="18"/>
                <w:color w:val="0000FF"/>
                <w:w w:val="79"/>
              </w:rPr>
            </w:pPr>
            <w:hyperlink w:anchor="page23">
              <w:r>
                <w:rPr>
                  <w:rFonts w:ascii="Arial" w:cs="Arial" w:eastAsia="Arial" w:hAnsi="Arial"/>
                  <w:sz w:val="18"/>
                  <w:szCs w:val="18"/>
                  <w:color w:val="0000FF"/>
                  <w:w w:val="79"/>
                </w:rPr>
                <w:t>19</w:t>
              </w:r>
            </w:hyperlink>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120" w:type="dxa"/>
            <w:vAlign w:val="bottom"/>
            <w:gridSpan w:val="2"/>
          </w:tcPr>
          <w:p>
            <w:pPr>
              <w:spacing w:after="0" w:line="20" w:lineRule="exact"/>
              <w:rPr>
                <w:sz w:val="1"/>
                <w:szCs w:val="1"/>
                <w:color w:val="auto"/>
              </w:rPr>
            </w:pPr>
          </w:p>
        </w:tc>
        <w:tc>
          <w:tcPr>
            <w:tcW w:w="5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FOR</w:t>
            </w:r>
          </w:p>
        </w:tc>
        <w:tc>
          <w:tcPr>
            <w:tcW w:w="20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120" w:type="dxa"/>
            <w:vAlign w:val="bottom"/>
            <w:gridSpan w:val="2"/>
          </w:tcPr>
          <w:p>
            <w:pPr>
              <w:spacing w:after="0"/>
              <w:rPr>
                <w:sz w:val="20"/>
                <w:szCs w:val="20"/>
                <w:color w:val="auto"/>
              </w:rPr>
            </w:pPr>
            <w:r>
              <w:rPr>
                <w:rFonts w:ascii="Arial" w:cs="Arial" w:eastAsia="Arial" w:hAnsi="Arial"/>
                <w:sz w:val="18"/>
                <w:szCs w:val="18"/>
                <w:color w:val="auto"/>
                <w:w w:val="93"/>
              </w:rPr>
              <w:t>Advisory vote on executive compensation</w:t>
            </w:r>
          </w:p>
        </w:tc>
        <w:tc>
          <w:tcPr>
            <w:tcW w:w="580" w:type="dxa"/>
            <w:vAlign w:val="bottom"/>
            <w:vMerge w:val="continue"/>
          </w:tcPr>
          <w:p>
            <w:pPr>
              <w:spacing w:after="0"/>
              <w:rPr>
                <w:sz w:val="24"/>
                <w:szCs w:val="24"/>
                <w:color w:val="auto"/>
              </w:rPr>
            </w:pPr>
          </w:p>
        </w:tc>
        <w:tc>
          <w:tcPr>
            <w:tcW w:w="2300" w:type="dxa"/>
            <w:vAlign w:val="bottom"/>
            <w:gridSpan w:val="3"/>
          </w:tcPr>
          <w:p>
            <w:pPr>
              <w:ind w:left="620"/>
              <w:spacing w:after="0"/>
              <w:rPr>
                <w:sz w:val="20"/>
                <w:szCs w:val="20"/>
                <w:color w:val="auto"/>
              </w:rPr>
            </w:pPr>
            <w:r>
              <w:rPr>
                <w:rFonts w:ascii="Arial" w:cs="Arial" w:eastAsia="Arial" w:hAnsi="Arial"/>
                <w:sz w:val="18"/>
                <w:szCs w:val="18"/>
                <w:color w:val="auto"/>
                <w:w w:val="98"/>
              </w:rPr>
              <w:t>Majority of votes cast</w:t>
            </w:r>
          </w:p>
        </w:tc>
        <w:tc>
          <w:tcPr>
            <w:tcW w:w="1240" w:type="dxa"/>
            <w:vAlign w:val="bottom"/>
            <w:gridSpan w:val="3"/>
          </w:tcPr>
          <w:p>
            <w:pPr>
              <w:jc w:val="right"/>
              <w:ind w:right="820"/>
              <w:spacing w:after="0"/>
              <w:rPr>
                <w:rFonts w:ascii="Arial" w:cs="Arial" w:eastAsia="Arial" w:hAnsi="Arial"/>
                <w:sz w:val="18"/>
                <w:szCs w:val="18"/>
                <w:color w:val="0000FF"/>
              </w:rPr>
            </w:pPr>
            <w:hyperlink w:anchor="page24">
              <w:r>
                <w:rPr>
                  <w:rFonts w:ascii="Arial" w:cs="Arial" w:eastAsia="Arial" w:hAnsi="Arial"/>
                  <w:sz w:val="18"/>
                  <w:szCs w:val="18"/>
                  <w:color w:val="0000FF"/>
                </w:rPr>
                <w:t>20</w:t>
              </w:r>
            </w:hyperlink>
          </w:p>
        </w:tc>
        <w:tc>
          <w:tcPr>
            <w:tcW w:w="0" w:type="dxa"/>
            <w:vAlign w:val="bottom"/>
          </w:tcPr>
          <w:p>
            <w:pPr>
              <w:spacing w:after="0"/>
              <w:rPr>
                <w:sz w:val="1"/>
                <w:szCs w:val="1"/>
                <w:color w:val="auto"/>
              </w:rPr>
            </w:pPr>
          </w:p>
        </w:tc>
      </w:tr>
      <w:tr>
        <w:trPr>
          <w:trHeight w:val="330"/>
        </w:trPr>
        <w:tc>
          <w:tcPr>
            <w:tcW w:w="3120" w:type="dxa"/>
            <w:vAlign w:val="bottom"/>
            <w:gridSpan w:val="2"/>
          </w:tcPr>
          <w:p>
            <w:pPr>
              <w:spacing w:after="0"/>
              <w:rPr>
                <w:sz w:val="20"/>
                <w:szCs w:val="20"/>
                <w:color w:val="auto"/>
              </w:rPr>
            </w:pPr>
            <w:r>
              <w:rPr>
                <w:rFonts w:ascii="Arial" w:cs="Arial" w:eastAsia="Arial" w:hAnsi="Arial"/>
                <w:sz w:val="18"/>
                <w:szCs w:val="18"/>
                <w:color w:val="auto"/>
                <w:w w:val="96"/>
              </w:rPr>
              <w:t>Ratify the appointment of Ernst &amp; Young</w:t>
            </w:r>
          </w:p>
        </w:tc>
        <w:tc>
          <w:tcPr>
            <w:tcW w:w="58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FOR</w:t>
            </w:r>
          </w:p>
        </w:tc>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120" w:type="dxa"/>
            <w:vAlign w:val="bottom"/>
            <w:gridSpan w:val="2"/>
          </w:tcPr>
          <w:p>
            <w:pPr>
              <w:spacing w:after="0" w:line="190" w:lineRule="exact"/>
              <w:rPr>
                <w:sz w:val="20"/>
                <w:szCs w:val="20"/>
                <w:color w:val="auto"/>
              </w:rPr>
            </w:pPr>
            <w:r>
              <w:rPr>
                <w:rFonts w:ascii="Arial" w:cs="Arial" w:eastAsia="Arial" w:hAnsi="Arial"/>
                <w:sz w:val="18"/>
                <w:szCs w:val="18"/>
                <w:color w:val="auto"/>
                <w:w w:val="94"/>
              </w:rPr>
              <w:t>LLP as our independent registered public</w:t>
            </w:r>
          </w:p>
        </w:tc>
        <w:tc>
          <w:tcPr>
            <w:tcW w:w="580" w:type="dxa"/>
            <w:vAlign w:val="bottom"/>
            <w:vMerge w:val="continue"/>
          </w:tcPr>
          <w:p>
            <w:pPr>
              <w:spacing w:after="0"/>
              <w:rPr>
                <w:sz w:val="16"/>
                <w:szCs w:val="16"/>
                <w:color w:val="auto"/>
              </w:rPr>
            </w:pPr>
          </w:p>
        </w:tc>
        <w:tc>
          <w:tcPr>
            <w:tcW w:w="2300" w:type="dxa"/>
            <w:vAlign w:val="bottom"/>
            <w:gridSpan w:val="3"/>
          </w:tcPr>
          <w:p>
            <w:pPr>
              <w:ind w:left="600"/>
              <w:spacing w:after="0" w:line="190" w:lineRule="exact"/>
              <w:rPr>
                <w:sz w:val="20"/>
                <w:szCs w:val="20"/>
                <w:color w:val="auto"/>
              </w:rPr>
            </w:pPr>
            <w:r>
              <w:rPr>
                <w:rFonts w:ascii="Arial" w:cs="Arial" w:eastAsia="Arial" w:hAnsi="Arial"/>
                <w:sz w:val="18"/>
                <w:szCs w:val="18"/>
                <w:color w:val="auto"/>
                <w:w w:val="99"/>
              </w:rPr>
              <w:t>Majority of votes cast</w:t>
            </w:r>
          </w:p>
        </w:tc>
        <w:tc>
          <w:tcPr>
            <w:tcW w:w="420" w:type="dxa"/>
            <w:vAlign w:val="bottom"/>
            <w:gridSpan w:val="2"/>
          </w:tcPr>
          <w:p>
            <w:pPr>
              <w:jc w:val="right"/>
              <w:spacing w:after="0" w:line="190" w:lineRule="exact"/>
              <w:rPr>
                <w:rFonts w:ascii="Arial" w:cs="Arial" w:eastAsia="Arial" w:hAnsi="Arial"/>
                <w:sz w:val="18"/>
                <w:szCs w:val="18"/>
                <w:color w:val="0000FF"/>
              </w:rPr>
            </w:pPr>
            <w:hyperlink w:anchor="page25">
              <w:r>
                <w:rPr>
                  <w:rFonts w:ascii="Arial" w:cs="Arial" w:eastAsia="Arial" w:hAnsi="Arial"/>
                  <w:sz w:val="18"/>
                  <w:szCs w:val="18"/>
                  <w:color w:val="0000FF"/>
                </w:rPr>
                <w:t>21</w:t>
              </w:r>
            </w:hyperlink>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920" w:type="dxa"/>
            <w:vAlign w:val="bottom"/>
          </w:tcPr>
          <w:p>
            <w:pPr>
              <w:spacing w:after="0"/>
              <w:rPr>
                <w:sz w:val="20"/>
                <w:szCs w:val="20"/>
                <w:color w:val="auto"/>
              </w:rPr>
            </w:pPr>
            <w:r>
              <w:rPr>
                <w:rFonts w:ascii="Arial" w:cs="Arial" w:eastAsia="Arial" w:hAnsi="Arial"/>
                <w:sz w:val="18"/>
                <w:szCs w:val="18"/>
                <w:color w:val="auto"/>
                <w:w w:val="98"/>
              </w:rPr>
              <w:t>accounting firm for 2022</w:t>
            </w:r>
          </w:p>
        </w:tc>
        <w:tc>
          <w:tcPr>
            <w:tcW w:w="1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0575" cy="120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0575" cy="12001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provides summary information about each Director nominee. The nominees receiving a majority of the votes cast at the meeting will be elected as Directors.</w:t>
      </w:r>
    </w:p>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of the Directors attended at least 75% of the meetings of the Board and the Committees on which such Director served during the period that he or she served. Mr. Seavers did not attend any meetings in 2021 as he was elected to the Board in February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60" w:type="dxa"/>
            <w:vAlign w:val="bottom"/>
          </w:tcPr>
          <w:p>
            <w:pPr>
              <w:ind w:left="20"/>
              <w:spacing w:after="0"/>
              <w:rPr>
                <w:sz w:val="20"/>
                <w:szCs w:val="20"/>
                <w:color w:val="auto"/>
              </w:rPr>
            </w:pPr>
            <w:r>
              <w:rPr>
                <w:rFonts w:ascii="Arial" w:cs="Arial" w:eastAsia="Arial" w:hAnsi="Arial"/>
                <w:sz w:val="18"/>
                <w:szCs w:val="18"/>
                <w:b w:val="1"/>
                <w:bCs w:val="1"/>
                <w:color w:val="auto"/>
              </w:rPr>
              <w:t>Name</w:t>
            </w:r>
          </w:p>
        </w:tc>
        <w:tc>
          <w:tcPr>
            <w:tcW w:w="900" w:type="dxa"/>
            <w:vAlign w:val="bottom"/>
          </w:tcPr>
          <w:p>
            <w:pPr>
              <w:ind w:left="260"/>
              <w:spacing w:after="0"/>
              <w:rPr>
                <w:sz w:val="20"/>
                <w:szCs w:val="20"/>
                <w:color w:val="auto"/>
              </w:rPr>
            </w:pPr>
            <w:r>
              <w:rPr>
                <w:rFonts w:ascii="Arial" w:cs="Arial" w:eastAsia="Arial" w:hAnsi="Arial"/>
                <w:sz w:val="18"/>
                <w:szCs w:val="18"/>
                <w:b w:val="1"/>
                <w:bCs w:val="1"/>
                <w:color w:val="auto"/>
              </w:rPr>
              <w:t>Age</w:t>
            </w:r>
          </w:p>
        </w:tc>
        <w:tc>
          <w:tcPr>
            <w:tcW w:w="1760" w:type="dxa"/>
            <w:vAlign w:val="bottom"/>
          </w:tcPr>
          <w:p>
            <w:pPr>
              <w:ind w:left="340"/>
              <w:spacing w:after="0"/>
              <w:rPr>
                <w:sz w:val="20"/>
                <w:szCs w:val="20"/>
                <w:color w:val="auto"/>
              </w:rPr>
            </w:pPr>
            <w:r>
              <w:rPr>
                <w:rFonts w:ascii="Arial" w:cs="Arial" w:eastAsia="Arial" w:hAnsi="Arial"/>
                <w:sz w:val="18"/>
                <w:szCs w:val="18"/>
                <w:b w:val="1"/>
                <w:bCs w:val="1"/>
                <w:color w:val="auto"/>
              </w:rPr>
              <w:t>Director Since</w:t>
            </w:r>
          </w:p>
        </w:tc>
        <w:tc>
          <w:tcPr>
            <w:tcW w:w="1500" w:type="dxa"/>
            <w:vAlign w:val="bottom"/>
          </w:tcPr>
          <w:p>
            <w:pPr>
              <w:ind w:left="300"/>
              <w:spacing w:after="0"/>
              <w:rPr>
                <w:sz w:val="20"/>
                <w:szCs w:val="20"/>
                <w:color w:val="auto"/>
              </w:rPr>
            </w:pPr>
            <w:r>
              <w:rPr>
                <w:rFonts w:ascii="Arial" w:cs="Arial" w:eastAsia="Arial" w:hAnsi="Arial"/>
                <w:sz w:val="18"/>
                <w:szCs w:val="18"/>
                <w:b w:val="1"/>
                <w:bCs w:val="1"/>
                <w:color w:val="auto"/>
              </w:rPr>
              <w:t>Independent</w:t>
            </w:r>
          </w:p>
        </w:tc>
        <w:tc>
          <w:tcPr>
            <w:tcW w:w="5020" w:type="dxa"/>
            <w:vAlign w:val="bottom"/>
          </w:tcPr>
          <w:p>
            <w:pPr>
              <w:ind w:left="220"/>
              <w:spacing w:after="0"/>
              <w:rPr>
                <w:sz w:val="20"/>
                <w:szCs w:val="20"/>
                <w:color w:val="auto"/>
              </w:rPr>
            </w:pPr>
            <w:r>
              <w:rPr>
                <w:rFonts w:ascii="Arial" w:cs="Arial" w:eastAsia="Arial" w:hAnsi="Arial"/>
                <w:sz w:val="18"/>
                <w:szCs w:val="18"/>
                <w:b w:val="1"/>
                <w:bCs w:val="1"/>
                <w:color w:val="auto"/>
              </w:rPr>
              <w:t>Committee Membership</w:t>
            </w:r>
          </w:p>
        </w:tc>
      </w:tr>
      <w:tr>
        <w:trPr>
          <w:trHeight w:val="27"/>
        </w:trPr>
        <w:tc>
          <w:tcPr>
            <w:tcW w:w="18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358"/>
        </w:trPr>
        <w:tc>
          <w:tcPr>
            <w:tcW w:w="1860" w:type="dxa"/>
            <w:vAlign w:val="bottom"/>
          </w:tcPr>
          <w:p>
            <w:pPr>
              <w:ind w:left="20"/>
              <w:spacing w:after="0"/>
              <w:rPr>
                <w:sz w:val="20"/>
                <w:szCs w:val="20"/>
                <w:color w:val="auto"/>
              </w:rPr>
            </w:pPr>
            <w:r>
              <w:rPr>
                <w:rFonts w:ascii="Arial" w:cs="Arial" w:eastAsia="Arial" w:hAnsi="Arial"/>
                <w:sz w:val="18"/>
                <w:szCs w:val="18"/>
                <w:color w:val="auto"/>
              </w:rPr>
              <w:t>Steven W. Kohlhagen</w:t>
            </w:r>
          </w:p>
        </w:tc>
        <w:tc>
          <w:tcPr>
            <w:tcW w:w="900" w:type="dxa"/>
            <w:vAlign w:val="bottom"/>
          </w:tcPr>
          <w:p>
            <w:pPr>
              <w:ind w:left="260"/>
              <w:spacing w:after="0"/>
              <w:rPr>
                <w:sz w:val="20"/>
                <w:szCs w:val="20"/>
                <w:color w:val="auto"/>
              </w:rPr>
            </w:pPr>
            <w:r>
              <w:rPr>
                <w:rFonts w:ascii="Arial" w:cs="Arial" w:eastAsia="Arial" w:hAnsi="Arial"/>
                <w:sz w:val="18"/>
                <w:szCs w:val="18"/>
                <w:color w:val="auto"/>
              </w:rPr>
              <w:t>74</w:t>
            </w:r>
          </w:p>
        </w:tc>
        <w:tc>
          <w:tcPr>
            <w:tcW w:w="1760" w:type="dxa"/>
            <w:vAlign w:val="bottom"/>
          </w:tcPr>
          <w:p>
            <w:pPr>
              <w:ind w:left="340"/>
              <w:spacing w:after="0"/>
              <w:rPr>
                <w:sz w:val="20"/>
                <w:szCs w:val="20"/>
                <w:color w:val="auto"/>
              </w:rPr>
            </w:pPr>
            <w:r>
              <w:rPr>
                <w:rFonts w:ascii="Arial" w:cs="Arial" w:eastAsia="Arial" w:hAnsi="Arial"/>
                <w:sz w:val="18"/>
                <w:szCs w:val="18"/>
                <w:color w:val="auto"/>
              </w:rPr>
              <w:t>2006</w:t>
            </w:r>
          </w:p>
        </w:tc>
        <w:tc>
          <w:tcPr>
            <w:tcW w:w="1500" w:type="dxa"/>
            <w:vAlign w:val="bottom"/>
          </w:tcPr>
          <w:p>
            <w:pPr>
              <w:ind w:left="300"/>
              <w:spacing w:after="0"/>
              <w:rPr>
                <w:sz w:val="20"/>
                <w:szCs w:val="20"/>
                <w:color w:val="auto"/>
              </w:rPr>
            </w:pPr>
            <w:r>
              <w:rPr>
                <w:rFonts w:ascii="Arial" w:cs="Arial" w:eastAsia="Arial" w:hAnsi="Arial"/>
                <w:sz w:val="18"/>
                <w:szCs w:val="18"/>
                <w:color w:val="auto"/>
              </w:rPr>
              <w:t>Yes</w:t>
            </w:r>
          </w:p>
        </w:tc>
        <w:tc>
          <w:tcPr>
            <w:tcW w:w="5020" w:type="dxa"/>
            <w:vAlign w:val="bottom"/>
          </w:tcPr>
          <w:p>
            <w:pPr>
              <w:ind w:left="220"/>
              <w:spacing w:after="0"/>
              <w:rPr>
                <w:sz w:val="20"/>
                <w:szCs w:val="20"/>
                <w:color w:val="auto"/>
              </w:rPr>
            </w:pPr>
            <w:r>
              <w:rPr>
                <w:rFonts w:ascii="Arial" w:cs="Arial" w:eastAsia="Arial" w:hAnsi="Arial"/>
                <w:sz w:val="18"/>
                <w:szCs w:val="18"/>
                <w:color w:val="auto"/>
              </w:rPr>
              <w:t>Audit, Corporate Governance/ Nominating</w:t>
            </w:r>
          </w:p>
        </w:tc>
      </w:tr>
      <w:tr>
        <w:trPr>
          <w:trHeight w:val="378"/>
        </w:trPr>
        <w:tc>
          <w:tcPr>
            <w:tcW w:w="1860" w:type="dxa"/>
            <w:vAlign w:val="bottom"/>
          </w:tcPr>
          <w:p>
            <w:pPr>
              <w:ind w:left="20"/>
              <w:spacing w:after="0"/>
              <w:rPr>
                <w:sz w:val="20"/>
                <w:szCs w:val="20"/>
                <w:color w:val="auto"/>
              </w:rPr>
            </w:pPr>
            <w:r>
              <w:rPr>
                <w:rFonts w:ascii="Arial" w:cs="Arial" w:eastAsia="Arial" w:hAnsi="Arial"/>
                <w:sz w:val="18"/>
                <w:szCs w:val="18"/>
                <w:color w:val="auto"/>
              </w:rPr>
              <w:t>Dean Seavers</w:t>
            </w:r>
          </w:p>
        </w:tc>
        <w:tc>
          <w:tcPr>
            <w:tcW w:w="900" w:type="dxa"/>
            <w:vAlign w:val="bottom"/>
          </w:tcPr>
          <w:p>
            <w:pPr>
              <w:ind w:left="260"/>
              <w:spacing w:after="0"/>
              <w:rPr>
                <w:sz w:val="20"/>
                <w:szCs w:val="20"/>
                <w:color w:val="auto"/>
              </w:rPr>
            </w:pPr>
            <w:r>
              <w:rPr>
                <w:rFonts w:ascii="Arial" w:cs="Arial" w:eastAsia="Arial" w:hAnsi="Arial"/>
                <w:sz w:val="18"/>
                <w:szCs w:val="18"/>
                <w:color w:val="auto"/>
              </w:rPr>
              <w:t>61</w:t>
            </w:r>
          </w:p>
        </w:tc>
        <w:tc>
          <w:tcPr>
            <w:tcW w:w="1760" w:type="dxa"/>
            <w:vAlign w:val="bottom"/>
          </w:tcPr>
          <w:p>
            <w:pPr>
              <w:ind w:left="340"/>
              <w:spacing w:after="0"/>
              <w:rPr>
                <w:sz w:val="20"/>
                <w:szCs w:val="20"/>
                <w:color w:val="auto"/>
              </w:rPr>
            </w:pPr>
            <w:r>
              <w:rPr>
                <w:rFonts w:ascii="Arial" w:cs="Arial" w:eastAsia="Arial" w:hAnsi="Arial"/>
                <w:sz w:val="18"/>
                <w:szCs w:val="18"/>
                <w:color w:val="auto"/>
              </w:rPr>
              <w:t>2022</w:t>
            </w:r>
          </w:p>
        </w:tc>
        <w:tc>
          <w:tcPr>
            <w:tcW w:w="1500" w:type="dxa"/>
            <w:vAlign w:val="bottom"/>
          </w:tcPr>
          <w:p>
            <w:pPr>
              <w:ind w:left="300"/>
              <w:spacing w:after="0"/>
              <w:rPr>
                <w:sz w:val="20"/>
                <w:szCs w:val="20"/>
                <w:color w:val="auto"/>
              </w:rPr>
            </w:pPr>
            <w:r>
              <w:rPr>
                <w:rFonts w:ascii="Arial" w:cs="Arial" w:eastAsia="Arial" w:hAnsi="Arial"/>
                <w:sz w:val="18"/>
                <w:szCs w:val="18"/>
                <w:color w:val="auto"/>
              </w:rPr>
              <w:t>Yes</w:t>
            </w:r>
          </w:p>
        </w:tc>
        <w:tc>
          <w:tcPr>
            <w:tcW w:w="5020" w:type="dxa"/>
            <w:vAlign w:val="bottom"/>
          </w:tcPr>
          <w:p>
            <w:pPr>
              <w:ind w:left="220"/>
              <w:spacing w:after="0"/>
              <w:rPr>
                <w:sz w:val="20"/>
                <w:szCs w:val="20"/>
                <w:color w:val="auto"/>
              </w:rPr>
            </w:pPr>
            <w:r>
              <w:rPr>
                <w:rFonts w:ascii="Arial" w:cs="Arial" w:eastAsia="Arial" w:hAnsi="Arial"/>
                <w:sz w:val="18"/>
                <w:szCs w:val="18"/>
                <w:color w:val="auto"/>
              </w:rPr>
              <w:t>None</w:t>
            </w:r>
          </w:p>
        </w:tc>
      </w:tr>
      <w:tr>
        <w:trPr>
          <w:trHeight w:val="378"/>
        </w:trPr>
        <w:tc>
          <w:tcPr>
            <w:tcW w:w="1860" w:type="dxa"/>
            <w:vAlign w:val="bottom"/>
          </w:tcPr>
          <w:p>
            <w:pPr>
              <w:ind w:left="20"/>
              <w:spacing w:after="0"/>
              <w:rPr>
                <w:sz w:val="20"/>
                <w:szCs w:val="20"/>
                <w:color w:val="auto"/>
              </w:rPr>
            </w:pPr>
            <w:r>
              <w:rPr>
                <w:rFonts w:ascii="Arial" w:cs="Arial" w:eastAsia="Arial" w:hAnsi="Arial"/>
                <w:sz w:val="18"/>
                <w:szCs w:val="18"/>
                <w:color w:val="auto"/>
              </w:rPr>
              <w:t>David A. Zapico</w:t>
            </w:r>
          </w:p>
        </w:tc>
        <w:tc>
          <w:tcPr>
            <w:tcW w:w="900" w:type="dxa"/>
            <w:vAlign w:val="bottom"/>
          </w:tcPr>
          <w:p>
            <w:pPr>
              <w:ind w:left="260"/>
              <w:spacing w:after="0"/>
              <w:rPr>
                <w:sz w:val="20"/>
                <w:szCs w:val="20"/>
                <w:color w:val="auto"/>
              </w:rPr>
            </w:pPr>
            <w:r>
              <w:rPr>
                <w:rFonts w:ascii="Arial" w:cs="Arial" w:eastAsia="Arial" w:hAnsi="Arial"/>
                <w:sz w:val="18"/>
                <w:szCs w:val="18"/>
                <w:color w:val="auto"/>
              </w:rPr>
              <w:t>57</w:t>
            </w:r>
          </w:p>
        </w:tc>
        <w:tc>
          <w:tcPr>
            <w:tcW w:w="1760" w:type="dxa"/>
            <w:vAlign w:val="bottom"/>
          </w:tcPr>
          <w:p>
            <w:pPr>
              <w:ind w:left="340"/>
              <w:spacing w:after="0"/>
              <w:rPr>
                <w:sz w:val="20"/>
                <w:szCs w:val="20"/>
                <w:color w:val="auto"/>
              </w:rPr>
            </w:pPr>
            <w:r>
              <w:rPr>
                <w:rFonts w:ascii="Arial" w:cs="Arial" w:eastAsia="Arial" w:hAnsi="Arial"/>
                <w:sz w:val="18"/>
                <w:szCs w:val="18"/>
                <w:color w:val="auto"/>
              </w:rPr>
              <w:t>2016</w:t>
            </w:r>
          </w:p>
        </w:tc>
        <w:tc>
          <w:tcPr>
            <w:tcW w:w="1500" w:type="dxa"/>
            <w:vAlign w:val="bottom"/>
          </w:tcPr>
          <w:p>
            <w:pPr>
              <w:ind w:left="300"/>
              <w:spacing w:after="0"/>
              <w:rPr>
                <w:sz w:val="20"/>
                <w:szCs w:val="20"/>
                <w:color w:val="auto"/>
              </w:rPr>
            </w:pPr>
            <w:r>
              <w:rPr>
                <w:rFonts w:ascii="Arial" w:cs="Arial" w:eastAsia="Arial" w:hAnsi="Arial"/>
                <w:sz w:val="18"/>
                <w:szCs w:val="18"/>
                <w:color w:val="auto"/>
              </w:rPr>
              <w:t>No</w:t>
            </w:r>
          </w:p>
        </w:tc>
        <w:tc>
          <w:tcPr>
            <w:tcW w:w="5020" w:type="dxa"/>
            <w:vAlign w:val="bottom"/>
          </w:tcPr>
          <w:p>
            <w:pPr>
              <w:ind w:left="220"/>
              <w:spacing w:after="0"/>
              <w:rPr>
                <w:sz w:val="20"/>
                <w:szCs w:val="20"/>
                <w:color w:val="auto"/>
              </w:rPr>
            </w:pPr>
            <w:r>
              <w:rPr>
                <w:rFonts w:ascii="Arial" w:cs="Arial" w:eastAsia="Arial" w:hAnsi="Arial"/>
                <w:sz w:val="18"/>
                <w:szCs w:val="18"/>
                <w:color w:val="auto"/>
              </w:rPr>
              <w:t>None</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202"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We are asking stockholders to approve a non-binding advisory resolution relating to our named executive officers’ compensation for fiscal 2021, commonly referred to as “say-on-pay.” Last year, of the total votes cast, not including abstentions and broker non-votes, 94% were in favor of approving our named executive officers’ compensation. The design of our 2021 executive compensation program continued to emphasize total return to our stockholders.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8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We are asking stockholders to approve the selection of Ernst &amp; Young LLP as our independent registered public accounting firm for 2022. Last year, of the total votes cast, not including abstentions, 95% were in favor of approving Ernst &amp; Young as our independent registered public accounting firm for 2021.</w:t>
      </w:r>
    </w:p>
    <w:p>
      <w:pPr>
        <w:spacing w:after="0" w:line="200" w:lineRule="exact"/>
        <w:rPr>
          <w:sz w:val="20"/>
          <w:szCs w:val="20"/>
          <w:color w:val="auto"/>
        </w:rPr>
      </w:pPr>
    </w:p>
    <w:p>
      <w:pPr>
        <w:spacing w:after="0" w:line="217" w:lineRule="exact"/>
        <w:rPr>
          <w:sz w:val="20"/>
          <w:szCs w:val="20"/>
          <w:color w:val="auto"/>
        </w:rPr>
      </w:pPr>
    </w:p>
    <w:p>
      <w:pPr>
        <w:ind w:left="7780"/>
        <w:spacing w:after="0"/>
        <w:tabs>
          <w:tab w:leader="none" w:pos="11120" w:val="left"/>
        </w:tabs>
        <w:rPr>
          <w:sz w:val="20"/>
          <w:szCs w:val="20"/>
          <w:color w:val="auto"/>
        </w:rPr>
      </w:pPr>
      <w:r>
        <w:rPr>
          <w:rFonts w:ascii="Arial" w:cs="Arial" w:eastAsia="Arial" w:hAnsi="Arial"/>
          <w:sz w:val="18"/>
          <w:szCs w:val="18"/>
          <w:b w:val="1"/>
          <w:bCs w:val="1"/>
          <w:color w:val="auto"/>
        </w:rPr>
        <w:t>AMETEK, INC. 2022 Proxy Statement</w:t>
      </w:r>
      <w:r>
        <w:rPr>
          <w:sz w:val="20"/>
          <w:szCs w:val="20"/>
          <w:color w:val="auto"/>
        </w:rPr>
        <w:tab/>
      </w:r>
      <w:r>
        <w:rPr>
          <w:rFonts w:ascii="Arial" w:cs="Arial" w:eastAsia="Arial" w:hAnsi="Arial"/>
          <w:sz w:val="13"/>
          <w:szCs w:val="13"/>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22"/>
          <w:szCs w:val="22"/>
          <w:b w:val="1"/>
          <w:bCs w:val="1"/>
          <w:color w:val="auto"/>
        </w:rPr>
        <w:t>VOTING PROCEDURES</w:t>
      </w:r>
    </w:p>
    <w:p>
      <w:pPr>
        <w:spacing w:after="0" w:line="193" w:lineRule="exact"/>
        <w:rPr>
          <w:sz w:val="20"/>
          <w:szCs w:val="20"/>
          <w:color w:val="auto"/>
        </w:rPr>
      </w:pPr>
    </w:p>
    <w:p>
      <w:pPr>
        <w:ind w:right="40"/>
        <w:spacing w:after="0" w:line="247" w:lineRule="auto"/>
        <w:rPr>
          <w:sz w:val="20"/>
          <w:szCs w:val="20"/>
          <w:color w:val="auto"/>
        </w:rPr>
      </w:pPr>
      <w:r>
        <w:rPr>
          <w:rFonts w:ascii="Arial" w:cs="Arial" w:eastAsia="Arial" w:hAnsi="Arial"/>
          <w:sz w:val="22"/>
          <w:szCs w:val="22"/>
          <w:b w:val="1"/>
          <w:bCs w:val="1"/>
          <w:color w:val="auto"/>
        </w:rPr>
        <w:t xml:space="preserve">Your vote is very important. </w:t>
      </w:r>
      <w:r>
        <w:rPr>
          <w:rFonts w:ascii="Arial" w:cs="Arial" w:eastAsia="Arial" w:hAnsi="Arial"/>
          <w:sz w:val="17"/>
          <w:szCs w:val="17"/>
          <w:color w:val="auto"/>
        </w:rPr>
        <w:t>It is important that your views be represented whether or not you attend the virtual meeting. Stockholders who hold</w:t>
      </w:r>
      <w:r>
        <w:rPr>
          <w:rFonts w:ascii="Arial" w:cs="Arial" w:eastAsia="Arial" w:hAnsi="Arial"/>
          <w:sz w:val="22"/>
          <w:szCs w:val="22"/>
          <w:b w:val="1"/>
          <w:bCs w:val="1"/>
          <w:color w:val="auto"/>
        </w:rPr>
        <w:t xml:space="preserve"> </w:t>
      </w:r>
      <w:r>
        <w:rPr>
          <w:rFonts w:ascii="Arial" w:cs="Arial" w:eastAsia="Arial" w:hAnsi="Arial"/>
          <w:sz w:val="17"/>
          <w:szCs w:val="17"/>
          <w:color w:val="auto"/>
        </w:rPr>
        <w:t>shares of our common stock through a broker, bank or other holder of record receive proxy materials and a Voting Instruction Form – either electronically or by mail – before each annual meeting. For your vote to be counted, you need to communicate your voting decisions to your broker, bank or other holder of record before the date of this meeting.</w:t>
      </w:r>
    </w:p>
    <w:p>
      <w:pPr>
        <w:spacing w:after="0" w:line="157" w:lineRule="exact"/>
        <w:rPr>
          <w:sz w:val="20"/>
          <w:szCs w:val="20"/>
          <w:color w:val="auto"/>
        </w:rPr>
      </w:pPr>
    </w:p>
    <w:p>
      <w:pPr>
        <w:ind w:right="320"/>
        <w:spacing w:after="0"/>
        <w:rPr>
          <w:sz w:val="20"/>
          <w:szCs w:val="20"/>
          <w:color w:val="auto"/>
        </w:rPr>
      </w:pPr>
      <w:r>
        <w:rPr>
          <w:rFonts w:ascii="Arial" w:cs="Arial" w:eastAsia="Arial" w:hAnsi="Arial"/>
          <w:sz w:val="22"/>
          <w:szCs w:val="22"/>
          <w:b w:val="1"/>
          <w:bCs w:val="1"/>
          <w:color w:val="auto"/>
        </w:rPr>
        <w:t xml:space="preserve">Who can vote? </w:t>
      </w:r>
      <w:r>
        <w:rPr>
          <w:rFonts w:ascii="Arial" w:cs="Arial" w:eastAsia="Arial" w:hAnsi="Arial"/>
          <w:sz w:val="17"/>
          <w:szCs w:val="17"/>
          <w:color w:val="auto"/>
        </w:rPr>
        <w:t>Stockholders of record as of the close of business on March 10, 2022 are entitled to vote. On that date, 231,170,880 shares of our</w:t>
      </w:r>
      <w:r>
        <w:rPr>
          <w:rFonts w:ascii="Arial" w:cs="Arial" w:eastAsia="Arial" w:hAnsi="Arial"/>
          <w:sz w:val="22"/>
          <w:szCs w:val="22"/>
          <w:b w:val="1"/>
          <w:bCs w:val="1"/>
          <w:color w:val="auto"/>
        </w:rPr>
        <w:t xml:space="preserve"> </w:t>
      </w:r>
      <w:r>
        <w:rPr>
          <w:rFonts w:ascii="Arial" w:cs="Arial" w:eastAsia="Arial" w:hAnsi="Arial"/>
          <w:sz w:val="17"/>
          <w:szCs w:val="17"/>
          <w:color w:val="auto"/>
        </w:rPr>
        <w:t>common stock were issued and outstanding and eligible to vote. Each share is entitled to one vote on each matter presented at the meeting. We have no other class or series of stock currently outstanding other than our common stock.</w:t>
      </w:r>
    </w:p>
    <w:p>
      <w:pPr>
        <w:spacing w:after="0" w:line="163" w:lineRule="exact"/>
        <w:rPr>
          <w:sz w:val="20"/>
          <w:szCs w:val="20"/>
          <w:color w:val="auto"/>
        </w:rPr>
      </w:pPr>
    </w:p>
    <w:p>
      <w:pPr>
        <w:ind w:right="20"/>
        <w:spacing w:after="0" w:line="286" w:lineRule="auto"/>
        <w:rPr>
          <w:sz w:val="20"/>
          <w:szCs w:val="20"/>
          <w:color w:val="auto"/>
        </w:rPr>
      </w:pPr>
      <w:r>
        <w:rPr>
          <w:rFonts w:ascii="Arial" w:cs="Arial" w:eastAsia="Arial" w:hAnsi="Arial"/>
          <w:sz w:val="21"/>
          <w:szCs w:val="21"/>
          <w:b w:val="1"/>
          <w:bCs w:val="1"/>
          <w:color w:val="auto"/>
        </w:rPr>
        <w:t xml:space="preserve">How can I attend the virtual annual meeting? </w:t>
      </w:r>
      <w:r>
        <w:rPr>
          <w:rFonts w:ascii="Arial" w:cs="Arial" w:eastAsia="Arial" w:hAnsi="Arial"/>
          <w:sz w:val="16"/>
          <w:szCs w:val="16"/>
          <w:color w:val="auto"/>
        </w:rPr>
        <w:t>This year’s annual meeting will be held entirely online to allow for greater</w:t>
      </w:r>
      <w:r>
        <w:rPr>
          <w:rFonts w:ascii="Arial" w:cs="Arial" w:eastAsia="Arial" w:hAnsi="Arial"/>
          <w:sz w:val="21"/>
          <w:szCs w:val="21"/>
          <w:b w:val="1"/>
          <w:bCs w:val="1"/>
          <w:color w:val="auto"/>
        </w:rPr>
        <w:t xml:space="preserve"> </w:t>
      </w:r>
      <w:r>
        <w:rPr>
          <w:rFonts w:ascii="Arial" w:cs="Arial" w:eastAsia="Arial" w:hAnsi="Arial"/>
          <w:sz w:val="16"/>
          <w:szCs w:val="16"/>
          <w:color w:val="auto"/>
        </w:rPr>
        <w:t>participation. Stockholders may participate in this year’s annual meeting by visiting the following website: www.virtualshareholdermeeting.com/AME2022. To participate in the annual meeting, you will need the 16-digit control number included on your Notice of Internet Availability of Proxy Materials (“Notice”), on your proxy card or on the instructions that accompanied your proxy materials. Shares held in your name as the stockholder of record may be voted electronically during the annual meeting. However, even if you plan to attend the virtual annual meeting, we recommend that you vote your shares in advance, so that your vote will be counted if you later decide not to attend the virtual annual meeting.</w:t>
      </w:r>
    </w:p>
    <w:p>
      <w:pPr>
        <w:spacing w:after="0" w:line="141"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You are entitled to attend the virtual annual meeting only if you were a stockholder of record or a beneficial owner as of the record date for the annual meeting, which was March 10, 2022, or you hold a valid proxy for the annual meeting. You may attend the annual meeting, vote and submit a question during the annual meeting by visiting www.virtualshareholdermeeting.com/AME2022 and using your 16-digit control number to enter the annual meeting.</w:t>
      </w:r>
    </w:p>
    <w:p>
      <w:pPr>
        <w:spacing w:after="0" w:line="10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How are proxy materials distributed? </w:t>
      </w:r>
      <w:r>
        <w:rPr>
          <w:rFonts w:ascii="Arial" w:cs="Arial" w:eastAsia="Arial" w:hAnsi="Arial"/>
          <w:sz w:val="16"/>
          <w:szCs w:val="16"/>
          <w:color w:val="auto"/>
        </w:rPr>
        <w:t>As permitted by SEC rules, we are making this proxy statement, our proxy card, our Annual Report on</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Form 10-K for the year ended December 31, 2021 (the “Form 10-K”) and other related materials available to stockholders electronically via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internet. This will expedite receipt of our proxy materials by stockholders, while lowering the costs and reducing the environmental impact of our annual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meeting. We will mail a Notice to our stockholders as of the record date. The Notice contains instructions on how to access our proxy materials and how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vote online or by telephone. If you would like to receive a paper copy of the proxy materials, please follow the instructions in the Notice.</w:t>
      </w:r>
    </w:p>
    <w:p>
      <w:pPr>
        <w:spacing w:after="0" w:line="171" w:lineRule="exact"/>
        <w:rPr>
          <w:sz w:val="20"/>
          <w:szCs w:val="20"/>
          <w:color w:val="auto"/>
        </w:rPr>
      </w:pPr>
    </w:p>
    <w:p>
      <w:pPr>
        <w:ind w:right="60"/>
        <w:spacing w:after="0" w:line="230" w:lineRule="auto"/>
        <w:rPr>
          <w:sz w:val="20"/>
          <w:szCs w:val="20"/>
          <w:color w:val="auto"/>
        </w:rPr>
      </w:pPr>
      <w:r>
        <w:rPr>
          <w:rFonts w:ascii="Arial" w:cs="Arial" w:eastAsia="Arial" w:hAnsi="Arial"/>
          <w:sz w:val="22"/>
          <w:szCs w:val="22"/>
          <w:b w:val="1"/>
          <w:bCs w:val="1"/>
          <w:color w:val="auto"/>
        </w:rPr>
        <w:t xml:space="preserve">How do I vote? </w:t>
      </w:r>
      <w:r>
        <w:rPr>
          <w:rFonts w:ascii="Arial" w:cs="Arial" w:eastAsia="Arial" w:hAnsi="Arial"/>
          <w:sz w:val="17"/>
          <w:szCs w:val="17"/>
          <w:color w:val="auto"/>
        </w:rPr>
        <w:t>If your shares are registered directly in your name with our transfer agent, you are considered the registered holder of those shares. As</w:t>
      </w:r>
      <w:r>
        <w:rPr>
          <w:rFonts w:ascii="Arial" w:cs="Arial" w:eastAsia="Arial" w:hAnsi="Arial"/>
          <w:sz w:val="22"/>
          <w:szCs w:val="22"/>
          <w:b w:val="1"/>
          <w:bCs w:val="1"/>
          <w:color w:val="auto"/>
        </w:rPr>
        <w:t xml:space="preserve"> </w:t>
      </w:r>
      <w:r>
        <w:rPr>
          <w:rFonts w:ascii="Arial" w:cs="Arial" w:eastAsia="Arial" w:hAnsi="Arial"/>
          <w:sz w:val="17"/>
          <w:szCs w:val="17"/>
          <w:color w:val="auto"/>
        </w:rPr>
        <w:t>the registered stockholder, you can vote by submitting your instructions:</w:t>
      </w:r>
    </w:p>
    <w:p>
      <w:pPr>
        <w:spacing w:after="0" w:line="95" w:lineRule="exact"/>
        <w:rPr>
          <w:sz w:val="20"/>
          <w:szCs w:val="20"/>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by telephone using a toll-free number,</w:t>
      </w:r>
    </w:p>
    <w:p>
      <w:pPr>
        <w:spacing w:after="0" w:line="23"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 the internet,</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by completing, signing, dating and returning the enclosed proxy card in the envelope provided, or</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 the meeting by following the instructions available on the meeting website during the meeting.</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Telephone and internet voting for registered stockholders will be available 24 hours a day, up until 11:59 p.m. Eastern time on May 2, 2022 for shares held in the plans listed on the proxy card and up until 11:59 p.m. Eastern time on May 4, 2022 for shares held directly.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Detailed instructions for telephone and internet voting are set forth on the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143510</wp:posOffset>
            </wp:positionV>
            <wp:extent cx="497205" cy="4972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7205" cy="49720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Vote your shares at </w:t>
      </w:r>
      <w:r>
        <w:rPr>
          <w:rFonts w:ascii="Arial" w:cs="Arial" w:eastAsia="Arial" w:hAnsi="Arial"/>
          <w:sz w:val="18"/>
          <w:szCs w:val="18"/>
          <w:u w:val="single" w:color="auto"/>
          <w:color w:val="auto"/>
        </w:rPr>
        <w:t>www.proxyvote.com</w:t>
      </w:r>
      <w:r>
        <w:rPr>
          <w:rFonts w:ascii="Arial" w:cs="Arial" w:eastAsia="Arial" w:hAnsi="Arial"/>
          <w:sz w:val="18"/>
          <w:szCs w:val="18"/>
          <w:color w:val="auto"/>
        </w:rPr>
        <w:t>.</w:t>
      </w:r>
    </w:p>
    <w:p>
      <w:pPr>
        <w:spacing w:after="0" w:line="36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Have your Notice or proxy card in hand for the 16-digit control number needed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497205" cy="4972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7205" cy="497205"/>
                    </a:xfrm>
                    <a:prstGeom prst="rect">
                      <a:avLst/>
                    </a:prstGeom>
                    <a:noFill/>
                  </pic:spPr>
                </pic:pic>
              </a:graphicData>
            </a:graphic>
          </wp:anchor>
        </w:drawing>
      </w:r>
    </w:p>
    <w:p>
      <w:pPr>
        <w:spacing w:after="0" w:line="32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Call the toll-free number 1-800-690-6903.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60" w:hanging="434"/>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AMETEK, INC.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00"/>
          </w:cols>
          <w:pgMar w:left="320" w:top="1111" w:right="379" w:bottom="1440" w:gutter="0" w:footer="0" w:header="0"/>
        </w:sectPr>
      </w:pPr>
    </w:p>
    <w:bookmarkStart w:id="9" w:name="page10"/>
    <w:bookmarkEnd w:id="9"/>
    <w:p>
      <w:pPr>
        <w:ind w:left="1100" w:right="520"/>
        <w:spacing w:after="0" w:line="263" w:lineRule="auto"/>
        <w:rPr>
          <w:sz w:val="20"/>
          <w:szCs w:val="20"/>
          <w:color w:val="auto"/>
        </w:rPr>
      </w:pPr>
      <w:r>
        <w:rPr>
          <w:rFonts w:ascii="Arial" w:cs="Arial" w:eastAsia="Arial" w:hAnsi="Arial"/>
          <w:sz w:val="18"/>
          <w:szCs w:val="18"/>
          <w:color w:val="auto"/>
        </w:rPr>
        <w:t>If you received a physical proxy card, mark, sign, date and return the enclosed proxy card or voting instruction form in the envelope provided. If the pre-addressed envelope is missing, then return it in your own envelope to: Vote Processing, c/o Broadridge Financial Solutions, 51 Mercedes Way, Edgewood, NY 11717.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-431165</wp:posOffset>
            </wp:positionV>
            <wp:extent cx="505460" cy="3683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05460" cy="368300"/>
                    </a:xfrm>
                    <a:prstGeom prst="rect">
                      <a:avLst/>
                    </a:prstGeom>
                    <a:noFill/>
                  </pic:spPr>
                </pic:pic>
              </a:graphicData>
            </a:graphic>
          </wp:anchor>
        </w:drawing>
      </w:r>
    </w:p>
    <w:p>
      <w:pPr>
        <w:spacing w:after="0" w:line="24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If you hold your shares through a broker, bank or nominee, rather than registered directly in your name, you are considered the beneficial owner of shares held in street name, and the proxy materials are being forwarded to you by your broker, bank or nominee, together with a voting instruction form. As the beneficial owner, you are entitled to direct the voting of your shares by your intermediary. Brokers, banks and nominees typically offer telephonic or electronic means by which the beneficial owners of shares held by them can submit voting instructions, in addition to the traditional mailed voting instruction forms.</w:t>
      </w:r>
    </w:p>
    <w:p>
      <w:pPr>
        <w:spacing w:after="0" w:line="161"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b w:val="1"/>
          <w:bCs w:val="1"/>
          <w:color w:val="auto"/>
        </w:rPr>
        <w:t xml:space="preserve">Once I have voted, can I change my vote? </w:t>
      </w:r>
      <w:r>
        <w:rPr>
          <w:rFonts w:ascii="Arial" w:cs="Arial" w:eastAsia="Arial" w:hAnsi="Arial"/>
          <w:sz w:val="17"/>
          <w:szCs w:val="17"/>
          <w:color w:val="auto"/>
        </w:rPr>
        <w:t>Any person giving a proxy has the power to revoke it at any time before it is voted. It may be</w:t>
      </w:r>
      <w:r>
        <w:rPr>
          <w:rFonts w:ascii="Arial" w:cs="Arial" w:eastAsia="Arial" w:hAnsi="Arial"/>
          <w:sz w:val="22"/>
          <w:szCs w:val="22"/>
          <w:b w:val="1"/>
          <w:bCs w:val="1"/>
          <w:color w:val="auto"/>
        </w:rPr>
        <w:t xml:space="preserve"> </w:t>
      </w:r>
      <w:r>
        <w:rPr>
          <w:rFonts w:ascii="Arial" w:cs="Arial" w:eastAsia="Arial" w:hAnsi="Arial"/>
          <w:sz w:val="17"/>
          <w:szCs w:val="17"/>
          <w:color w:val="auto"/>
        </w:rPr>
        <w:t>revoked by filing with the Corporate Secretary a written notice of revocation or a duly executed proxy bearing a later date, or it may be revoked by attending the meeting and voting at the meeting. Please note, however, that if your shares are held by a broker, bank or nominee and you wish to revoke your proxy or vote at the meeting, you must follow the instructions provided to you by the record holder and/or obtain from the record holder a proxy issued in your name. Attendance at the meeting will not, by itself, revoke a proxy.</w:t>
      </w:r>
    </w:p>
    <w:p>
      <w:pPr>
        <w:spacing w:after="0" w:line="154" w:lineRule="exact"/>
        <w:rPr>
          <w:sz w:val="20"/>
          <w:szCs w:val="20"/>
          <w:color w:val="auto"/>
        </w:rPr>
      </w:pPr>
    </w:p>
    <w:p>
      <w:pPr>
        <w:ind w:right="240"/>
        <w:spacing w:after="0" w:line="268" w:lineRule="auto"/>
        <w:rPr>
          <w:sz w:val="20"/>
          <w:szCs w:val="20"/>
          <w:color w:val="auto"/>
        </w:rPr>
      </w:pPr>
      <w:r>
        <w:rPr>
          <w:rFonts w:ascii="Arial" w:cs="Arial" w:eastAsia="Arial" w:hAnsi="Arial"/>
          <w:sz w:val="21"/>
          <w:szCs w:val="21"/>
          <w:b w:val="1"/>
          <w:bCs w:val="1"/>
          <w:color w:val="auto"/>
        </w:rPr>
        <w:t xml:space="preserve">What shares are represented by the proxy card? </w:t>
      </w:r>
      <w:r>
        <w:rPr>
          <w:rFonts w:ascii="Arial" w:cs="Arial" w:eastAsia="Arial" w:hAnsi="Arial"/>
          <w:sz w:val="16"/>
          <w:szCs w:val="16"/>
          <w:color w:val="auto"/>
        </w:rPr>
        <w:t>The proxy card represents all the shares registered in your name. If you participate in the</w:t>
      </w:r>
      <w:r>
        <w:rPr>
          <w:rFonts w:ascii="Arial" w:cs="Arial" w:eastAsia="Arial" w:hAnsi="Arial"/>
          <w:sz w:val="21"/>
          <w:szCs w:val="21"/>
          <w:b w:val="1"/>
          <w:bCs w:val="1"/>
          <w:color w:val="auto"/>
        </w:rPr>
        <w:t xml:space="preserve"> </w:t>
      </w:r>
      <w:r>
        <w:rPr>
          <w:rFonts w:ascii="Arial" w:cs="Arial" w:eastAsia="Arial" w:hAnsi="Arial"/>
          <w:sz w:val="16"/>
          <w:szCs w:val="16"/>
          <w:color w:val="auto"/>
        </w:rPr>
        <w:t>AMETEK, Inc. Investors’ Choice Dividend Reinvestment &amp; Direct Stock Purchase and Sale Plan, the card also represents any full shares held in your account. If you are an employee who owns our common stock through an AMETEK employee savings plan and also hold shares in your own name, you will receive a single proxy card for the plan shares, which are attributable to the units that you hold in the plan, and the shares registered in your name. Your proxy card or proxy submitted through the internet or by telephone will serve as voting instructions to the plan trustee.</w:t>
      </w:r>
    </w:p>
    <w:p>
      <w:pPr>
        <w:spacing w:after="0" w:line="140" w:lineRule="exact"/>
        <w:rPr>
          <w:sz w:val="20"/>
          <w:szCs w:val="20"/>
          <w:color w:val="auto"/>
        </w:rPr>
      </w:pPr>
    </w:p>
    <w:p>
      <w:pPr>
        <w:ind w:right="120"/>
        <w:spacing w:after="0" w:line="268" w:lineRule="auto"/>
        <w:rPr>
          <w:sz w:val="20"/>
          <w:szCs w:val="20"/>
          <w:color w:val="auto"/>
        </w:rPr>
      </w:pPr>
      <w:r>
        <w:rPr>
          <w:rFonts w:ascii="Arial" w:cs="Arial" w:eastAsia="Arial" w:hAnsi="Arial"/>
          <w:sz w:val="21"/>
          <w:szCs w:val="21"/>
          <w:b w:val="1"/>
          <w:bCs w:val="1"/>
          <w:color w:val="auto"/>
        </w:rPr>
        <w:t xml:space="preserve">How are shares voted? </w:t>
      </w:r>
      <w:r>
        <w:rPr>
          <w:rFonts w:ascii="Arial" w:cs="Arial" w:eastAsia="Arial" w:hAnsi="Arial"/>
          <w:sz w:val="16"/>
          <w:szCs w:val="16"/>
          <w:color w:val="auto"/>
        </w:rPr>
        <w:t>If you return a properly executed proxy card or submit voting instructions via the internet or by telephone, before voting at</w:t>
      </w:r>
      <w:r>
        <w:rPr>
          <w:rFonts w:ascii="Arial" w:cs="Arial" w:eastAsia="Arial" w:hAnsi="Arial"/>
          <w:sz w:val="21"/>
          <w:szCs w:val="21"/>
          <w:b w:val="1"/>
          <w:bCs w:val="1"/>
          <w:color w:val="auto"/>
        </w:rPr>
        <w:t xml:space="preserve"> </w:t>
      </w:r>
      <w:r>
        <w:rPr>
          <w:rFonts w:ascii="Arial" w:cs="Arial" w:eastAsia="Arial" w:hAnsi="Arial"/>
          <w:sz w:val="16"/>
          <w:szCs w:val="16"/>
          <w:color w:val="auto"/>
        </w:rPr>
        <w:t>the meeting is closed, the individuals named as proxies on the enclosed proxy card will vote in accordance with the directions you provide. If you return a signed and dated proxy card but do not indicate how the shares are to be voted, those shares will be voted as recommended by the Board of Directors. A valid proxy card or a vote by the internet, webcast or telephone also authorizes the individuals named as proxies to vote your shares in their discretion on any other matters which, although not described in the proxy statement, are properly presented for action at the meeting.</w:t>
      </w:r>
    </w:p>
    <w:p>
      <w:pPr>
        <w:spacing w:after="0" w:line="15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If you are an employee who owns our common stock through an AMETEK employee savings plan and you do not return a proxy card or otherwise give voting instructions for the plan shares, the trustee will vote those shares in the same proportion as the shares for which the trustee receives voting instructions from other participants in that plan. To enable the savings plan trustee to tabulate the vote of the plan shares prior to the meeting, your proxy voting instructions must be received by May 2, 2022.</w:t>
      </w:r>
    </w:p>
    <w:p>
      <w:pPr>
        <w:spacing w:after="0" w:line="146"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b w:val="1"/>
          <w:bCs w:val="1"/>
          <w:color w:val="auto"/>
        </w:rPr>
        <w:t xml:space="preserve">How many votes are required? </w:t>
      </w:r>
      <w:r>
        <w:rPr>
          <w:rFonts w:ascii="Arial" w:cs="Arial" w:eastAsia="Arial" w:hAnsi="Arial"/>
          <w:sz w:val="17"/>
          <w:szCs w:val="17"/>
          <w:color w:val="auto"/>
        </w:rPr>
        <w:t>A majority of the shares of our outstanding common stock entitled to vote at the meeting must be represented either</w:t>
      </w:r>
      <w:r>
        <w:rPr>
          <w:rFonts w:ascii="Arial" w:cs="Arial" w:eastAsia="Arial" w:hAnsi="Arial"/>
          <w:sz w:val="22"/>
          <w:szCs w:val="22"/>
          <w:b w:val="1"/>
          <w:bCs w:val="1"/>
          <w:color w:val="auto"/>
        </w:rPr>
        <w:t xml:space="preserve"> </w:t>
      </w:r>
      <w:r>
        <w:rPr>
          <w:rFonts w:ascii="Arial" w:cs="Arial" w:eastAsia="Arial" w:hAnsi="Arial"/>
          <w:sz w:val="17"/>
          <w:szCs w:val="17"/>
          <w:color w:val="auto"/>
        </w:rPr>
        <w:t>online or by proxy in order to have a quorum present at the meeting. Abstentions and “broker non-votes” are counted as present and entitled to vote for purposes of determining a quorum. A “broker non-vote” occurs when a bank, broker or other holder of record holding shares for a beneficial owner does not vote on a particular proposal because that holder does not have discretionary voting power for the particular proposal and has not received instructions from the beneficial owner. If a quorum is not present, the meeting will be rescheduled for a later date.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w:t>
      </w:r>
      <w:r>
        <w:rPr>
          <w:rFonts w:ascii="Arial" w:cs="Arial" w:eastAsia="Arial" w:hAnsi="Arial"/>
          <w:sz w:val="18"/>
          <w:szCs w:val="18"/>
          <w:color w:val="auto"/>
        </w:rPr>
        <w:t>: Elect three Directors for a term of three years.</w:t>
      </w:r>
    </w:p>
    <w:p>
      <w:pPr>
        <w:spacing w:after="0" w:line="202"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Directors will be elected by the vote of a majority of the votes cast at the meeting. This means that a nominee will be elected if the number of votes cast “for” that nominee exceeds the number of votes “against” that nominee. Abstentions and broker non-votes are not counted as votes for or against this proposal.</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w:t>
      </w:r>
      <w:r>
        <w:rPr>
          <w:rFonts w:ascii="Arial" w:cs="Arial" w:eastAsia="Arial" w:hAnsi="Arial"/>
          <w:sz w:val="18"/>
          <w:szCs w:val="18"/>
          <w:color w:val="auto"/>
        </w:rPr>
        <w:t>: Cast an advisory vote to approve the compensation of our named executive officers.</w:t>
      </w:r>
    </w:p>
    <w:p>
      <w:pPr>
        <w:spacing w:after="0" w:line="18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advisory approval of our executive compensation requires the affirmative vote of the holders of a majority of eligible shares present at the virtual meeting, via webcast or by proxy, and voting on the matter. The advisory vote on executive compensation is not binding upon us. However, the Board and Compensation Committee will take into account the outcome of this vote when considering future executive compensation arrangements. Abstentions and broker non-votes are not counted as votes for or against this proposal.</w:t>
      </w:r>
    </w:p>
    <w:p>
      <w:pPr>
        <w:spacing w:after="0" w:line="200" w:lineRule="exact"/>
        <w:rPr>
          <w:sz w:val="20"/>
          <w:szCs w:val="20"/>
          <w:color w:val="auto"/>
        </w:rPr>
      </w:pPr>
    </w:p>
    <w:p>
      <w:pPr>
        <w:spacing w:after="0" w:line="280"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8"/>
          <w:szCs w:val="18"/>
          <w:b w:val="1"/>
          <w:bCs w:val="1"/>
          <w:color w:val="auto"/>
        </w:rPr>
        <w:t>AMETEK, INC. 2022 Proxy Statement</w:t>
      </w:r>
      <w:r>
        <w:rPr>
          <w:sz w:val="20"/>
          <w:szCs w:val="20"/>
          <w:color w:val="auto"/>
        </w:rPr>
        <w:tab/>
      </w:r>
      <w:r>
        <w:rPr>
          <w:rFonts w:ascii="Arial" w:cs="Arial" w:eastAsia="Arial" w:hAnsi="Arial"/>
          <w:sz w:val="13"/>
          <w:szCs w:val="13"/>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20"/>
          </w:cols>
          <w:pgMar w:left="320" w:top="1165"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Proposal 3</w:t>
      </w:r>
      <w:r>
        <w:rPr>
          <w:rFonts w:ascii="Arial" w:cs="Arial" w:eastAsia="Arial" w:hAnsi="Arial"/>
          <w:sz w:val="18"/>
          <w:szCs w:val="18"/>
          <w:color w:val="auto"/>
        </w:rPr>
        <w:t>: Ratify the appointment of Ernst &amp; Young LLP as our independent registered public accounting firm for 2022.</w:t>
      </w:r>
    </w:p>
    <w:p>
      <w:pPr>
        <w:spacing w:after="0" w:line="20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advisory approval of the appointment of Ernst &amp; Young LLP requires the affirmative vote of the holders of a majority of eligible shares present at the virtual meeting, via webcast or by proxy, and voting on the matter. Abstentions and broker non-votes are not counted as votes for or against this proposal. Because the ratification of the appointment of the independent registered public accounting firm is a matter on which a bank, broker or other holder of record is generally empowered to vote, no broker non-votes are expected to exist in connection with this proposal.</w:t>
      </w:r>
    </w:p>
    <w:p>
      <w:pPr>
        <w:spacing w:after="0" w:line="13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Who will tabulate the vote? </w:t>
      </w:r>
      <w:r>
        <w:rPr>
          <w:rFonts w:ascii="Arial" w:cs="Arial" w:eastAsia="Arial" w:hAnsi="Arial"/>
          <w:sz w:val="16"/>
          <w:szCs w:val="16"/>
          <w:color w:val="auto"/>
        </w:rPr>
        <w:t>Broadridge Financial Solutions will tally the vote, which will be certified by an independent inspector of election.</w:t>
      </w:r>
    </w:p>
    <w:p>
      <w:pPr>
        <w:spacing w:after="0" w:line="191" w:lineRule="exact"/>
        <w:rPr>
          <w:sz w:val="20"/>
          <w:szCs w:val="20"/>
          <w:color w:val="auto"/>
        </w:rPr>
      </w:pPr>
    </w:p>
    <w:p>
      <w:pPr>
        <w:ind w:right="560"/>
        <w:spacing w:after="0" w:line="230" w:lineRule="auto"/>
        <w:rPr>
          <w:sz w:val="20"/>
          <w:szCs w:val="20"/>
          <w:color w:val="auto"/>
        </w:rPr>
      </w:pPr>
      <w:r>
        <w:rPr>
          <w:rFonts w:ascii="Arial" w:cs="Arial" w:eastAsia="Arial" w:hAnsi="Arial"/>
          <w:sz w:val="22"/>
          <w:szCs w:val="22"/>
          <w:b w:val="1"/>
          <w:bCs w:val="1"/>
          <w:color w:val="auto"/>
        </w:rPr>
        <w:t xml:space="preserve">Is my vote confidential? </w:t>
      </w:r>
      <w:r>
        <w:rPr>
          <w:rFonts w:ascii="Arial" w:cs="Arial" w:eastAsia="Arial" w:hAnsi="Arial"/>
          <w:sz w:val="17"/>
          <w:szCs w:val="17"/>
          <w:color w:val="auto"/>
        </w:rPr>
        <w:t>It is our policy to maintain the confidentiality of proxy cards, ballots and voting tabulations that identify individual</w:t>
      </w:r>
      <w:r>
        <w:rPr>
          <w:rFonts w:ascii="Arial" w:cs="Arial" w:eastAsia="Arial" w:hAnsi="Arial"/>
          <w:sz w:val="22"/>
          <w:szCs w:val="22"/>
          <w:b w:val="1"/>
          <w:bCs w:val="1"/>
          <w:color w:val="auto"/>
        </w:rPr>
        <w:t xml:space="preserve"> </w:t>
      </w:r>
      <w:r>
        <w:rPr>
          <w:rFonts w:ascii="Arial" w:cs="Arial" w:eastAsia="Arial" w:hAnsi="Arial"/>
          <w:sz w:val="17"/>
          <w:szCs w:val="17"/>
          <w:color w:val="auto"/>
        </w:rPr>
        <w:t>stockholders, except where disclosure is mandated by law and in other limited circumstances.</w:t>
      </w:r>
    </w:p>
    <w:p>
      <w:pPr>
        <w:spacing w:after="0" w:line="177" w:lineRule="exact"/>
        <w:rPr>
          <w:sz w:val="20"/>
          <w:szCs w:val="20"/>
          <w:color w:val="auto"/>
        </w:rPr>
      </w:pPr>
    </w:p>
    <w:p>
      <w:pPr>
        <w:ind w:right="60"/>
        <w:spacing w:after="0" w:line="230" w:lineRule="auto"/>
        <w:rPr>
          <w:sz w:val="20"/>
          <w:szCs w:val="20"/>
          <w:color w:val="auto"/>
        </w:rPr>
      </w:pPr>
      <w:r>
        <w:rPr>
          <w:rFonts w:ascii="Arial" w:cs="Arial" w:eastAsia="Arial" w:hAnsi="Arial"/>
          <w:sz w:val="22"/>
          <w:szCs w:val="22"/>
          <w:b w:val="1"/>
          <w:bCs w:val="1"/>
          <w:color w:val="auto"/>
        </w:rPr>
        <w:t xml:space="preserve">Who is the proxy solicitor? </w:t>
      </w:r>
      <w:r>
        <w:rPr>
          <w:rFonts w:ascii="Arial" w:cs="Arial" w:eastAsia="Arial" w:hAnsi="Arial"/>
          <w:sz w:val="17"/>
          <w:szCs w:val="17"/>
          <w:color w:val="auto"/>
        </w:rPr>
        <w:t>We have retained Georgeson LLC to assist in the distribution of proxy materials and solicitation of votes. We will pay</w:t>
      </w:r>
      <w:r>
        <w:rPr>
          <w:rFonts w:ascii="Arial" w:cs="Arial" w:eastAsia="Arial" w:hAnsi="Arial"/>
          <w:sz w:val="22"/>
          <w:szCs w:val="22"/>
          <w:b w:val="1"/>
          <w:bCs w:val="1"/>
          <w:color w:val="auto"/>
        </w:rPr>
        <w:t xml:space="preserve"> </w:t>
      </w:r>
      <w:r>
        <w:rPr>
          <w:rFonts w:ascii="Arial" w:cs="Arial" w:eastAsia="Arial" w:hAnsi="Arial"/>
          <w:sz w:val="17"/>
          <w:szCs w:val="17"/>
          <w:color w:val="auto"/>
        </w:rPr>
        <w:t>Georgeson LLC a fee of $11,500, plus reimbursement of reasonable out-of-pocket expenses.</w:t>
      </w:r>
    </w:p>
    <w:p>
      <w:pPr>
        <w:spacing w:after="0" w:line="200" w:lineRule="exact"/>
        <w:rPr>
          <w:sz w:val="20"/>
          <w:szCs w:val="20"/>
          <w:color w:val="auto"/>
        </w:rPr>
      </w:pPr>
    </w:p>
    <w:p>
      <w:pPr>
        <w:spacing w:after="0" w:line="283" w:lineRule="exact"/>
        <w:rPr>
          <w:sz w:val="20"/>
          <w:szCs w:val="20"/>
          <w:color w:val="auto"/>
        </w:rPr>
      </w:pPr>
    </w:p>
    <w:p>
      <w:pPr>
        <w:ind w:left="460" w:hanging="434"/>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AMETEK, INC.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080"/>
          </w:cols>
          <w:pgMar w:left="320" w:top="1107" w:right="49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22"/>
          <w:szCs w:val="22"/>
          <w:b w:val="1"/>
          <w:bCs w:val="1"/>
          <w:color w:val="auto"/>
        </w:rPr>
        <w:t>CORPORATE GOVERNANCE</w:t>
      </w:r>
    </w:p>
    <w:p>
      <w:pPr>
        <w:spacing w:after="0" w:line="192"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accordance with the Delaware General Corporation Law, our Certificate of Incorporation and our By-Laws, our business and affairs are managed under the direction of the Board of Directors. We provide information to the Directors about our business through, among other things, operating, financial and other reports, as well as other documents presented at meetings of the Board of Directors and Committees of the Board.</w:t>
      </w:r>
    </w:p>
    <w:p>
      <w:pPr>
        <w:spacing w:after="0" w:line="125" w:lineRule="exact"/>
        <w:rPr>
          <w:sz w:val="20"/>
          <w:szCs w:val="20"/>
          <w:color w:val="auto"/>
        </w:rPr>
      </w:pPr>
    </w:p>
    <w:p>
      <w:pPr>
        <w:ind w:right="160"/>
        <w:spacing w:after="0" w:line="311" w:lineRule="auto"/>
        <w:rPr>
          <w:rFonts w:ascii="Arial" w:cs="Arial" w:eastAsia="Arial" w:hAnsi="Arial"/>
          <w:sz w:val="16"/>
          <w:szCs w:val="16"/>
          <w:color w:val="auto"/>
        </w:rPr>
      </w:pPr>
      <w:r>
        <w:rPr>
          <w:rFonts w:ascii="Arial" w:cs="Arial" w:eastAsia="Arial" w:hAnsi="Arial"/>
          <w:sz w:val="16"/>
          <w:szCs w:val="16"/>
          <w:color w:val="auto"/>
        </w:rPr>
        <w:t xml:space="preserve">Our Board of Directors currently consists of eight members. They are Thomas A. Amato, Tod E. Carpenter, Anthony J. Conti, Steven W. Kohlhagen, Gretchen W. McClain, Karleen M. Oberton, Dean Seavers, and David A. Zapico. The biographies of our Directors appear on pages </w:t>
      </w:r>
      <w:hyperlink w:anchor="page27">
        <w:r>
          <w:rPr>
            <w:rFonts w:ascii="Arial" w:cs="Arial" w:eastAsia="Arial" w:hAnsi="Arial"/>
            <w:sz w:val="16"/>
            <w:szCs w:val="16"/>
            <w:color w:val="auto"/>
          </w:rPr>
          <w:t xml:space="preserve">23 </w:t>
        </w:r>
      </w:hyperlink>
      <w:r>
        <w:rPr>
          <w:rFonts w:ascii="Arial" w:cs="Arial" w:eastAsia="Arial" w:hAnsi="Arial"/>
          <w:sz w:val="16"/>
          <w:szCs w:val="16"/>
          <w:color w:val="auto"/>
        </w:rPr>
        <w:t xml:space="preserve">through </w:t>
      </w:r>
      <w:hyperlink w:anchor="page30">
        <w:r>
          <w:rPr>
            <w:rFonts w:ascii="Arial" w:cs="Arial" w:eastAsia="Arial" w:hAnsi="Arial"/>
            <w:sz w:val="16"/>
            <w:szCs w:val="16"/>
            <w:color w:val="auto"/>
          </w:rPr>
          <w:t xml:space="preserve">25. </w:t>
        </w:r>
      </w:hyperlink>
      <w:r>
        <w:rPr>
          <w:rFonts w:ascii="Arial" w:cs="Arial" w:eastAsia="Arial" w:hAnsi="Arial"/>
          <w:sz w:val="16"/>
          <w:szCs w:val="16"/>
          <w:color w:val="auto"/>
        </w:rPr>
        <w:t>The Board is divided into three classes with staggered terms of three years each, so that the term of one class expires at each Annual Meeting of Stockholders.</w:t>
      </w:r>
    </w:p>
    <w:p>
      <w:pPr>
        <w:spacing w:after="0" w:line="109" w:lineRule="exact"/>
        <w:rPr>
          <w:sz w:val="20"/>
          <w:szCs w:val="20"/>
          <w:color w:val="auto"/>
        </w:rPr>
      </w:pPr>
    </w:p>
    <w:p>
      <w:pPr>
        <w:ind w:right="20"/>
        <w:spacing w:after="0" w:line="311" w:lineRule="auto"/>
        <w:rPr>
          <w:sz w:val="20"/>
          <w:szCs w:val="20"/>
          <w:color w:val="auto"/>
        </w:rPr>
      </w:pPr>
      <w:r>
        <w:rPr>
          <w:rFonts w:ascii="Arial" w:cs="Arial" w:eastAsia="Arial" w:hAnsi="Arial"/>
          <w:sz w:val="19"/>
          <w:szCs w:val="19"/>
          <w:b w:val="1"/>
          <w:bCs w:val="1"/>
          <w:color w:val="auto"/>
        </w:rPr>
        <w:t xml:space="preserve">Corporate Governance Guidelines and Codes of Ethics. </w:t>
      </w:r>
      <w:r>
        <w:rPr>
          <w:rFonts w:ascii="Arial" w:cs="Arial" w:eastAsia="Arial" w:hAnsi="Arial"/>
          <w:sz w:val="15"/>
          <w:szCs w:val="15"/>
          <w:color w:val="auto"/>
        </w:rPr>
        <w:t>The Board of Directors has adopted Corporate Governance Guidelines that address</w:t>
      </w:r>
      <w:r>
        <w:rPr>
          <w:rFonts w:ascii="Arial" w:cs="Arial" w:eastAsia="Arial" w:hAnsi="Arial"/>
          <w:sz w:val="19"/>
          <w:szCs w:val="19"/>
          <w:b w:val="1"/>
          <w:bCs w:val="1"/>
          <w:color w:val="auto"/>
        </w:rPr>
        <w:t xml:space="preserve"> </w:t>
      </w:r>
      <w:r>
        <w:rPr>
          <w:rFonts w:ascii="Arial" w:cs="Arial" w:eastAsia="Arial" w:hAnsi="Arial"/>
          <w:sz w:val="15"/>
          <w:szCs w:val="15"/>
          <w:color w:val="auto"/>
        </w:rPr>
        <w:t>the practices of the Board and specify criteria to assist the Board in determining Director independence. These criteria supplement the listing standards of the New York Stock Exchange (NYSE) and the regulations of the Securities and Exchange Commission (SEC). Our Code of Ethics and Business Conduct sets forth rules of conduct that apply to all of our Directors, officers and employees. We also have adopted a separate Code of Ethical Conduct for our Chief Executive Officer and senior financial officers. The Guidelines and Codes are available at the Investors section of our corporate website, www.ametek.com. We intend to satisfy the disclosure requirement under Item 5.05 of Form 8-K by posting any amendments and/or waivers to our Codes on our website.</w:t>
      </w:r>
    </w:p>
    <w:p>
      <w:pPr>
        <w:spacing w:after="0" w:line="125" w:lineRule="exact"/>
        <w:rPr>
          <w:sz w:val="20"/>
          <w:szCs w:val="20"/>
          <w:color w:val="auto"/>
        </w:rPr>
      </w:pPr>
    </w:p>
    <w:p>
      <w:pPr>
        <w:ind w:right="140"/>
        <w:spacing w:after="0"/>
        <w:rPr>
          <w:sz w:val="20"/>
          <w:szCs w:val="20"/>
          <w:color w:val="auto"/>
        </w:rPr>
      </w:pPr>
      <w:r>
        <w:rPr>
          <w:rFonts w:ascii="Arial" w:cs="Arial" w:eastAsia="Arial" w:hAnsi="Arial"/>
          <w:sz w:val="22"/>
          <w:szCs w:val="22"/>
          <w:b w:val="1"/>
          <w:bCs w:val="1"/>
          <w:color w:val="auto"/>
        </w:rPr>
        <w:t xml:space="preserve">Meetings of the Board. </w:t>
      </w:r>
      <w:r>
        <w:rPr>
          <w:rFonts w:ascii="Arial" w:cs="Arial" w:eastAsia="Arial" w:hAnsi="Arial"/>
          <w:sz w:val="17"/>
          <w:szCs w:val="17"/>
          <w:color w:val="auto"/>
        </w:rPr>
        <w:t>Our Board of Directors has four regularly scheduled meetings each year. Special meetings are held as necessary. In addition,</w:t>
      </w:r>
      <w:r>
        <w:rPr>
          <w:rFonts w:ascii="Arial" w:cs="Arial" w:eastAsia="Arial" w:hAnsi="Arial"/>
          <w:sz w:val="22"/>
          <w:szCs w:val="22"/>
          <w:b w:val="1"/>
          <w:bCs w:val="1"/>
          <w:color w:val="auto"/>
        </w:rPr>
        <w:t xml:space="preserve"> </w:t>
      </w:r>
      <w:r>
        <w:rPr>
          <w:rFonts w:ascii="Arial" w:cs="Arial" w:eastAsia="Arial" w:hAnsi="Arial"/>
          <w:sz w:val="17"/>
          <w:szCs w:val="17"/>
          <w:color w:val="auto"/>
        </w:rPr>
        <w:t>management and the Directors frequently communicate informally on a variety of topics, including suggestions for Board or Committee agenda items, recent developments and other matters of interest to the Directors.</w:t>
      </w:r>
    </w:p>
    <w:p>
      <w:pPr>
        <w:spacing w:after="0" w:line="16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Directors are expected to attend all meetings of the Board and each Committee on which they serve and are expected to attend the annual meeting. Our Board met a total of five times in 2021, two in person and three by telephone. Each of the Directors attended at least 75% of the meetings of the Board and the Committees on which such Director served during the period that he or she served. Mr. Seavers did not attend any meetings in 2021 as he was elected to the Board in February 2022. All the Directors attended the 2021 Annual Meeting of Stockholders except for Mr. Seavers who was not a Director at the time.</w:t>
      </w:r>
    </w:p>
    <w:p>
      <w:pPr>
        <w:spacing w:after="0" w:line="148" w:lineRule="exact"/>
        <w:rPr>
          <w:sz w:val="20"/>
          <w:szCs w:val="20"/>
          <w:color w:val="auto"/>
        </w:rPr>
      </w:pPr>
    </w:p>
    <w:p>
      <w:pPr>
        <w:spacing w:after="0" w:line="256" w:lineRule="auto"/>
        <w:rPr>
          <w:sz w:val="20"/>
          <w:szCs w:val="20"/>
          <w:color w:val="auto"/>
        </w:rPr>
      </w:pPr>
      <w:r>
        <w:rPr>
          <w:rFonts w:ascii="Arial" w:cs="Arial" w:eastAsia="Arial" w:hAnsi="Arial"/>
          <w:sz w:val="22"/>
          <w:szCs w:val="22"/>
          <w:b w:val="1"/>
          <w:bCs w:val="1"/>
          <w:color w:val="auto"/>
        </w:rPr>
        <w:t xml:space="preserve">Independence. </w:t>
      </w:r>
      <w:r>
        <w:rPr>
          <w:rFonts w:ascii="Arial" w:cs="Arial" w:eastAsia="Arial" w:hAnsi="Arial"/>
          <w:sz w:val="17"/>
          <w:szCs w:val="17"/>
          <w:color w:val="auto"/>
        </w:rPr>
        <w:t>The Board of Directors has affirmatively determined that no Director, other than Mr. Zapico, our chief executive officer, has a material</w:t>
      </w:r>
      <w:r>
        <w:rPr>
          <w:rFonts w:ascii="Arial" w:cs="Arial" w:eastAsia="Arial" w:hAnsi="Arial"/>
          <w:sz w:val="22"/>
          <w:szCs w:val="22"/>
          <w:b w:val="1"/>
          <w:bCs w:val="1"/>
          <w:color w:val="auto"/>
        </w:rPr>
        <w:t xml:space="preserve"> </w:t>
      </w:r>
      <w:r>
        <w:rPr>
          <w:rFonts w:ascii="Arial" w:cs="Arial" w:eastAsia="Arial" w:hAnsi="Arial"/>
          <w:sz w:val="17"/>
          <w:szCs w:val="17"/>
          <w:color w:val="auto"/>
        </w:rPr>
        <w:t>relationship with us, either directly or as a partner, stockholder or officer of an organization that has a relationship with us. Accordingly, seven of our eight Directors are “independent” Directors based on an affirmative determination by our Board in accordance with the listing standards of the NYSE and the SEC rules. The Board has further determined that each member of the Audit, Compensation and Corporate Governance/Nominating Committees is independent within the meaning of the NYSE rules. The members of the Audit Committee also satisfy SEC regulatory independence requirements for audit committee members. The Board also reached affirmative determinations that each of Elizabeth R. Varet and Dennis K. Williams, who served on the Board through the 2021 Annual Meeting of Stockholders, and Ruby R. Chandy, who served on the Board through January 31, 2022, were “independent” Directors during the fiscal year ended December 31, 2021.</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Board established the following standards to assist it in determining Director independence: A Director will not be deemed independent if:</w:t>
      </w:r>
    </w:p>
    <w:p>
      <w:pPr>
        <w:spacing w:after="0" w:line="35" w:lineRule="exact"/>
        <w:rPr>
          <w:sz w:val="20"/>
          <w:szCs w:val="20"/>
          <w:color w:val="auto"/>
        </w:rPr>
      </w:pPr>
    </w:p>
    <w:p>
      <w:pPr>
        <w:ind w:left="480" w:hanging="472"/>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within the previous three years or currently,</w:t>
      </w:r>
    </w:p>
    <w:p>
      <w:pPr>
        <w:spacing w:after="0" w:line="9" w:lineRule="exact"/>
        <w:rPr>
          <w:rFonts w:ascii="Arial" w:cs="Arial" w:eastAsia="Arial" w:hAnsi="Arial"/>
          <w:sz w:val="18"/>
          <w:szCs w:val="18"/>
          <w:color w:val="auto"/>
        </w:rPr>
      </w:pPr>
    </w:p>
    <w:p>
      <w:pPr>
        <w:ind w:left="1300" w:hanging="401"/>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Director has been employed by us;</w:t>
      </w:r>
    </w:p>
    <w:p>
      <w:pPr>
        <w:spacing w:after="0" w:line="9" w:lineRule="exact"/>
        <w:rPr>
          <w:rFonts w:ascii="Arial" w:cs="Arial" w:eastAsia="Arial" w:hAnsi="Arial"/>
          <w:sz w:val="18"/>
          <w:szCs w:val="18"/>
          <w:color w:val="auto"/>
        </w:rPr>
      </w:pPr>
    </w:p>
    <w:p>
      <w:pPr>
        <w:ind w:left="1300" w:hanging="401"/>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someone in the Director’s immediate family has been employed by us as an executive officer;</w:t>
      </w:r>
    </w:p>
    <w:p>
      <w:pPr>
        <w:spacing w:after="0" w:line="9" w:lineRule="exact"/>
        <w:rPr>
          <w:rFonts w:ascii="Arial" w:cs="Arial" w:eastAsia="Arial" w:hAnsi="Arial"/>
          <w:sz w:val="18"/>
          <w:szCs w:val="18"/>
          <w:color w:val="auto"/>
        </w:rPr>
      </w:pPr>
    </w:p>
    <w:p>
      <w:pPr>
        <w:ind w:left="1300" w:right="80" w:hanging="401"/>
        <w:spacing w:after="0" w:line="265" w:lineRule="auto"/>
        <w:tabs>
          <w:tab w:leader="none" w:pos="1296" w:val="left"/>
        </w:tabs>
        <w:numPr>
          <w:ilvl w:val="1"/>
          <w:numId w:val="16"/>
        </w:numPr>
        <w:rPr>
          <w:rFonts w:ascii="Arial" w:cs="Arial" w:eastAsia="Arial" w:hAnsi="Arial"/>
          <w:sz w:val="17"/>
          <w:szCs w:val="17"/>
          <w:color w:val="auto"/>
        </w:rPr>
      </w:pPr>
      <w:r>
        <w:rPr>
          <w:rFonts w:ascii="Arial" w:cs="Arial" w:eastAsia="Arial" w:hAnsi="Arial"/>
          <w:sz w:val="17"/>
          <w:szCs w:val="17"/>
          <w:color w:val="auto"/>
        </w:rPr>
        <w:t>the Director or someone in her/his immediate family has been employed as an executive officer of another entity that concurrently has or had as a member of its compensation committee of the board of directors any of our present executive officers;</w:t>
      </w:r>
    </w:p>
    <w:p>
      <w:pPr>
        <w:ind w:left="1300" w:hanging="401"/>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Director is a current partner or employee of a firm that is our internal or external auditor;</w:t>
      </w:r>
    </w:p>
    <w:p>
      <w:pPr>
        <w:spacing w:after="0" w:line="9" w:lineRule="exact"/>
        <w:rPr>
          <w:rFonts w:ascii="Arial" w:cs="Arial" w:eastAsia="Arial" w:hAnsi="Arial"/>
          <w:sz w:val="18"/>
          <w:szCs w:val="18"/>
          <w:color w:val="auto"/>
        </w:rPr>
      </w:pPr>
    </w:p>
    <w:p>
      <w:pPr>
        <w:ind w:left="1300" w:hanging="401"/>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someone in the Director’s immediate family is a current partner of such a firm;</w:t>
      </w:r>
    </w:p>
    <w:p>
      <w:pPr>
        <w:spacing w:after="0" w:line="9" w:lineRule="exact"/>
        <w:rPr>
          <w:rFonts w:ascii="Arial" w:cs="Arial" w:eastAsia="Arial" w:hAnsi="Arial"/>
          <w:sz w:val="18"/>
          <w:szCs w:val="18"/>
          <w:color w:val="auto"/>
        </w:rPr>
      </w:pPr>
    </w:p>
    <w:p>
      <w:pPr>
        <w:ind w:left="1300" w:hanging="401"/>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someone in the Director’s immediate family is a current employee of such a firm and personally works on our audit; or</w:t>
      </w:r>
    </w:p>
    <w:p>
      <w:pPr>
        <w:spacing w:after="0" w:line="9" w:lineRule="exact"/>
        <w:rPr>
          <w:rFonts w:ascii="Arial" w:cs="Arial" w:eastAsia="Arial" w:hAnsi="Arial"/>
          <w:sz w:val="18"/>
          <w:szCs w:val="18"/>
          <w:color w:val="auto"/>
        </w:rPr>
      </w:pPr>
    </w:p>
    <w:p>
      <w:pPr>
        <w:ind w:left="1300" w:right="100" w:hanging="401"/>
        <w:spacing w:after="0" w:line="250" w:lineRule="auto"/>
        <w:tabs>
          <w:tab w:leader="none" w:pos="12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Director or someone in the Director’s immediate family is a former partner or employee of such a firm and personally worked on our audit within the last three years; or</w:t>
      </w:r>
    </w:p>
    <w:p>
      <w:pPr>
        <w:ind w:left="500" w:right="20" w:hanging="492"/>
        <w:spacing w:after="0" w:line="255" w:lineRule="auto"/>
        <w:tabs>
          <w:tab w:leader="none" w:pos="4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Director received, or someone in the Director’s immediate family received, during any twelve-month period within the last three years, more than $120,000 in direct compensation from us, other than Director and committee fees and pension or other forms of deferred compensation for prior service (provided such compensation is not contingent in any</w:t>
      </w:r>
    </w:p>
    <w:p>
      <w:pPr>
        <w:spacing w:after="0" w:line="200" w:lineRule="exact"/>
        <w:rPr>
          <w:sz w:val="20"/>
          <w:szCs w:val="20"/>
          <w:color w:val="auto"/>
        </w:rPr>
      </w:pPr>
    </w:p>
    <w:p>
      <w:pPr>
        <w:spacing w:after="0" w:line="269" w:lineRule="exact"/>
        <w:rPr>
          <w:sz w:val="20"/>
          <w:szCs w:val="20"/>
          <w:color w:val="auto"/>
        </w:rPr>
      </w:pPr>
    </w:p>
    <w:p>
      <w:pPr>
        <w:ind w:left="7780"/>
        <w:spacing w:after="0"/>
        <w:tabs>
          <w:tab w:leader="none" w:pos="11120" w:val="left"/>
        </w:tabs>
        <w:rPr>
          <w:sz w:val="20"/>
          <w:szCs w:val="20"/>
          <w:color w:val="auto"/>
        </w:rPr>
      </w:pPr>
      <w:r>
        <w:rPr>
          <w:rFonts w:ascii="Arial" w:cs="Arial" w:eastAsia="Arial" w:hAnsi="Arial"/>
          <w:sz w:val="18"/>
          <w:szCs w:val="18"/>
          <w:b w:val="1"/>
          <w:bCs w:val="1"/>
          <w:color w:val="auto"/>
        </w:rPr>
        <w:t>AMETEK, INC. 2022 Proxy Statement</w:t>
      </w:r>
      <w:r>
        <w:rPr>
          <w:sz w:val="20"/>
          <w:szCs w:val="20"/>
          <w:color w:val="auto"/>
        </w:rPr>
        <w:tab/>
      </w:r>
      <w:r>
        <w:rPr>
          <w:rFonts w:ascii="Arial" w:cs="Arial" w:eastAsia="Arial" w:hAnsi="Arial"/>
          <w:sz w:val="13"/>
          <w:szCs w:val="13"/>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2" w:name="page13"/>
    <w:bookmarkEnd w:id="12"/>
    <w:p>
      <w:pPr>
        <w:ind w:left="500" w:right="400"/>
        <w:spacing w:after="0" w:line="277" w:lineRule="auto"/>
        <w:rPr>
          <w:sz w:val="20"/>
          <w:szCs w:val="20"/>
          <w:color w:val="auto"/>
        </w:rPr>
      </w:pPr>
      <w:r>
        <w:rPr>
          <w:rFonts w:ascii="Arial" w:cs="Arial" w:eastAsia="Arial" w:hAnsi="Arial"/>
          <w:sz w:val="18"/>
          <w:szCs w:val="18"/>
          <w:color w:val="auto"/>
        </w:rPr>
        <w:t>way on continued service) and, in the case of an immediate family member, other than compensation for service as our employee (other than an executive officer).</w:t>
      </w:r>
    </w:p>
    <w:p>
      <w:pPr>
        <w:spacing w:after="0" w:line="130"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The following commercial or charitable relationships will not be considered material relationships: (i) if the Director is a current employee or holder of more than ten percent of the equity of, or someone in her/his immediate family is a current executive officer or holder of more than ten percent of the equity of, another company that has made payments to, or received payments from us for property or services in an amount which, in any of the last three fiscal years of the other company, does not exceed $1 million or two percent of the other company’s consolidated gross revenues, whichever is greater, or</w:t>
      </w:r>
    </w:p>
    <w:p>
      <w:pPr>
        <w:spacing w:after="0" w:line="1" w:lineRule="exact"/>
        <w:rPr>
          <w:sz w:val="20"/>
          <w:szCs w:val="20"/>
          <w:color w:val="auto"/>
        </w:rPr>
      </w:pPr>
    </w:p>
    <w:p>
      <w:pPr>
        <w:ind w:right="20" w:firstLine="8"/>
        <w:spacing w:after="0" w:line="253" w:lineRule="auto"/>
        <w:tabs>
          <w:tab w:leader="none" w:pos="26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 Director is a current executive officer of a charitable organization, and we made charitable contributions to the charitable organization in any of the charitable organization’s last three fiscal years that do not exceed $1 million or two percent of the charitable organization’s consolidated gross revenues, whichever is greater. For the purposes of these categorical standards, the terms “immediate family member” and “executive officer” have the meanings set forth in the NYSE’s corporate governance rules.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All independent Directors satisfied these categorical standards.</w:t>
      </w:r>
    </w:p>
    <w:p>
      <w:pPr>
        <w:spacing w:after="0" w:line="185" w:lineRule="exact"/>
        <w:rPr>
          <w:sz w:val="20"/>
          <w:szCs w:val="20"/>
          <w:color w:val="auto"/>
        </w:rPr>
      </w:pPr>
    </w:p>
    <w:p>
      <w:pPr>
        <w:spacing w:after="0" w:line="247" w:lineRule="auto"/>
        <w:rPr>
          <w:sz w:val="20"/>
          <w:szCs w:val="20"/>
          <w:color w:val="auto"/>
        </w:rPr>
      </w:pPr>
      <w:r>
        <w:rPr>
          <w:rFonts w:ascii="Arial" w:cs="Arial" w:eastAsia="Arial" w:hAnsi="Arial"/>
          <w:sz w:val="22"/>
          <w:szCs w:val="22"/>
          <w:b w:val="1"/>
          <w:bCs w:val="1"/>
          <w:color w:val="auto"/>
        </w:rPr>
        <w:t xml:space="preserve">Communication with Non-Management Directors and Audit Committee. </w:t>
      </w:r>
      <w:r>
        <w:rPr>
          <w:rFonts w:ascii="Arial" w:cs="Arial" w:eastAsia="Arial" w:hAnsi="Arial"/>
          <w:sz w:val="17"/>
          <w:szCs w:val="17"/>
          <w:color w:val="auto"/>
        </w:rPr>
        <w:t>Stockholders and other parties who wish to communicate with</w:t>
      </w:r>
      <w:r>
        <w:rPr>
          <w:rFonts w:ascii="Arial" w:cs="Arial" w:eastAsia="Arial" w:hAnsi="Arial"/>
          <w:sz w:val="22"/>
          <w:szCs w:val="22"/>
          <w:b w:val="1"/>
          <w:bCs w:val="1"/>
          <w:color w:val="auto"/>
        </w:rPr>
        <w:t xml:space="preserve"> </w:t>
      </w:r>
      <w:r>
        <w:rPr>
          <w:rFonts w:ascii="Arial" w:cs="Arial" w:eastAsia="Arial" w:hAnsi="Arial"/>
          <w:sz w:val="17"/>
          <w:szCs w:val="17"/>
          <w:color w:val="auto"/>
        </w:rPr>
        <w:t>the non-management Directors may do so by calling 1-877-263-8357 (in the United States and Canada) or 1-610-889-5271. If you prefer to communicate in writing, address your correspondence to the Corporate Secretary, Attention: Non-Management Directors, AMETEK, Inc., 1100 Cassatt Road, Berwyn, PA 19312-1177.</w:t>
      </w:r>
    </w:p>
    <w:p>
      <w:pPr>
        <w:spacing w:after="0" w:line="15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You may address complaints regarding accounting, internal accounting controls or auditing matters to the Audit Committee online at www.ametekhotline.com or by calling 1-855-5AMETEK (1-855-526-3835). The website provides the option to choose your language, as well as a list of international toll-free numbers by country.</w:t>
      </w:r>
    </w:p>
    <w:p>
      <w:pPr>
        <w:spacing w:after="0" w:line="157" w:lineRule="exact"/>
        <w:rPr>
          <w:sz w:val="20"/>
          <w:szCs w:val="20"/>
          <w:color w:val="auto"/>
        </w:rPr>
      </w:pPr>
    </w:p>
    <w:p>
      <w:pPr>
        <w:ind w:right="140"/>
        <w:spacing w:after="0" w:line="270" w:lineRule="auto"/>
        <w:rPr>
          <w:sz w:val="20"/>
          <w:szCs w:val="20"/>
          <w:color w:val="auto"/>
        </w:rPr>
      </w:pPr>
      <w:r>
        <w:rPr>
          <w:rFonts w:ascii="Arial" w:cs="Arial" w:eastAsia="Arial" w:hAnsi="Arial"/>
          <w:sz w:val="21"/>
          <w:szCs w:val="21"/>
          <w:b w:val="1"/>
          <w:bCs w:val="1"/>
          <w:color w:val="auto"/>
        </w:rPr>
        <w:t xml:space="preserve">Committees of the Board. </w:t>
      </w:r>
      <w:r>
        <w:rPr>
          <w:rFonts w:ascii="Arial" w:cs="Arial" w:eastAsia="Arial" w:hAnsi="Arial"/>
          <w:sz w:val="16"/>
          <w:szCs w:val="16"/>
          <w:color w:val="auto"/>
        </w:rPr>
        <w:t>Our Board has established three Committees whose principal responsibilities are briefly described below. The specific</w:t>
      </w:r>
      <w:r>
        <w:rPr>
          <w:rFonts w:ascii="Arial" w:cs="Arial" w:eastAsia="Arial" w:hAnsi="Arial"/>
          <w:sz w:val="21"/>
          <w:szCs w:val="21"/>
          <w:b w:val="1"/>
          <w:bCs w:val="1"/>
          <w:color w:val="auto"/>
        </w:rPr>
        <w:t xml:space="preserve"> </w:t>
      </w:r>
      <w:r>
        <w:rPr>
          <w:rFonts w:ascii="Arial" w:cs="Arial" w:eastAsia="Arial" w:hAnsi="Arial"/>
          <w:sz w:val="16"/>
          <w:szCs w:val="16"/>
          <w:color w:val="auto"/>
        </w:rPr>
        <w:t>responsibilities of each Committee are outlined in more detail in such Committee’s charter, which is available at the Investors section of our corporate website, www.ametek.com, as well as in printed form, free of charge to any stockholder who requests them, by writing or telephoning the Investor Relations Department, AMETEK, Inc., 1100 Cassatt Road, Berwyn, PA 19312-1177 (Telephone Number: 1-800-473-1286). Each Committee conducts an annual assessment to assist it in evaluating whether, among other things, it has sufficient information, resources and time to fulfill its obligations and whether it is performing its obligations effectively. Each Committee may retain advisors to assist it in carrying out its responsibilities.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membership of each Committee as of March 10, 2022 is listed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Director</w:t>
            </w:r>
          </w:p>
        </w:tc>
        <w:tc>
          <w:tcPr>
            <w:tcW w:w="2940" w:type="dxa"/>
            <w:vAlign w:val="bottom"/>
            <w:vMerge w:val="restart"/>
          </w:tcPr>
          <w:p>
            <w:pPr>
              <w:jc w:val="center"/>
              <w:ind w:left="899"/>
              <w:spacing w:after="0"/>
              <w:rPr>
                <w:sz w:val="20"/>
                <w:szCs w:val="20"/>
                <w:color w:val="auto"/>
              </w:rPr>
            </w:pPr>
            <w:r>
              <w:rPr>
                <w:rFonts w:ascii="Arial" w:cs="Arial" w:eastAsia="Arial" w:hAnsi="Arial"/>
                <w:sz w:val="16"/>
                <w:szCs w:val="16"/>
                <w:b w:val="1"/>
                <w:bCs w:val="1"/>
                <w:color w:val="auto"/>
                <w:w w:val="97"/>
              </w:rPr>
              <w:t>Audit</w:t>
            </w:r>
          </w:p>
        </w:tc>
        <w:tc>
          <w:tcPr>
            <w:tcW w:w="2240" w:type="dxa"/>
            <w:vAlign w:val="bottom"/>
            <w:vMerge w:val="restart"/>
          </w:tcPr>
          <w:p>
            <w:pPr>
              <w:jc w:val="center"/>
              <w:ind w:left="239"/>
              <w:spacing w:after="0"/>
              <w:rPr>
                <w:sz w:val="20"/>
                <w:szCs w:val="20"/>
                <w:color w:val="auto"/>
              </w:rPr>
            </w:pPr>
            <w:r>
              <w:rPr>
                <w:rFonts w:ascii="Arial" w:cs="Arial" w:eastAsia="Arial" w:hAnsi="Arial"/>
                <w:sz w:val="16"/>
                <w:szCs w:val="16"/>
                <w:b w:val="1"/>
                <w:bCs w:val="1"/>
                <w:color w:val="auto"/>
                <w:w w:val="89"/>
              </w:rPr>
              <w:t>Compensation</w:t>
            </w:r>
          </w:p>
        </w:tc>
        <w:tc>
          <w:tcPr>
            <w:tcW w:w="2420" w:type="dxa"/>
            <w:vAlign w:val="bottom"/>
          </w:tcPr>
          <w:p>
            <w:pPr>
              <w:jc w:val="center"/>
              <w:ind w:left="99"/>
              <w:spacing w:after="0"/>
              <w:rPr>
                <w:sz w:val="20"/>
                <w:szCs w:val="20"/>
                <w:color w:val="auto"/>
              </w:rPr>
            </w:pPr>
            <w:r>
              <w:rPr>
                <w:rFonts w:ascii="Arial" w:cs="Arial" w:eastAsia="Arial" w:hAnsi="Arial"/>
                <w:sz w:val="16"/>
                <w:szCs w:val="16"/>
                <w:b w:val="1"/>
                <w:bCs w:val="1"/>
                <w:color w:val="auto"/>
                <w:w w:val="92"/>
              </w:rPr>
              <w:t>Corporate Governance/</w:t>
            </w:r>
          </w:p>
        </w:tc>
        <w:tc>
          <w:tcPr>
            <w:tcW w:w="0" w:type="dxa"/>
            <w:vAlign w:val="bottom"/>
          </w:tcPr>
          <w:p>
            <w:pPr>
              <w:spacing w:after="0"/>
              <w:rPr>
                <w:sz w:val="1"/>
                <w:szCs w:val="1"/>
                <w:color w:val="auto"/>
              </w:rPr>
            </w:pPr>
          </w:p>
        </w:tc>
      </w:tr>
      <w:tr>
        <w:trPr>
          <w:trHeight w:val="213"/>
        </w:trPr>
        <w:tc>
          <w:tcPr>
            <w:tcW w:w="3640" w:type="dxa"/>
            <w:vAlign w:val="bottom"/>
            <w:tcBorders>
              <w:bottom w:val="single" w:sz="8" w:color="auto"/>
            </w:tcBorders>
            <w:vMerge w:val="continue"/>
          </w:tcPr>
          <w:p>
            <w:pPr>
              <w:spacing w:after="0"/>
              <w:rPr>
                <w:sz w:val="18"/>
                <w:szCs w:val="18"/>
                <w:color w:val="auto"/>
              </w:rPr>
            </w:pPr>
          </w:p>
        </w:tc>
        <w:tc>
          <w:tcPr>
            <w:tcW w:w="2940" w:type="dxa"/>
            <w:vAlign w:val="bottom"/>
            <w:tcBorders>
              <w:bottom w:val="single" w:sz="8" w:color="auto"/>
            </w:tcBorders>
            <w:vMerge w:val="continue"/>
          </w:tcPr>
          <w:p>
            <w:pPr>
              <w:spacing w:after="0"/>
              <w:rPr>
                <w:sz w:val="18"/>
                <w:szCs w:val="18"/>
                <w:color w:val="auto"/>
              </w:rPr>
            </w:pPr>
          </w:p>
        </w:tc>
        <w:tc>
          <w:tcPr>
            <w:tcW w:w="2240" w:type="dxa"/>
            <w:vAlign w:val="bottom"/>
            <w:tcBorders>
              <w:bottom w:val="single" w:sz="8" w:color="auto"/>
            </w:tcBorders>
            <w:vMerge w:val="continue"/>
          </w:tcPr>
          <w:p>
            <w:pPr>
              <w:spacing w:after="0"/>
              <w:rPr>
                <w:sz w:val="18"/>
                <w:szCs w:val="18"/>
                <w:color w:val="auto"/>
              </w:rPr>
            </w:pPr>
          </w:p>
        </w:tc>
        <w:tc>
          <w:tcPr>
            <w:tcW w:w="242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b w:val="1"/>
                <w:bCs w:val="1"/>
                <w:color w:val="auto"/>
                <w:w w:val="93"/>
              </w:rPr>
              <w:t>Nominating</w:t>
            </w:r>
          </w:p>
        </w:tc>
        <w:tc>
          <w:tcPr>
            <w:tcW w:w="0" w:type="dxa"/>
            <w:vAlign w:val="bottom"/>
          </w:tcPr>
          <w:p>
            <w:pPr>
              <w:spacing w:after="0"/>
              <w:rPr>
                <w:sz w:val="1"/>
                <w:szCs w:val="1"/>
                <w:color w:val="auto"/>
              </w:rPr>
            </w:pPr>
          </w:p>
        </w:tc>
      </w:tr>
      <w:tr>
        <w:trPr>
          <w:trHeight w:val="209"/>
        </w:trPr>
        <w:tc>
          <w:tcPr>
            <w:tcW w:w="3640" w:type="dxa"/>
            <w:vAlign w:val="bottom"/>
          </w:tcPr>
          <w:p>
            <w:pPr>
              <w:ind w:left="20"/>
              <w:spacing w:after="0"/>
              <w:rPr>
                <w:sz w:val="20"/>
                <w:szCs w:val="20"/>
                <w:color w:val="auto"/>
              </w:rPr>
            </w:pPr>
            <w:r>
              <w:rPr>
                <w:rFonts w:ascii="Arial" w:cs="Arial" w:eastAsia="Arial" w:hAnsi="Arial"/>
                <w:sz w:val="16"/>
                <w:szCs w:val="16"/>
                <w:color w:val="auto"/>
              </w:rPr>
              <w:t>Thomas A. Amato</w:t>
            </w:r>
          </w:p>
        </w:tc>
        <w:tc>
          <w:tcPr>
            <w:tcW w:w="2940" w:type="dxa"/>
            <w:vAlign w:val="bottom"/>
          </w:tcPr>
          <w:p>
            <w:pPr>
              <w:spacing w:after="0"/>
              <w:rPr>
                <w:sz w:val="18"/>
                <w:szCs w:val="18"/>
                <w:color w:val="auto"/>
              </w:rPr>
            </w:pPr>
          </w:p>
        </w:tc>
        <w:tc>
          <w:tcPr>
            <w:tcW w:w="2240" w:type="dxa"/>
            <w:vAlign w:val="bottom"/>
          </w:tcPr>
          <w:p>
            <w:pPr>
              <w:jc w:val="center"/>
              <w:ind w:left="239"/>
              <w:spacing w:after="0"/>
              <w:rPr>
                <w:sz w:val="20"/>
                <w:szCs w:val="20"/>
                <w:color w:val="auto"/>
              </w:rPr>
            </w:pPr>
            <w:r>
              <w:rPr>
                <w:rFonts w:ascii="Arial" w:cs="Arial" w:eastAsia="Arial" w:hAnsi="Arial"/>
                <w:sz w:val="16"/>
                <w:szCs w:val="16"/>
                <w:color w:val="auto"/>
              </w:rPr>
              <w:t>C</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Tod E. Carpenter</w:t>
            </w:r>
          </w:p>
        </w:tc>
        <w:tc>
          <w:tcPr>
            <w:tcW w:w="2940" w:type="dxa"/>
            <w:vAlign w:val="bottom"/>
            <w:shd w:val="clear" w:color="auto" w:fill="CCEEFF"/>
          </w:tcPr>
          <w:p>
            <w:pPr>
              <w:spacing w:after="0"/>
              <w:rPr>
                <w:sz w:val="19"/>
                <w:szCs w:val="19"/>
                <w:color w:val="auto"/>
              </w:rPr>
            </w:pPr>
          </w:p>
        </w:tc>
        <w:tc>
          <w:tcPr>
            <w:tcW w:w="2240" w:type="dxa"/>
            <w:vAlign w:val="bottom"/>
            <w:shd w:val="clear" w:color="auto" w:fill="CCEEFF"/>
          </w:tcPr>
          <w:p>
            <w:pPr>
              <w:jc w:val="center"/>
              <w:ind w:left="239"/>
              <w:spacing w:after="0"/>
              <w:rPr>
                <w:sz w:val="20"/>
                <w:szCs w:val="20"/>
                <w:color w:val="auto"/>
              </w:rPr>
            </w:pPr>
            <w:r>
              <w:rPr>
                <w:rFonts w:ascii="Arial" w:cs="Arial" w:eastAsia="Arial" w:hAnsi="Arial"/>
                <w:sz w:val="16"/>
                <w:szCs w:val="16"/>
                <w:color w:val="auto"/>
                <w:w w:val="70"/>
              </w:rPr>
              <w:t>•</w:t>
            </w:r>
          </w:p>
        </w:tc>
        <w:tc>
          <w:tcPr>
            <w:tcW w:w="2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40" w:type="dxa"/>
            <w:vAlign w:val="bottom"/>
          </w:tcPr>
          <w:p>
            <w:pPr>
              <w:ind w:left="20"/>
              <w:spacing w:after="0"/>
              <w:rPr>
                <w:sz w:val="20"/>
                <w:szCs w:val="20"/>
                <w:color w:val="auto"/>
              </w:rPr>
            </w:pPr>
            <w:r>
              <w:rPr>
                <w:rFonts w:ascii="Arial" w:cs="Arial" w:eastAsia="Arial" w:hAnsi="Arial"/>
                <w:sz w:val="16"/>
                <w:szCs w:val="16"/>
                <w:color w:val="auto"/>
              </w:rPr>
              <w:t>Anthony J. Conti</w:t>
            </w:r>
          </w:p>
        </w:tc>
        <w:tc>
          <w:tcPr>
            <w:tcW w:w="2940" w:type="dxa"/>
            <w:vAlign w:val="bottom"/>
          </w:tcPr>
          <w:p>
            <w:pPr>
              <w:jc w:val="center"/>
              <w:ind w:left="899"/>
              <w:spacing w:after="0"/>
              <w:rPr>
                <w:sz w:val="20"/>
                <w:szCs w:val="20"/>
                <w:color w:val="auto"/>
              </w:rPr>
            </w:pPr>
            <w:r>
              <w:rPr>
                <w:rFonts w:ascii="Arial" w:cs="Arial" w:eastAsia="Arial" w:hAnsi="Arial"/>
                <w:sz w:val="16"/>
                <w:szCs w:val="16"/>
                <w:color w:val="auto"/>
              </w:rPr>
              <w:t>C</w:t>
            </w:r>
          </w:p>
        </w:tc>
        <w:tc>
          <w:tcPr>
            <w:tcW w:w="2240" w:type="dxa"/>
            <w:vAlign w:val="bottom"/>
          </w:tcPr>
          <w:p>
            <w:pPr>
              <w:jc w:val="center"/>
              <w:ind w:left="239"/>
              <w:spacing w:after="0"/>
              <w:rPr>
                <w:sz w:val="20"/>
                <w:szCs w:val="20"/>
                <w:color w:val="auto"/>
              </w:rPr>
            </w:pPr>
            <w:r>
              <w:rPr>
                <w:rFonts w:ascii="Arial" w:cs="Arial" w:eastAsia="Arial" w:hAnsi="Arial"/>
                <w:sz w:val="16"/>
                <w:szCs w:val="16"/>
                <w:color w:val="auto"/>
                <w:w w:val="70"/>
              </w:rPr>
              <w:t>•</w:t>
            </w:r>
          </w:p>
        </w:tc>
        <w:tc>
          <w:tcPr>
            <w:tcW w:w="2420" w:type="dxa"/>
            <w:vAlign w:val="bottom"/>
          </w:tcPr>
          <w:p>
            <w:pPr>
              <w:jc w:val="center"/>
              <w:ind w:lef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Steven W. Kohlhagen</w:t>
            </w:r>
          </w:p>
        </w:tc>
        <w:tc>
          <w:tcPr>
            <w:tcW w:w="2940" w:type="dxa"/>
            <w:vAlign w:val="bottom"/>
            <w:shd w:val="clear" w:color="auto" w:fill="CCEEFF"/>
          </w:tcPr>
          <w:p>
            <w:pPr>
              <w:jc w:val="center"/>
              <w:ind w:left="919"/>
              <w:spacing w:after="0"/>
              <w:rPr>
                <w:sz w:val="20"/>
                <w:szCs w:val="20"/>
                <w:color w:val="auto"/>
              </w:rPr>
            </w:pPr>
            <w:r>
              <w:rPr>
                <w:rFonts w:ascii="Arial" w:cs="Arial" w:eastAsia="Arial" w:hAnsi="Arial"/>
                <w:sz w:val="16"/>
                <w:szCs w:val="16"/>
                <w:color w:val="auto"/>
              </w:rPr>
              <w:t>•</w:t>
            </w:r>
          </w:p>
        </w:tc>
        <w:tc>
          <w:tcPr>
            <w:tcW w:w="2240" w:type="dxa"/>
            <w:vAlign w:val="bottom"/>
            <w:shd w:val="clear" w:color="auto" w:fill="CCEEFF"/>
          </w:tcPr>
          <w:p>
            <w:pPr>
              <w:spacing w:after="0"/>
              <w:rPr>
                <w:sz w:val="19"/>
                <w:szCs w:val="19"/>
                <w:color w:val="auto"/>
              </w:rPr>
            </w:pPr>
          </w:p>
        </w:tc>
        <w:tc>
          <w:tcPr>
            <w:tcW w:w="2420" w:type="dxa"/>
            <w:vAlign w:val="bottom"/>
            <w:shd w:val="clear" w:color="auto" w:fill="CCEEFF"/>
          </w:tcPr>
          <w:p>
            <w:pPr>
              <w:jc w:val="center"/>
              <w:ind w:lef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640" w:type="dxa"/>
            <w:vAlign w:val="bottom"/>
          </w:tcPr>
          <w:p>
            <w:pPr>
              <w:ind w:left="20"/>
              <w:spacing w:after="0"/>
              <w:rPr>
                <w:sz w:val="20"/>
                <w:szCs w:val="20"/>
                <w:color w:val="auto"/>
              </w:rPr>
            </w:pPr>
            <w:r>
              <w:rPr>
                <w:rFonts w:ascii="Arial" w:cs="Arial" w:eastAsia="Arial" w:hAnsi="Arial"/>
                <w:sz w:val="16"/>
                <w:szCs w:val="16"/>
                <w:color w:val="auto"/>
              </w:rPr>
              <w:t>Gretchen W. McClain</w:t>
            </w:r>
          </w:p>
        </w:tc>
        <w:tc>
          <w:tcPr>
            <w:tcW w:w="2940" w:type="dxa"/>
            <w:vAlign w:val="bottom"/>
          </w:tcPr>
          <w:p>
            <w:pPr>
              <w:jc w:val="center"/>
              <w:ind w:left="919"/>
              <w:spacing w:after="0"/>
              <w:rPr>
                <w:sz w:val="20"/>
                <w:szCs w:val="20"/>
                <w:color w:val="auto"/>
              </w:rPr>
            </w:pPr>
            <w:r>
              <w:rPr>
                <w:rFonts w:ascii="Arial" w:cs="Arial" w:eastAsia="Arial" w:hAnsi="Arial"/>
                <w:sz w:val="16"/>
                <w:szCs w:val="16"/>
                <w:color w:val="auto"/>
              </w:rPr>
              <w:t>•</w:t>
            </w:r>
          </w:p>
        </w:tc>
        <w:tc>
          <w:tcPr>
            <w:tcW w:w="2240" w:type="dxa"/>
            <w:vAlign w:val="bottom"/>
          </w:tcPr>
          <w:p>
            <w:pPr>
              <w:spacing w:after="0"/>
              <w:rPr>
                <w:sz w:val="18"/>
                <w:szCs w:val="18"/>
                <w:color w:val="auto"/>
              </w:rPr>
            </w:pPr>
          </w:p>
        </w:tc>
        <w:tc>
          <w:tcPr>
            <w:tcW w:w="2420" w:type="dxa"/>
            <w:vAlign w:val="bottom"/>
          </w:tcPr>
          <w:p>
            <w:pPr>
              <w:jc w:val="center"/>
              <w:ind w:left="79"/>
              <w:spacing w:after="0"/>
              <w:rPr>
                <w:sz w:val="20"/>
                <w:szCs w:val="20"/>
                <w:color w:val="auto"/>
              </w:rPr>
            </w:pPr>
            <w:r>
              <w:rPr>
                <w:rFonts w:ascii="Arial" w:cs="Arial" w:eastAsia="Arial" w:hAnsi="Arial"/>
                <w:sz w:val="16"/>
                <w:szCs w:val="16"/>
                <w:color w:val="auto"/>
                <w:w w:val="86"/>
              </w:rPr>
              <w:t>C</w:t>
            </w:r>
          </w:p>
        </w:tc>
        <w:tc>
          <w:tcPr>
            <w:tcW w:w="0" w:type="dxa"/>
            <w:vAlign w:val="bottom"/>
          </w:tcPr>
          <w:p>
            <w:pPr>
              <w:spacing w:after="0"/>
              <w:rPr>
                <w:sz w:val="1"/>
                <w:szCs w:val="1"/>
                <w:color w:val="auto"/>
              </w:rPr>
            </w:pPr>
          </w:p>
        </w:tc>
      </w:tr>
      <w:tr>
        <w:trPr>
          <w:trHeight w:val="219"/>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Karleen M. Oberton</w:t>
            </w:r>
          </w:p>
        </w:tc>
        <w:tc>
          <w:tcPr>
            <w:tcW w:w="2940" w:type="dxa"/>
            <w:vAlign w:val="bottom"/>
            <w:shd w:val="clear" w:color="auto" w:fill="CCEEFF"/>
          </w:tcPr>
          <w:p>
            <w:pPr>
              <w:jc w:val="center"/>
              <w:ind w:left="919"/>
              <w:spacing w:after="0"/>
              <w:rPr>
                <w:sz w:val="20"/>
                <w:szCs w:val="20"/>
                <w:color w:val="auto"/>
              </w:rPr>
            </w:pPr>
            <w:r>
              <w:rPr>
                <w:rFonts w:ascii="Arial" w:cs="Arial" w:eastAsia="Arial" w:hAnsi="Arial"/>
                <w:sz w:val="16"/>
                <w:szCs w:val="16"/>
                <w:color w:val="auto"/>
              </w:rPr>
              <w:t>•</w:t>
            </w:r>
          </w:p>
        </w:tc>
        <w:tc>
          <w:tcPr>
            <w:tcW w:w="224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40" w:type="dxa"/>
            <w:vAlign w:val="bottom"/>
          </w:tcPr>
          <w:p>
            <w:pPr>
              <w:ind w:left="20"/>
              <w:spacing w:after="0"/>
              <w:rPr>
                <w:sz w:val="20"/>
                <w:szCs w:val="20"/>
                <w:color w:val="auto"/>
              </w:rPr>
            </w:pPr>
            <w:r>
              <w:rPr>
                <w:rFonts w:ascii="Arial" w:cs="Arial" w:eastAsia="Arial" w:hAnsi="Arial"/>
                <w:sz w:val="16"/>
                <w:szCs w:val="16"/>
                <w:color w:val="auto"/>
              </w:rPr>
              <w:t>Dean Seavers</w:t>
            </w:r>
          </w:p>
        </w:tc>
        <w:tc>
          <w:tcPr>
            <w:tcW w:w="29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David A. Zapico</w:t>
            </w:r>
          </w:p>
        </w:tc>
        <w:tc>
          <w:tcPr>
            <w:tcW w:w="294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640" w:type="dxa"/>
            <w:vAlign w:val="bottom"/>
          </w:tcPr>
          <w:p>
            <w:pPr>
              <w:ind w:left="20"/>
              <w:spacing w:after="0"/>
              <w:rPr>
                <w:sz w:val="20"/>
                <w:szCs w:val="20"/>
                <w:color w:val="auto"/>
              </w:rPr>
            </w:pPr>
            <w:r>
              <w:rPr>
                <w:rFonts w:ascii="Arial" w:cs="Arial" w:eastAsia="Arial" w:hAnsi="Arial"/>
                <w:sz w:val="16"/>
                <w:szCs w:val="16"/>
                <w:i w:val="1"/>
                <w:iCs w:val="1"/>
                <w:color w:val="auto"/>
              </w:rPr>
              <w:t>Number of meetings in 2021</w:t>
            </w:r>
          </w:p>
        </w:tc>
        <w:tc>
          <w:tcPr>
            <w:tcW w:w="2940" w:type="dxa"/>
            <w:vAlign w:val="bottom"/>
          </w:tcPr>
          <w:p>
            <w:pPr>
              <w:jc w:val="center"/>
              <w:ind w:left="899"/>
              <w:spacing w:after="0"/>
              <w:rPr>
                <w:sz w:val="20"/>
                <w:szCs w:val="20"/>
                <w:color w:val="auto"/>
              </w:rPr>
            </w:pPr>
            <w:r>
              <w:rPr>
                <w:rFonts w:ascii="Arial" w:cs="Arial" w:eastAsia="Arial" w:hAnsi="Arial"/>
                <w:sz w:val="16"/>
                <w:szCs w:val="16"/>
                <w:color w:val="auto"/>
                <w:w w:val="89"/>
              </w:rPr>
              <w:t>8</w:t>
            </w:r>
          </w:p>
        </w:tc>
        <w:tc>
          <w:tcPr>
            <w:tcW w:w="2240" w:type="dxa"/>
            <w:vAlign w:val="bottom"/>
          </w:tcPr>
          <w:p>
            <w:pPr>
              <w:jc w:val="center"/>
              <w:ind w:left="239"/>
              <w:spacing w:after="0"/>
              <w:rPr>
                <w:sz w:val="20"/>
                <w:szCs w:val="20"/>
                <w:color w:val="auto"/>
              </w:rPr>
            </w:pPr>
            <w:r>
              <w:rPr>
                <w:rFonts w:ascii="Arial" w:cs="Arial" w:eastAsia="Arial" w:hAnsi="Arial"/>
                <w:sz w:val="16"/>
                <w:szCs w:val="16"/>
                <w:color w:val="auto"/>
                <w:w w:val="89"/>
              </w:rPr>
              <w:t>5</w:t>
            </w:r>
          </w:p>
        </w:tc>
        <w:tc>
          <w:tcPr>
            <w:tcW w:w="2420" w:type="dxa"/>
            <w:vAlign w:val="bottom"/>
          </w:tcPr>
          <w:p>
            <w:pPr>
              <w:jc w:val="center"/>
              <w:ind w:left="99"/>
              <w:spacing w:after="0"/>
              <w:rPr>
                <w:sz w:val="20"/>
                <w:szCs w:val="20"/>
                <w:color w:val="auto"/>
              </w:rPr>
            </w:pPr>
            <w:r>
              <w:rPr>
                <w:rFonts w:ascii="Arial" w:cs="Arial" w:eastAsia="Arial" w:hAnsi="Arial"/>
                <w:sz w:val="16"/>
                <w:szCs w:val="16"/>
                <w:color w:val="auto"/>
                <w:w w:val="89"/>
              </w:rPr>
              <w:t>5</w:t>
            </w:r>
          </w:p>
        </w:tc>
        <w:tc>
          <w:tcPr>
            <w:tcW w:w="0" w:type="dxa"/>
            <w:vAlign w:val="bottom"/>
          </w:tcPr>
          <w:p>
            <w:pPr>
              <w:spacing w:after="0"/>
              <w:rPr>
                <w:sz w:val="1"/>
                <w:szCs w:val="1"/>
                <w:color w:val="auto"/>
              </w:rPr>
            </w:pPr>
          </w:p>
        </w:tc>
      </w:tr>
      <w:tr>
        <w:trPr>
          <w:trHeight w:val="297"/>
        </w:trPr>
        <w:tc>
          <w:tcPr>
            <w:tcW w:w="3640" w:type="dxa"/>
            <w:vAlign w:val="bottom"/>
          </w:tcPr>
          <w:p>
            <w:pPr>
              <w:spacing w:after="0"/>
              <w:rPr>
                <w:sz w:val="20"/>
                <w:szCs w:val="20"/>
                <w:color w:val="auto"/>
              </w:rPr>
            </w:pPr>
            <w:r>
              <w:rPr>
                <w:rFonts w:ascii="Arial" w:cs="Arial" w:eastAsia="Arial" w:hAnsi="Arial"/>
                <w:sz w:val="16"/>
                <w:szCs w:val="16"/>
                <w:i w:val="1"/>
                <w:iCs w:val="1"/>
                <w:color w:val="auto"/>
              </w:rPr>
              <w:t>C: Chair</w:t>
            </w:r>
          </w:p>
        </w:tc>
        <w:tc>
          <w:tcPr>
            <w:tcW w:w="29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60" w:hanging="434"/>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AMETEK, INC.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Audit Committee</w:t>
      </w:r>
    </w:p>
    <w:p>
      <w:pPr>
        <w:spacing w:after="0" w:line="19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All members of the Audit Committee are audit committee financial experts. The Audit Committee has the sole authority to retain, compensate, terminate, oversee and evaluate our independent auditors. In addition, the Audit Committee is responsible for:</w:t>
      </w:r>
    </w:p>
    <w:p>
      <w:pPr>
        <w:spacing w:after="0" w:line="8" w:lineRule="exact"/>
        <w:rPr>
          <w:sz w:val="20"/>
          <w:szCs w:val="20"/>
          <w:color w:val="auto"/>
        </w:rPr>
      </w:pPr>
    </w:p>
    <w:p>
      <w:pPr>
        <w:ind w:left="820" w:hanging="488"/>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and approval in advance of all audit and non-audit services performed by the independent auditors;</w:t>
      </w:r>
    </w:p>
    <w:p>
      <w:pPr>
        <w:spacing w:after="0" w:line="63" w:lineRule="exact"/>
        <w:rPr>
          <w:rFonts w:ascii="Arial" w:cs="Arial" w:eastAsia="Arial" w:hAnsi="Arial"/>
          <w:sz w:val="18"/>
          <w:szCs w:val="18"/>
          <w:color w:val="auto"/>
        </w:rPr>
      </w:pPr>
    </w:p>
    <w:p>
      <w:pPr>
        <w:ind w:left="820" w:right="120" w:hanging="488"/>
        <w:spacing w:after="0" w:line="277"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and discussion with management and the independent auditors regarding the annual audited financial statements and quarterly financial statements included in our SEC filings and quarterly sales and earnings announcements;</w:t>
      </w:r>
    </w:p>
    <w:p>
      <w:pPr>
        <w:spacing w:after="0" w:line="8" w:lineRule="exact"/>
        <w:rPr>
          <w:rFonts w:ascii="Arial" w:cs="Arial" w:eastAsia="Arial" w:hAnsi="Arial"/>
          <w:sz w:val="18"/>
          <w:szCs w:val="18"/>
          <w:color w:val="auto"/>
        </w:rPr>
      </w:pPr>
    </w:p>
    <w:p>
      <w:pPr>
        <w:ind w:left="820" w:hanging="488"/>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oversight of our Code of Ethical Conduct for Chief Executives and Senior Financial Officers;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oversight of risk management;</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of the performance of our internal audit function;</w:t>
      </w:r>
    </w:p>
    <w:p>
      <w:pPr>
        <w:spacing w:after="0" w:line="63" w:lineRule="exact"/>
        <w:rPr>
          <w:rFonts w:ascii="Arial" w:cs="Arial" w:eastAsia="Arial" w:hAnsi="Arial"/>
          <w:sz w:val="18"/>
          <w:szCs w:val="18"/>
          <w:color w:val="auto"/>
        </w:rPr>
      </w:pPr>
    </w:p>
    <w:p>
      <w:pPr>
        <w:ind w:left="820" w:right="20" w:hanging="488"/>
        <w:spacing w:after="0" w:line="277"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meeting separately with the independent auditors and our internal auditors as often as deemed necessary or appropriate by the Audit Committee; and</w:t>
      </w:r>
    </w:p>
    <w:p>
      <w:pPr>
        <w:spacing w:after="0" w:line="8" w:lineRule="exact"/>
        <w:rPr>
          <w:rFonts w:ascii="Arial" w:cs="Arial" w:eastAsia="Arial" w:hAnsi="Arial"/>
          <w:sz w:val="18"/>
          <w:szCs w:val="18"/>
          <w:color w:val="auto"/>
        </w:rPr>
      </w:pPr>
    </w:p>
    <w:p>
      <w:pPr>
        <w:ind w:left="820" w:hanging="488"/>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of major issues regarding accounting principles, financial statement presentation and the adequacy of internal controls.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is responsible for, among other things:</w:t>
      </w:r>
    </w:p>
    <w:p>
      <w:pPr>
        <w:spacing w:after="0" w:line="63" w:lineRule="exact"/>
        <w:rPr>
          <w:sz w:val="20"/>
          <w:szCs w:val="20"/>
          <w:color w:val="auto"/>
        </w:rPr>
      </w:pPr>
    </w:p>
    <w:p>
      <w:pPr>
        <w:ind w:left="820" w:right="500" w:hanging="488"/>
        <w:spacing w:after="0" w:line="277" w:lineRule="auto"/>
        <w:tabs>
          <w:tab w:leader="none" w:pos="8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establishment and periodic review of our compensation philosophy and the adequacy of the compensation plans for our officers and other employees;</w:t>
      </w:r>
    </w:p>
    <w:p>
      <w:pPr>
        <w:spacing w:after="0" w:line="8" w:lineRule="exact"/>
        <w:rPr>
          <w:rFonts w:ascii="Arial" w:cs="Arial" w:eastAsia="Arial" w:hAnsi="Arial"/>
          <w:sz w:val="18"/>
          <w:szCs w:val="18"/>
          <w:color w:val="auto"/>
        </w:rPr>
      </w:pPr>
    </w:p>
    <w:p>
      <w:pPr>
        <w:ind w:left="820" w:right="20" w:hanging="488"/>
        <w:spacing w:after="0" w:line="277" w:lineRule="auto"/>
        <w:tabs>
          <w:tab w:leader="none" w:pos="8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establishment of compensation arrangements and incentive goals for officers at the Corporate Vice President level and above and administration of compensation plans;</w:t>
      </w:r>
    </w:p>
    <w:p>
      <w:pPr>
        <w:spacing w:after="0" w:line="8" w:lineRule="exact"/>
        <w:rPr>
          <w:rFonts w:ascii="Arial" w:cs="Arial" w:eastAsia="Arial" w:hAnsi="Arial"/>
          <w:sz w:val="18"/>
          <w:szCs w:val="18"/>
          <w:color w:val="auto"/>
        </w:rPr>
      </w:pPr>
    </w:p>
    <w:p>
      <w:pPr>
        <w:ind w:left="820" w:right="680" w:hanging="488"/>
        <w:spacing w:after="0" w:line="277" w:lineRule="auto"/>
        <w:tabs>
          <w:tab w:leader="none" w:pos="8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 of the performance of officers at the Corporate Vice President level and above and award of incentive compensation, exercising discretion and adjusting compensation arrangements as appropriate;</w:t>
      </w:r>
    </w:p>
    <w:p>
      <w:pPr>
        <w:spacing w:after="0" w:line="8" w:lineRule="exact"/>
        <w:rPr>
          <w:rFonts w:ascii="Arial" w:cs="Arial" w:eastAsia="Arial" w:hAnsi="Arial"/>
          <w:sz w:val="18"/>
          <w:szCs w:val="18"/>
          <w:color w:val="auto"/>
        </w:rPr>
      </w:pPr>
    </w:p>
    <w:p>
      <w:pPr>
        <w:ind w:left="820" w:hanging="488"/>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 and monitoring of management development and succession plans; and</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periodic review of the compensation of non-employee Directors.</w:t>
      </w:r>
    </w:p>
    <w:p>
      <w:pPr>
        <w:spacing w:after="0" w:line="19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Committee, in setting compensation for our Chief Executive Officer, will review and evaluate our Chief Executive Officer’s performance and leadership, taking into account the views of other members of the Board. The Compensation Committee charter provides that, with the participation of our Chief Executive Officer, the Committee is to evaluate the performance of other officers and determine compensation for these officers. In this regard, Compensation Committee meetings are regularly attended by our Chief Executive Officer. Our Chief Executive Officer does not participate in the determination of his own compensation. The Compensation Committee has authority under the charter to retain and set compensation for compensation consultants and other advisors that the Committee may engage. The Compensation Committee charter does not provide for delegation of the Committee’s duties and responsibilities other than to one or more members of the Committee when appropriate.</w:t>
      </w:r>
    </w:p>
    <w:p>
      <w:pPr>
        <w:spacing w:after="0" w:line="137"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Management engaged Pay Governance LLC to provide executive and Director compensation consulting services. Pay Governance provided no other services for us. The Compensation Committee has assessed the independence of Pay Governance pursuant to SEC rules and concluded that Pay Governance’s work does not raise any conflict of interest issues. See “Compensation Discussion and Analysis – 2021 Compensation – Determination of Competitive Compensation” for further information regarding Pay Governance’s services.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Governance/Nominating Committee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Corporate Governance/Nominating Committee (the “GNC”) is responsible for, among other things:</w:t>
      </w:r>
    </w:p>
    <w:p>
      <w:pPr>
        <w:spacing w:after="0" w:line="63" w:lineRule="exact"/>
        <w:rPr>
          <w:sz w:val="20"/>
          <w:szCs w:val="20"/>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selection of nominees for election as Directors, subject to approval by the Board;</w:t>
      </w:r>
    </w:p>
    <w:p>
      <w:pPr>
        <w:spacing w:after="0" w:line="63"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recommendation of a Director to serve as Chairperson of the Board;</w:t>
      </w:r>
    </w:p>
    <w:p>
      <w:pPr>
        <w:spacing w:after="0" w:line="63"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recommendation to the Board of the responsibilities of Board Committees and each Committee’s membership;</w:t>
      </w:r>
    </w:p>
    <w:p>
      <w:pPr>
        <w:spacing w:after="0" w:line="63"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oversight of the annual evaluation of the Board and the Audit and Compensation Committees;</w:t>
      </w:r>
    </w:p>
    <w:p>
      <w:pPr>
        <w:spacing w:after="0" w:line="63"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oversight of management’s environmental and social efforts; and</w:t>
      </w:r>
    </w:p>
    <w:p>
      <w:pPr>
        <w:spacing w:after="0" w:line="63"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 and assessment of the adequacy of our Corporate Governance Guidelines and Code of Ethics and Business Conduct.</w:t>
      </w:r>
    </w:p>
    <w:p>
      <w:pPr>
        <w:spacing w:after="0" w:line="200" w:lineRule="exact"/>
        <w:rPr>
          <w:sz w:val="20"/>
          <w:szCs w:val="20"/>
          <w:color w:val="auto"/>
        </w:rPr>
      </w:pPr>
    </w:p>
    <w:p>
      <w:pPr>
        <w:spacing w:after="0" w:line="305"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8"/>
          <w:szCs w:val="18"/>
          <w:b w:val="1"/>
          <w:bCs w:val="1"/>
          <w:color w:val="auto"/>
        </w:rPr>
        <w:t>AMETEK, INC. 2022 Proxy Statement</w:t>
      </w:r>
      <w:r>
        <w:rPr>
          <w:sz w:val="20"/>
          <w:szCs w:val="20"/>
          <w:color w:val="auto"/>
        </w:rPr>
        <w:tab/>
      </w:r>
      <w:r>
        <w:rPr>
          <w:rFonts w:ascii="Arial" w:cs="Arial" w:eastAsia="Arial" w:hAnsi="Arial"/>
          <w:sz w:val="13"/>
          <w:szCs w:val="13"/>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14" w:name="page15"/>
    <w:bookmarkEnd w:id="14"/>
    <w:p>
      <w:pPr>
        <w:ind w:right="100"/>
        <w:spacing w:after="0" w:line="256" w:lineRule="auto"/>
        <w:rPr>
          <w:sz w:val="20"/>
          <w:szCs w:val="20"/>
          <w:color w:val="auto"/>
        </w:rPr>
      </w:pPr>
      <w:r>
        <w:rPr>
          <w:rFonts w:ascii="Arial" w:cs="Arial" w:eastAsia="Arial" w:hAnsi="Arial"/>
          <w:sz w:val="22"/>
          <w:szCs w:val="22"/>
          <w:b w:val="1"/>
          <w:bCs w:val="1"/>
          <w:color w:val="auto"/>
        </w:rPr>
        <w:t xml:space="preserve">Board Leadership Structure. </w:t>
      </w:r>
      <w:r>
        <w:rPr>
          <w:rFonts w:ascii="Arial" w:cs="Arial" w:eastAsia="Arial" w:hAnsi="Arial"/>
          <w:sz w:val="17"/>
          <w:szCs w:val="17"/>
          <w:color w:val="auto"/>
        </w:rPr>
        <w:t>In 2017, Mr. Zapico was elected Chairman of the Board, in addition to his position as Chief Executive Officer. In</w:t>
      </w:r>
      <w:r>
        <w:rPr>
          <w:rFonts w:ascii="Arial" w:cs="Arial" w:eastAsia="Arial" w:hAnsi="Arial"/>
          <w:sz w:val="22"/>
          <w:szCs w:val="22"/>
          <w:b w:val="1"/>
          <w:bCs w:val="1"/>
          <w:color w:val="auto"/>
        </w:rPr>
        <w:t xml:space="preserve"> </w:t>
      </w:r>
      <w:r>
        <w:rPr>
          <w:rFonts w:ascii="Arial" w:cs="Arial" w:eastAsia="Arial" w:hAnsi="Arial"/>
          <w:sz w:val="17"/>
          <w:szCs w:val="17"/>
          <w:color w:val="auto"/>
        </w:rPr>
        <w:t>addition to Mr. Zapico, we have experienced Committee Chairs and a Lead Independent Director. The Board believes that a combined Chairman and CEO is in the best interest of our company as our Chairman and CEO serves as a bridge between management and the Board, ensuring that both groups act with a common vision and strategy. Further, the combined Chairman and CEO structure provides clear leadership for our company, with a single person setting the tone and having primary responsibility for managing our operations. We believe that splitting the role of Chairman and CEO would create the potential for confusion or duplication of efforts, and could impair our ability to develop and implement strategy. In contrast, we believe that our current leadership structure enhances the Chairman and CEO’s ability to provide insight and direction on important strategic initiatives to both management and the independent Directors.</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Board and Committee composition ensures independence and protects against too much power being placed with the Chairman and CEO. Currently, all of our Directors (other than Mr. Zapico) and each member of our three Committees meet the independence requirements of the NYSE and our Corporate Governance Guidelines’ categorical standards for determining Director independence. Additionally, the members of the Audit Committee also satisfy SEC regulatory independence requirements for audit committee members. Pursuant to our Corporate Governance Guidelines, each independent Director has the ability to raise questions directly with management and request that topics be placed on the Board agenda for discussion. Currently, independent Directors directly oversee such critical matters as the integrity of our financial statements, the compensation of executive management, the selection and evaluation of Directors and the development and implementation of our corporate governance policies and structures. Further, the Compensation Committee conducts an annual performance review of our CEO and, based upon this review, approves our CEO’s annual compensation, including salary, bonus, incentive and equity compensation.</w:t>
      </w:r>
    </w:p>
    <w:p>
      <w:pPr>
        <w:spacing w:after="0" w:line="140"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If our Chairman is not a non-management independent Director, our Corporate Governance Guidelines provide that an independent Director will serve as our Lead Independent Director. Mr. Conti is our Lead Independent Director and, in this role, his powers and duties include the following: presiding at all meetings when the Chairman is not present, including executive sessions of independent Directors; serving as liaison between the Chairman and the independent Directors; calling meetings of the independent Directors as needed; communicating to the Chairman regarding the quality, quantity, appropriateness and timeliness of information sent to the Board; working with the Chairman to establish Board agendas; working with the Chairman to optimize the number, frequency and conduct of Board meetings, as well as meeting schedules; retaining outside advisors and consultants to the Board as needed; and being available, if required by the management team, for consultation and communication with our stockholders.</w:t>
      </w:r>
    </w:p>
    <w:p>
      <w:pPr>
        <w:spacing w:after="0" w:line="12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It is our policy that independent Directors meet in executive session at least once a year outside of the presence of any management Directors or any other members of our management. Our Lead Independent Director chairs these sessions. During executive sessions, the Directors may consider such matters as they deem appropriate. Following each executive session, the results of the deliberations and any recommendations are communicated to the full Board of Directors.</w:t>
      </w:r>
    </w:p>
    <w:p>
      <w:pPr>
        <w:spacing w:after="0" w:line="160" w:lineRule="exact"/>
        <w:rPr>
          <w:sz w:val="20"/>
          <w:szCs w:val="20"/>
          <w:color w:val="auto"/>
        </w:rPr>
      </w:pPr>
    </w:p>
    <w:p>
      <w:pPr>
        <w:spacing w:after="0" w:line="251" w:lineRule="auto"/>
        <w:rPr>
          <w:sz w:val="20"/>
          <w:szCs w:val="20"/>
          <w:color w:val="auto"/>
        </w:rPr>
      </w:pPr>
      <w:r>
        <w:rPr>
          <w:rFonts w:ascii="Arial" w:cs="Arial" w:eastAsia="Arial" w:hAnsi="Arial"/>
          <w:sz w:val="22"/>
          <w:szCs w:val="22"/>
          <w:b w:val="1"/>
          <w:bCs w:val="1"/>
          <w:color w:val="auto"/>
        </w:rPr>
        <w:t xml:space="preserve">Risk Oversight. </w:t>
      </w:r>
      <w:r>
        <w:rPr>
          <w:rFonts w:ascii="Arial" w:cs="Arial" w:eastAsia="Arial" w:hAnsi="Arial"/>
          <w:sz w:val="17"/>
          <w:szCs w:val="17"/>
          <w:color w:val="auto"/>
        </w:rPr>
        <w:t>In accordance with NYSE rules and our Audit Committee’s charter, our Audit Committee has primary responsibility for overseeing</w:t>
      </w:r>
      <w:r>
        <w:rPr>
          <w:rFonts w:ascii="Arial" w:cs="Arial" w:eastAsia="Arial" w:hAnsi="Arial"/>
          <w:sz w:val="22"/>
          <w:szCs w:val="22"/>
          <w:b w:val="1"/>
          <w:bCs w:val="1"/>
          <w:color w:val="auto"/>
        </w:rPr>
        <w:t xml:space="preserve"> </w:t>
      </w:r>
      <w:r>
        <w:rPr>
          <w:rFonts w:ascii="Arial" w:cs="Arial" w:eastAsia="Arial" w:hAnsi="Arial"/>
          <w:sz w:val="17"/>
          <w:szCs w:val="17"/>
          <w:color w:val="auto"/>
        </w:rPr>
        <w:t>risk management for AMETEK. Nevertheless, our entire Board of Directors, and each other Committee of the Board, is actively involved in overseeing risk management. These risks include those related to environmental, social and governance (“ESG”) matters. Our Board of Directors, and each of its Committees, regularly consider various potential risks at their meetings during discussion of our operations and consideration of matters for approval. Our GNC has responsibility for reviewing ESG matters. In addition, we have an active risk management program.</w:t>
      </w:r>
    </w:p>
    <w:p>
      <w:pPr>
        <w:spacing w:after="0" w:line="153"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Our ERM Committee, composed of senior executives, including the Chairman and Chief Executive Officer, the Chief Financial Officer, the Chief Administrative Officer, and the Group Presidents, reviews our enterprise risks. The Committee has an annual process that determines the most important enterprise risks based on severity, likelihood and ability to mitigate, and in turn develops action plans to address the risks. Enterprise risks include any significant event or circumstance that could impact the achievement of our business objectives. These risks include, among other things, strategic, operational, human capital, SEC reporting, compliance, reputational, and ESG, including climate-related risks. For example, the team considers the impact of natural disasters and resource shortages on AMETEK’s facilities (i.e., severe weather effects and water availability). The ERM Committee’s findings are presented to the Audit Committee on a quarterly basis and to the full Board of Directors annually. Management’s strategic planning process manages business opportunities, including climate-related opportunities.</w:t>
      </w:r>
    </w:p>
    <w:p>
      <w:pPr>
        <w:spacing w:after="0" w:line="136" w:lineRule="exact"/>
        <w:rPr>
          <w:sz w:val="20"/>
          <w:szCs w:val="20"/>
          <w:color w:val="auto"/>
        </w:rPr>
      </w:pPr>
    </w:p>
    <w:p>
      <w:pPr>
        <w:jc w:val="both"/>
        <w:ind w:right="460"/>
        <w:spacing w:after="0" w:line="243" w:lineRule="auto"/>
        <w:rPr>
          <w:sz w:val="20"/>
          <w:szCs w:val="20"/>
          <w:color w:val="auto"/>
        </w:rPr>
      </w:pPr>
      <w:r>
        <w:rPr>
          <w:rFonts w:ascii="Arial" w:cs="Arial" w:eastAsia="Arial" w:hAnsi="Arial"/>
          <w:sz w:val="22"/>
          <w:szCs w:val="22"/>
          <w:b w:val="1"/>
          <w:bCs w:val="1"/>
          <w:color w:val="auto"/>
        </w:rPr>
        <w:t>Sustainability Report</w:t>
      </w:r>
      <w:r>
        <w:rPr>
          <w:rFonts w:ascii="Arial" w:cs="Arial" w:eastAsia="Arial" w:hAnsi="Arial"/>
          <w:sz w:val="22"/>
          <w:szCs w:val="22"/>
          <w:b w:val="1"/>
          <w:bCs w:val="1"/>
          <w:color w:val="339900"/>
        </w:rPr>
        <w:t>.</w:t>
      </w:r>
      <w:r>
        <w:rPr>
          <w:rFonts w:ascii="Arial" w:cs="Arial" w:eastAsia="Arial" w:hAnsi="Arial"/>
          <w:sz w:val="22"/>
          <w:szCs w:val="22"/>
          <w:b w:val="1"/>
          <w:bCs w:val="1"/>
          <w:color w:val="auto"/>
        </w:rPr>
        <w:t xml:space="preserve"> </w:t>
      </w:r>
      <w:r>
        <w:rPr>
          <w:rFonts w:ascii="Arial" w:cs="Arial" w:eastAsia="Arial" w:hAnsi="Arial"/>
          <w:sz w:val="17"/>
          <w:szCs w:val="17"/>
          <w:color w:val="auto"/>
        </w:rPr>
        <w:t>AMETEK is committed to providing a consistent and excellent return to our stakeholders, all while maintaining a strong</w:t>
      </w:r>
      <w:r>
        <w:rPr>
          <w:rFonts w:ascii="Arial" w:cs="Arial" w:eastAsia="Arial" w:hAnsi="Arial"/>
          <w:sz w:val="22"/>
          <w:szCs w:val="22"/>
          <w:b w:val="1"/>
          <w:bCs w:val="1"/>
          <w:color w:val="auto"/>
        </w:rPr>
        <w:t xml:space="preserve"> </w:t>
      </w:r>
      <w:r>
        <w:rPr>
          <w:rFonts w:ascii="Arial" w:cs="Arial" w:eastAsia="Arial" w:hAnsi="Arial"/>
          <w:sz w:val="17"/>
          <w:szCs w:val="17"/>
          <w:color w:val="auto"/>
        </w:rPr>
        <w:t>commitment to environmental stewardship, social responsibility, diversity and inclusion, and sound corporate governance. We believe that effectively prioritizing and managing our ESG initiatives will help create long-term value and a better future for our stakeholders.</w:t>
      </w:r>
    </w:p>
    <w:p>
      <w:pPr>
        <w:spacing w:after="0" w:line="200" w:lineRule="exact"/>
        <w:rPr>
          <w:sz w:val="20"/>
          <w:szCs w:val="20"/>
          <w:color w:val="auto"/>
        </w:rPr>
      </w:pPr>
    </w:p>
    <w:p>
      <w:pPr>
        <w:spacing w:after="0" w:line="292"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b w:val="1"/>
          <w:bCs w:val="1"/>
          <w:color w:val="auto"/>
        </w:rPr>
        <w:t>10</w:t>
        <w:tab/>
        <w:t>AMETEK, INC.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5" w:name="page16"/>
    <w:bookmarkEnd w:id="15"/>
    <w:p>
      <w:pPr>
        <w:ind w:right="500"/>
        <w:spacing w:after="0" w:line="277" w:lineRule="auto"/>
        <w:rPr>
          <w:sz w:val="20"/>
          <w:szCs w:val="20"/>
          <w:color w:val="auto"/>
        </w:rPr>
      </w:pPr>
      <w:r>
        <w:rPr>
          <w:rFonts w:ascii="Arial" w:cs="Arial" w:eastAsia="Arial" w:hAnsi="Arial"/>
          <w:sz w:val="18"/>
          <w:szCs w:val="18"/>
          <w:color w:val="auto"/>
        </w:rPr>
        <w:t>In the fourth quarter of this past year, we published our 2021 Sustainability Report highlighting our sustainability initiatives. The 2021 Sustainability Report is available on our website at www.ametek.com/aboutus/sustainability.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Our ESG highlights include the following:</w:t>
      </w:r>
    </w:p>
    <w:p>
      <w:pPr>
        <w:spacing w:after="0" w:line="100" w:lineRule="exact"/>
        <w:rPr>
          <w:sz w:val="20"/>
          <w:szCs w:val="20"/>
          <w:color w:val="auto"/>
        </w:rPr>
      </w:pPr>
    </w:p>
    <w:p>
      <w:pPr>
        <w:ind w:left="500" w:right="140" w:hanging="411"/>
        <w:spacing w:after="0" w:line="236" w:lineRule="auto"/>
        <w:tabs>
          <w:tab w:leader="none" w:pos="495"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Core Values</w:t>
      </w:r>
      <w:r>
        <w:rPr>
          <w:rFonts w:ascii="Arial" w:cs="Arial" w:eastAsia="Arial" w:hAnsi="Arial"/>
          <w:sz w:val="18"/>
          <w:szCs w:val="18"/>
          <w:color w:val="auto"/>
        </w:rPr>
        <w:t>: Our core values — Ethics and Integrity, Respect for the Individual, Diversity and Inclusion, Teamwork, and Social Responsibility —</w:t>
      </w:r>
      <w:r>
        <w:rPr>
          <w:rFonts w:ascii="Arial" w:cs="Arial" w:eastAsia="Arial" w:hAnsi="Arial"/>
          <w:sz w:val="18"/>
          <w:szCs w:val="18"/>
          <w:b w:val="1"/>
          <w:bCs w:val="1"/>
          <w:color w:val="auto"/>
        </w:rPr>
        <w:t xml:space="preserve"> </w:t>
      </w:r>
      <w:r>
        <w:rPr>
          <w:rFonts w:ascii="Arial" w:cs="Arial" w:eastAsia="Arial" w:hAnsi="Arial"/>
          <w:sz w:val="18"/>
          <w:szCs w:val="18"/>
          <w:color w:val="auto"/>
        </w:rPr>
        <w:t>remain the most critical components of our sustainability efforts. Sustainability is an integral aspect of the core values that guide the way we do business</w:t>
      </w:r>
      <w:r>
        <w:rPr>
          <w:rFonts w:ascii="Arial" w:cs="Arial" w:eastAsia="Arial" w:hAnsi="Arial"/>
          <w:sz w:val="18"/>
          <w:szCs w:val="18"/>
          <w:b w:val="1"/>
          <w:bCs w:val="1"/>
          <w:color w:val="auto"/>
        </w:rPr>
        <w:t>.</w:t>
      </w:r>
    </w:p>
    <w:p>
      <w:pPr>
        <w:spacing w:after="0" w:line="64" w:lineRule="exact"/>
        <w:rPr>
          <w:rFonts w:ascii="Arial" w:cs="Arial" w:eastAsia="Arial" w:hAnsi="Arial"/>
          <w:sz w:val="18"/>
          <w:szCs w:val="18"/>
          <w:b w:val="1"/>
          <w:bCs w:val="1"/>
          <w:color w:val="auto"/>
        </w:rPr>
      </w:pPr>
    </w:p>
    <w:p>
      <w:pPr>
        <w:ind w:left="500" w:right="100" w:hanging="411"/>
        <w:spacing w:after="0" w:line="229" w:lineRule="auto"/>
        <w:tabs>
          <w:tab w:leader="none" w:pos="495"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Environmental Stewardship</w:t>
      </w:r>
      <w:r>
        <w:rPr>
          <w:rFonts w:ascii="Arial" w:cs="Arial" w:eastAsia="Arial" w:hAnsi="Arial"/>
          <w:sz w:val="18"/>
          <w:szCs w:val="18"/>
          <w:color w:val="auto"/>
        </w:rPr>
        <w:t>: Our ongoing commitment to serve as environmental stewards and protect the environment for future generations is</w:t>
      </w:r>
      <w:r>
        <w:rPr>
          <w:rFonts w:ascii="Arial" w:cs="Arial" w:eastAsia="Arial" w:hAnsi="Arial"/>
          <w:sz w:val="18"/>
          <w:szCs w:val="18"/>
          <w:b w:val="1"/>
          <w:bCs w:val="1"/>
          <w:color w:val="auto"/>
        </w:rPr>
        <w:t xml:space="preserve"> </w:t>
      </w:r>
      <w:r>
        <w:rPr>
          <w:rFonts w:ascii="Arial" w:cs="Arial" w:eastAsia="Arial" w:hAnsi="Arial"/>
          <w:sz w:val="18"/>
          <w:szCs w:val="18"/>
          <w:color w:val="auto"/>
        </w:rPr>
        <w:t>reflected in our corporate governance and oversight of compliance and risk management. We are reducing our environmental impact and increasing operational efficiency across our global footprint, while also establishing greenhouse gas emission reduction targets. Across AMETEK, our businesses are committed to developing innovative products and solutions to help reduce carbon emissions, increase the use and adoption of renewable energy, and address the impacts of climate change</w:t>
      </w:r>
      <w:r>
        <w:rPr>
          <w:rFonts w:ascii="Arial" w:cs="Arial" w:eastAsia="Arial" w:hAnsi="Arial"/>
          <w:sz w:val="18"/>
          <w:szCs w:val="18"/>
          <w:b w:val="1"/>
          <w:bCs w:val="1"/>
          <w:color w:val="auto"/>
        </w:rPr>
        <w:t>.</w:t>
      </w:r>
    </w:p>
    <w:p>
      <w:pPr>
        <w:spacing w:after="0" w:line="65" w:lineRule="exact"/>
        <w:rPr>
          <w:rFonts w:ascii="Arial" w:cs="Arial" w:eastAsia="Arial" w:hAnsi="Arial"/>
          <w:sz w:val="18"/>
          <w:szCs w:val="18"/>
          <w:b w:val="1"/>
          <w:bCs w:val="1"/>
          <w:color w:val="auto"/>
        </w:rPr>
      </w:pPr>
    </w:p>
    <w:p>
      <w:pPr>
        <w:ind w:left="500" w:right="80" w:hanging="411"/>
        <w:spacing w:after="0" w:line="229" w:lineRule="auto"/>
        <w:tabs>
          <w:tab w:leader="none" w:pos="495"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 to Diversity and Inclusion</w:t>
      </w:r>
      <w:r>
        <w:rPr>
          <w:rFonts w:ascii="Arial" w:cs="Arial" w:eastAsia="Arial" w:hAnsi="Arial"/>
          <w:sz w:val="18"/>
          <w:szCs w:val="18"/>
          <w:color w:val="auto"/>
        </w:rPr>
        <w:t>: AMETEK is committed to developing a diverse and inclusive culture to help power innovation, growth</w:t>
      </w:r>
      <w:r>
        <w:rPr>
          <w:rFonts w:ascii="Arial" w:cs="Arial" w:eastAsia="Arial" w:hAnsi="Arial"/>
          <w:sz w:val="18"/>
          <w:szCs w:val="18"/>
          <w:b w:val="1"/>
          <w:bCs w:val="1"/>
          <w:color w:val="auto"/>
        </w:rPr>
        <w:t xml:space="preserve"> </w:t>
      </w:r>
      <w:r>
        <w:rPr>
          <w:rFonts w:ascii="Arial" w:cs="Arial" w:eastAsia="Arial" w:hAnsi="Arial"/>
          <w:sz w:val="18"/>
          <w:szCs w:val="18"/>
          <w:color w:val="auto"/>
        </w:rPr>
        <w:t>and greater opportunities for all employees. Our hiring practices are geared toward identifying the most diverse set of candidates for open positions. Our training and development programs are focused on providing meaningful opportunities for personal and professional development. And our charitable arm, the AMETEK Foundation, provides wide-ranging support to nonprofit and educational organizations in the communities where we operate</w:t>
      </w:r>
      <w:r>
        <w:rPr>
          <w:rFonts w:ascii="Arial" w:cs="Arial" w:eastAsia="Arial" w:hAnsi="Arial"/>
          <w:sz w:val="18"/>
          <w:szCs w:val="18"/>
          <w:b w:val="1"/>
          <w:bCs w:val="1"/>
          <w:color w:val="auto"/>
        </w:rPr>
        <w:t>.</w:t>
      </w:r>
    </w:p>
    <w:p>
      <w:pPr>
        <w:spacing w:after="0" w:line="65" w:lineRule="exact"/>
        <w:rPr>
          <w:rFonts w:ascii="Arial" w:cs="Arial" w:eastAsia="Arial" w:hAnsi="Arial"/>
          <w:sz w:val="18"/>
          <w:szCs w:val="18"/>
          <w:b w:val="1"/>
          <w:bCs w:val="1"/>
          <w:color w:val="auto"/>
        </w:rPr>
      </w:pPr>
    </w:p>
    <w:p>
      <w:pPr>
        <w:ind w:left="500" w:hanging="411"/>
        <w:spacing w:after="0" w:line="232" w:lineRule="auto"/>
        <w:tabs>
          <w:tab w:leader="none" w:pos="495"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Our Solutions</w:t>
      </w:r>
      <w:r>
        <w:rPr>
          <w:rFonts w:ascii="Arial" w:cs="Arial" w:eastAsia="Arial" w:hAnsi="Arial"/>
          <w:sz w:val="18"/>
          <w:szCs w:val="18"/>
          <w:color w:val="auto"/>
        </w:rPr>
        <w:t>: AMETEK’s portfolio of differentiated technology solutions has grown significantly. Many of AMETEK’s products and solutions are</w:t>
      </w:r>
      <w:r>
        <w:rPr>
          <w:rFonts w:ascii="Arial" w:cs="Arial" w:eastAsia="Arial" w:hAnsi="Arial"/>
          <w:sz w:val="18"/>
          <w:szCs w:val="18"/>
          <w:b w:val="1"/>
          <w:bCs w:val="1"/>
          <w:color w:val="auto"/>
        </w:rPr>
        <w:t xml:space="preserve"> </w:t>
      </w:r>
      <w:r>
        <w:rPr>
          <w:rFonts w:ascii="Arial" w:cs="Arial" w:eastAsia="Arial" w:hAnsi="Arial"/>
          <w:sz w:val="18"/>
          <w:szCs w:val="18"/>
          <w:color w:val="auto"/>
        </w:rPr>
        <w:t>creating a more sustainable future by supporting customers’ environmentally focused applications across a diverse set of markets. AMETEK partners with customers to develop sustainable solutions with specialized technology that help in the effort to improve the quality of life and the environment</w:t>
      </w:r>
      <w:r>
        <w:rPr>
          <w:rFonts w:ascii="Arial" w:cs="Arial" w:eastAsia="Arial" w:hAnsi="Arial"/>
          <w:sz w:val="18"/>
          <w:szCs w:val="18"/>
          <w:b w:val="1"/>
          <w:bCs w:val="1"/>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In the past several years, we made significant progress on our sustainability commitments. Below we highlight some of those developments:</w:t>
      </w:r>
    </w:p>
    <w:p>
      <w:pPr>
        <w:spacing w:after="0" w:line="90" w:lineRule="exact"/>
        <w:rPr>
          <w:sz w:val="20"/>
          <w:szCs w:val="20"/>
          <w:color w:val="auto"/>
        </w:rPr>
      </w:pPr>
    </w:p>
    <w:p>
      <w:pPr>
        <w:ind w:left="500" w:right="100" w:hanging="411"/>
        <w:spacing w:after="0" w:line="246" w:lineRule="auto"/>
        <w:tabs>
          <w:tab w:leader="none" w:pos="495" w:val="left"/>
        </w:tabs>
        <w:numPr>
          <w:ilvl w:val="0"/>
          <w:numId w:val="23"/>
        </w:numPr>
        <w:rPr>
          <w:rFonts w:ascii="Arial" w:cs="Arial" w:eastAsia="Arial" w:hAnsi="Arial"/>
          <w:sz w:val="17"/>
          <w:szCs w:val="17"/>
          <w:b w:val="1"/>
          <w:bCs w:val="1"/>
          <w:color w:val="auto"/>
        </w:rPr>
      </w:pPr>
      <w:r>
        <w:rPr>
          <w:rFonts w:ascii="Arial" w:cs="Arial" w:eastAsia="Arial" w:hAnsi="Arial"/>
          <w:sz w:val="17"/>
          <w:szCs w:val="17"/>
          <w:color w:val="auto"/>
        </w:rPr>
        <w:t>We employ an Enterprise Risk Management (ERM) Committee made up of functional experts and senior business leaders. This Committee is focused on anticipating, identifying, prioritizing, managing and mitigating various risks facing the company. As a result, the ERM Committee plays a critical role in helping drive our success and sustainability. Furthermore, to better manage our sustainability initiatives, we created a cross-functional team to accelerate progress and identify projects that will help us achieve our sustainability goals.</w:t>
      </w:r>
    </w:p>
    <w:p>
      <w:pPr>
        <w:spacing w:after="0" w:line="62" w:lineRule="exact"/>
        <w:rPr>
          <w:rFonts w:ascii="Arial" w:cs="Arial" w:eastAsia="Arial" w:hAnsi="Arial"/>
          <w:sz w:val="17"/>
          <w:szCs w:val="17"/>
          <w:b w:val="1"/>
          <w:bCs w:val="1"/>
          <w:color w:val="auto"/>
        </w:rPr>
      </w:pPr>
    </w:p>
    <w:p>
      <w:pPr>
        <w:ind w:left="500" w:hanging="411"/>
        <w:spacing w:after="0" w:line="235" w:lineRule="auto"/>
        <w:tabs>
          <w:tab w:leader="none" w:pos="495"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We have aligned our disclosure efforts with the Sustainability Accounting Standards Board (SASB) and the Task Force on Climate-Related Financial Disclosures (TCFD) frameworks. Through these disclosures, we aim to show how we are positioning AMETEK to support the goals of the Paris Agreement on climate change.</w:t>
      </w:r>
    </w:p>
    <w:p>
      <w:pPr>
        <w:spacing w:after="0" w:line="66" w:lineRule="exact"/>
        <w:rPr>
          <w:rFonts w:ascii="Arial" w:cs="Arial" w:eastAsia="Arial" w:hAnsi="Arial"/>
          <w:sz w:val="18"/>
          <w:szCs w:val="18"/>
          <w:b w:val="1"/>
          <w:bCs w:val="1"/>
          <w:color w:val="auto"/>
        </w:rPr>
      </w:pPr>
    </w:p>
    <w:p>
      <w:pPr>
        <w:ind w:left="500" w:right="260" w:hanging="411"/>
        <w:spacing w:after="0" w:line="307" w:lineRule="auto"/>
        <w:tabs>
          <w:tab w:leader="none" w:pos="495" w:val="left"/>
        </w:tabs>
        <w:numPr>
          <w:ilvl w:val="0"/>
          <w:numId w:val="23"/>
        </w:numPr>
        <w:rPr>
          <w:rFonts w:ascii="Arial" w:cs="Arial" w:eastAsia="Arial" w:hAnsi="Arial"/>
          <w:sz w:val="16"/>
          <w:szCs w:val="16"/>
          <w:b w:val="1"/>
          <w:bCs w:val="1"/>
          <w:color w:val="auto"/>
        </w:rPr>
      </w:pPr>
      <w:r>
        <w:rPr>
          <w:rFonts w:ascii="Arial" w:cs="Arial" w:eastAsia="Arial" w:hAnsi="Arial"/>
          <w:sz w:val="16"/>
          <w:szCs w:val="16"/>
          <w:color w:val="auto"/>
        </w:rPr>
        <w:t>We continually look for opportunities to improve diversity and inclusion across our company. We recently enhanced our commitment to diversity and inclusion by establishing the African American and Women’s Business Councils, which are driving higher levels of employee engagement.</w:t>
      </w:r>
    </w:p>
    <w:p>
      <w:pPr>
        <w:spacing w:after="0" w:line="15" w:lineRule="exact"/>
        <w:rPr>
          <w:rFonts w:ascii="Arial" w:cs="Arial" w:eastAsia="Arial" w:hAnsi="Arial"/>
          <w:sz w:val="16"/>
          <w:szCs w:val="16"/>
          <w:b w:val="1"/>
          <w:bCs w:val="1"/>
          <w:color w:val="auto"/>
        </w:rPr>
      </w:pPr>
    </w:p>
    <w:p>
      <w:pPr>
        <w:ind w:left="500" w:right="140" w:hanging="411"/>
        <w:spacing w:after="0" w:line="235" w:lineRule="auto"/>
        <w:tabs>
          <w:tab w:leader="none" w:pos="495"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AMETEK takes the health and safety of our employees very seriously. Our ultimate goal is zero accidents in the workplace. Every member of our leadership team is responsible for enforcing health and safety standards. In 2020 and 2021, AMETEK achieved a 0.20 Lost Workday Incident Rate (per 100 workers, per year), significantly below the industry average of 0.90.</w:t>
      </w:r>
    </w:p>
    <w:p>
      <w:pPr>
        <w:spacing w:after="0" w:line="66" w:lineRule="exact"/>
        <w:rPr>
          <w:rFonts w:ascii="Arial" w:cs="Arial" w:eastAsia="Arial" w:hAnsi="Arial"/>
          <w:sz w:val="18"/>
          <w:szCs w:val="18"/>
          <w:b w:val="1"/>
          <w:bCs w:val="1"/>
          <w:color w:val="auto"/>
        </w:rPr>
      </w:pPr>
    </w:p>
    <w:p>
      <w:pPr>
        <w:ind w:left="500" w:right="80" w:hanging="411"/>
        <w:spacing w:after="0" w:line="303" w:lineRule="auto"/>
        <w:tabs>
          <w:tab w:leader="none" w:pos="495" w:val="left"/>
        </w:tabs>
        <w:numPr>
          <w:ilvl w:val="0"/>
          <w:numId w:val="23"/>
        </w:numPr>
        <w:rPr>
          <w:rFonts w:ascii="Arial" w:cs="Arial" w:eastAsia="Arial" w:hAnsi="Arial"/>
          <w:sz w:val="15"/>
          <w:szCs w:val="15"/>
          <w:b w:val="1"/>
          <w:bCs w:val="1"/>
          <w:color w:val="auto"/>
        </w:rPr>
      </w:pPr>
      <w:r>
        <w:rPr>
          <w:rFonts w:ascii="Arial" w:cs="Arial" w:eastAsia="Arial" w:hAnsi="Arial"/>
          <w:sz w:val="15"/>
          <w:szCs w:val="15"/>
          <w:color w:val="auto"/>
        </w:rPr>
        <w:t>We have implemented a variety of initiatives to help our businesses reduce greenhouse gas emissions and have recently begun disclosing environmental data including scope 1 and scope 2 emissions data, energy consumption, water usage, and waste output. We established a greenhouse gas (GHG) emission reduction goal to reduce our combined scope 1 and 2 emissions by 40%, normalized to sales, by 2035, from a 2019 baseline.</w:t>
      </w:r>
    </w:p>
    <w:p>
      <w:pPr>
        <w:spacing w:after="0" w:line="21" w:lineRule="exact"/>
        <w:rPr>
          <w:rFonts w:ascii="Arial" w:cs="Arial" w:eastAsia="Arial" w:hAnsi="Arial"/>
          <w:sz w:val="15"/>
          <w:szCs w:val="15"/>
          <w:b w:val="1"/>
          <w:bCs w:val="1"/>
          <w:color w:val="auto"/>
        </w:rPr>
      </w:pPr>
    </w:p>
    <w:p>
      <w:pPr>
        <w:ind w:left="500" w:right="500" w:hanging="411"/>
        <w:spacing w:after="0" w:line="274" w:lineRule="auto"/>
        <w:tabs>
          <w:tab w:leader="none" w:pos="495" w:val="left"/>
        </w:tabs>
        <w:numPr>
          <w:ilvl w:val="0"/>
          <w:numId w:val="23"/>
        </w:numPr>
        <w:rPr>
          <w:rFonts w:ascii="Arial" w:cs="Arial" w:eastAsia="Arial" w:hAnsi="Arial"/>
          <w:sz w:val="17"/>
          <w:szCs w:val="17"/>
          <w:b w:val="1"/>
          <w:bCs w:val="1"/>
          <w:color w:val="auto"/>
        </w:rPr>
      </w:pPr>
      <w:r>
        <w:rPr>
          <w:rFonts w:ascii="Arial" w:cs="Arial" w:eastAsia="Arial" w:hAnsi="Arial"/>
          <w:sz w:val="17"/>
          <w:szCs w:val="17"/>
          <w:color w:val="auto"/>
        </w:rPr>
        <w:t>In 2020, we initiated a data collection process to track the volume of hazardous waste, recycled hazardous waste, and total recyclables such as plastic, paper and cardboard generated by our manufacturing sites and expect to report on progress there in the coming years.</w:t>
      </w:r>
    </w:p>
    <w:p>
      <w:pPr>
        <w:spacing w:after="0" w:line="39" w:lineRule="exact"/>
        <w:rPr>
          <w:rFonts w:ascii="Arial" w:cs="Arial" w:eastAsia="Arial" w:hAnsi="Arial"/>
          <w:sz w:val="17"/>
          <w:szCs w:val="17"/>
          <w:b w:val="1"/>
          <w:bCs w:val="1"/>
          <w:color w:val="auto"/>
        </w:rPr>
      </w:pPr>
    </w:p>
    <w:p>
      <w:pPr>
        <w:ind w:left="500" w:right="240" w:hanging="411"/>
        <w:spacing w:after="0" w:line="266" w:lineRule="auto"/>
        <w:tabs>
          <w:tab w:leader="none" w:pos="495" w:val="left"/>
        </w:tabs>
        <w:numPr>
          <w:ilvl w:val="0"/>
          <w:numId w:val="23"/>
        </w:numPr>
        <w:rPr>
          <w:rFonts w:ascii="Arial" w:cs="Arial" w:eastAsia="Arial" w:hAnsi="Arial"/>
          <w:sz w:val="16"/>
          <w:szCs w:val="16"/>
          <w:b w:val="1"/>
          <w:bCs w:val="1"/>
          <w:color w:val="auto"/>
        </w:rPr>
      </w:pPr>
      <w:r>
        <w:rPr>
          <w:rFonts w:ascii="Arial" w:cs="Arial" w:eastAsia="Arial" w:hAnsi="Arial"/>
          <w:sz w:val="16"/>
          <w:szCs w:val="16"/>
          <w:color w:val="auto"/>
        </w:rPr>
        <w:t>We strengthened our focus on social responsibility by expanding our volunteer efforts and increasing our contributions through the AMETEK Foundation, our company’s charitable giving arm, to support the communities where we operate. In the past five years, the AMETEK Foundation has supported approximately 220 organizations including the United Way, Black Girls Code, the Juvenile Diabetes Research Foundation, and Science Explorers, providing our employees with the opportunity to support the organizations that matter most to them.</w:t>
      </w:r>
    </w:p>
    <w:p>
      <w:pPr>
        <w:spacing w:after="0" w:line="183"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Our businesses invest in, develop, and acquire differentiated technology solutions to solve our customers’ most complex challenges. Many of these products provide sustainability-related benefits, such as improving patient health outcomes, ensuring safety in the food and pharmaceutical industries, and safeguarding the environment. Below are some examples of how our solutions are making an impact: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7780"/>
        <w:spacing w:after="0"/>
        <w:tabs>
          <w:tab w:leader="none" w:pos="11040" w:val="left"/>
        </w:tabs>
        <w:rPr>
          <w:sz w:val="20"/>
          <w:szCs w:val="20"/>
          <w:color w:val="auto"/>
        </w:rPr>
      </w:pPr>
      <w:r>
        <w:rPr>
          <w:rFonts w:ascii="Arial" w:cs="Arial" w:eastAsia="Arial" w:hAnsi="Arial"/>
          <w:sz w:val="18"/>
          <w:szCs w:val="18"/>
          <w:b w:val="1"/>
          <w:bCs w:val="1"/>
          <w:color w:val="auto"/>
        </w:rPr>
        <w:t>AMETEK, INC. 2022 Proxy Statement</w:t>
      </w:r>
      <w:r>
        <w:rPr>
          <w:sz w:val="20"/>
          <w:szCs w:val="20"/>
          <w:color w:val="auto"/>
        </w:rPr>
        <w:tab/>
      </w:r>
      <w:r>
        <w:rPr>
          <w:rFonts w:ascii="Arial" w:cs="Arial" w:eastAsia="Arial" w:hAnsi="Arial"/>
          <w:sz w:val="13"/>
          <w:szCs w:val="13"/>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16" w:name="page17"/>
    <w:bookmarkEnd w:id="16"/>
    <w:p>
      <w:pPr>
        <w:ind w:left="480" w:hanging="391"/>
        <w:spacing w:after="0"/>
        <w:tabs>
          <w:tab w:leader="none" w:pos="480" w:val="left"/>
        </w:tabs>
        <w:numPr>
          <w:ilvl w:val="0"/>
          <w:numId w:val="24"/>
        </w:numPr>
        <w:rPr>
          <w:rFonts w:ascii="Arial" w:cs="Arial" w:eastAsia="Arial" w:hAnsi="Arial"/>
          <w:sz w:val="18"/>
          <w:szCs w:val="18"/>
          <w:b w:val="1"/>
          <w:bCs w:val="1"/>
          <w:color w:val="339900"/>
        </w:rPr>
      </w:pPr>
      <w:r>
        <w:rPr>
          <w:rFonts w:ascii="Arial" w:cs="Arial" w:eastAsia="Arial" w:hAnsi="Arial"/>
          <w:sz w:val="18"/>
          <w:szCs w:val="18"/>
          <w:b w:val="1"/>
          <w:bCs w:val="1"/>
          <w:color w:val="auto"/>
        </w:rPr>
        <w:t>Health Care</w:t>
      </w:r>
    </w:p>
    <w:p>
      <w:pPr>
        <w:spacing w:after="0" w:line="15" w:lineRule="exact"/>
        <w:rPr>
          <w:rFonts w:ascii="Arial" w:cs="Arial" w:eastAsia="Arial" w:hAnsi="Arial"/>
          <w:sz w:val="18"/>
          <w:szCs w:val="18"/>
          <w:b w:val="1"/>
          <w:bCs w:val="1"/>
          <w:color w:val="339900"/>
        </w:rPr>
      </w:pPr>
    </w:p>
    <w:p>
      <w:pPr>
        <w:ind w:left="1220" w:right="460" w:hanging="483"/>
        <w:spacing w:after="0" w:line="249" w:lineRule="auto"/>
        <w:tabs>
          <w:tab w:leader="none" w:pos="1216" w:val="left"/>
        </w:tabs>
        <w:numPr>
          <w:ilvl w:val="1"/>
          <w:numId w:val="24"/>
        </w:numPr>
        <w:rPr>
          <w:rFonts w:ascii="Arial" w:cs="Arial" w:eastAsia="Arial" w:hAnsi="Arial"/>
          <w:sz w:val="18"/>
          <w:szCs w:val="18"/>
          <w:color w:val="auto"/>
        </w:rPr>
      </w:pPr>
      <w:r>
        <w:rPr>
          <w:rFonts w:ascii="Arial" w:cs="Arial" w:eastAsia="Arial" w:hAnsi="Arial"/>
          <w:sz w:val="18"/>
          <w:szCs w:val="18"/>
          <w:color w:val="auto"/>
        </w:rPr>
        <w:t xml:space="preserve">Our </w:t>
      </w:r>
      <w:r>
        <w:rPr>
          <w:rFonts w:ascii="Arial" w:cs="Arial" w:eastAsia="Arial" w:hAnsi="Arial"/>
          <w:sz w:val="18"/>
          <w:szCs w:val="18"/>
          <w:b w:val="1"/>
          <w:bCs w:val="1"/>
          <w:color w:val="auto"/>
        </w:rPr>
        <w:t>Rauland Responder</w:t>
      </w:r>
      <w:r>
        <w:rPr>
          <w:rFonts w:ascii="Arial" w:cs="Arial" w:eastAsia="Arial" w:hAnsi="Arial"/>
          <w:sz w:val="18"/>
          <w:szCs w:val="18"/>
          <w:color w:val="auto"/>
        </w:rPr>
        <w:t>® solutions allow hospitals and other health care facilities to optimize their workflows and critical communications. The Responder series helps nurses and hospital staff monitor patient activity, improving both patient safety and the efficiency of the nurses and health care professionals.</w:t>
      </w:r>
    </w:p>
    <w:p>
      <w:pPr>
        <w:spacing w:after="0" w:line="2" w:lineRule="exact"/>
        <w:rPr>
          <w:rFonts w:ascii="Arial" w:cs="Arial" w:eastAsia="Arial" w:hAnsi="Arial"/>
          <w:sz w:val="18"/>
          <w:szCs w:val="18"/>
          <w:color w:val="auto"/>
        </w:rPr>
      </w:pPr>
    </w:p>
    <w:p>
      <w:pPr>
        <w:ind w:left="1220" w:right="140" w:hanging="483"/>
        <w:spacing w:after="0" w:line="281" w:lineRule="auto"/>
        <w:tabs>
          <w:tab w:leader="none" w:pos="1216" w:val="left"/>
        </w:tabs>
        <w:numPr>
          <w:ilvl w:val="1"/>
          <w:numId w:val="24"/>
        </w:numPr>
        <w:rPr>
          <w:rFonts w:ascii="Arial" w:cs="Arial" w:eastAsia="Arial" w:hAnsi="Arial"/>
          <w:sz w:val="16"/>
          <w:szCs w:val="16"/>
          <w:color w:val="auto"/>
        </w:rPr>
      </w:pPr>
      <w:r>
        <w:rPr>
          <w:rFonts w:ascii="Arial" w:cs="Arial" w:eastAsia="Arial" w:hAnsi="Arial"/>
          <w:sz w:val="16"/>
          <w:szCs w:val="16"/>
          <w:b w:val="1"/>
          <w:bCs w:val="1"/>
          <w:color w:val="auto"/>
        </w:rPr>
        <w:t xml:space="preserve">Reichert Technologies’ Tono-Pen AVIA® Tonometer </w:t>
      </w:r>
      <w:r>
        <w:rPr>
          <w:rFonts w:ascii="Arial" w:cs="Arial" w:eastAsia="Arial" w:hAnsi="Arial"/>
          <w:sz w:val="16"/>
          <w:szCs w:val="16"/>
          <w:color w:val="auto"/>
        </w:rPr>
        <w:t>is a handheld solution used by ophthalmologists and optometrists in evaluating a</w:t>
      </w:r>
      <w:r>
        <w:rPr>
          <w:rFonts w:ascii="Arial" w:cs="Arial" w:eastAsia="Arial" w:hAnsi="Arial"/>
          <w:sz w:val="16"/>
          <w:szCs w:val="16"/>
          <w:b w:val="1"/>
          <w:bCs w:val="1"/>
          <w:color w:val="auto"/>
        </w:rPr>
        <w:t xml:space="preserve"> </w:t>
      </w:r>
      <w:r>
        <w:rPr>
          <w:rFonts w:ascii="Arial" w:cs="Arial" w:eastAsia="Arial" w:hAnsi="Arial"/>
          <w:sz w:val="16"/>
          <w:szCs w:val="16"/>
          <w:color w:val="auto"/>
        </w:rPr>
        <w:t>patient’s intraocular pressure (IOP), which is an important aspect of diagnosing and managing glaucoma, a leading cause of blindness.</w:t>
      </w:r>
    </w:p>
    <w:p>
      <w:pPr>
        <w:spacing w:after="0" w:line="1" w:lineRule="exact"/>
        <w:rPr>
          <w:rFonts w:ascii="Arial" w:cs="Arial" w:eastAsia="Arial" w:hAnsi="Arial"/>
          <w:sz w:val="16"/>
          <w:szCs w:val="16"/>
          <w:color w:val="auto"/>
        </w:rPr>
      </w:pPr>
    </w:p>
    <w:p>
      <w:pPr>
        <w:ind w:left="1220" w:right="740" w:hanging="483"/>
        <w:spacing w:after="0" w:line="260" w:lineRule="auto"/>
        <w:tabs>
          <w:tab w:leader="none" w:pos="1216" w:val="left"/>
        </w:tabs>
        <w:numPr>
          <w:ilvl w:val="1"/>
          <w:numId w:val="24"/>
        </w:numPr>
        <w:rPr>
          <w:rFonts w:ascii="Arial" w:cs="Arial" w:eastAsia="Arial" w:hAnsi="Arial"/>
          <w:sz w:val="18"/>
          <w:szCs w:val="18"/>
          <w:color w:val="auto"/>
        </w:rPr>
      </w:pPr>
      <w:r>
        <w:rPr>
          <w:rFonts w:ascii="Arial" w:cs="Arial" w:eastAsia="Arial" w:hAnsi="Arial"/>
          <w:sz w:val="18"/>
          <w:szCs w:val="18"/>
          <w:color w:val="auto"/>
        </w:rPr>
        <w:t xml:space="preserve">Pharmaceutical manufacturers utilize </w:t>
      </w:r>
      <w:r>
        <w:rPr>
          <w:rFonts w:ascii="Arial" w:cs="Arial" w:eastAsia="Arial" w:hAnsi="Arial"/>
          <w:sz w:val="18"/>
          <w:szCs w:val="18"/>
          <w:b w:val="1"/>
          <w:bCs w:val="1"/>
          <w:color w:val="auto"/>
        </w:rPr>
        <w:t>Brookfield’s Computrac</w:t>
      </w:r>
      <w:r>
        <w:rPr>
          <w:rFonts w:ascii="Arial" w:cs="Arial" w:eastAsia="Arial" w:hAnsi="Arial"/>
          <w:sz w:val="18"/>
          <w:szCs w:val="18"/>
          <w:color w:val="auto"/>
        </w:rPr>
        <w:t>® line of moisture analyzers to ensure medications meet all FDA requirements and are consistently safe and effective for consumer use.</w:t>
      </w:r>
    </w:p>
    <w:p>
      <w:pPr>
        <w:spacing w:after="0" w:line="140" w:lineRule="exact"/>
        <w:rPr>
          <w:rFonts w:ascii="Arial" w:cs="Arial" w:eastAsia="Arial" w:hAnsi="Arial"/>
          <w:sz w:val="18"/>
          <w:szCs w:val="18"/>
          <w:color w:val="auto"/>
        </w:rPr>
      </w:pPr>
    </w:p>
    <w:p>
      <w:pPr>
        <w:ind w:left="480" w:hanging="391"/>
        <w:spacing w:after="0"/>
        <w:tabs>
          <w:tab w:leader="none" w:pos="4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Environmental Protection</w:t>
      </w:r>
    </w:p>
    <w:p>
      <w:pPr>
        <w:spacing w:after="0" w:line="27" w:lineRule="exact"/>
        <w:rPr>
          <w:rFonts w:ascii="Arial" w:cs="Arial" w:eastAsia="Arial" w:hAnsi="Arial"/>
          <w:sz w:val="18"/>
          <w:szCs w:val="18"/>
          <w:b w:val="1"/>
          <w:bCs w:val="1"/>
          <w:color w:val="auto"/>
        </w:rPr>
      </w:pPr>
    </w:p>
    <w:p>
      <w:pPr>
        <w:ind w:left="1220" w:right="580" w:hanging="483"/>
        <w:spacing w:after="0" w:line="250" w:lineRule="auto"/>
        <w:tabs>
          <w:tab w:leader="none" w:pos="1216" w:val="left"/>
        </w:tabs>
        <w:numPr>
          <w:ilvl w:val="1"/>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Process Instruments </w:t>
      </w:r>
      <w:r>
        <w:rPr>
          <w:rFonts w:ascii="Arial" w:cs="Arial" w:eastAsia="Arial" w:hAnsi="Arial"/>
          <w:sz w:val="18"/>
          <w:szCs w:val="18"/>
          <w:color w:val="auto"/>
        </w:rPr>
        <w:t>designs and manufactures monitoring equipment and instrumentation that help customers control and reduce</w:t>
      </w:r>
      <w:r>
        <w:rPr>
          <w:rFonts w:ascii="Arial" w:cs="Arial" w:eastAsia="Arial" w:hAnsi="Arial"/>
          <w:sz w:val="18"/>
          <w:szCs w:val="18"/>
          <w:b w:val="1"/>
          <w:bCs w:val="1"/>
          <w:color w:val="auto"/>
        </w:rPr>
        <w:t xml:space="preserve"> </w:t>
      </w:r>
      <w:r>
        <w:rPr>
          <w:rFonts w:ascii="Arial" w:cs="Arial" w:eastAsia="Arial" w:hAnsi="Arial"/>
          <w:sz w:val="18"/>
          <w:szCs w:val="18"/>
          <w:color w:val="auto"/>
        </w:rPr>
        <w:t>emissions that are detrimental to the environment.</w:t>
      </w:r>
    </w:p>
    <w:p>
      <w:pPr>
        <w:ind w:left="1220" w:right="340" w:hanging="483"/>
        <w:spacing w:after="0" w:line="323" w:lineRule="auto"/>
        <w:tabs>
          <w:tab w:leader="none" w:pos="1216" w:val="left"/>
        </w:tabs>
        <w:numPr>
          <w:ilvl w:val="1"/>
          <w:numId w:val="24"/>
        </w:numPr>
        <w:rPr>
          <w:rFonts w:ascii="Arial" w:cs="Arial" w:eastAsia="Arial" w:hAnsi="Arial"/>
          <w:sz w:val="16"/>
          <w:szCs w:val="16"/>
          <w:color w:val="auto"/>
        </w:rPr>
      </w:pPr>
      <w:r>
        <w:rPr>
          <w:rFonts w:ascii="Arial" w:cs="Arial" w:eastAsia="Arial" w:hAnsi="Arial"/>
          <w:sz w:val="16"/>
          <w:szCs w:val="16"/>
          <w:b w:val="1"/>
          <w:bCs w:val="1"/>
          <w:color w:val="auto"/>
        </w:rPr>
        <w:t xml:space="preserve">SkyBitz Tracking and Monitoring </w:t>
      </w:r>
      <w:r>
        <w:rPr>
          <w:rFonts w:ascii="Arial" w:cs="Arial" w:eastAsia="Arial" w:hAnsi="Arial"/>
          <w:sz w:val="16"/>
          <w:szCs w:val="16"/>
          <w:color w:val="auto"/>
        </w:rPr>
        <w:t>technologies improve the efficiencies of logistics and transportation providers. Customers rely on</w:t>
      </w:r>
      <w:r>
        <w:rPr>
          <w:rFonts w:ascii="Arial" w:cs="Arial" w:eastAsia="Arial" w:hAnsi="Arial"/>
          <w:sz w:val="16"/>
          <w:szCs w:val="16"/>
          <w:b w:val="1"/>
          <w:bCs w:val="1"/>
          <w:color w:val="auto"/>
        </w:rPr>
        <w:t xml:space="preserve"> </w:t>
      </w:r>
      <w:r>
        <w:rPr>
          <w:rFonts w:ascii="Arial" w:cs="Arial" w:eastAsia="Arial" w:hAnsi="Arial"/>
          <w:sz w:val="16"/>
          <w:szCs w:val="16"/>
          <w:color w:val="auto"/>
        </w:rPr>
        <w:t>these solutions to optimize their distribution strategies, ultimately lowering overall emissions and reducing carbon footprints.</w:t>
      </w:r>
    </w:p>
    <w:p>
      <w:pPr>
        <w:spacing w:after="0" w:line="107" w:lineRule="exact"/>
        <w:rPr>
          <w:rFonts w:ascii="Arial" w:cs="Arial" w:eastAsia="Arial" w:hAnsi="Arial"/>
          <w:sz w:val="16"/>
          <w:szCs w:val="16"/>
          <w:color w:val="auto"/>
        </w:rPr>
      </w:pPr>
    </w:p>
    <w:p>
      <w:pPr>
        <w:ind w:left="480" w:hanging="391"/>
        <w:spacing w:after="0"/>
        <w:tabs>
          <w:tab w:leader="none" w:pos="4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Renewable Energy and EVs</w:t>
      </w:r>
    </w:p>
    <w:p>
      <w:pPr>
        <w:spacing w:after="0" w:line="27" w:lineRule="exact"/>
        <w:rPr>
          <w:rFonts w:ascii="Arial" w:cs="Arial" w:eastAsia="Arial" w:hAnsi="Arial"/>
          <w:sz w:val="18"/>
          <w:szCs w:val="18"/>
          <w:b w:val="1"/>
          <w:bCs w:val="1"/>
          <w:color w:val="auto"/>
        </w:rPr>
      </w:pPr>
    </w:p>
    <w:p>
      <w:pPr>
        <w:jc w:val="both"/>
        <w:ind w:left="1220" w:right="260" w:hanging="483"/>
        <w:spacing w:after="0" w:line="250" w:lineRule="auto"/>
        <w:tabs>
          <w:tab w:leader="none" w:pos="1216" w:val="left"/>
        </w:tabs>
        <w:numPr>
          <w:ilvl w:val="1"/>
          <w:numId w:val="24"/>
        </w:numPr>
        <w:rPr>
          <w:rFonts w:ascii="Arial" w:cs="Arial" w:eastAsia="Arial" w:hAnsi="Arial"/>
          <w:sz w:val="18"/>
          <w:szCs w:val="18"/>
          <w:color w:val="auto"/>
        </w:rPr>
      </w:pPr>
      <w:r>
        <w:rPr>
          <w:rFonts w:ascii="Arial" w:cs="Arial" w:eastAsia="Arial" w:hAnsi="Arial"/>
          <w:sz w:val="18"/>
          <w:szCs w:val="18"/>
          <w:color w:val="auto"/>
        </w:rPr>
        <w:t xml:space="preserve">To help ensure proper, safe and reliable performance of electric vehicles, EV manufacturers rely on </w:t>
      </w:r>
      <w:r>
        <w:rPr>
          <w:rFonts w:ascii="Arial" w:cs="Arial" w:eastAsia="Arial" w:hAnsi="Arial"/>
          <w:sz w:val="18"/>
          <w:szCs w:val="18"/>
          <w:b w:val="1"/>
          <w:bCs w:val="1"/>
          <w:color w:val="auto"/>
        </w:rPr>
        <w:t>Compliance Test Solutions (CTS)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PowerWave and RippleNX </w:t>
      </w:r>
      <w:r>
        <w:rPr>
          <w:rFonts w:ascii="Arial" w:cs="Arial" w:eastAsia="Arial" w:hAnsi="Arial"/>
          <w:sz w:val="18"/>
          <w:szCs w:val="18"/>
          <w:color w:val="auto"/>
        </w:rPr>
        <w:t>instrumentation. By simulating electrical interference, CTS’s solutions help our customers certify electric</w:t>
      </w:r>
      <w:r>
        <w:rPr>
          <w:rFonts w:ascii="Arial" w:cs="Arial" w:eastAsia="Arial" w:hAnsi="Arial"/>
          <w:sz w:val="18"/>
          <w:szCs w:val="18"/>
          <w:b w:val="1"/>
          <w:bCs w:val="1"/>
          <w:color w:val="auto"/>
        </w:rPr>
        <w:t xml:space="preserve"> </w:t>
      </w:r>
      <w:r>
        <w:rPr>
          <w:rFonts w:ascii="Arial" w:cs="Arial" w:eastAsia="Arial" w:hAnsi="Arial"/>
          <w:sz w:val="18"/>
          <w:szCs w:val="18"/>
          <w:color w:val="auto"/>
        </w:rPr>
        <w:t>vehicles.</w:t>
      </w:r>
    </w:p>
    <w:p>
      <w:pPr>
        <w:spacing w:after="0" w:line="1" w:lineRule="exact"/>
        <w:rPr>
          <w:rFonts w:ascii="Arial" w:cs="Arial" w:eastAsia="Arial" w:hAnsi="Arial"/>
          <w:sz w:val="18"/>
          <w:szCs w:val="18"/>
          <w:color w:val="auto"/>
        </w:rPr>
      </w:pPr>
    </w:p>
    <w:p>
      <w:pPr>
        <w:ind w:left="1220" w:right="220" w:hanging="483"/>
        <w:spacing w:after="0" w:line="250" w:lineRule="auto"/>
        <w:tabs>
          <w:tab w:leader="none" w:pos="1216" w:val="left"/>
        </w:tabs>
        <w:numPr>
          <w:ilvl w:val="1"/>
          <w:numId w:val="24"/>
        </w:numPr>
        <w:rPr>
          <w:rFonts w:ascii="Arial" w:cs="Arial" w:eastAsia="Arial" w:hAnsi="Arial"/>
          <w:sz w:val="18"/>
          <w:szCs w:val="18"/>
          <w:color w:val="auto"/>
        </w:rPr>
      </w:pPr>
      <w:r>
        <w:rPr>
          <w:rFonts w:ascii="Arial" w:cs="Arial" w:eastAsia="Arial" w:hAnsi="Arial"/>
          <w:sz w:val="18"/>
          <w:szCs w:val="18"/>
          <w:color w:val="auto"/>
        </w:rPr>
        <w:t xml:space="preserve">Offshore wind power is quickly becoming a more cost-viable renewable energy source. </w:t>
      </w:r>
      <w:r>
        <w:rPr>
          <w:rFonts w:ascii="Arial" w:cs="Arial" w:eastAsia="Arial" w:hAnsi="Arial"/>
          <w:sz w:val="18"/>
          <w:szCs w:val="18"/>
          <w:b w:val="1"/>
          <w:bCs w:val="1"/>
          <w:color w:val="auto"/>
        </w:rPr>
        <w:t>Abaco Systems</w:t>
      </w:r>
      <w:r>
        <w:rPr>
          <w:rFonts w:ascii="Arial" w:cs="Arial" w:eastAsia="Arial" w:hAnsi="Arial"/>
          <w:sz w:val="18"/>
          <w:szCs w:val="18"/>
          <w:color w:val="auto"/>
        </w:rPr>
        <w:t xml:space="preserve"> embedded computing solutions are being utilized to safely and reliably enable wind farm power.</w:t>
      </w:r>
    </w:p>
    <w:p>
      <w:pPr>
        <w:ind w:left="1220" w:right="320" w:hanging="483"/>
        <w:spacing w:after="0" w:line="281" w:lineRule="auto"/>
        <w:tabs>
          <w:tab w:leader="none" w:pos="1216" w:val="left"/>
        </w:tabs>
        <w:numPr>
          <w:ilvl w:val="1"/>
          <w:numId w:val="24"/>
        </w:numPr>
        <w:rPr>
          <w:rFonts w:ascii="Arial" w:cs="Arial" w:eastAsia="Arial" w:hAnsi="Arial"/>
          <w:sz w:val="16"/>
          <w:szCs w:val="16"/>
          <w:color w:val="auto"/>
        </w:rPr>
      </w:pPr>
      <w:r>
        <w:rPr>
          <w:rFonts w:ascii="Arial" w:cs="Arial" w:eastAsia="Arial" w:hAnsi="Arial"/>
          <w:sz w:val="16"/>
          <w:szCs w:val="16"/>
          <w:color w:val="auto"/>
        </w:rPr>
        <w:t xml:space="preserve">Renewable energy systems must operate under some of the harshest weather conditions for decades at a time. To ensure reliability and consistency, customers rely on </w:t>
      </w:r>
      <w:r>
        <w:rPr>
          <w:rFonts w:ascii="Arial" w:cs="Arial" w:eastAsia="Arial" w:hAnsi="Arial"/>
          <w:sz w:val="16"/>
          <w:szCs w:val="16"/>
          <w:b w:val="1"/>
          <w:bCs w:val="1"/>
          <w:color w:val="auto"/>
        </w:rPr>
        <w:t>Atlas’s Weather-Ometers</w:t>
      </w:r>
      <w:r>
        <w:rPr>
          <w:rFonts w:ascii="Arial" w:cs="Arial" w:eastAsia="Arial" w:hAnsi="Arial"/>
          <w:sz w:val="16"/>
          <w:szCs w:val="16"/>
          <w:color w:val="auto"/>
        </w:rPr>
        <w:t xml:space="preserve"> for accelerated weathering testing and quality assurance.</w:t>
      </w:r>
    </w:p>
    <w:p>
      <w:pPr>
        <w:spacing w:after="0" w:line="1" w:lineRule="exact"/>
        <w:rPr>
          <w:rFonts w:ascii="Arial" w:cs="Arial" w:eastAsia="Arial" w:hAnsi="Arial"/>
          <w:sz w:val="16"/>
          <w:szCs w:val="16"/>
          <w:color w:val="auto"/>
        </w:rPr>
      </w:pPr>
    </w:p>
    <w:p>
      <w:pPr>
        <w:ind w:left="1220" w:right="180" w:hanging="483"/>
        <w:spacing w:after="0" w:line="255" w:lineRule="auto"/>
        <w:tabs>
          <w:tab w:leader="none" w:pos="1216" w:val="left"/>
        </w:tabs>
        <w:numPr>
          <w:ilvl w:val="1"/>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Programmable Power’s TerraSAS™ </w:t>
      </w:r>
      <w:r>
        <w:rPr>
          <w:rFonts w:ascii="Arial" w:cs="Arial" w:eastAsia="Arial" w:hAnsi="Arial"/>
          <w:sz w:val="18"/>
          <w:szCs w:val="18"/>
          <w:color w:val="auto"/>
        </w:rPr>
        <w:t>photovoltaic simulators simulate weather conditions to help in the production of solar panels and</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equipment. By simulating real-world conditions, Programmable Power’s products ensure customers are creating durable, long-lasting solar solutions.</w:t>
      </w:r>
    </w:p>
    <w:p>
      <w:pPr>
        <w:spacing w:after="0" w:line="145" w:lineRule="exact"/>
        <w:rPr>
          <w:rFonts w:ascii="Arial" w:cs="Arial" w:eastAsia="Arial" w:hAnsi="Arial"/>
          <w:sz w:val="18"/>
          <w:szCs w:val="18"/>
          <w:color w:val="auto"/>
        </w:rPr>
      </w:pPr>
    </w:p>
    <w:p>
      <w:pPr>
        <w:ind w:left="480" w:hanging="391"/>
        <w:spacing w:after="0"/>
        <w:tabs>
          <w:tab w:leader="none" w:pos="4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Food and Beverage Safety</w:t>
      </w:r>
    </w:p>
    <w:p>
      <w:pPr>
        <w:spacing w:after="0" w:line="27" w:lineRule="exact"/>
        <w:rPr>
          <w:rFonts w:ascii="Arial" w:cs="Arial" w:eastAsia="Arial" w:hAnsi="Arial"/>
          <w:sz w:val="18"/>
          <w:szCs w:val="18"/>
          <w:b w:val="1"/>
          <w:bCs w:val="1"/>
          <w:color w:val="auto"/>
        </w:rPr>
      </w:pPr>
    </w:p>
    <w:p>
      <w:pPr>
        <w:ind w:left="1220" w:right="320" w:hanging="483"/>
        <w:spacing w:after="0" w:line="265" w:lineRule="auto"/>
        <w:tabs>
          <w:tab w:leader="none" w:pos="1216" w:val="left"/>
        </w:tabs>
        <w:numPr>
          <w:ilvl w:val="1"/>
          <w:numId w:val="24"/>
        </w:numPr>
        <w:rPr>
          <w:rFonts w:ascii="Arial" w:cs="Arial" w:eastAsia="Arial" w:hAnsi="Arial"/>
          <w:sz w:val="17"/>
          <w:szCs w:val="17"/>
          <w:color w:val="auto"/>
        </w:rPr>
      </w:pPr>
      <w:r>
        <w:rPr>
          <w:rFonts w:ascii="Arial" w:cs="Arial" w:eastAsia="Arial" w:hAnsi="Arial"/>
          <w:sz w:val="17"/>
          <w:szCs w:val="17"/>
          <w:color w:val="auto"/>
        </w:rPr>
        <w:t xml:space="preserve">Ensuring the safety of our water and wastewater is critical. </w:t>
      </w:r>
      <w:r>
        <w:rPr>
          <w:rFonts w:ascii="Arial" w:cs="Arial" w:eastAsia="Arial" w:hAnsi="Arial"/>
          <w:sz w:val="17"/>
          <w:szCs w:val="17"/>
          <w:b w:val="1"/>
          <w:bCs w:val="1"/>
          <w:color w:val="auto"/>
        </w:rPr>
        <w:t>SPECTRO’s line of optical emission spectrometers</w:t>
      </w:r>
      <w:r>
        <w:rPr>
          <w:rFonts w:ascii="Arial" w:cs="Arial" w:eastAsia="Arial" w:hAnsi="Arial"/>
          <w:sz w:val="17"/>
          <w:szCs w:val="17"/>
          <w:color w:val="auto"/>
        </w:rPr>
        <w:t xml:space="preserve"> is leading the way in helping cities and utilities keep their consumers and the environment safe from pollutants in the water supply.</w:t>
      </w:r>
    </w:p>
    <w:p>
      <w:pPr>
        <w:jc w:val="both"/>
        <w:ind w:left="1220" w:hanging="483"/>
        <w:spacing w:after="0" w:line="255" w:lineRule="auto"/>
        <w:tabs>
          <w:tab w:leader="none" w:pos="1216" w:val="left"/>
        </w:tabs>
        <w:numPr>
          <w:ilvl w:val="1"/>
          <w:numId w:val="24"/>
        </w:numPr>
        <w:rPr>
          <w:rFonts w:ascii="Arial" w:cs="Arial" w:eastAsia="Arial" w:hAnsi="Arial"/>
          <w:sz w:val="18"/>
          <w:szCs w:val="18"/>
          <w:color w:val="auto"/>
        </w:rPr>
      </w:pPr>
      <w:r>
        <w:rPr>
          <w:rFonts w:ascii="Arial" w:cs="Arial" w:eastAsia="Arial" w:hAnsi="Arial"/>
          <w:sz w:val="18"/>
          <w:szCs w:val="18"/>
          <w:color w:val="auto"/>
        </w:rPr>
        <w:t xml:space="preserve">Water vapor, oxygen, and carbon dioxide have the potential to penetrate fresh food packaging and reduce shelf life, leading to unnecessary waste. Packaging companies are using </w:t>
      </w:r>
      <w:r>
        <w:rPr>
          <w:rFonts w:ascii="Arial" w:cs="Arial" w:eastAsia="Arial" w:hAnsi="Arial"/>
          <w:sz w:val="18"/>
          <w:szCs w:val="18"/>
          <w:b w:val="1"/>
          <w:bCs w:val="1"/>
          <w:color w:val="auto"/>
        </w:rPr>
        <w:t>MOCON permeation analyzers</w:t>
      </w:r>
      <w:r>
        <w:rPr>
          <w:rFonts w:ascii="Arial" w:cs="Arial" w:eastAsia="Arial" w:hAnsi="Arial"/>
          <w:sz w:val="18"/>
          <w:szCs w:val="18"/>
          <w:color w:val="auto"/>
        </w:rPr>
        <w:t xml:space="preserve"> to design packages that keep food fresh while minimizing weight, transportation costs and food waste.</w:t>
      </w:r>
    </w:p>
    <w:p>
      <w:pPr>
        <w:spacing w:after="0" w:line="150" w:lineRule="exact"/>
        <w:rPr>
          <w:sz w:val="20"/>
          <w:szCs w:val="20"/>
          <w:color w:val="auto"/>
        </w:rPr>
      </w:pPr>
    </w:p>
    <w:p>
      <w:pPr>
        <w:ind w:right="20"/>
        <w:spacing w:after="0" w:line="260" w:lineRule="auto"/>
        <w:rPr>
          <w:sz w:val="20"/>
          <w:szCs w:val="20"/>
          <w:color w:val="auto"/>
        </w:rPr>
      </w:pPr>
      <w:r>
        <w:rPr>
          <w:rFonts w:ascii="Arial" w:cs="Arial" w:eastAsia="Arial" w:hAnsi="Arial"/>
          <w:sz w:val="21"/>
          <w:szCs w:val="21"/>
          <w:b w:val="1"/>
          <w:bCs w:val="1"/>
          <w:color w:val="auto"/>
        </w:rPr>
        <w:t xml:space="preserve">Human Capital Management. </w:t>
      </w:r>
      <w:r>
        <w:rPr>
          <w:rFonts w:ascii="Arial" w:cs="Arial" w:eastAsia="Arial" w:hAnsi="Arial"/>
          <w:sz w:val="16"/>
          <w:szCs w:val="16"/>
          <w:color w:val="auto"/>
        </w:rPr>
        <w:t>As a global organization, we have seen firsthand that the innovation needed to solve our customers’ biggest</w:t>
      </w:r>
      <w:r>
        <w:rPr>
          <w:rFonts w:ascii="Arial" w:cs="Arial" w:eastAsia="Arial" w:hAnsi="Arial"/>
          <w:sz w:val="21"/>
          <w:szCs w:val="21"/>
          <w:b w:val="1"/>
          <w:bCs w:val="1"/>
          <w:color w:val="auto"/>
        </w:rPr>
        <w:t xml:space="preserve"> </w:t>
      </w:r>
      <w:r>
        <w:rPr>
          <w:rFonts w:ascii="Arial" w:cs="Arial" w:eastAsia="Arial" w:hAnsi="Arial"/>
          <w:sz w:val="16"/>
          <w:szCs w:val="16"/>
          <w:color w:val="auto"/>
        </w:rPr>
        <w:t>challenges can only come from employees that are fully engaged and committed, and who have diverse perspectives and backgrounds. Our Board regularly receives updates and presentations on key topics, including ESG, compliance, diversity and inclusion, and employee development and succession.</w:t>
      </w:r>
    </w:p>
    <w:p>
      <w:pPr>
        <w:spacing w:after="0" w:line="155"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Our executive management team reviews the key talent across our company annually and assesses the adequacy of talent to meet business challenges and future growth needs. A major area of focus is a review of diversity and inclusion improvement efforts. We have a Women’s Business Council and an African American Business Council, both of which drive initiatives focused on mentorship, education and career guidance. Diverse candidate slates are required for external salaried openings, including executive management and Board appointments, where at least one diverse candidate is interviewed.</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have created a leadership development program for employees on track to become P&amp;L leaders in the Company. This focused and intensive program involves both internal and external training on leadership effectiveness as well as specific job-related skills. In addition, participants receive hands-on experience in key AMETEK business system processes such as growth kaizens and acquisition due diligence. We have a long-standing commitment to responsible corporate conduct. Each employee is provided with annual performance goals which are reviewed in a performance review with their manager. Employee feedback is actively encouraged through an open-door policy for all managers, regular town hall/all hands meetings, executive presentations with Q&amp;A sessions, a regular CEO podcast for all employees, and a hotline that can be used to report complaints.</w:t>
      </w:r>
    </w:p>
    <w:p>
      <w:pPr>
        <w:spacing w:after="0" w:line="200" w:lineRule="exact"/>
        <w:rPr>
          <w:sz w:val="20"/>
          <w:szCs w:val="20"/>
          <w:color w:val="auto"/>
        </w:rPr>
      </w:pPr>
    </w:p>
    <w:p>
      <w:pPr>
        <w:spacing w:after="0" w:line="257"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b w:val="1"/>
          <w:bCs w:val="1"/>
          <w:color w:val="auto"/>
        </w:rPr>
        <w:t>12</w:t>
        <w:tab/>
        <w:t>AMETEK, INC.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20"/>
          </w:cols>
          <w:pgMar w:left="320" w:top="918" w:right="359" w:bottom="1440" w:gutter="0" w:footer="0" w:header="0"/>
        </w:sectPr>
      </w:pPr>
    </w:p>
    <w:bookmarkStart w:id="17" w:name="page18"/>
    <w:bookmarkEnd w:id="17"/>
    <w:p>
      <w:pPr>
        <w:spacing w:after="0" w:line="263" w:lineRule="auto"/>
        <w:rPr>
          <w:sz w:val="20"/>
          <w:szCs w:val="20"/>
          <w:color w:val="auto"/>
        </w:rPr>
      </w:pPr>
      <w:r>
        <w:rPr>
          <w:rFonts w:ascii="Arial" w:cs="Arial" w:eastAsia="Arial" w:hAnsi="Arial"/>
          <w:sz w:val="18"/>
          <w:szCs w:val="18"/>
          <w:color w:val="auto"/>
        </w:rPr>
        <w:t>Giving back to our community is an important part of our culture. Established in 1960, the AMETEK Foundation is the charitable giving arm of AMETEK, Inc. The Foundation’s mission is to empower AMETEK colleagues making a positive impact in their local communities, with a focus on health and welfare, civic and social service programs, and education.</w:t>
      </w:r>
    </w:p>
    <w:p>
      <w:pPr>
        <w:spacing w:after="0" w:line="15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of December 31, 2021, we have approximately 18,500 employees, of which 42% are diverse (global female employees plus diverse U.S. male employees). Our compensation programs are designed to provide competitive salaries and benefit programs to attract, retain and motivate a world-class workforce. Selected employees participate in short- and long-term incentive programs that align employee and shareholder interests and promote long-term retention. Additionally, we strive to protect health and safety in every aspect of our enterprise – from the way we design, manufacture and deliver our products to the way our customers use them. We continue to drive towards our goal of zero lost-time work incidents. 2021 was our second year in a row with our lost-time incident rate being the lowest ever. We continue to enhance our safety initiatives as each facility is tasked with identifying opportunities for additional safety measures</w:t>
      </w:r>
      <w:r>
        <w:rPr>
          <w:rFonts w:ascii="Arial" w:cs="Arial" w:eastAsia="Arial" w:hAnsi="Arial"/>
          <w:sz w:val="18"/>
          <w:szCs w:val="18"/>
          <w:color w:val="auto"/>
        </w:rPr>
        <w:t>.</w:t>
      </w:r>
      <w:r>
        <w:rPr>
          <w:rFonts w:ascii="Arial" w:cs="Arial" w:eastAsia="Arial" w:hAnsi="Arial"/>
          <w:sz w:val="17"/>
          <w:szCs w:val="17"/>
          <w:color w:val="auto"/>
        </w:rPr>
        <w:t xml:space="preserve"> Businesses with zero incidents share best practices and ensure ongoing training to maintain their safety excellence. In addition to our EHS facility audits, our facilities’ activities include safety committees, continual training, documented self-audits, and behavior-based safety observations and feedback.</w:t>
      </w:r>
    </w:p>
    <w:p>
      <w:pPr>
        <w:spacing w:after="0" w:line="14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Our U.S. Federal Employment Information Report (EEO-1) for 2020 is available at www.ametek.com and offers a snapshot of U.S. diversity data as of December 31, 2020. The EEO-1 data captures only U.S. employees and does not reflect the broad diversity of our approximately 10,000 international employees.</w:t>
      </w:r>
    </w:p>
    <w:p>
      <w:pPr>
        <w:spacing w:after="0" w:line="200" w:lineRule="exact"/>
        <w:rPr>
          <w:sz w:val="20"/>
          <w:szCs w:val="20"/>
          <w:color w:val="auto"/>
        </w:rPr>
      </w:pPr>
    </w:p>
    <w:p>
      <w:pPr>
        <w:spacing w:after="0" w:line="263" w:lineRule="exact"/>
        <w:rPr>
          <w:sz w:val="20"/>
          <w:szCs w:val="20"/>
          <w:color w:val="auto"/>
        </w:rPr>
      </w:pPr>
    </w:p>
    <w:p>
      <w:pPr>
        <w:ind w:left="7780"/>
        <w:spacing w:after="0"/>
        <w:tabs>
          <w:tab w:leader="none" w:pos="11020" w:val="left"/>
        </w:tabs>
        <w:rPr>
          <w:sz w:val="20"/>
          <w:szCs w:val="20"/>
          <w:color w:val="auto"/>
        </w:rPr>
      </w:pPr>
      <w:r>
        <w:rPr>
          <w:rFonts w:ascii="Arial" w:cs="Arial" w:eastAsia="Arial" w:hAnsi="Arial"/>
          <w:sz w:val="18"/>
          <w:szCs w:val="18"/>
          <w:b w:val="1"/>
          <w:bCs w:val="1"/>
          <w:color w:val="auto"/>
        </w:rPr>
        <w:t>AMETEK, INC. 2022 Proxy Statement</w:t>
      </w:r>
      <w:r>
        <w:rPr>
          <w:sz w:val="20"/>
          <w:szCs w:val="20"/>
          <w:color w:val="auto"/>
        </w:rPr>
        <w:tab/>
      </w:r>
      <w:r>
        <w:rPr>
          <w:rFonts w:ascii="Arial" w:cs="Arial" w:eastAsia="Arial" w:hAnsi="Arial"/>
          <w:sz w:val="16"/>
          <w:szCs w:val="16"/>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18" w:name="page19"/>
    <w:bookmarkEnd w:id="18"/>
    <w:p>
      <w:pPr>
        <w:ind w:right="40"/>
        <w:spacing w:after="0" w:line="257" w:lineRule="auto"/>
        <w:rPr>
          <w:sz w:val="20"/>
          <w:szCs w:val="20"/>
          <w:color w:val="auto"/>
        </w:rPr>
      </w:pPr>
      <w:r>
        <w:rPr>
          <w:rFonts w:ascii="Arial" w:cs="Arial" w:eastAsia="Arial" w:hAnsi="Arial"/>
          <w:sz w:val="22"/>
          <w:szCs w:val="22"/>
          <w:b w:val="1"/>
          <w:bCs w:val="1"/>
          <w:color w:val="auto"/>
        </w:rPr>
        <w:t xml:space="preserve">Consideration of Director Candidates. </w:t>
      </w:r>
      <w:r>
        <w:rPr>
          <w:rFonts w:ascii="Arial" w:cs="Arial" w:eastAsia="Arial" w:hAnsi="Arial"/>
          <w:sz w:val="17"/>
          <w:szCs w:val="17"/>
          <w:color w:val="auto"/>
        </w:rPr>
        <w:t>The GNC seeks candidates for Director positions who help create a collective membership on the Board</w:t>
      </w:r>
      <w:r>
        <w:rPr>
          <w:rFonts w:ascii="Arial" w:cs="Arial" w:eastAsia="Arial" w:hAnsi="Arial"/>
          <w:sz w:val="22"/>
          <w:szCs w:val="22"/>
          <w:b w:val="1"/>
          <w:bCs w:val="1"/>
          <w:color w:val="auto"/>
        </w:rPr>
        <w:t xml:space="preserve"> </w:t>
      </w:r>
      <w:r>
        <w:rPr>
          <w:rFonts w:ascii="Arial" w:cs="Arial" w:eastAsia="Arial" w:hAnsi="Arial"/>
          <w:sz w:val="17"/>
          <w:szCs w:val="17"/>
          <w:color w:val="auto"/>
        </w:rPr>
        <w:t>with varied backgrounds, experience, skills, knowledge and perspective. In addition, Directors should have experience in positions with a high degree of responsibility, be leaders in the companies or institutions with which they are affiliated, and be selected based upon contributions that they can make to AMETEK. The Committee also seeks a Board that reflects diversity, including but not limited to race, gender, ethnicity, age and experience. This is implemented by the Committee when it annually considers diversity in the composition of the Board and prior to recommending candidates for nomination as Directors. The Committee solicits input from Directors regarding their views on the sufficiency of Board diversity through the annual self-assessment process. The Committee assesses the effectiveness of Board diversity by considering the various skills, experiences, knowledge, backgrounds and perspectives of the members of the Board of Directors. The Committee then considers whether the Board possesses, in its judgment, a sufficient diversity of those attributes.</w:t>
      </w:r>
    </w:p>
    <w:p>
      <w:pPr>
        <w:spacing w:after="0" w:line="16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Stockholders can recommend qualified candidates for Director by writing to the Corporate Secretary, AMETEK, Inc., 1100 Cassatt Road, Berwyn, PA 19312-1177. Stockholder submissions must include the following information: (1) the name of the candidate and the information about the individual that would be required to be included in a proxy statement under the SEC rules; (2) information about the relationship between the candidate and the recommending stockholder; (3) the consent of the candidate to serve as a Director; and (4) proof of the number of shares of our common stock that the recommending stockholder owns and the length of time that the shares have been owned. In considering any candidate proposed by a stockholder, the GNC will reach a conclusion based on the criteria described above in the same manner as for other candidates. The GNC also may seek additional information regarding the candidate. After full consideration by the GNC, the stockholder proponent will be notified of the decision of the Committee.</w:t>
      </w:r>
    </w:p>
    <w:p>
      <w:pPr>
        <w:spacing w:after="0" w:line="12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addition, we adopted “proxy access,” which, under certain circumstances, allows a stockholder or group of up to twenty stockholders who have owned at least 3% of our common stock for at least three years to submit Director nominees (up to the greater of two Directors or 20% of the Board) for inclusion in our proxy materials if the stockholder(s) and the nominee(s) satisfy the requirements specified in our By-Laws. Stockholders who wish to nominate Directors for inclusion in our proxy materials or directly at an annual meeting of stockholders in accordance with the procedures in our By-Laws should follow the instructions under the “Stockholder Proposals and Director Nominations for the 2023 Annual Meeting” section of this proxy statement.</w:t>
      </w:r>
    </w:p>
    <w:p>
      <w:pPr>
        <w:spacing w:after="0" w:line="121" w:lineRule="exact"/>
        <w:rPr>
          <w:sz w:val="20"/>
          <w:szCs w:val="20"/>
          <w:color w:val="auto"/>
        </w:rPr>
      </w:pPr>
    </w:p>
    <w:p>
      <w:pPr>
        <w:ind w:right="40"/>
        <w:spacing w:after="0"/>
        <w:rPr>
          <w:sz w:val="20"/>
          <w:szCs w:val="20"/>
          <w:color w:val="auto"/>
        </w:rPr>
      </w:pPr>
      <w:r>
        <w:rPr>
          <w:rFonts w:ascii="Arial" w:cs="Arial" w:eastAsia="Arial" w:hAnsi="Arial"/>
          <w:sz w:val="22"/>
          <w:szCs w:val="22"/>
          <w:b w:val="1"/>
          <w:bCs w:val="1"/>
          <w:color w:val="auto"/>
        </w:rPr>
        <w:t xml:space="preserve">Director Compensation. </w:t>
      </w:r>
      <w:r>
        <w:rPr>
          <w:rFonts w:ascii="Arial" w:cs="Arial" w:eastAsia="Arial" w:hAnsi="Arial"/>
          <w:sz w:val="17"/>
          <w:szCs w:val="17"/>
          <w:color w:val="auto"/>
        </w:rPr>
        <w:t>Each non-employee Director is paid an annual base retainer comprised of cash and equity in the form of a restricted stock</w:t>
      </w:r>
      <w:r>
        <w:rPr>
          <w:rFonts w:ascii="Arial" w:cs="Arial" w:eastAsia="Arial" w:hAnsi="Arial"/>
          <w:sz w:val="22"/>
          <w:szCs w:val="22"/>
          <w:b w:val="1"/>
          <w:bCs w:val="1"/>
          <w:color w:val="auto"/>
        </w:rPr>
        <w:t xml:space="preserve"> </w:t>
      </w:r>
      <w:r>
        <w:rPr>
          <w:rFonts w:ascii="Arial" w:cs="Arial" w:eastAsia="Arial" w:hAnsi="Arial"/>
          <w:sz w:val="17"/>
          <w:szCs w:val="17"/>
          <w:color w:val="auto"/>
        </w:rPr>
        <w:t>award, as well as reimbursement of expenses. The Lead Independent Director and each Committee Chair receive an additional cash retainer. In fiscal 2021, the Director compensation program provided for the following payments: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ind w:left="20"/>
              <w:spacing w:after="0"/>
              <w:rPr>
                <w:sz w:val="20"/>
                <w:szCs w:val="20"/>
                <w:color w:val="auto"/>
              </w:rPr>
            </w:pPr>
            <w:r>
              <w:rPr>
                <w:rFonts w:ascii="Arial" w:cs="Arial" w:eastAsia="Arial" w:hAnsi="Arial"/>
                <w:sz w:val="18"/>
                <w:szCs w:val="18"/>
                <w:b w:val="1"/>
                <w:bCs w:val="1"/>
                <w:color w:val="auto"/>
              </w:rPr>
              <w:t>Type</w:t>
            </w:r>
          </w:p>
        </w:tc>
        <w:tc>
          <w:tcPr>
            <w:tcW w:w="7720" w:type="dxa"/>
            <w:vAlign w:val="bottom"/>
          </w:tcPr>
          <w:p>
            <w:pPr>
              <w:ind w:left="860"/>
              <w:spacing w:after="0"/>
              <w:rPr>
                <w:sz w:val="20"/>
                <w:szCs w:val="20"/>
                <w:color w:val="auto"/>
              </w:rPr>
            </w:pPr>
            <w:r>
              <w:rPr>
                <w:rFonts w:ascii="Arial" w:cs="Arial" w:eastAsia="Arial" w:hAnsi="Arial"/>
                <w:sz w:val="18"/>
                <w:szCs w:val="18"/>
                <w:b w:val="1"/>
                <w:bCs w:val="1"/>
                <w:color w:val="auto"/>
              </w:rPr>
              <w:t>Amount</w:t>
            </w:r>
          </w:p>
        </w:tc>
      </w:tr>
      <w:tr>
        <w:trPr>
          <w:trHeight w:val="27"/>
        </w:trPr>
        <w:tc>
          <w:tcPr>
            <w:tcW w:w="3480" w:type="dxa"/>
            <w:vAlign w:val="bottom"/>
            <w:tcBorders>
              <w:bottom w:val="single" w:sz="8" w:color="auto"/>
            </w:tcBorders>
          </w:tcPr>
          <w:p>
            <w:pPr>
              <w:spacing w:after="0"/>
              <w:rPr>
                <w:sz w:val="2"/>
                <w:szCs w:val="2"/>
                <w:color w:val="auto"/>
              </w:rPr>
            </w:pPr>
          </w:p>
        </w:tc>
        <w:tc>
          <w:tcPr>
            <w:tcW w:w="7720" w:type="dxa"/>
            <w:vAlign w:val="bottom"/>
            <w:tcBorders>
              <w:bottom w:val="single" w:sz="8" w:color="auto"/>
            </w:tcBorders>
          </w:tcPr>
          <w:p>
            <w:pPr>
              <w:spacing w:after="0"/>
              <w:rPr>
                <w:sz w:val="2"/>
                <w:szCs w:val="2"/>
                <w:color w:val="auto"/>
              </w:rPr>
            </w:pPr>
          </w:p>
        </w:tc>
      </w:tr>
      <w:tr>
        <w:trPr>
          <w:trHeight w:val="243"/>
        </w:trPr>
        <w:tc>
          <w:tcPr>
            <w:tcW w:w="3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Annual Cash Retainer</w:t>
            </w:r>
          </w:p>
        </w:tc>
        <w:tc>
          <w:tcPr>
            <w:tcW w:w="7720" w:type="dxa"/>
            <w:vAlign w:val="bottom"/>
            <w:tcBorders>
              <w:bottom w:val="single" w:sz="8" w:color="CFF0FC"/>
            </w:tcBorders>
            <w:shd w:val="clear" w:color="auto" w:fill="CFF0FC"/>
          </w:tcPr>
          <w:p>
            <w:pPr>
              <w:ind w:left="860"/>
              <w:spacing w:after="0"/>
              <w:rPr>
                <w:sz w:val="20"/>
                <w:szCs w:val="20"/>
                <w:color w:val="auto"/>
              </w:rPr>
            </w:pPr>
            <w:r>
              <w:rPr>
                <w:rFonts w:ascii="Arial" w:cs="Arial" w:eastAsia="Arial" w:hAnsi="Arial"/>
                <w:sz w:val="18"/>
                <w:szCs w:val="18"/>
                <w:color w:val="auto"/>
              </w:rPr>
              <w:t>$100,000</w:t>
            </w: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color w:val="auto"/>
              </w:rPr>
              <w:t>Restricted Stock Award</w:t>
            </w:r>
          </w:p>
        </w:tc>
        <w:tc>
          <w:tcPr>
            <w:tcW w:w="7720" w:type="dxa"/>
            <w:vAlign w:val="bottom"/>
          </w:tcPr>
          <w:p>
            <w:pPr>
              <w:ind w:left="860"/>
              <w:spacing w:after="0"/>
              <w:rPr>
                <w:sz w:val="20"/>
                <w:szCs w:val="20"/>
                <w:color w:val="auto"/>
              </w:rPr>
            </w:pPr>
            <w:r>
              <w:rPr>
                <w:rFonts w:ascii="Arial" w:cs="Arial" w:eastAsia="Arial" w:hAnsi="Arial"/>
                <w:sz w:val="18"/>
                <w:szCs w:val="18"/>
                <w:color w:val="auto"/>
              </w:rPr>
              <w:t>$155,000</w:t>
            </w:r>
          </w:p>
        </w:tc>
      </w:tr>
      <w:tr>
        <w:trPr>
          <w:trHeight w:val="27"/>
        </w:trPr>
        <w:tc>
          <w:tcPr>
            <w:tcW w:w="3480" w:type="dxa"/>
            <w:vAlign w:val="bottom"/>
          </w:tcPr>
          <w:p>
            <w:pPr>
              <w:spacing w:after="0"/>
              <w:rPr>
                <w:sz w:val="2"/>
                <w:szCs w:val="2"/>
                <w:color w:val="auto"/>
              </w:rPr>
            </w:pPr>
          </w:p>
        </w:tc>
        <w:tc>
          <w:tcPr>
            <w:tcW w:w="7720" w:type="dxa"/>
            <w:vAlign w:val="bottom"/>
          </w:tcPr>
          <w:p>
            <w:pPr>
              <w:spacing w:after="0"/>
              <w:rPr>
                <w:sz w:val="2"/>
                <w:szCs w:val="2"/>
                <w:color w:val="auto"/>
              </w:rPr>
            </w:pPr>
          </w:p>
        </w:tc>
      </w:tr>
      <w:tr>
        <w:trPr>
          <w:trHeight w:val="250"/>
        </w:trPr>
        <w:tc>
          <w:tcPr>
            <w:tcW w:w="3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Lead Independent Director Retainer</w:t>
            </w:r>
          </w:p>
        </w:tc>
        <w:tc>
          <w:tcPr>
            <w:tcW w:w="7720" w:type="dxa"/>
            <w:vAlign w:val="bottom"/>
            <w:tcBorders>
              <w:bottom w:val="single" w:sz="8" w:color="CFF0FC"/>
            </w:tcBorders>
            <w:shd w:val="clear" w:color="auto" w:fill="CFF0FC"/>
          </w:tcPr>
          <w:p>
            <w:pPr>
              <w:ind w:left="860"/>
              <w:spacing w:after="0"/>
              <w:rPr>
                <w:sz w:val="20"/>
                <w:szCs w:val="20"/>
                <w:color w:val="auto"/>
              </w:rPr>
            </w:pPr>
            <w:r>
              <w:rPr>
                <w:rFonts w:ascii="Arial" w:cs="Arial" w:eastAsia="Arial" w:hAnsi="Arial"/>
                <w:sz w:val="18"/>
                <w:szCs w:val="18"/>
                <w:color w:val="auto"/>
              </w:rPr>
              <w:t>$ 30,000</w:t>
            </w: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color w:val="auto"/>
              </w:rPr>
              <w:t>Committee Chairs</w:t>
            </w:r>
          </w:p>
        </w:tc>
        <w:tc>
          <w:tcPr>
            <w:tcW w:w="7720" w:type="dxa"/>
            <w:vAlign w:val="bottom"/>
          </w:tcPr>
          <w:p>
            <w:pPr>
              <w:ind w:left="860"/>
              <w:spacing w:after="0"/>
              <w:rPr>
                <w:sz w:val="20"/>
                <w:szCs w:val="20"/>
                <w:color w:val="auto"/>
              </w:rPr>
            </w:pPr>
            <w:r>
              <w:rPr>
                <w:rFonts w:ascii="Arial" w:cs="Arial" w:eastAsia="Arial" w:hAnsi="Arial"/>
                <w:sz w:val="18"/>
                <w:szCs w:val="18"/>
                <w:color w:val="auto"/>
              </w:rPr>
              <w:t>Audit – $20,000</w:t>
            </w:r>
          </w:p>
        </w:tc>
      </w:tr>
      <w:tr>
        <w:trPr>
          <w:trHeight w:val="216"/>
        </w:trPr>
        <w:tc>
          <w:tcPr>
            <w:tcW w:w="3480" w:type="dxa"/>
            <w:vAlign w:val="bottom"/>
          </w:tcPr>
          <w:p>
            <w:pPr>
              <w:spacing w:after="0"/>
              <w:rPr>
                <w:sz w:val="18"/>
                <w:szCs w:val="18"/>
                <w:color w:val="auto"/>
              </w:rPr>
            </w:pPr>
          </w:p>
        </w:tc>
        <w:tc>
          <w:tcPr>
            <w:tcW w:w="7720" w:type="dxa"/>
            <w:vAlign w:val="bottom"/>
          </w:tcPr>
          <w:p>
            <w:pPr>
              <w:ind w:left="860"/>
              <w:spacing w:after="0"/>
              <w:rPr>
                <w:sz w:val="20"/>
                <w:szCs w:val="20"/>
                <w:color w:val="auto"/>
              </w:rPr>
            </w:pPr>
            <w:r>
              <w:rPr>
                <w:rFonts w:ascii="Arial" w:cs="Arial" w:eastAsia="Arial" w:hAnsi="Arial"/>
                <w:sz w:val="18"/>
                <w:szCs w:val="18"/>
                <w:color w:val="auto"/>
              </w:rPr>
              <w:t>Compensation – $15,000</w:t>
            </w:r>
          </w:p>
        </w:tc>
      </w:tr>
      <w:tr>
        <w:trPr>
          <w:trHeight w:val="230"/>
        </w:trPr>
        <w:tc>
          <w:tcPr>
            <w:tcW w:w="3480" w:type="dxa"/>
            <w:vAlign w:val="bottom"/>
          </w:tcPr>
          <w:p>
            <w:pPr>
              <w:spacing w:after="0"/>
              <w:rPr>
                <w:sz w:val="20"/>
                <w:szCs w:val="20"/>
                <w:color w:val="auto"/>
              </w:rPr>
            </w:pPr>
          </w:p>
        </w:tc>
        <w:tc>
          <w:tcPr>
            <w:tcW w:w="7720" w:type="dxa"/>
            <w:vAlign w:val="bottom"/>
          </w:tcPr>
          <w:p>
            <w:pPr>
              <w:ind w:left="860"/>
              <w:spacing w:after="0"/>
              <w:rPr>
                <w:sz w:val="20"/>
                <w:szCs w:val="20"/>
                <w:color w:val="auto"/>
              </w:rPr>
            </w:pPr>
            <w:r>
              <w:rPr>
                <w:rFonts w:ascii="Arial" w:cs="Arial" w:eastAsia="Arial" w:hAnsi="Arial"/>
                <w:sz w:val="18"/>
                <w:szCs w:val="18"/>
                <w:color w:val="auto"/>
              </w:rPr>
              <w:t>Corporate Governance/Nominating – $15,000</w:t>
            </w:r>
          </w:p>
        </w:tc>
      </w:tr>
    </w:tbl>
    <w:p>
      <w:pPr>
        <w:spacing w:after="0" w:line="202"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Effective January 1, 2022, the cash portion of the annual retainer was increased to $110,000, the annual restricted stock award was increased to $165,000, the annual cash retainer for the Audit Committee Chair was increased to $25,000 and the annual cash retainer for each of the Chairs of the Compensation Committee and the Corporate Governance/Nominating Committee was increased to $20,000.</w:t>
      </w:r>
    </w:p>
    <w:p>
      <w:pPr>
        <w:spacing w:after="0" w:line="157" w:lineRule="exact"/>
        <w:rPr>
          <w:sz w:val="20"/>
          <w:szCs w:val="20"/>
          <w:color w:val="auto"/>
        </w:rPr>
      </w:pPr>
    </w:p>
    <w:p>
      <w:pPr>
        <w:ind w:right="100"/>
        <w:spacing w:after="0" w:line="301" w:lineRule="auto"/>
        <w:rPr>
          <w:rFonts w:ascii="Arial" w:cs="Arial" w:eastAsia="Arial" w:hAnsi="Arial"/>
          <w:sz w:val="16"/>
          <w:szCs w:val="16"/>
          <w:color w:val="auto"/>
        </w:rPr>
      </w:pPr>
      <w:r>
        <w:rPr>
          <w:rFonts w:ascii="Arial" w:cs="Arial" w:eastAsia="Arial" w:hAnsi="Arial"/>
          <w:sz w:val="16"/>
          <w:szCs w:val="16"/>
          <w:color w:val="auto"/>
        </w:rPr>
        <w:t xml:space="preserve">The following table provides information regarding Director compensation in 2021, which reflects the standard compensation described above and certain other payments. The table does not include compensation for reimbursement of travel expenses related to attending Board, Committee and AMETEK business meetings, and approved educational seminars. In addition, the table does not address compensation for Mr. Zapico, which is addressed under “Executive Compensation” beginning on page </w:t>
      </w:r>
      <w:hyperlink w:anchor="page31">
        <w:r>
          <w:rPr>
            <w:rFonts w:ascii="Arial" w:cs="Arial" w:eastAsia="Arial" w:hAnsi="Arial"/>
            <w:sz w:val="16"/>
            <w:szCs w:val="16"/>
            <w:u w:val="single" w:color="auto"/>
            <w:color w:val="0000FF"/>
          </w:rPr>
          <w:t>27</w:t>
        </w:r>
      </w:hyperlink>
      <w:r>
        <w:rPr>
          <w:rFonts w:ascii="Arial" w:cs="Arial" w:eastAsia="Arial" w:hAnsi="Arial"/>
          <w:sz w:val="16"/>
          <w:szCs w:val="16"/>
          <w:color w:val="auto"/>
        </w:rPr>
        <w:t>. Mr. Zapico did not receive additional compensation for serving as a Director in 2021.</w:t>
      </w:r>
    </w:p>
    <w:p>
      <w:pPr>
        <w:spacing w:after="0" w:line="200" w:lineRule="exact"/>
        <w:rPr>
          <w:sz w:val="20"/>
          <w:szCs w:val="20"/>
          <w:color w:val="auto"/>
        </w:rPr>
      </w:pPr>
    </w:p>
    <w:p>
      <w:pPr>
        <w:spacing w:after="0" w:line="237"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b w:val="1"/>
          <w:bCs w:val="1"/>
          <w:color w:val="auto"/>
        </w:rPr>
        <w:t>14</w:t>
        <w:tab/>
        <w:t>AMETEK, INC.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DIRECTOR COMPENSATION –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Change in</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9"/>
              </w:rPr>
              <w:t>Pension Value</w:t>
            </w: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tcPr>
          <w:p>
            <w:pPr>
              <w:jc w:val="center"/>
              <w:ind w:left="508"/>
              <w:spacing w:after="0" w:line="135" w:lineRule="exact"/>
              <w:rPr>
                <w:sz w:val="20"/>
                <w:szCs w:val="20"/>
                <w:color w:val="auto"/>
              </w:rPr>
            </w:pPr>
            <w:r>
              <w:rPr>
                <w:rFonts w:ascii="Arial" w:cs="Arial" w:eastAsia="Arial" w:hAnsi="Arial"/>
                <w:sz w:val="14"/>
                <w:szCs w:val="14"/>
                <w:b w:val="1"/>
                <w:bCs w:val="1"/>
                <w:color w:val="auto"/>
                <w:w w:val="96"/>
              </w:rPr>
              <w:t>and</w:t>
            </w:r>
          </w:p>
        </w:tc>
        <w:tc>
          <w:tcPr>
            <w:tcW w:w="6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6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w w:val="81"/>
              </w:rPr>
              <w:t>Fees</w:t>
            </w: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4"/>
              </w:rPr>
              <w:t>Nonqualified</w:t>
            </w: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000" w:type="dxa"/>
            <w:vAlign w:val="bottom"/>
          </w:tcPr>
          <w:p>
            <w:pPr>
              <w:spacing w:after="0"/>
              <w:rPr>
                <w:sz w:val="7"/>
                <w:szCs w:val="7"/>
                <w:color w:val="auto"/>
              </w:rPr>
            </w:pPr>
          </w:p>
        </w:tc>
        <w:tc>
          <w:tcPr>
            <w:tcW w:w="92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18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96"/>
              </w:rPr>
              <w:t>Non-Equity</w:t>
            </w:r>
          </w:p>
        </w:tc>
        <w:tc>
          <w:tcPr>
            <w:tcW w:w="1420" w:type="dxa"/>
            <w:vAlign w:val="bottom"/>
            <w:gridSpan w:val="2"/>
            <w:vMerge w:val="restart"/>
          </w:tcPr>
          <w:p>
            <w:pPr>
              <w:jc w:val="center"/>
              <w:spacing w:after="0" w:line="135" w:lineRule="exact"/>
              <w:rPr>
                <w:sz w:val="20"/>
                <w:szCs w:val="20"/>
                <w:color w:val="auto"/>
              </w:rPr>
            </w:pPr>
            <w:r>
              <w:rPr>
                <w:rFonts w:ascii="Arial" w:cs="Arial" w:eastAsia="Arial" w:hAnsi="Arial"/>
                <w:sz w:val="14"/>
                <w:szCs w:val="14"/>
                <w:b w:val="1"/>
                <w:bCs w:val="1"/>
                <w:color w:val="auto"/>
                <w:w w:val="97"/>
              </w:rPr>
              <w:t>Deferred</w:t>
            </w:r>
          </w:p>
        </w:tc>
        <w:tc>
          <w:tcPr>
            <w:tcW w:w="10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2000" w:type="dxa"/>
            <w:vAlign w:val="bottom"/>
          </w:tcPr>
          <w:p>
            <w:pPr>
              <w:spacing w:after="0"/>
              <w:rPr>
                <w:sz w:val="4"/>
                <w:szCs w:val="4"/>
                <w:color w:val="auto"/>
              </w:rPr>
            </w:pPr>
          </w:p>
        </w:tc>
        <w:tc>
          <w:tcPr>
            <w:tcW w:w="1880" w:type="dxa"/>
            <w:vAlign w:val="bottom"/>
            <w:gridSpan w:val="2"/>
            <w:vMerge w:val="restart"/>
          </w:tcPr>
          <w:p>
            <w:pPr>
              <w:jc w:val="center"/>
              <w:ind w:left="628"/>
              <w:spacing w:after="0"/>
              <w:rPr>
                <w:sz w:val="20"/>
                <w:szCs w:val="20"/>
                <w:color w:val="auto"/>
              </w:rPr>
            </w:pPr>
            <w:r>
              <w:rPr>
                <w:rFonts w:ascii="Arial" w:cs="Arial" w:eastAsia="Arial" w:hAnsi="Arial"/>
                <w:sz w:val="14"/>
                <w:szCs w:val="14"/>
                <w:b w:val="1"/>
                <w:bCs w:val="1"/>
                <w:color w:val="auto"/>
                <w:w w:val="95"/>
              </w:rPr>
              <w:t>Earned or Paid in</w:t>
            </w:r>
          </w:p>
        </w:tc>
        <w:tc>
          <w:tcPr>
            <w:tcW w:w="200" w:type="dxa"/>
            <w:vAlign w:val="bottom"/>
          </w:tcPr>
          <w:p>
            <w:pPr>
              <w:spacing w:after="0"/>
              <w:rPr>
                <w:sz w:val="4"/>
                <w:szCs w:val="4"/>
                <w:color w:val="auto"/>
              </w:rPr>
            </w:pPr>
          </w:p>
        </w:tc>
        <w:tc>
          <w:tcPr>
            <w:tcW w:w="10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Stock</w:t>
            </w:r>
          </w:p>
        </w:tc>
        <w:tc>
          <w:tcPr>
            <w:tcW w:w="122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10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All Other</w:t>
            </w:r>
          </w:p>
        </w:tc>
        <w:tc>
          <w:tcPr>
            <w:tcW w:w="26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8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22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4"/>
              </w:rPr>
              <w:t>Option Awards</w:t>
            </w:r>
          </w:p>
        </w:tc>
        <w:tc>
          <w:tcPr>
            <w:tcW w:w="1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Incentive Plan</w:t>
            </w:r>
          </w:p>
        </w:tc>
        <w:tc>
          <w:tcPr>
            <w:tcW w:w="14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Compensation</w:t>
            </w:r>
          </w:p>
        </w:tc>
        <w:tc>
          <w:tcPr>
            <w:tcW w:w="10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00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0"/>
              </w:rPr>
              <w:t>Cash (1)</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Awards (2)</w:t>
            </w:r>
          </w:p>
        </w:tc>
        <w:tc>
          <w:tcPr>
            <w:tcW w:w="122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Earnings</w:t>
            </w: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2"/>
              </w:rPr>
              <w:t>Compensation</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Thomas A. Amato</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118,750</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156,044</w:t>
            </w:r>
          </w:p>
        </w:tc>
        <w:tc>
          <w:tcPr>
            <w:tcW w:w="1220" w:type="dxa"/>
            <w:vAlign w:val="bottom"/>
            <w:shd w:val="clear" w:color="auto" w:fill="CCEEFF"/>
          </w:tcPr>
          <w:p>
            <w:pPr>
              <w:jc w:val="center"/>
              <w:ind w:right="8"/>
              <w:spacing w:after="0"/>
              <w:rPr>
                <w:sz w:val="20"/>
                <w:szCs w:val="20"/>
                <w:color w:val="auto"/>
              </w:rPr>
            </w:pPr>
            <w:r>
              <w:rPr>
                <w:rFonts w:ascii="Arial" w:cs="Arial" w:eastAsia="Arial" w:hAnsi="Arial"/>
                <w:sz w:val="14"/>
                <w:szCs w:val="14"/>
                <w:color w:val="auto"/>
                <w:w w:val="99"/>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shd w:val="clear" w:color="auto" w:fill="CCEEFF"/>
          </w:tcPr>
          <w:p>
            <w:pPr>
              <w:jc w:val="center"/>
              <w:ind w:left="488"/>
              <w:spacing w:after="0"/>
              <w:rPr>
                <w:sz w:val="20"/>
                <w:szCs w:val="20"/>
                <w:color w:val="auto"/>
              </w:rPr>
            </w:pPr>
            <w:r>
              <w:rPr>
                <w:rFonts w:ascii="Arial" w:cs="Arial" w:eastAsia="Arial" w:hAnsi="Arial"/>
                <w:sz w:val="14"/>
                <w:szCs w:val="14"/>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4,099</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278,893</w:t>
            </w:r>
          </w:p>
        </w:tc>
        <w:tc>
          <w:tcPr>
            <w:tcW w:w="0" w:type="dxa"/>
            <w:vAlign w:val="bottom"/>
          </w:tcPr>
          <w:p>
            <w:pPr>
              <w:spacing w:after="0"/>
              <w:rPr>
                <w:sz w:val="1"/>
                <w:szCs w:val="1"/>
                <w:color w:val="auto"/>
              </w:rPr>
            </w:pPr>
          </w:p>
        </w:tc>
      </w:tr>
      <w:tr>
        <w:trPr>
          <w:trHeight w:val="186"/>
        </w:trPr>
        <w:tc>
          <w:tcPr>
            <w:tcW w:w="2000" w:type="dxa"/>
            <w:vAlign w:val="bottom"/>
          </w:tcPr>
          <w:p>
            <w:pPr>
              <w:ind w:left="20"/>
              <w:spacing w:after="0"/>
              <w:rPr>
                <w:sz w:val="20"/>
                <w:szCs w:val="20"/>
                <w:color w:val="auto"/>
              </w:rPr>
            </w:pPr>
            <w:r>
              <w:rPr>
                <w:rFonts w:ascii="Arial" w:cs="Arial" w:eastAsia="Arial" w:hAnsi="Arial"/>
                <w:sz w:val="14"/>
                <w:szCs w:val="14"/>
                <w:color w:val="auto"/>
              </w:rPr>
              <w:t>Tod E. Carpenter</w:t>
            </w:r>
          </w:p>
        </w:tc>
        <w:tc>
          <w:tcPr>
            <w:tcW w:w="9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102,500</w:t>
            </w:r>
          </w:p>
        </w:tc>
        <w:tc>
          <w:tcPr>
            <w:tcW w:w="2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156,044</w:t>
            </w:r>
          </w:p>
        </w:tc>
        <w:tc>
          <w:tcPr>
            <w:tcW w:w="1220" w:type="dxa"/>
            <w:vAlign w:val="bottom"/>
          </w:tcPr>
          <w:p>
            <w:pPr>
              <w:jc w:val="center"/>
              <w:ind w:right="8"/>
              <w:spacing w:after="0"/>
              <w:rPr>
                <w:sz w:val="20"/>
                <w:szCs w:val="20"/>
                <w:color w:val="auto"/>
              </w:rPr>
            </w:pPr>
            <w:r>
              <w:rPr>
                <w:rFonts w:ascii="Arial" w:cs="Arial" w:eastAsia="Arial" w:hAnsi="Arial"/>
                <w:sz w:val="14"/>
                <w:szCs w:val="14"/>
                <w:color w:val="auto"/>
                <w:w w:val="99"/>
              </w:rPr>
              <w:t>—</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ind w:left="488"/>
              <w:spacing w:after="0"/>
              <w:rPr>
                <w:sz w:val="20"/>
                <w:szCs w:val="20"/>
                <w:color w:val="auto"/>
              </w:rPr>
            </w:pPr>
            <w:r>
              <w:rPr>
                <w:rFonts w:ascii="Arial" w:cs="Arial" w:eastAsia="Arial" w:hAnsi="Arial"/>
                <w:sz w:val="14"/>
                <w:szCs w:val="14"/>
                <w:color w:val="auto"/>
                <w:w w:val="99"/>
              </w:rPr>
              <w:t>—</w:t>
            </w:r>
          </w:p>
        </w:tc>
        <w:tc>
          <w:tcPr>
            <w:tcW w:w="6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3,802</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262,346</w:t>
            </w: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Ruby R. Chandy</w:t>
            </w:r>
          </w:p>
        </w:tc>
        <w:tc>
          <w:tcPr>
            <w:tcW w:w="9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102,500</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156,044</w:t>
            </w:r>
          </w:p>
        </w:tc>
        <w:tc>
          <w:tcPr>
            <w:tcW w:w="1220" w:type="dxa"/>
            <w:vAlign w:val="bottom"/>
            <w:shd w:val="clear" w:color="auto" w:fill="CCEEFF"/>
          </w:tcPr>
          <w:p>
            <w:pPr>
              <w:jc w:val="center"/>
              <w:ind w:right="8"/>
              <w:spacing w:after="0"/>
              <w:rPr>
                <w:sz w:val="20"/>
                <w:szCs w:val="20"/>
                <w:color w:val="auto"/>
              </w:rPr>
            </w:pPr>
            <w:r>
              <w:rPr>
                <w:rFonts w:ascii="Arial" w:cs="Arial" w:eastAsia="Arial" w:hAnsi="Arial"/>
                <w:sz w:val="14"/>
                <w:szCs w:val="14"/>
                <w:color w:val="auto"/>
                <w:w w:val="99"/>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shd w:val="clear" w:color="auto" w:fill="CCEEFF"/>
          </w:tcPr>
          <w:p>
            <w:pPr>
              <w:jc w:val="center"/>
              <w:ind w:left="488"/>
              <w:spacing w:after="0"/>
              <w:rPr>
                <w:sz w:val="20"/>
                <w:szCs w:val="20"/>
                <w:color w:val="auto"/>
              </w:rPr>
            </w:pPr>
            <w:r>
              <w:rPr>
                <w:rFonts w:ascii="Arial" w:cs="Arial" w:eastAsia="Arial" w:hAnsi="Arial"/>
                <w:sz w:val="14"/>
                <w:szCs w:val="14"/>
                <w:color w:val="auto"/>
                <w:w w:val="99"/>
              </w:rPr>
              <w:t>—</w:t>
            </w:r>
          </w:p>
        </w:tc>
        <w:tc>
          <w:tcPr>
            <w:tcW w:w="6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4,099</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262,643</w:t>
            </w:r>
          </w:p>
        </w:tc>
        <w:tc>
          <w:tcPr>
            <w:tcW w:w="0" w:type="dxa"/>
            <w:vAlign w:val="bottom"/>
          </w:tcPr>
          <w:p>
            <w:pPr>
              <w:spacing w:after="0"/>
              <w:rPr>
                <w:sz w:val="1"/>
                <w:szCs w:val="1"/>
                <w:color w:val="auto"/>
              </w:rPr>
            </w:pPr>
          </w:p>
        </w:tc>
      </w:tr>
      <w:tr>
        <w:trPr>
          <w:trHeight w:val="186"/>
        </w:trPr>
        <w:tc>
          <w:tcPr>
            <w:tcW w:w="2000" w:type="dxa"/>
            <w:vAlign w:val="bottom"/>
          </w:tcPr>
          <w:p>
            <w:pPr>
              <w:ind w:left="20"/>
              <w:spacing w:after="0"/>
              <w:rPr>
                <w:sz w:val="20"/>
                <w:szCs w:val="20"/>
                <w:color w:val="auto"/>
              </w:rPr>
            </w:pPr>
            <w:r>
              <w:rPr>
                <w:rFonts w:ascii="Arial" w:cs="Arial" w:eastAsia="Arial" w:hAnsi="Arial"/>
                <w:sz w:val="14"/>
                <w:szCs w:val="14"/>
                <w:color w:val="auto"/>
              </w:rPr>
              <w:t>Anthony J. Conti</w:t>
            </w:r>
          </w:p>
        </w:tc>
        <w:tc>
          <w:tcPr>
            <w:tcW w:w="9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153,750</w:t>
            </w:r>
          </w:p>
        </w:tc>
        <w:tc>
          <w:tcPr>
            <w:tcW w:w="2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156,044</w:t>
            </w:r>
          </w:p>
        </w:tc>
        <w:tc>
          <w:tcPr>
            <w:tcW w:w="1220" w:type="dxa"/>
            <w:vAlign w:val="bottom"/>
          </w:tcPr>
          <w:p>
            <w:pPr>
              <w:jc w:val="center"/>
              <w:ind w:right="8"/>
              <w:spacing w:after="0"/>
              <w:rPr>
                <w:sz w:val="20"/>
                <w:szCs w:val="20"/>
                <w:color w:val="auto"/>
              </w:rPr>
            </w:pPr>
            <w:r>
              <w:rPr>
                <w:rFonts w:ascii="Arial" w:cs="Arial" w:eastAsia="Arial" w:hAnsi="Arial"/>
                <w:sz w:val="14"/>
                <w:szCs w:val="14"/>
                <w:color w:val="auto"/>
                <w:w w:val="99"/>
              </w:rPr>
              <w:t>—</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ind w:left="488"/>
              <w:spacing w:after="0"/>
              <w:rPr>
                <w:sz w:val="20"/>
                <w:szCs w:val="20"/>
                <w:color w:val="auto"/>
              </w:rPr>
            </w:pPr>
            <w:r>
              <w:rPr>
                <w:rFonts w:ascii="Arial" w:cs="Arial" w:eastAsia="Arial" w:hAnsi="Arial"/>
                <w:sz w:val="14"/>
                <w:szCs w:val="14"/>
                <w:color w:val="auto"/>
                <w:w w:val="99"/>
              </w:rPr>
              <w:t>—</w:t>
            </w:r>
          </w:p>
        </w:tc>
        <w:tc>
          <w:tcPr>
            <w:tcW w:w="6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4,099</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313,893</w:t>
            </w: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Steven W. Kohlhagen</w:t>
            </w:r>
          </w:p>
        </w:tc>
        <w:tc>
          <w:tcPr>
            <w:tcW w:w="9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102,500</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156,044</w:t>
            </w:r>
          </w:p>
        </w:tc>
        <w:tc>
          <w:tcPr>
            <w:tcW w:w="1220" w:type="dxa"/>
            <w:vAlign w:val="bottom"/>
            <w:shd w:val="clear" w:color="auto" w:fill="CCEEFF"/>
          </w:tcPr>
          <w:p>
            <w:pPr>
              <w:jc w:val="center"/>
              <w:ind w:right="8"/>
              <w:spacing w:after="0"/>
              <w:rPr>
                <w:sz w:val="20"/>
                <w:szCs w:val="20"/>
                <w:color w:val="auto"/>
              </w:rPr>
            </w:pPr>
            <w:r>
              <w:rPr>
                <w:rFonts w:ascii="Arial" w:cs="Arial" w:eastAsia="Arial" w:hAnsi="Arial"/>
                <w:sz w:val="14"/>
                <w:szCs w:val="14"/>
                <w:color w:val="auto"/>
                <w:w w:val="99"/>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shd w:val="clear" w:color="auto" w:fill="CCEEFF"/>
          </w:tcPr>
          <w:p>
            <w:pPr>
              <w:jc w:val="center"/>
              <w:ind w:left="488"/>
              <w:spacing w:after="0"/>
              <w:rPr>
                <w:sz w:val="20"/>
                <w:szCs w:val="20"/>
                <w:color w:val="auto"/>
              </w:rPr>
            </w:pPr>
            <w:r>
              <w:rPr>
                <w:rFonts w:ascii="Arial" w:cs="Arial" w:eastAsia="Arial" w:hAnsi="Arial"/>
                <w:sz w:val="14"/>
                <w:szCs w:val="14"/>
                <w:color w:val="auto"/>
                <w:w w:val="99"/>
              </w:rPr>
              <w:t>—</w:t>
            </w:r>
          </w:p>
        </w:tc>
        <w:tc>
          <w:tcPr>
            <w:tcW w:w="6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4,099</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262,643</w:t>
            </w:r>
          </w:p>
        </w:tc>
        <w:tc>
          <w:tcPr>
            <w:tcW w:w="0" w:type="dxa"/>
            <w:vAlign w:val="bottom"/>
          </w:tcPr>
          <w:p>
            <w:pPr>
              <w:spacing w:after="0"/>
              <w:rPr>
                <w:sz w:val="1"/>
                <w:szCs w:val="1"/>
                <w:color w:val="auto"/>
              </w:rPr>
            </w:pPr>
          </w:p>
        </w:tc>
      </w:tr>
      <w:tr>
        <w:trPr>
          <w:trHeight w:val="186"/>
        </w:trPr>
        <w:tc>
          <w:tcPr>
            <w:tcW w:w="2000" w:type="dxa"/>
            <w:vAlign w:val="bottom"/>
          </w:tcPr>
          <w:p>
            <w:pPr>
              <w:ind w:left="20"/>
              <w:spacing w:after="0"/>
              <w:rPr>
                <w:sz w:val="20"/>
                <w:szCs w:val="20"/>
                <w:color w:val="auto"/>
              </w:rPr>
            </w:pPr>
            <w:r>
              <w:rPr>
                <w:rFonts w:ascii="Arial" w:cs="Arial" w:eastAsia="Arial" w:hAnsi="Arial"/>
                <w:sz w:val="14"/>
                <w:szCs w:val="14"/>
                <w:color w:val="auto"/>
              </w:rPr>
              <w:t>Gretchen W. McClain</w:t>
            </w:r>
          </w:p>
        </w:tc>
        <w:tc>
          <w:tcPr>
            <w:tcW w:w="9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115,000</w:t>
            </w:r>
          </w:p>
        </w:tc>
        <w:tc>
          <w:tcPr>
            <w:tcW w:w="2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156,044</w:t>
            </w:r>
          </w:p>
        </w:tc>
        <w:tc>
          <w:tcPr>
            <w:tcW w:w="1220" w:type="dxa"/>
            <w:vAlign w:val="bottom"/>
          </w:tcPr>
          <w:p>
            <w:pPr>
              <w:jc w:val="center"/>
              <w:ind w:right="8"/>
              <w:spacing w:after="0"/>
              <w:rPr>
                <w:sz w:val="20"/>
                <w:szCs w:val="20"/>
                <w:color w:val="auto"/>
              </w:rPr>
            </w:pPr>
            <w:r>
              <w:rPr>
                <w:rFonts w:ascii="Arial" w:cs="Arial" w:eastAsia="Arial" w:hAnsi="Arial"/>
                <w:sz w:val="14"/>
                <w:szCs w:val="14"/>
                <w:color w:val="auto"/>
                <w:w w:val="99"/>
              </w:rPr>
              <w:t>—</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ind w:left="488"/>
              <w:spacing w:after="0"/>
              <w:rPr>
                <w:sz w:val="20"/>
                <w:szCs w:val="20"/>
                <w:color w:val="auto"/>
              </w:rPr>
            </w:pPr>
            <w:r>
              <w:rPr>
                <w:rFonts w:ascii="Arial" w:cs="Arial" w:eastAsia="Arial" w:hAnsi="Arial"/>
                <w:sz w:val="14"/>
                <w:szCs w:val="14"/>
                <w:color w:val="auto"/>
                <w:w w:val="99"/>
              </w:rPr>
              <w:t>—</w:t>
            </w:r>
          </w:p>
        </w:tc>
        <w:tc>
          <w:tcPr>
            <w:tcW w:w="6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4,099</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275,143</w:t>
            </w:r>
          </w:p>
        </w:tc>
        <w:tc>
          <w:tcPr>
            <w:tcW w:w="0" w:type="dxa"/>
            <w:vAlign w:val="bottom"/>
          </w:tcPr>
          <w:p>
            <w:pPr>
              <w:spacing w:after="0"/>
              <w:rPr>
                <w:sz w:val="1"/>
                <w:szCs w:val="1"/>
                <w:color w:val="auto"/>
              </w:rPr>
            </w:pPr>
          </w:p>
        </w:tc>
      </w:tr>
      <w:tr>
        <w:trPr>
          <w:trHeight w:val="192"/>
        </w:trPr>
        <w:tc>
          <w:tcPr>
            <w:tcW w:w="2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Karleen M. Oberton</w:t>
            </w:r>
          </w:p>
        </w:tc>
        <w:tc>
          <w:tcPr>
            <w:tcW w:w="9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116,389</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169,455</w:t>
            </w:r>
          </w:p>
        </w:tc>
        <w:tc>
          <w:tcPr>
            <w:tcW w:w="1220" w:type="dxa"/>
            <w:vAlign w:val="bottom"/>
            <w:shd w:val="clear" w:color="auto" w:fill="CFF0FC"/>
          </w:tcPr>
          <w:p>
            <w:pPr>
              <w:jc w:val="center"/>
              <w:ind w:right="8"/>
              <w:spacing w:after="0"/>
              <w:rPr>
                <w:sz w:val="20"/>
                <w:szCs w:val="20"/>
                <w:color w:val="auto"/>
              </w:rPr>
            </w:pPr>
            <w:r>
              <w:rPr>
                <w:rFonts w:ascii="Arial" w:cs="Arial" w:eastAsia="Arial" w:hAnsi="Arial"/>
                <w:sz w:val="14"/>
                <w:szCs w:val="14"/>
                <w:color w:val="auto"/>
                <w:w w:val="99"/>
              </w:rPr>
              <w:t>—</w:t>
            </w:r>
          </w:p>
        </w:tc>
        <w:tc>
          <w:tcPr>
            <w:tcW w:w="11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shd w:val="clear" w:color="auto" w:fill="CFF0FC"/>
          </w:tcPr>
          <w:p>
            <w:pPr>
              <w:jc w:val="center"/>
              <w:ind w:left="488"/>
              <w:spacing w:after="0"/>
              <w:rPr>
                <w:sz w:val="20"/>
                <w:szCs w:val="20"/>
                <w:color w:val="auto"/>
              </w:rPr>
            </w:pPr>
            <w:r>
              <w:rPr>
                <w:rFonts w:ascii="Arial" w:cs="Arial" w:eastAsia="Arial" w:hAnsi="Arial"/>
                <w:sz w:val="14"/>
                <w:szCs w:val="14"/>
                <w:color w:val="auto"/>
                <w:w w:val="99"/>
              </w:rPr>
              <w:t>—</w:t>
            </w:r>
          </w:p>
        </w:tc>
        <w:tc>
          <w:tcPr>
            <w:tcW w:w="6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285,844</w:t>
            </w:r>
          </w:p>
        </w:tc>
        <w:tc>
          <w:tcPr>
            <w:tcW w:w="0" w:type="dxa"/>
            <w:vAlign w:val="bottom"/>
          </w:tcPr>
          <w:p>
            <w:pPr>
              <w:spacing w:after="0"/>
              <w:rPr>
                <w:sz w:val="1"/>
                <w:szCs w:val="1"/>
                <w:color w:val="auto"/>
              </w:rPr>
            </w:pPr>
          </w:p>
        </w:tc>
      </w:tr>
      <w:tr>
        <w:trPr>
          <w:trHeight w:val="186"/>
        </w:trPr>
        <w:tc>
          <w:tcPr>
            <w:tcW w:w="2000" w:type="dxa"/>
            <w:vAlign w:val="bottom"/>
          </w:tcPr>
          <w:p>
            <w:pPr>
              <w:ind w:left="20"/>
              <w:spacing w:after="0"/>
              <w:rPr>
                <w:sz w:val="20"/>
                <w:szCs w:val="20"/>
                <w:color w:val="auto"/>
              </w:rPr>
            </w:pPr>
            <w:r>
              <w:rPr>
                <w:rFonts w:ascii="Arial" w:cs="Arial" w:eastAsia="Arial" w:hAnsi="Arial"/>
                <w:sz w:val="14"/>
                <w:szCs w:val="14"/>
                <w:color w:val="auto"/>
              </w:rPr>
              <w:t>Elizabeth R. Varet</w:t>
            </w:r>
          </w:p>
        </w:tc>
        <w:tc>
          <w:tcPr>
            <w:tcW w:w="9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9,722</w:t>
            </w:r>
          </w:p>
        </w:tc>
        <w:tc>
          <w:tcPr>
            <w:tcW w:w="2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Pr>
          <w:p>
            <w:pPr>
              <w:jc w:val="center"/>
              <w:ind w:right="8"/>
              <w:spacing w:after="0"/>
              <w:rPr>
                <w:sz w:val="20"/>
                <w:szCs w:val="20"/>
                <w:color w:val="auto"/>
              </w:rPr>
            </w:pPr>
            <w:r>
              <w:rPr>
                <w:rFonts w:ascii="Arial" w:cs="Arial" w:eastAsia="Arial" w:hAnsi="Arial"/>
                <w:sz w:val="14"/>
                <w:szCs w:val="14"/>
                <w:color w:val="auto"/>
                <w:w w:val="99"/>
              </w:rPr>
              <w:t>—</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08"/>
              <w:spacing w:after="0"/>
              <w:rPr>
                <w:sz w:val="20"/>
                <w:szCs w:val="20"/>
                <w:color w:val="auto"/>
              </w:rPr>
            </w:pPr>
            <w:r>
              <w:rPr>
                <w:rFonts w:ascii="Arial" w:cs="Arial" w:eastAsia="Arial" w:hAnsi="Arial"/>
                <w:sz w:val="14"/>
                <w:szCs w:val="14"/>
                <w:color w:val="auto"/>
                <w:w w:val="93"/>
              </w:rPr>
              <w:t>75,500</w:t>
            </w:r>
          </w:p>
        </w:tc>
        <w:tc>
          <w:tcPr>
            <w:tcW w:w="1080" w:type="dxa"/>
            <w:vAlign w:val="bottom"/>
          </w:tcPr>
          <w:p>
            <w:pPr>
              <w:jc w:val="right"/>
              <w:spacing w:after="0"/>
              <w:rPr>
                <w:sz w:val="20"/>
                <w:szCs w:val="20"/>
                <w:color w:val="auto"/>
              </w:rPr>
            </w:pPr>
            <w:r>
              <w:rPr>
                <w:rFonts w:ascii="Arial" w:cs="Arial" w:eastAsia="Arial" w:hAnsi="Arial"/>
                <w:sz w:val="14"/>
                <w:szCs w:val="14"/>
                <w:color w:val="auto"/>
              </w:rPr>
              <w:t>129,179(3)</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214,401</w:t>
            </w: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Dennis K. Williams</w:t>
            </w:r>
          </w:p>
        </w:tc>
        <w:tc>
          <w:tcPr>
            <w:tcW w:w="9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11,181</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center"/>
              <w:ind w:right="8"/>
              <w:spacing w:after="0"/>
              <w:rPr>
                <w:sz w:val="20"/>
                <w:szCs w:val="20"/>
                <w:color w:val="auto"/>
              </w:rPr>
            </w:pPr>
            <w:r>
              <w:rPr>
                <w:rFonts w:ascii="Arial" w:cs="Arial" w:eastAsia="Arial" w:hAnsi="Arial"/>
                <w:sz w:val="14"/>
                <w:szCs w:val="14"/>
                <w:color w:val="auto"/>
                <w:w w:val="99"/>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shd w:val="clear" w:color="auto" w:fill="CCEEFF"/>
          </w:tcPr>
          <w:p>
            <w:pPr>
              <w:jc w:val="center"/>
              <w:ind w:left="488"/>
              <w:spacing w:after="0"/>
              <w:rPr>
                <w:sz w:val="20"/>
                <w:szCs w:val="20"/>
                <w:color w:val="auto"/>
              </w:rPr>
            </w:pPr>
            <w:r>
              <w:rPr>
                <w:rFonts w:ascii="Arial" w:cs="Arial" w:eastAsia="Arial" w:hAnsi="Arial"/>
                <w:sz w:val="14"/>
                <w:szCs w:val="14"/>
                <w:color w:val="auto"/>
                <w:w w:val="99"/>
              </w:rPr>
              <w:t>—</w:t>
            </w:r>
          </w:p>
        </w:tc>
        <w:tc>
          <w:tcPr>
            <w:tcW w:w="6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4,099</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15,280</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20" w:right="160" w:hanging="412"/>
        <w:spacing w:after="0" w:line="277" w:lineRule="auto"/>
        <w:tabs>
          <w:tab w:leader="none" w:pos="41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amounts shown are the annual base cash retainer and additional annual retainer fees for serving as Lead Director and Chair of a Committee. Mr. Seavers earned no Director compensation in 2021 as he was first elected to our Board as of February 24, 2022.</w:t>
      </w:r>
    </w:p>
    <w:p>
      <w:pPr>
        <w:spacing w:after="0" w:line="62" w:lineRule="exact"/>
        <w:rPr>
          <w:rFonts w:ascii="Arial" w:cs="Arial" w:eastAsia="Arial" w:hAnsi="Arial"/>
          <w:sz w:val="18"/>
          <w:szCs w:val="18"/>
          <w:color w:val="auto"/>
        </w:rPr>
      </w:pPr>
    </w:p>
    <w:p>
      <w:pPr>
        <w:ind w:left="420" w:right="260" w:hanging="412"/>
        <w:spacing w:after="0" w:line="296" w:lineRule="auto"/>
        <w:tabs>
          <w:tab w:leader="none" w:pos="414"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The amounts shown for stock awards relate to restricted shares granted under our 2020 Omnibus Incentive Compensation Plan. These amounts are equal to the grant date fair value, computed in accordance with Financial Accounting Standards Board Accounting Standards Codification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which we refer to below as “ASC 718,” but without giving effect to estimated forfeitures related to service-based vesting conditions. At December 31, 2021, the non-management members of the Board held unvested restricted stock awards and/or options to purchase the number of shares of our common stock set forth next to their names in the chart below:</w:t>
      </w:r>
    </w:p>
    <w:p>
      <w:pPr>
        <w:spacing w:after="0" w:line="200" w:lineRule="exact"/>
        <w:rPr>
          <w:sz w:val="20"/>
          <w:szCs w:val="20"/>
          <w:color w:val="auto"/>
        </w:rPr>
      </w:pPr>
    </w:p>
    <w:p>
      <w:pPr>
        <w:spacing w:after="0" w:line="210" w:lineRule="exact"/>
        <w:rPr>
          <w:sz w:val="20"/>
          <w:szCs w:val="20"/>
          <w:color w:val="auto"/>
        </w:rPr>
      </w:pPr>
    </w:p>
    <w:tbl>
      <w:tblPr>
        <w:tblLayout w:type="fixed"/>
        <w:tblInd w:w="2560" w:type="dxa"/>
        <w:tblCellMar>
          <w:top w:w="0" w:type="dxa"/>
          <w:left w:w="0" w:type="dxa"/>
          <w:bottom w:w="0" w:type="dxa"/>
          <w:right w:w="0" w:type="dxa"/>
        </w:tblCellMar>
      </w:tblPr>
      <w:tr>
        <w:trPr>
          <w:trHeight w:val="192"/>
        </w:trPr>
        <w:tc>
          <w:tcPr>
            <w:tcW w:w="20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Name</w:t>
            </w:r>
          </w:p>
        </w:tc>
        <w:tc>
          <w:tcPr>
            <w:tcW w:w="196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Stock Awards</w:t>
            </w:r>
          </w:p>
        </w:tc>
        <w:tc>
          <w:tcPr>
            <w:tcW w:w="216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Outstanding Options</w:t>
            </w:r>
          </w:p>
        </w:tc>
      </w:tr>
      <w:tr>
        <w:trPr>
          <w:trHeight w:val="188"/>
        </w:trPr>
        <w:tc>
          <w:tcPr>
            <w:tcW w:w="2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Thomas A. Amato</w:t>
            </w:r>
          </w:p>
        </w:tc>
        <w:tc>
          <w:tcPr>
            <w:tcW w:w="1960" w:type="dxa"/>
            <w:vAlign w:val="bottom"/>
            <w:shd w:val="clear" w:color="auto" w:fill="CCEEFF"/>
          </w:tcPr>
          <w:p>
            <w:pPr>
              <w:ind w:left="620"/>
              <w:spacing w:after="0"/>
              <w:rPr>
                <w:sz w:val="20"/>
                <w:szCs w:val="20"/>
                <w:color w:val="auto"/>
              </w:rPr>
            </w:pPr>
            <w:r>
              <w:rPr>
                <w:rFonts w:ascii="Arial" w:cs="Arial" w:eastAsia="Arial" w:hAnsi="Arial"/>
                <w:sz w:val="14"/>
                <w:szCs w:val="14"/>
                <w:color w:val="auto"/>
              </w:rPr>
              <w:t>1,280</w:t>
            </w:r>
          </w:p>
        </w:tc>
        <w:tc>
          <w:tcPr>
            <w:tcW w:w="21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w:t>
            </w:r>
          </w:p>
        </w:tc>
      </w:tr>
      <w:tr>
        <w:trPr>
          <w:trHeight w:val="186"/>
        </w:trPr>
        <w:tc>
          <w:tcPr>
            <w:tcW w:w="2020" w:type="dxa"/>
            <w:vAlign w:val="bottom"/>
          </w:tcPr>
          <w:p>
            <w:pPr>
              <w:ind w:left="120"/>
              <w:spacing w:after="0"/>
              <w:rPr>
                <w:sz w:val="20"/>
                <w:szCs w:val="20"/>
                <w:color w:val="auto"/>
              </w:rPr>
            </w:pPr>
            <w:r>
              <w:rPr>
                <w:rFonts w:ascii="Arial" w:cs="Arial" w:eastAsia="Arial" w:hAnsi="Arial"/>
                <w:sz w:val="14"/>
                <w:szCs w:val="14"/>
                <w:color w:val="auto"/>
              </w:rPr>
              <w:t>Tod E. Carpenter</w:t>
            </w:r>
          </w:p>
        </w:tc>
        <w:tc>
          <w:tcPr>
            <w:tcW w:w="1960" w:type="dxa"/>
            <w:vAlign w:val="bottom"/>
          </w:tcPr>
          <w:p>
            <w:pPr>
              <w:ind w:left="620"/>
              <w:spacing w:after="0"/>
              <w:rPr>
                <w:sz w:val="20"/>
                <w:szCs w:val="20"/>
                <w:color w:val="auto"/>
              </w:rPr>
            </w:pPr>
            <w:r>
              <w:rPr>
                <w:rFonts w:ascii="Arial" w:cs="Arial" w:eastAsia="Arial" w:hAnsi="Arial"/>
                <w:sz w:val="14"/>
                <w:szCs w:val="14"/>
                <w:color w:val="auto"/>
              </w:rPr>
              <w:t>1,280</w:t>
            </w:r>
          </w:p>
        </w:tc>
        <w:tc>
          <w:tcPr>
            <w:tcW w:w="2160" w:type="dxa"/>
            <w:vAlign w:val="bottom"/>
          </w:tcPr>
          <w:p>
            <w:pPr>
              <w:ind w:left="480"/>
              <w:spacing w:after="0"/>
              <w:rPr>
                <w:sz w:val="20"/>
                <w:szCs w:val="20"/>
                <w:color w:val="auto"/>
              </w:rPr>
            </w:pPr>
            <w:r>
              <w:rPr>
                <w:rFonts w:ascii="Arial" w:cs="Arial" w:eastAsia="Arial" w:hAnsi="Arial"/>
                <w:sz w:val="14"/>
                <w:szCs w:val="14"/>
                <w:color w:val="auto"/>
              </w:rPr>
              <w:t>—</w:t>
            </w:r>
          </w:p>
        </w:tc>
      </w:tr>
      <w:tr>
        <w:trPr>
          <w:trHeight w:val="192"/>
        </w:trPr>
        <w:tc>
          <w:tcPr>
            <w:tcW w:w="2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Ruby R. Chandy</w:t>
            </w:r>
          </w:p>
        </w:tc>
        <w:tc>
          <w:tcPr>
            <w:tcW w:w="1960" w:type="dxa"/>
            <w:vAlign w:val="bottom"/>
            <w:shd w:val="clear" w:color="auto" w:fill="CCEEFF"/>
          </w:tcPr>
          <w:p>
            <w:pPr>
              <w:ind w:left="620"/>
              <w:spacing w:after="0"/>
              <w:rPr>
                <w:sz w:val="20"/>
                <w:szCs w:val="20"/>
                <w:color w:val="auto"/>
              </w:rPr>
            </w:pPr>
            <w:r>
              <w:rPr>
                <w:rFonts w:ascii="Arial" w:cs="Arial" w:eastAsia="Arial" w:hAnsi="Arial"/>
                <w:sz w:val="14"/>
                <w:szCs w:val="14"/>
                <w:color w:val="auto"/>
              </w:rPr>
              <w:t>1,280</w:t>
            </w:r>
          </w:p>
        </w:tc>
        <w:tc>
          <w:tcPr>
            <w:tcW w:w="21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w:t>
            </w:r>
          </w:p>
        </w:tc>
      </w:tr>
      <w:tr>
        <w:trPr>
          <w:trHeight w:val="186"/>
        </w:trPr>
        <w:tc>
          <w:tcPr>
            <w:tcW w:w="2020" w:type="dxa"/>
            <w:vAlign w:val="bottom"/>
          </w:tcPr>
          <w:p>
            <w:pPr>
              <w:ind w:left="120"/>
              <w:spacing w:after="0"/>
              <w:rPr>
                <w:sz w:val="20"/>
                <w:szCs w:val="20"/>
                <w:color w:val="auto"/>
              </w:rPr>
            </w:pPr>
            <w:r>
              <w:rPr>
                <w:rFonts w:ascii="Arial" w:cs="Arial" w:eastAsia="Arial" w:hAnsi="Arial"/>
                <w:sz w:val="14"/>
                <w:szCs w:val="14"/>
                <w:color w:val="auto"/>
              </w:rPr>
              <w:t>Anthony J. Conti</w:t>
            </w:r>
          </w:p>
        </w:tc>
        <w:tc>
          <w:tcPr>
            <w:tcW w:w="1960" w:type="dxa"/>
            <w:vAlign w:val="bottom"/>
          </w:tcPr>
          <w:p>
            <w:pPr>
              <w:ind w:left="620"/>
              <w:spacing w:after="0"/>
              <w:rPr>
                <w:sz w:val="20"/>
                <w:szCs w:val="20"/>
                <w:color w:val="auto"/>
              </w:rPr>
            </w:pPr>
            <w:r>
              <w:rPr>
                <w:rFonts w:ascii="Arial" w:cs="Arial" w:eastAsia="Arial" w:hAnsi="Arial"/>
                <w:sz w:val="14"/>
                <w:szCs w:val="14"/>
                <w:color w:val="auto"/>
              </w:rPr>
              <w:t>1,280</w:t>
            </w:r>
          </w:p>
        </w:tc>
        <w:tc>
          <w:tcPr>
            <w:tcW w:w="2160" w:type="dxa"/>
            <w:vAlign w:val="bottom"/>
          </w:tcPr>
          <w:p>
            <w:pPr>
              <w:ind w:left="480"/>
              <w:spacing w:after="0"/>
              <w:rPr>
                <w:sz w:val="20"/>
                <w:szCs w:val="20"/>
                <w:color w:val="auto"/>
              </w:rPr>
            </w:pPr>
            <w:r>
              <w:rPr>
                <w:rFonts w:ascii="Arial" w:cs="Arial" w:eastAsia="Arial" w:hAnsi="Arial"/>
                <w:sz w:val="14"/>
                <w:szCs w:val="14"/>
                <w:color w:val="auto"/>
              </w:rPr>
              <w:t>10,600</w:t>
            </w:r>
          </w:p>
        </w:tc>
      </w:tr>
      <w:tr>
        <w:trPr>
          <w:trHeight w:val="192"/>
        </w:trPr>
        <w:tc>
          <w:tcPr>
            <w:tcW w:w="2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Steven W. Kohlhagen</w:t>
            </w:r>
          </w:p>
        </w:tc>
        <w:tc>
          <w:tcPr>
            <w:tcW w:w="1960" w:type="dxa"/>
            <w:vAlign w:val="bottom"/>
            <w:shd w:val="clear" w:color="auto" w:fill="CCEEFF"/>
          </w:tcPr>
          <w:p>
            <w:pPr>
              <w:ind w:left="620"/>
              <w:spacing w:after="0"/>
              <w:rPr>
                <w:sz w:val="20"/>
                <w:szCs w:val="20"/>
                <w:color w:val="auto"/>
              </w:rPr>
            </w:pPr>
            <w:r>
              <w:rPr>
                <w:rFonts w:ascii="Arial" w:cs="Arial" w:eastAsia="Arial" w:hAnsi="Arial"/>
                <w:sz w:val="14"/>
                <w:szCs w:val="14"/>
                <w:color w:val="auto"/>
              </w:rPr>
              <w:t>1,280</w:t>
            </w:r>
          </w:p>
        </w:tc>
        <w:tc>
          <w:tcPr>
            <w:tcW w:w="21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5,440</w:t>
            </w:r>
          </w:p>
        </w:tc>
      </w:tr>
      <w:tr>
        <w:trPr>
          <w:trHeight w:val="186"/>
        </w:trPr>
        <w:tc>
          <w:tcPr>
            <w:tcW w:w="2020" w:type="dxa"/>
            <w:vAlign w:val="bottom"/>
          </w:tcPr>
          <w:p>
            <w:pPr>
              <w:ind w:left="120"/>
              <w:spacing w:after="0"/>
              <w:rPr>
                <w:sz w:val="20"/>
                <w:szCs w:val="20"/>
                <w:color w:val="auto"/>
              </w:rPr>
            </w:pPr>
            <w:r>
              <w:rPr>
                <w:rFonts w:ascii="Arial" w:cs="Arial" w:eastAsia="Arial" w:hAnsi="Arial"/>
                <w:sz w:val="14"/>
                <w:szCs w:val="14"/>
                <w:color w:val="auto"/>
              </w:rPr>
              <w:t>Gretchen W. McClain</w:t>
            </w:r>
          </w:p>
        </w:tc>
        <w:tc>
          <w:tcPr>
            <w:tcW w:w="1960" w:type="dxa"/>
            <w:vAlign w:val="bottom"/>
          </w:tcPr>
          <w:p>
            <w:pPr>
              <w:ind w:left="620"/>
              <w:spacing w:after="0"/>
              <w:rPr>
                <w:sz w:val="20"/>
                <w:szCs w:val="20"/>
                <w:color w:val="auto"/>
              </w:rPr>
            </w:pPr>
            <w:r>
              <w:rPr>
                <w:rFonts w:ascii="Arial" w:cs="Arial" w:eastAsia="Arial" w:hAnsi="Arial"/>
                <w:sz w:val="14"/>
                <w:szCs w:val="14"/>
                <w:color w:val="auto"/>
              </w:rPr>
              <w:t>1,280</w:t>
            </w:r>
          </w:p>
        </w:tc>
        <w:tc>
          <w:tcPr>
            <w:tcW w:w="2160" w:type="dxa"/>
            <w:vAlign w:val="bottom"/>
          </w:tcPr>
          <w:p>
            <w:pPr>
              <w:ind w:left="480"/>
              <w:spacing w:after="0"/>
              <w:rPr>
                <w:sz w:val="20"/>
                <w:szCs w:val="20"/>
                <w:color w:val="auto"/>
              </w:rPr>
            </w:pPr>
            <w:r>
              <w:rPr>
                <w:rFonts w:ascii="Arial" w:cs="Arial" w:eastAsia="Arial" w:hAnsi="Arial"/>
                <w:sz w:val="14"/>
                <w:szCs w:val="14"/>
                <w:color w:val="auto"/>
              </w:rPr>
              <w:t>2,720</w:t>
            </w:r>
          </w:p>
        </w:tc>
      </w:tr>
      <w:tr>
        <w:trPr>
          <w:trHeight w:val="192"/>
        </w:trPr>
        <w:tc>
          <w:tcPr>
            <w:tcW w:w="2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Karleen M. Oberton</w:t>
            </w:r>
          </w:p>
        </w:tc>
        <w:tc>
          <w:tcPr>
            <w:tcW w:w="1960" w:type="dxa"/>
            <w:vAlign w:val="bottom"/>
            <w:shd w:val="clear" w:color="auto" w:fill="CCEEFF"/>
          </w:tcPr>
          <w:p>
            <w:pPr>
              <w:ind w:left="620"/>
              <w:spacing w:after="0"/>
              <w:rPr>
                <w:sz w:val="20"/>
                <w:szCs w:val="20"/>
                <w:color w:val="auto"/>
              </w:rPr>
            </w:pPr>
            <w:r>
              <w:rPr>
                <w:rFonts w:ascii="Arial" w:cs="Arial" w:eastAsia="Arial" w:hAnsi="Arial"/>
                <w:sz w:val="14"/>
                <w:szCs w:val="14"/>
                <w:color w:val="auto"/>
              </w:rPr>
              <w:t>1,390</w:t>
            </w:r>
          </w:p>
        </w:tc>
        <w:tc>
          <w:tcPr>
            <w:tcW w:w="21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w:t>
            </w:r>
          </w:p>
        </w:tc>
      </w:tr>
      <w:tr>
        <w:trPr>
          <w:trHeight w:val="186"/>
        </w:trPr>
        <w:tc>
          <w:tcPr>
            <w:tcW w:w="2020" w:type="dxa"/>
            <w:vAlign w:val="bottom"/>
          </w:tcPr>
          <w:p>
            <w:pPr>
              <w:ind w:left="120"/>
              <w:spacing w:after="0"/>
              <w:rPr>
                <w:sz w:val="20"/>
                <w:szCs w:val="20"/>
                <w:color w:val="auto"/>
              </w:rPr>
            </w:pPr>
            <w:r>
              <w:rPr>
                <w:rFonts w:ascii="Arial" w:cs="Arial" w:eastAsia="Arial" w:hAnsi="Arial"/>
                <w:sz w:val="14"/>
                <w:szCs w:val="14"/>
                <w:color w:val="auto"/>
              </w:rPr>
              <w:t>Dean Seavers</w:t>
            </w:r>
          </w:p>
        </w:tc>
        <w:tc>
          <w:tcPr>
            <w:tcW w:w="1960" w:type="dxa"/>
            <w:vAlign w:val="bottom"/>
          </w:tcPr>
          <w:p>
            <w:pPr>
              <w:ind w:left="620"/>
              <w:spacing w:after="0"/>
              <w:rPr>
                <w:sz w:val="20"/>
                <w:szCs w:val="20"/>
                <w:color w:val="auto"/>
              </w:rPr>
            </w:pPr>
            <w:r>
              <w:rPr>
                <w:rFonts w:ascii="Arial" w:cs="Arial" w:eastAsia="Arial" w:hAnsi="Arial"/>
                <w:sz w:val="14"/>
                <w:szCs w:val="14"/>
                <w:color w:val="auto"/>
              </w:rPr>
              <w:t>—</w:t>
            </w:r>
          </w:p>
        </w:tc>
        <w:tc>
          <w:tcPr>
            <w:tcW w:w="2160" w:type="dxa"/>
            <w:vAlign w:val="bottom"/>
          </w:tcPr>
          <w:p>
            <w:pPr>
              <w:ind w:left="480"/>
              <w:spacing w:after="0"/>
              <w:rPr>
                <w:sz w:val="20"/>
                <w:szCs w:val="20"/>
                <w:color w:val="auto"/>
              </w:rPr>
            </w:pPr>
            <w:r>
              <w:rPr>
                <w:rFonts w:ascii="Arial" w:cs="Arial" w:eastAsia="Arial" w:hAnsi="Arial"/>
                <w:sz w:val="14"/>
                <w:szCs w:val="14"/>
                <w:color w:val="auto"/>
              </w:rPr>
              <w:t>—</w:t>
            </w:r>
          </w:p>
        </w:tc>
      </w:tr>
      <w:tr>
        <w:trPr>
          <w:trHeight w:val="192"/>
        </w:trPr>
        <w:tc>
          <w:tcPr>
            <w:tcW w:w="2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Elizabeth R. Varet</w:t>
            </w:r>
          </w:p>
        </w:tc>
        <w:tc>
          <w:tcPr>
            <w:tcW w:w="1960" w:type="dxa"/>
            <w:vAlign w:val="bottom"/>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1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w:t>
            </w:r>
          </w:p>
        </w:tc>
      </w:tr>
      <w:tr>
        <w:trPr>
          <w:trHeight w:val="182"/>
        </w:trPr>
        <w:tc>
          <w:tcPr>
            <w:tcW w:w="2020" w:type="dxa"/>
            <w:vAlign w:val="bottom"/>
          </w:tcPr>
          <w:p>
            <w:pPr>
              <w:ind w:left="120"/>
              <w:spacing w:after="0"/>
              <w:rPr>
                <w:sz w:val="20"/>
                <w:szCs w:val="20"/>
                <w:color w:val="auto"/>
              </w:rPr>
            </w:pPr>
            <w:r>
              <w:rPr>
                <w:rFonts w:ascii="Arial" w:cs="Arial" w:eastAsia="Arial" w:hAnsi="Arial"/>
                <w:sz w:val="14"/>
                <w:szCs w:val="14"/>
                <w:color w:val="auto"/>
              </w:rPr>
              <w:t>Dennis K. Williams</w:t>
            </w:r>
          </w:p>
        </w:tc>
        <w:tc>
          <w:tcPr>
            <w:tcW w:w="1960" w:type="dxa"/>
            <w:vAlign w:val="bottom"/>
          </w:tcPr>
          <w:p>
            <w:pPr>
              <w:ind w:left="620"/>
              <w:spacing w:after="0"/>
              <w:rPr>
                <w:sz w:val="20"/>
                <w:szCs w:val="20"/>
                <w:color w:val="auto"/>
              </w:rPr>
            </w:pPr>
            <w:r>
              <w:rPr>
                <w:rFonts w:ascii="Arial" w:cs="Arial" w:eastAsia="Arial" w:hAnsi="Arial"/>
                <w:sz w:val="14"/>
                <w:szCs w:val="14"/>
                <w:color w:val="auto"/>
              </w:rPr>
              <w:t>—</w:t>
            </w:r>
          </w:p>
        </w:tc>
        <w:tc>
          <w:tcPr>
            <w:tcW w:w="2160" w:type="dxa"/>
            <w:vAlign w:val="bottom"/>
          </w:tcPr>
          <w:p>
            <w:pPr>
              <w:ind w:left="480"/>
              <w:spacing w:after="0"/>
              <w:rPr>
                <w:sz w:val="20"/>
                <w:szCs w:val="20"/>
                <w:color w:val="auto"/>
              </w:rPr>
            </w:pPr>
            <w:r>
              <w:rPr>
                <w:rFonts w:ascii="Arial" w:cs="Arial" w:eastAsia="Arial" w:hAnsi="Arial"/>
                <w:sz w:val="14"/>
                <w:szCs w:val="14"/>
                <w:color w:val="auto"/>
              </w:rPr>
              <w:t>5,440</w:t>
            </w:r>
          </w:p>
        </w:tc>
      </w:tr>
    </w:tbl>
    <w:p>
      <w:pPr>
        <w:spacing w:after="0" w:line="181" w:lineRule="exact"/>
        <w:rPr>
          <w:sz w:val="20"/>
          <w:szCs w:val="20"/>
          <w:color w:val="auto"/>
        </w:rPr>
      </w:pPr>
    </w:p>
    <w:p>
      <w:pPr>
        <w:ind w:left="420" w:right="20" w:hanging="412"/>
        <w:spacing w:after="0" w:line="288" w:lineRule="auto"/>
        <w:tabs>
          <w:tab w:leader="none" w:pos="414" w:val="left"/>
        </w:tabs>
        <w:numPr>
          <w:ilvl w:val="0"/>
          <w:numId w:val="26"/>
        </w:numPr>
        <w:rPr>
          <w:rFonts w:ascii="Arial" w:cs="Arial" w:eastAsia="Arial" w:hAnsi="Arial"/>
          <w:sz w:val="16"/>
          <w:szCs w:val="16"/>
          <w:color w:val="auto"/>
        </w:rPr>
      </w:pPr>
      <w:r>
        <w:rPr>
          <w:rFonts w:ascii="Arial" w:cs="Arial" w:eastAsia="Arial" w:hAnsi="Arial"/>
          <w:sz w:val="16"/>
          <w:szCs w:val="16"/>
          <w:color w:val="auto"/>
        </w:rPr>
        <w:t>As was the case for all Directors who first became members of the Board prior to January 1, 1997, Ms. Varet was eligible to participate in a retirement plan for Directors. Under this plan, each non-employee Director who had provided at least three years of service to us as a Director receives an annual retirement benefit equal to 100% of that Director’s highest annual rate of cash compensation during the Director’s service with the Board. Ms. Varet has accrued an annual retirement benefit of $100,000, and received the initial monthly installment of this benefit of $8,333 as of June 1, 2021. Similarly, as was the case for all Directors who first became members of the Board prior to July 22, 2004, Ms. Varet was eligible to participate in our Death Benefit Program for Directors. Under this program, each participating non-employee Director had an individual agreement that pays the Director (or the Director’s beneficiary in the event of the Director’s death) an annual amount equal to 100% of that Director’s highest annual rate of cash compensation during the Director’s service to the Board. The program is funded by individual life insurance policies that we purchased on the lives of the Directors. Ms. Varet received the initial installment of this benefit, in the amount of $7,302 as of June 1, 2021. In addition, as a non-employee Director who first became a member of the Board prior to July 27, 2005, Ms. Varet has a group term life insurance benefit of $50,000.</w:t>
      </w:r>
    </w:p>
    <w:p>
      <w:pPr>
        <w:spacing w:after="0" w:line="6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Directors are able to participate in a deferred compensation plan for Directors. Ms. McClain participates in this plan. Under this plan, a Director may defer payment of his or her fees into a notional investment in the same investments available in The AMETEK Retirement &amp; Savings Plan, commonly referred to as the “AMETEK 401(k) Plan,” plus an interest-bearing account. One of the investment options is a notional fund consisting of our common stock. A Director generally may elect to have the value of his or her account distributed following retirement, either in a lump sum or in up to fifteen annual installments, or in</w:t>
      </w:r>
    </w:p>
    <w:p>
      <w:pPr>
        <w:spacing w:after="0" w:line="200" w:lineRule="exact"/>
        <w:rPr>
          <w:sz w:val="20"/>
          <w:szCs w:val="20"/>
          <w:color w:val="auto"/>
        </w:rPr>
      </w:pPr>
    </w:p>
    <w:p>
      <w:pPr>
        <w:spacing w:after="0" w:line="281" w:lineRule="exact"/>
        <w:rPr>
          <w:sz w:val="20"/>
          <w:szCs w:val="20"/>
          <w:color w:val="auto"/>
        </w:rPr>
      </w:pPr>
    </w:p>
    <w:p>
      <w:pPr>
        <w:ind w:left="7780"/>
        <w:spacing w:after="0"/>
        <w:tabs>
          <w:tab w:leader="none" w:pos="11020" w:val="left"/>
        </w:tabs>
        <w:rPr>
          <w:sz w:val="20"/>
          <w:szCs w:val="20"/>
          <w:color w:val="auto"/>
        </w:rPr>
      </w:pPr>
      <w:r>
        <w:rPr>
          <w:rFonts w:ascii="Arial" w:cs="Arial" w:eastAsia="Arial" w:hAnsi="Arial"/>
          <w:sz w:val="18"/>
          <w:szCs w:val="18"/>
          <w:b w:val="1"/>
          <w:bCs w:val="1"/>
          <w:color w:val="auto"/>
        </w:rPr>
        <w:t>AMETEK, INC. 2022 Proxy Statement</w:t>
      </w:r>
      <w:r>
        <w:rPr>
          <w:sz w:val="20"/>
          <w:szCs w:val="20"/>
          <w:color w:val="auto"/>
        </w:rPr>
        <w:tab/>
      </w:r>
      <w:r>
        <w:rPr>
          <w:rFonts w:ascii="Arial" w:cs="Arial" w:eastAsia="Arial" w:hAnsi="Arial"/>
          <w:sz w:val="16"/>
          <w:szCs w:val="16"/>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0" w:name="page21"/>
    <w:bookmarkEnd w:id="20"/>
    <w:p>
      <w:pPr>
        <w:jc w:val="both"/>
        <w:ind w:right="160"/>
        <w:spacing w:after="0" w:line="259" w:lineRule="auto"/>
        <w:rPr>
          <w:sz w:val="20"/>
          <w:szCs w:val="20"/>
          <w:color w:val="auto"/>
        </w:rPr>
      </w:pPr>
      <w:r>
        <w:rPr>
          <w:rFonts w:ascii="Arial" w:cs="Arial" w:eastAsia="Arial" w:hAnsi="Arial"/>
          <w:sz w:val="18"/>
          <w:szCs w:val="18"/>
          <w:color w:val="auto"/>
        </w:rPr>
        <w:t>the form of an in-service distribution, payable either in a lump sum or in up to fifteen annual installments commencing on a date specified by the Director in his or her distribution election. Payments may commence sooner upon the Director’s earlier separation from service, upon the death of the Director, in the event of an unforeseeable financial emergency or upon a change of control. Payments from the notional common stock fund are made in shares of our common stock, while payments from all other investments are paid in cash.</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Mandatory Retirement. </w:t>
      </w:r>
      <w:r>
        <w:rPr>
          <w:rFonts w:ascii="Arial" w:cs="Arial" w:eastAsia="Arial" w:hAnsi="Arial"/>
          <w:sz w:val="17"/>
          <w:szCs w:val="17"/>
          <w:color w:val="auto"/>
        </w:rPr>
        <w:t>The retirement policy for our Board prohibits a Director from standing for re-election following his or her 75</w:t>
      </w:r>
      <w:r>
        <w:rPr>
          <w:rFonts w:ascii="Arial" w:cs="Arial" w:eastAsia="Arial" w:hAnsi="Arial"/>
          <w:sz w:val="9"/>
          <w:szCs w:val="9"/>
          <w:color w:val="auto"/>
        </w:rPr>
        <w:t>th</w:t>
      </w:r>
      <w:r>
        <w:rPr>
          <w:rFonts w:ascii="Arial" w:cs="Arial" w:eastAsia="Arial" w:hAnsi="Arial"/>
          <w:sz w:val="22"/>
          <w:szCs w:val="22"/>
          <w:b w:val="1"/>
          <w:bCs w:val="1"/>
          <w:color w:val="auto"/>
        </w:rPr>
        <w:t xml:space="preserve"> </w:t>
      </w:r>
      <w:r>
        <w:rPr>
          <w:rFonts w:ascii="Arial" w:cs="Arial" w:eastAsia="Arial" w:hAnsi="Arial"/>
          <w:sz w:val="17"/>
          <w:szCs w:val="17"/>
          <w:color w:val="auto"/>
        </w:rPr>
        <w:t>birthday.</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22"/>
          <w:szCs w:val="22"/>
          <w:b w:val="1"/>
          <w:bCs w:val="1"/>
          <w:color w:val="auto"/>
        </w:rPr>
        <w:t xml:space="preserve">Certain Relationships and Related Transactions. </w:t>
      </w:r>
      <w:r>
        <w:rPr>
          <w:rFonts w:ascii="Arial" w:cs="Arial" w:eastAsia="Arial" w:hAnsi="Arial"/>
          <w:sz w:val="17"/>
          <w:szCs w:val="17"/>
          <w:color w:val="auto"/>
        </w:rPr>
        <w:t>Under our written related party transactions policy, transactions that would require disclosure</w:t>
      </w:r>
      <w:r>
        <w:rPr>
          <w:rFonts w:ascii="Arial" w:cs="Arial" w:eastAsia="Arial" w:hAnsi="Arial"/>
          <w:sz w:val="22"/>
          <w:szCs w:val="22"/>
          <w:b w:val="1"/>
          <w:bCs w:val="1"/>
          <w:color w:val="auto"/>
        </w:rPr>
        <w:t xml:space="preserve"> </w:t>
      </w:r>
      <w:r>
        <w:rPr>
          <w:rFonts w:ascii="Arial" w:cs="Arial" w:eastAsia="Arial" w:hAnsi="Arial"/>
          <w:sz w:val="17"/>
          <w:szCs w:val="17"/>
          <w:color w:val="auto"/>
        </w:rPr>
        <w:t>under SEC regulations must be approved in advance by the Audit Committee. Prior to entering into a transaction covered by the policy, the person proposing to enter into the transaction must provide a notice to our Vice President – Audit Services, who must promptly forward the notice to the Chair of the Audit Committee. Following a reasonable review by the Audit Committee, the transaction is permissible if the Audit Committee finds that, notwithstanding the involvement of a related person, there is an appropriate business reason to approve the transaction.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We had no related party transactions in 2021. To our knowledge, no related party transactions are currently proposed.</w:t>
      </w:r>
    </w:p>
    <w:p>
      <w:pPr>
        <w:spacing w:after="0" w:line="200" w:lineRule="exact"/>
        <w:rPr>
          <w:sz w:val="20"/>
          <w:szCs w:val="20"/>
          <w:color w:val="auto"/>
        </w:rPr>
      </w:pPr>
    </w:p>
    <w:p>
      <w:pPr>
        <w:spacing w:after="0" w:line="305"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b w:val="1"/>
          <w:bCs w:val="1"/>
          <w:color w:val="auto"/>
        </w:rPr>
        <w:t>16</w:t>
        <w:tab/>
        <w:t>AMETEK, INC.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22"/>
          <w:szCs w:val="22"/>
          <w:b w:val="1"/>
          <w:bCs w:val="1"/>
          <w:color w:val="auto"/>
        </w:rPr>
        <w:t>STOCKHOLDER PROPOSALS AND DIRECTOR NOMINATIONS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FOR THE 2023 ANNUAL MEETING</w:t>
      </w:r>
    </w:p>
    <w:p>
      <w:pPr>
        <w:spacing w:after="0" w:line="169" w:lineRule="exact"/>
        <w:rPr>
          <w:sz w:val="20"/>
          <w:szCs w:val="20"/>
          <w:color w:val="auto"/>
        </w:rPr>
      </w:pPr>
    </w:p>
    <w:p>
      <w:pPr>
        <w:ind w:right="80"/>
        <w:spacing w:after="0" w:line="269" w:lineRule="auto"/>
        <w:rPr>
          <w:sz w:val="20"/>
          <w:szCs w:val="20"/>
          <w:color w:val="auto"/>
        </w:rPr>
      </w:pPr>
      <w:r>
        <w:rPr>
          <w:rFonts w:ascii="Arial" w:cs="Arial" w:eastAsia="Arial" w:hAnsi="Arial"/>
          <w:sz w:val="22"/>
          <w:szCs w:val="22"/>
          <w:b w:val="1"/>
          <w:bCs w:val="1"/>
          <w:color w:val="auto"/>
        </w:rPr>
        <w:t>Advance Notice Procedures for Stockholder Proposals and Director Nominations Not Intended for Inclusion in the Proxy Statement for the 2023 Annual Meeting</w:t>
      </w:r>
    </w:p>
    <w:p>
      <w:pPr>
        <w:spacing w:after="0" w:line="121"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In accordance with our By-Laws, stockholders must give us notice relating to nominations for Director or proposed business to be considered at our 2023 Annual Meeting of Stockholders, other than in connection with a proxy access nomination, no earlier than January 5, 2023 and no later than February 4, 2023. These requirements do not affect the deadline for submitting stockholder proposals or director nominations for inclusion in the proxy statement, or for recommending candidates for consideration by the GNC, nor do they apply to questions a stockholder may wish to ask at the meeting.</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Nominations for Inclusion in the Proxy Statement for the 2023 Annual Meeting</w:t>
      </w:r>
    </w:p>
    <w:p>
      <w:pPr>
        <w:spacing w:after="0" w:line="192"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In accordance with our By-Laws, a stockholder or group of up to twenty stockholders who have owned at least 3% of our common stock for at least three years may submit Director nominees (up to the greater of two Directors or 20% of the Board) for inclusion in our proxy materials if the stockholder(s) provide timely written notice of such nomination(s) and the stockholder(s) and the nominee(s) satisfy the requirements specified in our By-Laws. To be timely for inclusion in our proxy materials for the 2023 Annual Meeting of Stockholders, notice must be received by the Corporate Secretary at our principal executive offices no earlier than the close of business on October 15, 2022 and no later than the close of business on November 14, 2022. The notice must contain the information required by our By-Laws, and the stockholder(s) and nominee(s) must comply with the information and other requirements in our By-Laws relating to the inclusion of stockholder nominees in our proxy materials.</w:t>
      </w:r>
    </w:p>
    <w:p>
      <w:pPr>
        <w:spacing w:after="0" w:line="1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Stockholders may request a copy of the By-Law provisions discussed above from the Corporate Secretary, AMETEK, Inc., 1100 Cassatt Road, Berwyn, PA 19312-1177.</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Stockholder Proposals for the 2023 Proxy Statement</w:t>
      </w:r>
    </w:p>
    <w:p>
      <w:pPr>
        <w:spacing w:after="0" w:line="19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To be considered for inclusion in the proxy statement for the 2023 Annual Meeting of Stockholders, stockholder proposals must be received at our executive offices no later than November 14, 2022.</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Universal Proxy</w:t>
      </w:r>
    </w:p>
    <w:p>
      <w:pPr>
        <w:spacing w:after="0" w:line="179"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To comply with the universal proxy rules, once effective, stockholders who intend to solicit proxies in support of Director nominees other than our nominees must provide notice that sets forth the information required by Rule 14a-19 under the Exchange Act no later than March 6, 2023.</w:t>
      </w:r>
    </w:p>
    <w:p>
      <w:pPr>
        <w:spacing w:after="0" w:line="200" w:lineRule="exact"/>
        <w:rPr>
          <w:sz w:val="20"/>
          <w:szCs w:val="20"/>
          <w:color w:val="auto"/>
        </w:rPr>
      </w:pPr>
    </w:p>
    <w:p>
      <w:pPr>
        <w:spacing w:after="0" w:line="21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8"/>
          <w:szCs w:val="18"/>
          <w:b w:val="1"/>
          <w:bCs w:val="1"/>
          <w:color w:val="auto"/>
        </w:rPr>
        <w:t>AMETEK, INC. 2022 Proxy Statement</w:t>
      </w:r>
      <w:r>
        <w:rPr>
          <w:sz w:val="20"/>
          <w:szCs w:val="20"/>
          <w:color w:val="auto"/>
        </w:rPr>
        <w:tab/>
      </w:r>
      <w:r>
        <w:rPr>
          <w:rFonts w:ascii="Arial" w:cs="Arial" w:eastAsia="Arial" w:hAnsi="Arial"/>
          <w:sz w:val="16"/>
          <w:szCs w:val="16"/>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22" w:name="page23"/>
    <w:bookmarkEnd w:id="22"/>
    <w:p>
      <w:pPr>
        <w:jc w:val="center"/>
        <w:ind w:right="-119"/>
        <w:spacing w:after="0"/>
        <w:rPr>
          <w:sz w:val="20"/>
          <w:szCs w:val="20"/>
          <w:color w:val="auto"/>
        </w:rPr>
      </w:pPr>
      <w:r>
        <w:rPr>
          <w:rFonts w:ascii="Arial" w:cs="Arial" w:eastAsia="Arial" w:hAnsi="Arial"/>
          <w:sz w:val="22"/>
          <w:szCs w:val="22"/>
          <w:b w:val="1"/>
          <w:bCs w:val="1"/>
          <w:color w:val="auto"/>
        </w:rPr>
        <w:t>REPORT OF THE AUDIT COMMITTEE</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 responsibilities of the Audit Committee are set forth in its charter, which is accessible at the Investors section of our corporate website, www.ametek.com. Among other things, the charter charges the Committee with the responsibility for reviewing our audited financial statements and the financial reporting process. In fulfilling its oversight responsibilities, the Committee reviewed with management and Ernst &amp; Young LLP, our independent registered public accounting firm, the audited financial statements contained in our 2021 Annual Report on Form 10-K. The Committee discussed with Ernst &amp; Young LLP the matters required to be discussed by Statement on Auditing Standards No. 16,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 as adopted by the Public Company Accounting Oversight Board.</w:t>
      </w:r>
    </w:p>
    <w:p>
      <w:pPr>
        <w:spacing w:after="0" w:line="1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addition, the Committee received the written disclosures and letter from Ernst &amp; Young LLP in accordance with the applicable standards of the Public Company Accounting Oversight Board, and has discussed with Ernst &amp; Young LLP its independence.</w:t>
      </w:r>
    </w:p>
    <w:p>
      <w:pPr>
        <w:spacing w:after="0" w:line="13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Committee discussed with our internal auditors and Ernst &amp; Young LLP the overall scope and plans for their respective audits. The Committee met with the internal auditors and Ernst &amp; Young LLP, with and without management present, to discuss the results of their examinations, their evaluations of our disclosure control process and internal control over financial reporting, and the overall quality of our financial reporting. The Committee held eight meetings during 2021, which included meetings prior to quarterly earnings announcements.</w:t>
      </w:r>
    </w:p>
    <w:p>
      <w:pPr>
        <w:spacing w:after="0" w:line="16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Based on the reviews and discussions referred to above, the Committee recommended to the Board of Directors, and the Board approved, the inclusion of the audited financial statements in our Annual Report on Form 10-K for the fiscal year ended December 31, 2021, for filing with the Securities and Exchange Commission.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Respectfully submitted,</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Audit Committee:</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Anthony J. Conti, Chair</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Steven W. Kohlhagen</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Gretchen W. McClain</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Karleen M. Oberton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14, 2022</w:t>
      </w:r>
    </w:p>
    <w:p>
      <w:pPr>
        <w:spacing w:after="0" w:line="200" w:lineRule="exact"/>
        <w:rPr>
          <w:sz w:val="20"/>
          <w:szCs w:val="20"/>
          <w:color w:val="auto"/>
        </w:rPr>
      </w:pPr>
    </w:p>
    <w:p>
      <w:pPr>
        <w:spacing w:after="0" w:line="318"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b w:val="1"/>
          <w:bCs w:val="1"/>
          <w:color w:val="auto"/>
        </w:rPr>
        <w:t>18</w:t>
        <w:tab/>
        <w:t>AMETEK, INC.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140"/>
          </w:cols>
          <w:pgMar w:left="320" w:top="1111" w:right="4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22"/>
          <w:szCs w:val="22"/>
          <w:b w:val="1"/>
          <w:bCs w:val="1"/>
          <w:color w:val="auto"/>
        </w:rPr>
        <w:t>ELECTION OF DIRECTORS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(Proposal 1 on Proxy Card)</w:t>
      </w:r>
    </w:p>
    <w:p>
      <w:pPr>
        <w:spacing w:after="0" w:line="168"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The nominees for election at this year’s meeting are Steven W. Kohlhagen, Dean Seavers and David A. Zapico, who have been nominated to serve as Class I Directors and, if elected, will serve for three-year terms expiring at the 2025 Annual Meeting of Stockholders. There are no other nominees competing for their seats on the Board. This means we have an uncontested election.</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If a quorum is present, Directors in uncontested elections are elected by a majority of the votes cast, via the webcast or by proxy. This means that the nominees will be elected if they receive more “for” votes than “against” votes. Votes marked “for” a nominee will be counted in favor of that nominee. Votes marked “abstain” will have no effect on the vote since a majority of the votes cast at the meeting is required for the election of each nominee. Since we do not have cumulative voting, you may not cast all of your votes “for” a single Director nominee. Any nominee for Director who does not receive a majority of votes cast shall immediately tender his or her resignation for consideration by the GNC. The Committee will promptly consider the resignation tendered by the Director and will recommend to the Board whether to accept the tendered resignation or reject it. In considering whether to accept or reject the tendered resignation, the Committee will weigh all factors it deems relevant, including the reasons for the “against” votes by stockholders, the length of service and qualifications of the Director, and the Director’s contributions to AMETEK. No Director whose tendered resignation is under consideration will participate in the deliberation process as a member of the GNC or the process of the Board described below. The Board will act on the GNC’s recommendation within 120 days following certification of the stockholders’ vote and will promptly disclose (by press release, filing of a Current Report on Form 8-K or any other public means of disclosure deemed appropriate) its decision regarding whether to accept the Director’s resignation offer. In considering the GNC’s recommendation, the Board will weigh the factors considered by the Committee and any additional information deemed relevant by the Board. If any Directors’ resignations are accepted by the Board, the GNC will recommend to the Board whether to fill such vacancy or vacancies or to reduce the size of the Board.</w:t>
      </w:r>
    </w:p>
    <w:p>
      <w:pPr>
        <w:spacing w:after="0" w:line="144" w:lineRule="exact"/>
        <w:rPr>
          <w:sz w:val="20"/>
          <w:szCs w:val="20"/>
          <w:color w:val="auto"/>
        </w:rPr>
      </w:pPr>
    </w:p>
    <w:p>
      <w:pPr>
        <w:ind w:right="4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If any nominee is unable to serve, the shares represented by all valid proxies will be voted for the election of such other person as the Board may nominate, unless the Board determines to reduce the number of Directors. The Directors’ biographies are set forth on pages </w:t>
      </w:r>
      <w:hyperlink w:anchor="page27">
        <w:r>
          <w:rPr>
            <w:rFonts w:ascii="Arial" w:cs="Arial" w:eastAsia="Arial" w:hAnsi="Arial"/>
            <w:sz w:val="18"/>
            <w:szCs w:val="18"/>
            <w:u w:val="single" w:color="auto"/>
            <w:color w:val="0000FF"/>
          </w:rPr>
          <w:t>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through </w:t>
      </w:r>
      <w:hyperlink w:anchor="page30">
        <w:r>
          <w:rPr>
            <w:rFonts w:ascii="Arial" w:cs="Arial" w:eastAsia="Arial" w:hAnsi="Arial"/>
            <w:sz w:val="18"/>
            <w:szCs w:val="18"/>
            <w:u w:val="single" w:color="auto"/>
            <w:color w:val="0000FF"/>
          </w:rPr>
          <w:t>25</w:t>
        </w:r>
      </w:hyperlink>
      <w:r>
        <w:rPr>
          <w:rFonts w:ascii="Arial" w:cs="Arial" w:eastAsia="Arial" w:hAnsi="Arial"/>
          <w:sz w:val="18"/>
          <w:szCs w:val="18"/>
          <w:color w:val="auto"/>
        </w:rPr>
        <w:t xml:space="preserve">, and a summary of their skills and attributes is set forth on page </w:t>
      </w:r>
      <w:hyperlink w:anchor="page26">
        <w:r>
          <w:rPr>
            <w:rFonts w:ascii="Arial" w:cs="Arial" w:eastAsia="Arial" w:hAnsi="Arial"/>
            <w:sz w:val="18"/>
            <w:szCs w:val="18"/>
            <w:u w:val="single" w:color="auto"/>
            <w:color w:val="0000FF"/>
          </w:rPr>
          <w:t>22</w:t>
        </w:r>
      </w:hyperlink>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22"/>
          <w:szCs w:val="22"/>
          <w:b w:val="1"/>
          <w:bCs w:val="1"/>
          <w:color w:val="auto"/>
        </w:rPr>
        <w:t>Your Board of Directors Recommends a Vote FOR Each of the Nominees.</w:t>
      </w:r>
    </w:p>
    <w:p>
      <w:pPr>
        <w:spacing w:after="0" w:line="200" w:lineRule="exact"/>
        <w:rPr>
          <w:rFonts w:ascii="Arial" w:cs="Arial" w:eastAsia="Arial" w:hAnsi="Arial"/>
          <w:sz w:val="18"/>
          <w:szCs w:val="18"/>
          <w:color w:val="auto"/>
        </w:rPr>
      </w:pPr>
    </w:p>
    <w:p>
      <w:pPr>
        <w:spacing w:after="0" w:line="299" w:lineRule="exact"/>
        <w:rPr>
          <w:rFonts w:ascii="Arial" w:cs="Arial" w:eastAsia="Arial" w:hAnsi="Arial"/>
          <w:sz w:val="18"/>
          <w:szCs w:val="18"/>
          <w:color w:val="auto"/>
        </w:rPr>
      </w:pPr>
    </w:p>
    <w:p>
      <w:pPr>
        <w:ind w:left="7780"/>
        <w:spacing w:after="0"/>
        <w:tabs>
          <w:tab w:leader="none" w:pos="11020" w:val="left"/>
        </w:tabs>
        <w:rPr>
          <w:sz w:val="20"/>
          <w:szCs w:val="20"/>
          <w:color w:val="auto"/>
        </w:rPr>
      </w:pPr>
      <w:r>
        <w:rPr>
          <w:rFonts w:ascii="Arial" w:cs="Arial" w:eastAsia="Arial" w:hAnsi="Arial"/>
          <w:sz w:val="18"/>
          <w:szCs w:val="18"/>
          <w:b w:val="1"/>
          <w:bCs w:val="1"/>
          <w:color w:val="auto"/>
        </w:rPr>
        <w:t>AMETEK, INC. 2022 Proxy Statement</w:t>
      </w:r>
      <w:r>
        <w:rPr>
          <w:sz w:val="20"/>
          <w:szCs w:val="20"/>
          <w:color w:val="auto"/>
        </w:rPr>
        <w:tab/>
      </w:r>
      <w:r>
        <w:rPr>
          <w:rFonts w:ascii="Arial" w:cs="Arial" w:eastAsia="Arial" w:hAnsi="Arial"/>
          <w:sz w:val="16"/>
          <w:szCs w:val="16"/>
          <w:b w:val="1"/>
          <w:bCs w:val="1"/>
          <w:color w:val="auto"/>
        </w:rPr>
        <w:t>19</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4" w:name="page25"/>
    <w:bookmarkEnd w:id="24"/>
    <w:p>
      <w:pPr>
        <w:jc w:val="center"/>
        <w:ind w:right="-59"/>
        <w:spacing w:after="0"/>
        <w:rPr>
          <w:sz w:val="20"/>
          <w:szCs w:val="20"/>
          <w:color w:val="auto"/>
        </w:rPr>
      </w:pPr>
      <w:r>
        <w:rPr>
          <w:rFonts w:ascii="Arial" w:cs="Arial" w:eastAsia="Arial" w:hAnsi="Arial"/>
          <w:sz w:val="22"/>
          <w:szCs w:val="22"/>
          <w:b w:val="1"/>
          <w:bCs w:val="1"/>
          <w:color w:val="auto"/>
        </w:rPr>
        <w:t>ADVISORY APPROVAL OF THE COMPANY’S EXECUTIVE COMPENSATION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(Proposal 2 on Proxy Card)</w:t>
      </w:r>
    </w:p>
    <w:p>
      <w:pPr>
        <w:spacing w:after="0" w:line="16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Pursuant to Section 14A of the Securities Exchange Act of 1934, we are providing our stockholders with the right to approve, on a non-binding, advisory basis, the compensation of our “named executive officers” as disclosed in this proxy statement under the heading “Executive Compensation – Compensation Discussion and Analysis” and the tabular disclosures of this proxy statement. In accordance with the results of the last advisory vote on the appropriate frequency of our advisory vote on executive compensation at our 2017 Annual Meeting, our Board determined to implement an annual non-binding stockholder vote on our executive compensation (commonly referred to as “say-on-pay”). Our Board has had a long-standing commitment to good corporate governance and recognizes the interest that investors have in executive compensation. We also are committed to achieving a high level of total return to our stockholders.</w:t>
      </w:r>
    </w:p>
    <w:p>
      <w:pPr>
        <w:spacing w:after="0" w:line="154" w:lineRule="exact"/>
        <w:rPr>
          <w:sz w:val="20"/>
          <w:szCs w:val="20"/>
          <w:color w:val="auto"/>
        </w:rPr>
      </w:pPr>
    </w:p>
    <w:p>
      <w:pPr>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We encourage you to review the Compensation Discussion and Analysis beginning on page </w:t>
      </w:r>
      <w:hyperlink w:anchor="page32">
        <w:r>
          <w:rPr>
            <w:rFonts w:ascii="Arial" w:cs="Arial" w:eastAsia="Arial" w:hAnsi="Arial"/>
            <w:sz w:val="18"/>
            <w:szCs w:val="18"/>
            <w:u w:val="single" w:color="auto"/>
            <w:color w:val="0000FF"/>
          </w:rPr>
          <w:t>27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of this proxy statement, as well as the Summary Compensation Table and related compensation tables and narrative, appearing on pages </w:t>
      </w:r>
      <w:hyperlink w:anchor="page41">
        <w:r>
          <w:rPr>
            <w:rFonts w:ascii="Arial" w:cs="Arial" w:eastAsia="Arial" w:hAnsi="Arial"/>
            <w:sz w:val="18"/>
            <w:szCs w:val="18"/>
            <w:u w:val="single" w:color="auto"/>
            <w:color w:val="0000FF"/>
          </w:rPr>
          <w:t>36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through </w:t>
      </w:r>
      <w:hyperlink w:anchor="page50">
        <w:r>
          <w:rPr>
            <w:rFonts w:ascii="Arial" w:cs="Arial" w:eastAsia="Arial" w:hAnsi="Arial"/>
            <w:sz w:val="18"/>
            <w:szCs w:val="18"/>
            <w:u w:val="single" w:color="auto"/>
            <w:color w:val="0000FF"/>
          </w:rPr>
          <w:t>45</w:t>
        </w:r>
      </w:hyperlink>
      <w:r>
        <w:rPr>
          <w:rFonts w:ascii="Arial" w:cs="Arial" w:eastAsia="Arial" w:hAnsi="Arial"/>
          <w:sz w:val="18"/>
          <w:szCs w:val="18"/>
          <w:color w:val="auto"/>
        </w:rPr>
        <w:t>, which provide detailed information on our compensation policies and practices and the compensation of our named executive officers. Our compensation program is designed to attract, motivate and retain the talent required to achieve the short- and long-term performance goals necessary to create stockholder value. Our balanced approach to executive compensation through a combination of base pay, annual incentives and long-term incentives, with a mix of cash and non-cash awards, aligns with creating and sustaining stockholder value.</w:t>
      </w:r>
    </w:p>
    <w:p>
      <w:pPr>
        <w:spacing w:after="0" w:line="152"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7"/>
          <w:szCs w:val="17"/>
          <w:color w:val="auto"/>
        </w:rPr>
        <w:t>The Board strongly endorses our executive compensation program and recommends that the stockholders vote in favor of the following resolution:</w:t>
      </w:r>
    </w:p>
    <w:p>
      <w:pPr>
        <w:spacing w:after="0" w:line="210" w:lineRule="exact"/>
        <w:rPr>
          <w:rFonts w:ascii="Arial" w:cs="Arial" w:eastAsia="Arial" w:hAnsi="Arial"/>
          <w:sz w:val="18"/>
          <w:szCs w:val="18"/>
          <w:color w:val="auto"/>
        </w:rPr>
      </w:pPr>
    </w:p>
    <w:p>
      <w:pPr>
        <w:ind w:right="220"/>
        <w:spacing w:after="0" w:line="286" w:lineRule="auto"/>
        <w:rPr>
          <w:sz w:val="20"/>
          <w:szCs w:val="20"/>
          <w:color w:val="auto"/>
        </w:rPr>
      </w:pPr>
      <w:r>
        <w:rPr>
          <w:rFonts w:ascii="Arial" w:cs="Arial" w:eastAsia="Arial" w:hAnsi="Arial"/>
          <w:sz w:val="17"/>
          <w:szCs w:val="17"/>
          <w:color w:val="auto"/>
        </w:rPr>
        <w:t>“RESOLVED, that the stockholders approve the compensation of the Company’s executives named in the Summary Compensation Table, as disclosed pursuant to the compensation disclosure rules of the Securities and Exchange Commission (which disclosure includes the Compensation Discussion and Analysis and the accompanying compensation tables and related material disclosed in this Proxy Statement).”</w:t>
      </w:r>
    </w:p>
    <w:p>
      <w:pPr>
        <w:spacing w:after="0" w:line="125" w:lineRule="exact"/>
        <w:rPr>
          <w:rFonts w:ascii="Arial" w:cs="Arial" w:eastAsia="Arial" w:hAnsi="Arial"/>
          <w:sz w:val="18"/>
          <w:szCs w:val="18"/>
          <w:color w:val="auto"/>
        </w:rPr>
      </w:pPr>
    </w:p>
    <w:p>
      <w:pPr>
        <w:ind w:right="40"/>
        <w:spacing w:after="0" w:line="263" w:lineRule="auto"/>
        <w:rPr>
          <w:sz w:val="20"/>
          <w:szCs w:val="20"/>
          <w:color w:val="auto"/>
        </w:rPr>
      </w:pPr>
      <w:r>
        <w:rPr>
          <w:rFonts w:ascii="Arial" w:cs="Arial" w:eastAsia="Arial" w:hAnsi="Arial"/>
          <w:sz w:val="18"/>
          <w:szCs w:val="18"/>
          <w:color w:val="auto"/>
        </w:rPr>
        <w:t>The affirmative vote of the holders of a majority of eligible shares present at the meeting, via webcast or by proxy, and voting on the matter is required to approve this proposal. Abstentions and broker non-votes will each be counted as present for purposes of determining a quorum but will not have any effect on the outcome of the proposal.</w:t>
      </w:r>
    </w:p>
    <w:p>
      <w:pPr>
        <w:spacing w:after="0" w:line="143" w:lineRule="exact"/>
        <w:rPr>
          <w:rFonts w:ascii="Arial" w:cs="Arial" w:eastAsia="Arial" w:hAnsi="Arial"/>
          <w:sz w:val="18"/>
          <w:szCs w:val="18"/>
          <w:color w:val="auto"/>
        </w:rPr>
      </w:pPr>
    </w:p>
    <w:p>
      <w:pPr>
        <w:ind w:right="200"/>
        <w:spacing w:after="0" w:line="277" w:lineRule="auto"/>
        <w:rPr>
          <w:sz w:val="20"/>
          <w:szCs w:val="20"/>
          <w:color w:val="auto"/>
        </w:rPr>
      </w:pPr>
      <w:r>
        <w:rPr>
          <w:rFonts w:ascii="Arial" w:cs="Arial" w:eastAsia="Arial" w:hAnsi="Arial"/>
          <w:sz w:val="18"/>
          <w:szCs w:val="18"/>
          <w:color w:val="auto"/>
        </w:rPr>
        <w:t>Although the vote is non-binding, our Board and Compensation Committee will take into account the outcome of the vote when making future decisions about our executive compensation policies and procedures.</w:t>
      </w:r>
    </w:p>
    <w:p>
      <w:pPr>
        <w:spacing w:after="0" w:line="139"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Your Board of Directors Recommends a Vote FOR the Approval of the Company’s Executive Compensation.</w:t>
      </w:r>
    </w:p>
    <w:p>
      <w:pPr>
        <w:spacing w:after="0" w:line="200" w:lineRule="exact"/>
        <w:rPr>
          <w:rFonts w:ascii="Arial" w:cs="Arial" w:eastAsia="Arial" w:hAnsi="Arial"/>
          <w:sz w:val="18"/>
          <w:szCs w:val="18"/>
          <w:color w:val="auto"/>
        </w:rPr>
      </w:pPr>
    </w:p>
    <w:p>
      <w:pPr>
        <w:spacing w:after="0" w:line="309" w:lineRule="exact"/>
        <w:rPr>
          <w:rFonts w:ascii="Arial" w:cs="Arial" w:eastAsia="Arial" w:hAnsi="Arial"/>
          <w:sz w:val="18"/>
          <w:szCs w:val="18"/>
          <w:color w:val="auto"/>
        </w:rPr>
      </w:pPr>
    </w:p>
    <w:p>
      <w:pPr>
        <w:ind w:left="20"/>
        <w:spacing w:after="0"/>
        <w:tabs>
          <w:tab w:leader="none" w:pos="440" w:val="left"/>
        </w:tabs>
        <w:rPr>
          <w:sz w:val="20"/>
          <w:szCs w:val="20"/>
          <w:color w:val="auto"/>
        </w:rPr>
      </w:pPr>
      <w:r>
        <w:rPr>
          <w:rFonts w:ascii="Arial" w:cs="Arial" w:eastAsia="Arial" w:hAnsi="Arial"/>
          <w:sz w:val="18"/>
          <w:szCs w:val="18"/>
          <w:b w:val="1"/>
          <w:bCs w:val="1"/>
          <w:color w:val="auto"/>
        </w:rPr>
        <w:t>20</w:t>
        <w:tab/>
        <w:t>AMETEK, INC. 2022 Proxy Statement</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00"/>
          </w:cols>
          <w:pgMar w:left="320" w:top="1111" w:right="379" w:bottom="1440" w:gutter="0" w:footer="0" w:header="0"/>
        </w:sectPr>
      </w:pPr>
    </w:p>
    <w:bookmarkStart w:id="25" w:name="page26"/>
    <w:bookmarkEnd w:id="25"/>
    <w:p>
      <w:pPr>
        <w:jc w:val="center"/>
        <w:ind w:left="340" w:right="2560"/>
        <w:spacing w:after="0" w:line="256" w:lineRule="auto"/>
        <w:rPr>
          <w:sz w:val="20"/>
          <w:szCs w:val="20"/>
          <w:color w:val="auto"/>
        </w:rPr>
      </w:pPr>
      <w:r>
        <w:rPr>
          <w:rFonts w:ascii="Arial" w:cs="Arial" w:eastAsia="Arial" w:hAnsi="Arial"/>
          <w:sz w:val="22"/>
          <w:szCs w:val="22"/>
          <w:b w:val="1"/>
          <w:bCs w:val="1"/>
          <w:color w:val="auto"/>
        </w:rPr>
        <w:t>RATIFICATION OF APPOINTMENT OF INDEPENDENT REGISTERED PUBLIC ACCOUNTING FIRM (Proposal 3 on Proxy Card)</w:t>
      </w:r>
    </w:p>
    <w:p>
      <w:pPr>
        <w:spacing w:after="0" w:line="149" w:lineRule="exact"/>
        <w:rPr>
          <w:sz w:val="20"/>
          <w:szCs w:val="20"/>
          <w:color w:val="auto"/>
        </w:rPr>
      </w:pPr>
    </w:p>
    <w:p>
      <w:pPr>
        <w:jc w:val="both"/>
        <w:ind w:right="240"/>
        <w:spacing w:after="0" w:line="301" w:lineRule="auto"/>
        <w:rPr>
          <w:sz w:val="20"/>
          <w:szCs w:val="20"/>
          <w:color w:val="auto"/>
        </w:rPr>
      </w:pPr>
      <w:r>
        <w:rPr>
          <w:rFonts w:ascii="Arial" w:cs="Arial" w:eastAsia="Arial" w:hAnsi="Arial"/>
          <w:sz w:val="16"/>
          <w:szCs w:val="16"/>
          <w:color w:val="auto"/>
        </w:rPr>
        <w:t>The Audit Committee is directly responsible for the appointment, compensation, retention and oversight of our independent registered public accounting firm. To execute this responsibility, the Audit Committee engages in a comprehensive annual evaluation of the independent registered public accounting firm’s qualifications, performance and independence. Further, the Audit Committee evaluates whether the independent registered public accounting firm should be rotated, and considers the advisability and potential impact of selecting a different independent registered public accounting firm.</w:t>
      </w:r>
    </w:p>
    <w:p>
      <w:pPr>
        <w:spacing w:after="0" w:line="11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Audit Committee has selected, and the Board has ratified the selection of, Ernst &amp; Young LLP to serve as our independent registered public accounting firm for the fiscal year ending December 31, 2022. The Audit Committee is responsible for the audit fee negotiations associated with our retention of Ernst &amp; Young LLP. Further, in conjunction with the mandated rotation of the audit firm’s lead engagement partner, the Chair and other members of the Audit Committee are directly involved in the selection of Ernst &amp; Young LLP’s new lead engagement partner. Ernst &amp; Young LLP and its predecessor have served continuously as our independent auditors since our incorporation in 1930.</w:t>
      </w:r>
    </w:p>
    <w:p>
      <w:pPr>
        <w:spacing w:after="0" w:line="13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Audit Committee and the Board believe that the continued retention of Ernst &amp; Young LLP as our independent registered public accounting firm is in the best interest of AMETEK and our stockholders, and we are asking our stockholders to ratify the selection of Ernst &amp; Young LLP as our independent registered public accounting firm for 2022. Although action by stockholders on this matter is not required, the Audit Committee believes that it is appropriate to seek stockholder ratification of this appointment, and the Audit Committee may reconsider the appointment if the stockholders do not ratify it.</w:t>
      </w:r>
    </w:p>
    <w:p>
      <w:pPr>
        <w:spacing w:after="0" w:line="16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Fees billed to us by Ernst &amp; Young LLP for services rendered in 2021 and 2020 totaled $9,558,000 and $7,961,000 respectively, and consisted of the following: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Audit fees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7,440,000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6,457,000</w:t>
            </w: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Audit-related fees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53,000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53,000</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fees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2,060,000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1,446,000</w:t>
            </w:r>
          </w:p>
        </w:tc>
      </w:tr>
      <w:tr>
        <w:trPr>
          <w:trHeight w:val="23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fees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9,558,000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7,961,000</w:t>
            </w:r>
          </w:p>
        </w:tc>
      </w:tr>
    </w:tbl>
    <w:p>
      <w:pPr>
        <w:spacing w:after="0" w:line="25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“Audit fees” includes amounts for statutory audits and attestation services related to our internal control over financial reporting for compliance with Section 404 of the Sarbanes-Oxley Act of 2002.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amounts shown for “Audit-related fees” relate to fees for audits of employee benefit plans.</w:t>
      </w:r>
    </w:p>
    <w:p>
      <w:pPr>
        <w:spacing w:after="0" w:line="19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amounts shown for “Tax fees” relate to federal and state tax advice, acquisition tax planning, assistance with international tax compliance and international tax consulting.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amounts shown for “All other fees” relate to online accounting research subscriptions.</w:t>
      </w:r>
    </w:p>
    <w:p>
      <w:pPr>
        <w:spacing w:after="0" w:line="18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affirmative vote of the holders of a majority of eligible shares present at the meeting, via webcast or by proxy, and voting on the matter is required to ratify the appointment of Ernst &amp; Young LLP.</w:t>
      </w:r>
    </w:p>
    <w:p>
      <w:pPr>
        <w:spacing w:after="0" w:line="14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Representatives of Ernst &amp; Young LLP will be present at the meeting. They will have an opportunity to make a statement if they desire and will be available to respond to appropriate questions.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Your Board of Directors Recommends a Vote FOR Ratification.</w:t>
      </w:r>
    </w:p>
    <w:p>
      <w:pPr>
        <w:spacing w:after="0" w:line="200" w:lineRule="exact"/>
        <w:rPr>
          <w:sz w:val="20"/>
          <w:szCs w:val="20"/>
          <w:color w:val="auto"/>
        </w:rPr>
      </w:pPr>
    </w:p>
    <w:p>
      <w:pPr>
        <w:spacing w:after="0" w:line="299" w:lineRule="exact"/>
        <w:rPr>
          <w:sz w:val="20"/>
          <w:szCs w:val="20"/>
          <w:color w:val="auto"/>
        </w:rPr>
      </w:pPr>
    </w:p>
    <w:p>
      <w:pPr>
        <w:ind w:left="7780"/>
        <w:spacing w:after="0"/>
        <w:tabs>
          <w:tab w:leader="none" w:pos="11020" w:val="left"/>
        </w:tabs>
        <w:rPr>
          <w:sz w:val="20"/>
          <w:szCs w:val="20"/>
          <w:color w:val="auto"/>
        </w:rPr>
      </w:pPr>
      <w:r>
        <w:rPr>
          <w:rFonts w:ascii="Arial" w:cs="Arial" w:eastAsia="Arial" w:hAnsi="Arial"/>
          <w:sz w:val="18"/>
          <w:szCs w:val="18"/>
          <w:b w:val="1"/>
          <w:bCs w:val="1"/>
          <w:color w:val="auto"/>
        </w:rPr>
        <w:t>AMETEK, INC. 2022 Proxy Statement</w:t>
      </w:r>
      <w:r>
        <w:rPr>
          <w:sz w:val="20"/>
          <w:szCs w:val="20"/>
          <w:color w:val="auto"/>
        </w:rPr>
        <w:tab/>
      </w:r>
      <w:r>
        <w:rPr>
          <w:rFonts w:ascii="Arial" w:cs="Arial" w:eastAsia="Arial" w:hAnsi="Arial"/>
          <w:sz w:val="16"/>
          <w:szCs w:val="16"/>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6" w:name="page27"/>
    <w:bookmarkEnd w:id="26"/>
    <w:p>
      <w:pPr>
        <w:jc w:val="center"/>
        <w:ind w:right="-159"/>
        <w:spacing w:after="0"/>
        <w:rPr>
          <w:sz w:val="20"/>
          <w:szCs w:val="20"/>
          <w:color w:val="auto"/>
        </w:rPr>
      </w:pPr>
      <w:r>
        <w:rPr>
          <w:rFonts w:ascii="Arial" w:cs="Arial" w:eastAsia="Arial" w:hAnsi="Arial"/>
          <w:sz w:val="22"/>
          <w:szCs w:val="22"/>
          <w:b w:val="1"/>
          <w:bCs w:val="1"/>
          <w:color w:val="auto"/>
        </w:rPr>
        <w:t>THE BOARD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Overview</w:t>
      </w:r>
    </w:p>
    <w:p>
      <w:pPr>
        <w:spacing w:after="0" w:line="189" w:lineRule="exact"/>
        <w:rPr>
          <w:sz w:val="20"/>
          <w:szCs w:val="20"/>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Our Board is comprised of Directors with diverse skills, background and experience. Additional information on Board membership criteria is set forth on page </w:t>
      </w:r>
      <w:hyperlink w:anchor="page18">
        <w:r>
          <w:rPr>
            <w:rFonts w:ascii="Arial" w:cs="Arial" w:eastAsia="Arial" w:hAnsi="Arial"/>
            <w:sz w:val="18"/>
            <w:szCs w:val="18"/>
            <w:u w:val="single" w:color="auto"/>
            <w:color w:val="0000FF"/>
          </w:rPr>
          <w:t>14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under “Consideration of Director Candidates.”</w:t>
      </w:r>
    </w:p>
    <w:p>
      <w:pPr>
        <w:spacing w:after="0" w:line="204"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Skill and Attributes</w:t>
      </w:r>
    </w:p>
    <w:p>
      <w:pPr>
        <w:spacing w:after="0" w:line="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Out of 8 Board Members</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7"/>
          <w:szCs w:val="17"/>
          <w:color w:val="auto"/>
        </w:rPr>
        <w:t>8 High level of financial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8 Executive leadership development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8 Enterprise risk oversight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6 Broad international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496316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63160" cy="137160"/>
                    </a:xfrm>
                    <a:prstGeom prst="rect">
                      <a:avLst/>
                    </a:prstGeom>
                    <a:noFill/>
                  </pic:spPr>
                </pic:pic>
              </a:graphicData>
            </a:graphic>
          </wp:anchor>
        </w:drawing>
      </w:r>
    </w:p>
    <w:p>
      <w:pPr>
        <w:spacing w:after="0" w:line="2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4 Extensive M&amp;A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342011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0110" cy="137160"/>
                    </a:xfrm>
                    <a:prstGeom prst="rect">
                      <a:avLst/>
                    </a:prstGeom>
                    <a:noFill/>
                  </pic:spPr>
                </pic:pic>
              </a:graphicData>
            </a:graphic>
          </wp:anchor>
        </w:drawing>
      </w:r>
    </w:p>
    <w:p>
      <w:pPr>
        <w:spacing w:after="0" w:line="2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4 Knowledge of strategic marketing and industrial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342011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0110" cy="137160"/>
                    </a:xfrm>
                    <a:prstGeom prst="rect">
                      <a:avLst/>
                    </a:prstGeom>
                    <a:noFill/>
                  </pic:spPr>
                </pic:pic>
              </a:graphicData>
            </a:graphic>
          </wp:anchor>
        </w:drawing>
      </w:r>
    </w:p>
    <w:p>
      <w:pPr>
        <w:spacing w:after="0" w:line="2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4 Public company CEO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342011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0110" cy="13716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384175</wp:posOffset>
            </wp:positionV>
            <wp:extent cx="5795010" cy="20313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95010"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b w:val="1"/>
          <w:bCs w:val="1"/>
          <w:color w:val="auto"/>
        </w:rPr>
        <w:t>22</w:t>
        <w:tab/>
        <w:t>AMETEK, INC.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080"/>
          </w:cols>
          <w:pgMar w:left="320" w:top="1111" w:right="49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Biographies</w:t>
      </w:r>
    </w:p>
    <w:p>
      <w:pPr>
        <w:spacing w:after="0" w:line="18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discussed under “Consideration of Director Candidates,” the GNC analyzes a number of factors when considering Directors for selection to the Board. Each of our Directors has been selected based on their demonstrated leadership and significant experience in areas significant to our company; ability to offer advice and guidance based upon that experience and expertise; sound business judgment; and character and integrity that support our core values. The biographical information set forth below is as of March 1, 2022 and includes a description of each Director’s background that supported the Board’s consideration of that Director for nomination. Unless we indicate otherwise, each Director has maintained the principal occupation and directorships described below for more than five years.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 Nominees for election at the meeting for terms expiring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102870</wp:posOffset>
            </wp:positionV>
            <wp:extent cx="1285875" cy="128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5875" cy="1285875"/>
                    </a:xfrm>
                    <a:prstGeom prst="rect">
                      <a:avLst/>
                    </a:prstGeom>
                    <a:noFill/>
                  </pic:spPr>
                </pic:pic>
              </a:graphicData>
            </a:graphic>
          </wp:anchor>
        </w:drawing>
      </w:r>
    </w:p>
    <w:p>
      <w:pPr>
        <w:spacing w:after="0" w:line="151"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STEVEN W. KOHLHAGEN</w:t>
      </w:r>
    </w:p>
    <w:p>
      <w:pPr>
        <w:spacing w:after="0" w:line="27"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Independent</w:t>
      </w:r>
    </w:p>
    <w:p>
      <w:pPr>
        <w:spacing w:after="0" w:line="9"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Age 74</w:t>
      </w:r>
    </w:p>
    <w:p>
      <w:pPr>
        <w:spacing w:after="0" w:line="9"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Director since 2006</w:t>
      </w:r>
    </w:p>
    <w:p>
      <w:pPr>
        <w:spacing w:after="0" w:line="9"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Committees served: Audit and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Mr. Kohlhagen is a retired financial executive. Mr. Kohlhagen brings to the Board expertise in financial accounting, finance and risk management through his extensive experience in, and knowledge of, the financial, securities and foreign exchange markets. He was a Director of the Federal Home Loan</w:t>
      </w:r>
    </w:p>
    <w:p>
      <w:pPr>
        <w:spacing w:after="0"/>
        <w:rPr>
          <w:sz w:val="20"/>
          <w:szCs w:val="20"/>
          <w:color w:val="auto"/>
        </w:rPr>
      </w:pPr>
      <w:r>
        <w:rPr>
          <w:rFonts w:ascii="Arial" w:cs="Arial" w:eastAsia="Arial" w:hAnsi="Arial"/>
          <w:sz w:val="18"/>
          <w:szCs w:val="18"/>
          <w:color w:val="auto"/>
        </w:rPr>
        <w:t>Mortgage Corporation from February 2013 to February 2020, and GulfMark Offshore, Inc. from September 2013 to November 2017</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26670</wp:posOffset>
            </wp:positionV>
            <wp:extent cx="1448435" cy="18002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48435" cy="1800225"/>
                    </a:xfrm>
                    <a:prstGeom prst="rect">
                      <a:avLst/>
                    </a:prstGeom>
                    <a:noFill/>
                  </pic:spPr>
                </pic:pic>
              </a:graphicData>
            </a:graphic>
          </wp:anchor>
        </w:drawing>
      </w:r>
    </w:p>
    <w:p>
      <w:pPr>
        <w:spacing w:after="0" w:line="31"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DEAN SEAVERS</w:t>
      </w:r>
    </w:p>
    <w:p>
      <w:pPr>
        <w:spacing w:after="0" w:line="27"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Independent</w:t>
      </w:r>
    </w:p>
    <w:p>
      <w:pPr>
        <w:spacing w:after="0" w:line="9"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Age 61</w:t>
      </w:r>
    </w:p>
    <w:p>
      <w:pPr>
        <w:spacing w:after="0" w:line="9"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Director since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Mr. Seavers was the President of National Grid US and Executive Director of National Grid plc, a multinational electric and gas utility, from December 2015 to January 2020. Mr. Seavers brings to the Board a broad background in business transformation, sustainability and safety. Mr. Seavers has been a director of Albemarle Corporation since May 2018, Pacific Gas &amp; Electric Company since July 2020, and James Hardie Industries plc since February 2021. He was a Director of Environmental Impact Acquisition Corp. from January 2021 to February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109220</wp:posOffset>
            </wp:positionV>
            <wp:extent cx="1285875" cy="128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5875" cy="1285875"/>
                    </a:xfrm>
                    <a:prstGeom prst="rect">
                      <a:avLst/>
                    </a:prstGeom>
                    <a:noFill/>
                  </pic:spPr>
                </pic:pic>
              </a:graphicData>
            </a:graphic>
          </wp:anchor>
        </w:drawing>
      </w:r>
    </w:p>
    <w:p>
      <w:pPr>
        <w:spacing w:after="0" w:line="161"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DAVID A. ZAPICO</w:t>
      </w:r>
    </w:p>
    <w:p>
      <w:pPr>
        <w:spacing w:after="0" w:line="27"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Age 57</w:t>
      </w:r>
    </w:p>
    <w:p>
      <w:pPr>
        <w:spacing w:after="0" w:line="9"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Director since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right="520"/>
        <w:spacing w:after="0" w:line="286" w:lineRule="auto"/>
        <w:rPr>
          <w:sz w:val="20"/>
          <w:szCs w:val="20"/>
          <w:color w:val="auto"/>
        </w:rPr>
      </w:pPr>
      <w:r>
        <w:rPr>
          <w:rFonts w:ascii="Arial" w:cs="Arial" w:eastAsia="Arial" w:hAnsi="Arial"/>
          <w:sz w:val="17"/>
          <w:szCs w:val="17"/>
          <w:color w:val="auto"/>
        </w:rPr>
        <w:t>Mr. Zapico is the Chairman and Chief Executive Officer of AMETEK. He became Chairman in July 2017 and Chief Executive Officer in May 2016. Previously he was Executive Vice President and Chief Operating Officer from January 2013 to May 2016. Mr. Zapico brings to the Board extensive knowledge of our company and the markets in which we operate through his 32 years’ experience in our industry.</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7780"/>
        <w:spacing w:after="0"/>
        <w:tabs>
          <w:tab w:leader="none" w:pos="11020" w:val="left"/>
        </w:tabs>
        <w:rPr>
          <w:sz w:val="20"/>
          <w:szCs w:val="20"/>
          <w:color w:val="auto"/>
        </w:rPr>
      </w:pPr>
      <w:r>
        <w:rPr>
          <w:rFonts w:ascii="Arial" w:cs="Arial" w:eastAsia="Arial" w:hAnsi="Arial"/>
          <w:sz w:val="18"/>
          <w:szCs w:val="18"/>
          <w:b w:val="1"/>
          <w:bCs w:val="1"/>
          <w:color w:val="auto"/>
        </w:rPr>
        <w:t>AMETEK, INC. 2022 Proxy Statement</w:t>
      </w:r>
      <w:r>
        <w:rPr>
          <w:sz w:val="20"/>
          <w:szCs w:val="20"/>
          <w:color w:val="auto"/>
        </w:rPr>
        <w:tab/>
      </w:r>
      <w:r>
        <w:rPr>
          <w:rFonts w:ascii="Arial" w:cs="Arial" w:eastAsia="Arial" w:hAnsi="Arial"/>
          <w:sz w:val="16"/>
          <w:szCs w:val="16"/>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Class III: Directors whose terms continue until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154305</wp:posOffset>
            </wp:positionV>
            <wp:extent cx="1285875" cy="128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5875" cy="1285875"/>
                    </a:xfrm>
                    <a:prstGeom prst="rect">
                      <a:avLst/>
                    </a:prstGeom>
                    <a:noFill/>
                  </pic:spPr>
                </pic:pic>
              </a:graphicData>
            </a:graphic>
          </wp:anchor>
        </w:drawing>
      </w:r>
    </w:p>
    <w:p>
      <w:pPr>
        <w:spacing w:after="0" w:line="232"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TOD E. CARPENTER</w:t>
      </w:r>
    </w:p>
    <w:p>
      <w:pPr>
        <w:spacing w:after="0" w:line="27"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Independent</w:t>
      </w:r>
    </w:p>
    <w:p>
      <w:pPr>
        <w:spacing w:after="0" w:line="9"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Age 62</w:t>
      </w:r>
    </w:p>
    <w:p>
      <w:pPr>
        <w:spacing w:after="0" w:line="9"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Director since 2019</w:t>
      </w:r>
    </w:p>
    <w:p>
      <w:pPr>
        <w:spacing w:after="0" w:line="9"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Committee served: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Mr. Carpenter has served as Chairman since April 2017, and President and Chief Executive Officer of Donaldson Company, Inc. since April 2015. Mr.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Carpenter brings to the Board a wealth of general management and global leadership experience. He has been a Director of Donaldson Company,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since April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134620</wp:posOffset>
            </wp:positionV>
            <wp:extent cx="1285875" cy="128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5875" cy="1285875"/>
                    </a:xfrm>
                    <a:prstGeom prst="rect">
                      <a:avLst/>
                    </a:prstGeom>
                    <a:noFill/>
                  </pic:spPr>
                </pic:pic>
              </a:graphicData>
            </a:graphic>
          </wp:anchor>
        </w:drawing>
      </w:r>
    </w:p>
    <w:p>
      <w:pPr>
        <w:spacing w:after="0" w:line="20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KARLEEN M. OBERTON</w:t>
      </w:r>
    </w:p>
    <w:p>
      <w:pPr>
        <w:spacing w:after="0" w:line="27"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Independent</w:t>
      </w:r>
    </w:p>
    <w:p>
      <w:pPr>
        <w:spacing w:after="0" w:line="9"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Age 52</w:t>
      </w:r>
    </w:p>
    <w:p>
      <w:pPr>
        <w:spacing w:after="0" w:line="9"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Director since 2021</w:t>
      </w:r>
    </w:p>
    <w:p>
      <w:pPr>
        <w:spacing w:after="0" w:line="9"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Committee served: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Since August 2018, Ms. Oberton is the Chief Financial Officer of Hologic, Inc. From November 2014 to August 2018, she was Corporate Vice President and Chief Accounting Officer of Hologic, Inc. Ms. Oberton brings to the Board deep financial advisory, audit and SEC reporting experience as well as extensive global leadership experience at a public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b w:val="1"/>
          <w:bCs w:val="1"/>
          <w:color w:val="auto"/>
        </w:rPr>
        <w:t>24</w:t>
        <w:tab/>
        <w:t>AMETEK, INC.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020"/>
          </w:cols>
          <w:pgMar w:left="320" w:top="1107" w:right="5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Class II: Directors whose terms continue until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154305</wp:posOffset>
            </wp:positionV>
            <wp:extent cx="1285875" cy="128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5875" cy="1285875"/>
                    </a:xfrm>
                    <a:prstGeom prst="rect">
                      <a:avLst/>
                    </a:prstGeom>
                    <a:noFill/>
                  </pic:spPr>
                </pic:pic>
              </a:graphicData>
            </a:graphic>
          </wp:anchor>
        </w:drawing>
      </w:r>
    </w:p>
    <w:p>
      <w:pPr>
        <w:spacing w:after="0" w:line="232"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THOMAS A. AMATO</w:t>
      </w:r>
    </w:p>
    <w:p>
      <w:pPr>
        <w:spacing w:after="0" w:line="27"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Independent</w:t>
      </w:r>
    </w:p>
    <w:p>
      <w:pPr>
        <w:spacing w:after="0" w:line="9"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Age 58</w:t>
      </w:r>
    </w:p>
    <w:p>
      <w:pPr>
        <w:spacing w:after="0" w:line="9"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Director since 2017</w:t>
      </w:r>
    </w:p>
    <w:p>
      <w:pPr>
        <w:spacing w:after="0" w:line="9"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Committee served: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Mr. Amato is Chief Executive Officer and President of TriMas Corporation. Previously, he was Chief Executive Officer and President of Metaldyne, LLC and Co-President of Metaldyne Performance Group Inc. Mr. Amato brings to the Board more than 25 years of broad industrial and international experience, having served in several leadership positions at global, multibillion-dollar businesses. He is currently a Director of TriMas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105410</wp:posOffset>
            </wp:positionV>
            <wp:extent cx="1285875" cy="128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5875" cy="1285875"/>
                    </a:xfrm>
                    <a:prstGeom prst="rect">
                      <a:avLst/>
                    </a:prstGeom>
                    <a:noFill/>
                  </pic:spPr>
                </pic:pic>
              </a:graphicData>
            </a:graphic>
          </wp:anchor>
        </w:drawing>
      </w:r>
    </w:p>
    <w:p>
      <w:pPr>
        <w:spacing w:after="0" w:line="155"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ANTHONY J. CONTI</w:t>
      </w:r>
    </w:p>
    <w:p>
      <w:pPr>
        <w:spacing w:after="0" w:line="27"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Independent</w:t>
      </w:r>
    </w:p>
    <w:p>
      <w:pPr>
        <w:spacing w:after="0" w:line="9"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Age 73</w:t>
      </w:r>
    </w:p>
    <w:p>
      <w:pPr>
        <w:spacing w:after="0" w:line="9"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Director since 2010</w:t>
      </w:r>
    </w:p>
    <w:p>
      <w:pPr>
        <w:spacing w:after="0" w:line="9"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Committees served: Audit, Compensation and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Mr. Conti is retired from his position as a Partner at PricewaterhouseCoopers. Mr. Conti brings to the Board expertise in financial accounting, finance, strategy, risk management and human resources management with his more than 35 years’ experience at a public accounting firm. He was a Director of BioTelemetry, Inc. from May 2012 to February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116840</wp:posOffset>
            </wp:positionV>
            <wp:extent cx="1285875" cy="128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5875" cy="1285875"/>
                    </a:xfrm>
                    <a:prstGeom prst="rect">
                      <a:avLst/>
                    </a:prstGeom>
                    <a:noFill/>
                  </pic:spPr>
                </pic:pic>
              </a:graphicData>
            </a:graphic>
          </wp:anchor>
        </w:drawing>
      </w:r>
    </w:p>
    <w:p>
      <w:pPr>
        <w:spacing w:after="0" w:line="17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GRETCHEN W. McCLAIN</w:t>
      </w:r>
    </w:p>
    <w:p>
      <w:pPr>
        <w:spacing w:after="0" w:line="27"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Independent</w:t>
      </w:r>
    </w:p>
    <w:p>
      <w:pPr>
        <w:spacing w:after="0" w:line="9"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Age 59</w:t>
      </w:r>
    </w:p>
    <w:p>
      <w:pPr>
        <w:spacing w:after="0" w:line="9"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Director since 2014</w:t>
      </w:r>
    </w:p>
    <w:p>
      <w:pPr>
        <w:spacing w:after="0" w:line="9"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Committees served: Audit and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Ms. McClain is Operating Executive of The Carlyle Group since July 2019. Ms. McClain brings to the Board her extensive business, developmental, strategic and technical background from more than 25 years of global experience across multiple industries, including as CEO of a publicly traded industrial company and government agency leadership. She is currently a Director of Booz Allen Hamilton Holding Corporation. She was a Director of Boart Longyear Limited from November 2015 to August 2019, and Hennessy Capital Acquisition Corp. IV from February 2019 to December 2020.</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780"/>
        <w:spacing w:after="0"/>
        <w:tabs>
          <w:tab w:leader="none" w:pos="11020" w:val="left"/>
        </w:tabs>
        <w:rPr>
          <w:sz w:val="20"/>
          <w:szCs w:val="20"/>
          <w:color w:val="auto"/>
        </w:rPr>
      </w:pPr>
      <w:r>
        <w:rPr>
          <w:rFonts w:ascii="Arial" w:cs="Arial" w:eastAsia="Arial" w:hAnsi="Arial"/>
          <w:sz w:val="18"/>
          <w:szCs w:val="18"/>
          <w:b w:val="1"/>
          <w:bCs w:val="1"/>
          <w:color w:val="auto"/>
        </w:rPr>
        <w:t>AMETEK, INC. 2022 Proxy Statement</w:t>
      </w:r>
      <w:r>
        <w:rPr>
          <w:sz w:val="20"/>
          <w:szCs w:val="20"/>
          <w:color w:val="auto"/>
        </w:rPr>
        <w:tab/>
      </w:r>
      <w:r>
        <w:rPr>
          <w:rFonts w:ascii="Arial" w:cs="Arial" w:eastAsia="Arial" w:hAnsi="Arial"/>
          <w:sz w:val="16"/>
          <w:szCs w:val="16"/>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22"/>
          <w:szCs w:val="22"/>
          <w:b w:val="1"/>
          <w:bCs w:val="1"/>
          <w:color w:val="auto"/>
        </w:rPr>
        <w:t>EXECUTIVE OFFICERS</w:t>
      </w:r>
    </w:p>
    <w:p>
      <w:pPr>
        <w:spacing w:after="0" w:line="19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Officers are appointed by our Board to serve for the ensuing year and until their successors have been elected and qualified. Information about our executive officers as of March 1, 2022 is shown below:</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Arial" w:cs="Arial" w:eastAsia="Arial" w:hAnsi="Arial"/>
                <w:sz w:val="18"/>
                <w:szCs w:val="18"/>
                <w:b w:val="1"/>
                <w:bCs w:val="1"/>
                <w:color w:val="auto"/>
                <w:w w:val="89"/>
              </w:rPr>
              <w:t>Name</w:t>
            </w:r>
          </w:p>
        </w:tc>
        <w:tc>
          <w:tcPr>
            <w:tcW w:w="2300" w:type="dxa"/>
            <w:vAlign w:val="bottom"/>
          </w:tcPr>
          <w:p>
            <w:pPr>
              <w:spacing w:after="0"/>
              <w:rPr>
                <w:sz w:val="17"/>
                <w:szCs w:val="17"/>
                <w:color w:val="auto"/>
              </w:rPr>
            </w:pPr>
          </w:p>
        </w:tc>
        <w:tc>
          <w:tcPr>
            <w:tcW w:w="176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88"/>
              </w:rPr>
              <w:t>Age</w:t>
            </w: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Present Position with AMETEK</w:t>
            </w:r>
          </w:p>
        </w:tc>
      </w:tr>
      <w:tr>
        <w:trPr>
          <w:trHeight w:val="20"/>
        </w:trPr>
        <w:tc>
          <w:tcPr>
            <w:tcW w:w="46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399"/>
        </w:trPr>
        <w:tc>
          <w:tcPr>
            <w:tcW w:w="2760" w:type="dxa"/>
            <w:vAlign w:val="bottom"/>
            <w:gridSpan w:val="2"/>
          </w:tcPr>
          <w:p>
            <w:pPr>
              <w:spacing w:after="0"/>
              <w:rPr>
                <w:sz w:val="20"/>
                <w:szCs w:val="20"/>
                <w:color w:val="auto"/>
              </w:rPr>
            </w:pPr>
            <w:r>
              <w:rPr>
                <w:rFonts w:ascii="Arial" w:cs="Arial" w:eastAsia="Arial" w:hAnsi="Arial"/>
                <w:sz w:val="18"/>
                <w:szCs w:val="18"/>
                <w:color w:val="auto"/>
              </w:rPr>
              <w:t>David A. Zapico</w:t>
            </w:r>
          </w:p>
        </w:tc>
        <w:tc>
          <w:tcPr>
            <w:tcW w:w="1240" w:type="dxa"/>
            <w:vAlign w:val="bottom"/>
            <w:gridSpan w:val="2"/>
          </w:tcPr>
          <w:p>
            <w:pPr>
              <w:jc w:val="center"/>
              <w:ind w:left="850"/>
              <w:spacing w:after="0"/>
              <w:rPr>
                <w:sz w:val="20"/>
                <w:szCs w:val="20"/>
                <w:color w:val="auto"/>
              </w:rPr>
            </w:pPr>
            <w:r>
              <w:rPr>
                <w:rFonts w:ascii="Arial" w:cs="Arial" w:eastAsia="Arial" w:hAnsi="Arial"/>
                <w:sz w:val="18"/>
                <w:szCs w:val="18"/>
                <w:color w:val="auto"/>
                <w:w w:val="89"/>
              </w:rPr>
              <w:t>57</w:t>
            </w:r>
          </w:p>
        </w:tc>
        <w:tc>
          <w:tcPr>
            <w:tcW w:w="52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Chairman and Chief Executive Officer</w:t>
            </w:r>
          </w:p>
        </w:tc>
      </w:tr>
      <w:tr>
        <w:trPr>
          <w:trHeight w:val="378"/>
        </w:trPr>
        <w:tc>
          <w:tcPr>
            <w:tcW w:w="2760" w:type="dxa"/>
            <w:vAlign w:val="bottom"/>
            <w:gridSpan w:val="2"/>
          </w:tcPr>
          <w:p>
            <w:pPr>
              <w:spacing w:after="0"/>
              <w:rPr>
                <w:sz w:val="20"/>
                <w:szCs w:val="20"/>
                <w:color w:val="auto"/>
              </w:rPr>
            </w:pPr>
            <w:r>
              <w:rPr>
                <w:rFonts w:ascii="Arial" w:cs="Arial" w:eastAsia="Arial" w:hAnsi="Arial"/>
                <w:sz w:val="18"/>
                <w:szCs w:val="18"/>
                <w:color w:val="auto"/>
              </w:rPr>
              <w:t>William J. Burke</w:t>
            </w:r>
          </w:p>
        </w:tc>
        <w:tc>
          <w:tcPr>
            <w:tcW w:w="1240" w:type="dxa"/>
            <w:vAlign w:val="bottom"/>
            <w:gridSpan w:val="2"/>
          </w:tcPr>
          <w:p>
            <w:pPr>
              <w:jc w:val="center"/>
              <w:ind w:left="850"/>
              <w:spacing w:after="0"/>
              <w:rPr>
                <w:sz w:val="20"/>
                <w:szCs w:val="20"/>
                <w:color w:val="auto"/>
              </w:rPr>
            </w:pPr>
            <w:r>
              <w:rPr>
                <w:rFonts w:ascii="Arial" w:cs="Arial" w:eastAsia="Arial" w:hAnsi="Arial"/>
                <w:sz w:val="18"/>
                <w:szCs w:val="18"/>
                <w:color w:val="auto"/>
                <w:w w:val="89"/>
              </w:rPr>
              <w:t>60</w:t>
            </w:r>
          </w:p>
        </w:tc>
        <w:tc>
          <w:tcPr>
            <w:tcW w:w="52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Executive Vice President–Chief Financial Officer</w:t>
            </w:r>
          </w:p>
        </w:tc>
      </w:tr>
      <w:tr>
        <w:trPr>
          <w:trHeight w:val="378"/>
        </w:trPr>
        <w:tc>
          <w:tcPr>
            <w:tcW w:w="2760" w:type="dxa"/>
            <w:vAlign w:val="bottom"/>
            <w:gridSpan w:val="2"/>
          </w:tcPr>
          <w:p>
            <w:pPr>
              <w:spacing w:after="0"/>
              <w:rPr>
                <w:sz w:val="20"/>
                <w:szCs w:val="20"/>
                <w:color w:val="auto"/>
              </w:rPr>
            </w:pPr>
            <w:r>
              <w:rPr>
                <w:rFonts w:ascii="Arial" w:cs="Arial" w:eastAsia="Arial" w:hAnsi="Arial"/>
                <w:sz w:val="18"/>
                <w:szCs w:val="18"/>
                <w:color w:val="auto"/>
              </w:rPr>
              <w:t>Ronald J. Oscher</w:t>
            </w:r>
          </w:p>
        </w:tc>
        <w:tc>
          <w:tcPr>
            <w:tcW w:w="1240" w:type="dxa"/>
            <w:vAlign w:val="bottom"/>
            <w:gridSpan w:val="2"/>
          </w:tcPr>
          <w:p>
            <w:pPr>
              <w:jc w:val="center"/>
              <w:ind w:left="850"/>
              <w:spacing w:after="0"/>
              <w:rPr>
                <w:sz w:val="20"/>
                <w:szCs w:val="20"/>
                <w:color w:val="auto"/>
              </w:rPr>
            </w:pPr>
            <w:r>
              <w:rPr>
                <w:rFonts w:ascii="Arial" w:cs="Arial" w:eastAsia="Arial" w:hAnsi="Arial"/>
                <w:sz w:val="18"/>
                <w:szCs w:val="18"/>
                <w:color w:val="auto"/>
                <w:w w:val="89"/>
              </w:rPr>
              <w:t>54</w:t>
            </w:r>
          </w:p>
        </w:tc>
        <w:tc>
          <w:tcPr>
            <w:tcW w:w="52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Chief Administrative Officer</w:t>
            </w:r>
          </w:p>
        </w:tc>
      </w:tr>
      <w:tr>
        <w:trPr>
          <w:trHeight w:val="378"/>
        </w:trPr>
        <w:tc>
          <w:tcPr>
            <w:tcW w:w="2760" w:type="dxa"/>
            <w:vAlign w:val="bottom"/>
            <w:gridSpan w:val="2"/>
          </w:tcPr>
          <w:p>
            <w:pPr>
              <w:spacing w:after="0"/>
              <w:rPr>
                <w:sz w:val="20"/>
                <w:szCs w:val="20"/>
                <w:color w:val="auto"/>
              </w:rPr>
            </w:pPr>
            <w:r>
              <w:rPr>
                <w:rFonts w:ascii="Arial" w:cs="Arial" w:eastAsia="Arial" w:hAnsi="Arial"/>
                <w:sz w:val="18"/>
                <w:szCs w:val="18"/>
                <w:color w:val="auto"/>
              </w:rPr>
              <w:t>Emanuela Speranza</w:t>
            </w:r>
          </w:p>
        </w:tc>
        <w:tc>
          <w:tcPr>
            <w:tcW w:w="1240" w:type="dxa"/>
            <w:vAlign w:val="bottom"/>
            <w:gridSpan w:val="2"/>
          </w:tcPr>
          <w:p>
            <w:pPr>
              <w:jc w:val="center"/>
              <w:ind w:left="850"/>
              <w:spacing w:after="0"/>
              <w:rPr>
                <w:sz w:val="20"/>
                <w:szCs w:val="20"/>
                <w:color w:val="auto"/>
              </w:rPr>
            </w:pPr>
            <w:r>
              <w:rPr>
                <w:rFonts w:ascii="Arial" w:cs="Arial" w:eastAsia="Arial" w:hAnsi="Arial"/>
                <w:sz w:val="18"/>
                <w:szCs w:val="18"/>
                <w:color w:val="auto"/>
                <w:w w:val="89"/>
              </w:rPr>
              <w:t>53</w:t>
            </w:r>
          </w:p>
        </w:tc>
        <w:tc>
          <w:tcPr>
            <w:tcW w:w="52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Chief Commercial Officer</w:t>
            </w:r>
          </w:p>
        </w:tc>
      </w:tr>
      <w:tr>
        <w:trPr>
          <w:trHeight w:val="378"/>
        </w:trPr>
        <w:tc>
          <w:tcPr>
            <w:tcW w:w="2760" w:type="dxa"/>
            <w:vAlign w:val="bottom"/>
            <w:gridSpan w:val="2"/>
          </w:tcPr>
          <w:p>
            <w:pPr>
              <w:spacing w:after="0"/>
              <w:rPr>
                <w:sz w:val="20"/>
                <w:szCs w:val="20"/>
                <w:color w:val="auto"/>
              </w:rPr>
            </w:pPr>
            <w:r>
              <w:rPr>
                <w:rFonts w:ascii="Arial" w:cs="Arial" w:eastAsia="Arial" w:hAnsi="Arial"/>
                <w:sz w:val="18"/>
                <w:szCs w:val="18"/>
                <w:color w:val="auto"/>
              </w:rPr>
              <w:t>Tony J. Ciampitti</w:t>
            </w:r>
          </w:p>
        </w:tc>
        <w:tc>
          <w:tcPr>
            <w:tcW w:w="1240" w:type="dxa"/>
            <w:vAlign w:val="bottom"/>
            <w:gridSpan w:val="2"/>
          </w:tcPr>
          <w:p>
            <w:pPr>
              <w:jc w:val="center"/>
              <w:ind w:left="850"/>
              <w:spacing w:after="0"/>
              <w:rPr>
                <w:sz w:val="20"/>
                <w:szCs w:val="20"/>
                <w:color w:val="auto"/>
              </w:rPr>
            </w:pPr>
            <w:r>
              <w:rPr>
                <w:rFonts w:ascii="Arial" w:cs="Arial" w:eastAsia="Arial" w:hAnsi="Arial"/>
                <w:sz w:val="18"/>
                <w:szCs w:val="18"/>
                <w:color w:val="auto"/>
                <w:w w:val="89"/>
              </w:rPr>
              <w:t>49</w:t>
            </w:r>
          </w:p>
        </w:tc>
        <w:tc>
          <w:tcPr>
            <w:tcW w:w="52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President–Electronic Instruments</w:t>
            </w:r>
          </w:p>
        </w:tc>
      </w:tr>
      <w:tr>
        <w:trPr>
          <w:trHeight w:val="378"/>
        </w:trPr>
        <w:tc>
          <w:tcPr>
            <w:tcW w:w="2760" w:type="dxa"/>
            <w:vAlign w:val="bottom"/>
            <w:gridSpan w:val="2"/>
          </w:tcPr>
          <w:p>
            <w:pPr>
              <w:spacing w:after="0"/>
              <w:rPr>
                <w:sz w:val="20"/>
                <w:szCs w:val="20"/>
                <w:color w:val="auto"/>
              </w:rPr>
            </w:pPr>
            <w:r>
              <w:rPr>
                <w:rFonts w:ascii="Arial" w:cs="Arial" w:eastAsia="Arial" w:hAnsi="Arial"/>
                <w:sz w:val="18"/>
                <w:szCs w:val="18"/>
                <w:color w:val="auto"/>
              </w:rPr>
              <w:t>John W. Hardin</w:t>
            </w:r>
          </w:p>
        </w:tc>
        <w:tc>
          <w:tcPr>
            <w:tcW w:w="1240" w:type="dxa"/>
            <w:vAlign w:val="bottom"/>
            <w:gridSpan w:val="2"/>
          </w:tcPr>
          <w:p>
            <w:pPr>
              <w:jc w:val="center"/>
              <w:ind w:left="850"/>
              <w:spacing w:after="0"/>
              <w:rPr>
                <w:sz w:val="20"/>
                <w:szCs w:val="20"/>
                <w:color w:val="auto"/>
              </w:rPr>
            </w:pPr>
            <w:r>
              <w:rPr>
                <w:rFonts w:ascii="Arial" w:cs="Arial" w:eastAsia="Arial" w:hAnsi="Arial"/>
                <w:sz w:val="18"/>
                <w:szCs w:val="18"/>
                <w:color w:val="auto"/>
                <w:w w:val="89"/>
              </w:rPr>
              <w:t>57</w:t>
            </w:r>
          </w:p>
        </w:tc>
        <w:tc>
          <w:tcPr>
            <w:tcW w:w="52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President–Electronic Instruments</w:t>
            </w:r>
          </w:p>
        </w:tc>
      </w:tr>
      <w:tr>
        <w:trPr>
          <w:trHeight w:val="378"/>
        </w:trPr>
        <w:tc>
          <w:tcPr>
            <w:tcW w:w="2760" w:type="dxa"/>
            <w:vAlign w:val="bottom"/>
            <w:gridSpan w:val="2"/>
          </w:tcPr>
          <w:p>
            <w:pPr>
              <w:spacing w:after="0"/>
              <w:rPr>
                <w:sz w:val="20"/>
                <w:szCs w:val="20"/>
                <w:color w:val="auto"/>
              </w:rPr>
            </w:pPr>
            <w:r>
              <w:rPr>
                <w:rFonts w:ascii="Arial" w:cs="Arial" w:eastAsia="Arial" w:hAnsi="Arial"/>
                <w:sz w:val="18"/>
                <w:szCs w:val="18"/>
                <w:color w:val="auto"/>
              </w:rPr>
              <w:t>David F. Hermance</w:t>
            </w:r>
          </w:p>
        </w:tc>
        <w:tc>
          <w:tcPr>
            <w:tcW w:w="1240" w:type="dxa"/>
            <w:vAlign w:val="bottom"/>
            <w:gridSpan w:val="2"/>
          </w:tcPr>
          <w:p>
            <w:pPr>
              <w:jc w:val="center"/>
              <w:ind w:left="850"/>
              <w:spacing w:after="0"/>
              <w:rPr>
                <w:sz w:val="20"/>
                <w:szCs w:val="20"/>
                <w:color w:val="auto"/>
              </w:rPr>
            </w:pPr>
            <w:r>
              <w:rPr>
                <w:rFonts w:ascii="Arial" w:cs="Arial" w:eastAsia="Arial" w:hAnsi="Arial"/>
                <w:sz w:val="18"/>
                <w:szCs w:val="18"/>
                <w:color w:val="auto"/>
                <w:w w:val="89"/>
              </w:rPr>
              <w:t>53</w:t>
            </w:r>
          </w:p>
        </w:tc>
        <w:tc>
          <w:tcPr>
            <w:tcW w:w="52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President–Electromechanical Group</w:t>
            </w:r>
          </w:p>
        </w:tc>
      </w:tr>
      <w:tr>
        <w:trPr>
          <w:trHeight w:val="378"/>
        </w:trPr>
        <w:tc>
          <w:tcPr>
            <w:tcW w:w="2760" w:type="dxa"/>
            <w:vAlign w:val="bottom"/>
            <w:gridSpan w:val="2"/>
          </w:tcPr>
          <w:p>
            <w:pPr>
              <w:spacing w:after="0"/>
              <w:rPr>
                <w:sz w:val="20"/>
                <w:szCs w:val="20"/>
                <w:color w:val="auto"/>
              </w:rPr>
            </w:pPr>
            <w:r>
              <w:rPr>
                <w:rFonts w:ascii="Arial" w:cs="Arial" w:eastAsia="Arial" w:hAnsi="Arial"/>
                <w:sz w:val="18"/>
                <w:szCs w:val="18"/>
                <w:color w:val="auto"/>
              </w:rPr>
              <w:t>Thomas C. Marecic</w:t>
            </w:r>
          </w:p>
        </w:tc>
        <w:tc>
          <w:tcPr>
            <w:tcW w:w="1240" w:type="dxa"/>
            <w:vAlign w:val="bottom"/>
            <w:gridSpan w:val="2"/>
          </w:tcPr>
          <w:p>
            <w:pPr>
              <w:jc w:val="center"/>
              <w:ind w:left="850"/>
              <w:spacing w:after="0"/>
              <w:rPr>
                <w:sz w:val="20"/>
                <w:szCs w:val="20"/>
                <w:color w:val="auto"/>
              </w:rPr>
            </w:pPr>
            <w:r>
              <w:rPr>
                <w:rFonts w:ascii="Arial" w:cs="Arial" w:eastAsia="Arial" w:hAnsi="Arial"/>
                <w:sz w:val="18"/>
                <w:szCs w:val="18"/>
                <w:color w:val="auto"/>
                <w:w w:val="89"/>
              </w:rPr>
              <w:t>60</w:t>
            </w:r>
          </w:p>
        </w:tc>
        <w:tc>
          <w:tcPr>
            <w:tcW w:w="52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President–Electronic Instruments</w:t>
            </w:r>
          </w:p>
        </w:tc>
      </w:tr>
      <w:tr>
        <w:trPr>
          <w:trHeight w:val="378"/>
        </w:trPr>
        <w:tc>
          <w:tcPr>
            <w:tcW w:w="2760" w:type="dxa"/>
            <w:vAlign w:val="bottom"/>
            <w:gridSpan w:val="2"/>
          </w:tcPr>
          <w:p>
            <w:pPr>
              <w:spacing w:after="0"/>
              <w:rPr>
                <w:sz w:val="20"/>
                <w:szCs w:val="20"/>
                <w:color w:val="auto"/>
              </w:rPr>
            </w:pPr>
            <w:r>
              <w:rPr>
                <w:rFonts w:ascii="Arial" w:cs="Arial" w:eastAsia="Arial" w:hAnsi="Arial"/>
                <w:sz w:val="18"/>
                <w:szCs w:val="18"/>
                <w:color w:val="auto"/>
              </w:rPr>
              <w:t>Thomas M. Montgomery</w:t>
            </w:r>
          </w:p>
        </w:tc>
        <w:tc>
          <w:tcPr>
            <w:tcW w:w="1240" w:type="dxa"/>
            <w:vAlign w:val="bottom"/>
            <w:gridSpan w:val="2"/>
          </w:tcPr>
          <w:p>
            <w:pPr>
              <w:jc w:val="center"/>
              <w:ind w:left="850"/>
              <w:spacing w:after="0"/>
              <w:rPr>
                <w:sz w:val="20"/>
                <w:szCs w:val="20"/>
                <w:color w:val="auto"/>
              </w:rPr>
            </w:pPr>
            <w:r>
              <w:rPr>
                <w:rFonts w:ascii="Arial" w:cs="Arial" w:eastAsia="Arial" w:hAnsi="Arial"/>
                <w:sz w:val="18"/>
                <w:szCs w:val="18"/>
                <w:color w:val="auto"/>
                <w:w w:val="89"/>
              </w:rPr>
              <w:t>59</w:t>
            </w:r>
          </w:p>
        </w:tc>
        <w:tc>
          <w:tcPr>
            <w:tcW w:w="52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w w:val="92"/>
              </w:rPr>
              <w:t>Senior Vice President–Comptroller &amp; Principal Accounting Officer</w:t>
            </w:r>
          </w:p>
        </w:tc>
      </w:tr>
    </w:tbl>
    <w:p>
      <w:pPr>
        <w:spacing w:after="0" w:line="252" w:lineRule="exact"/>
        <w:rPr>
          <w:sz w:val="20"/>
          <w:szCs w:val="20"/>
          <w:color w:val="auto"/>
        </w:rPr>
      </w:pPr>
    </w:p>
    <w:p>
      <w:pPr>
        <w:ind w:right="104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 xml:space="preserve">David A. Zapico’s </w:t>
      </w:r>
      <w:r>
        <w:rPr>
          <w:rFonts w:ascii="Arial" w:cs="Arial" w:eastAsia="Arial" w:hAnsi="Arial"/>
          <w:sz w:val="18"/>
          <w:szCs w:val="18"/>
          <w:color w:val="auto"/>
        </w:rPr>
        <w:t>employment history with us and other directorships, if any, held during the past five years are described under the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“Biographies” on page </w:t>
      </w:r>
      <w:hyperlink w:anchor="page27">
        <w:r>
          <w:rPr>
            <w:rFonts w:ascii="Arial" w:cs="Arial" w:eastAsia="Arial" w:hAnsi="Arial"/>
            <w:sz w:val="18"/>
            <w:szCs w:val="18"/>
            <w:u w:val="single" w:color="auto"/>
            <w:color w:val="0000FF"/>
          </w:rPr>
          <w:t>23</w:t>
        </w:r>
      </w:hyperlink>
      <w:r>
        <w:rPr>
          <w:rFonts w:ascii="Arial" w:cs="Arial" w:eastAsia="Arial" w:hAnsi="Arial"/>
          <w:sz w:val="18"/>
          <w:szCs w:val="18"/>
          <w:color w:val="auto"/>
        </w:rPr>
        <w:t>. Mr. Zapico has 32 years of service with us.</w:t>
      </w:r>
    </w:p>
    <w:p>
      <w:pPr>
        <w:spacing w:after="0" w:line="121" w:lineRule="exact"/>
        <w:rPr>
          <w:sz w:val="20"/>
          <w:szCs w:val="20"/>
          <w:color w:val="auto"/>
        </w:rPr>
      </w:pPr>
    </w:p>
    <w:p>
      <w:pPr>
        <w:ind w:right="80"/>
        <w:spacing w:after="0" w:line="312" w:lineRule="auto"/>
        <w:rPr>
          <w:sz w:val="20"/>
          <w:szCs w:val="20"/>
          <w:color w:val="auto"/>
        </w:rPr>
      </w:pPr>
      <w:r>
        <w:rPr>
          <w:rFonts w:ascii="Arial" w:cs="Arial" w:eastAsia="Arial" w:hAnsi="Arial"/>
          <w:sz w:val="17"/>
          <w:szCs w:val="17"/>
          <w:b w:val="1"/>
          <w:bCs w:val="1"/>
          <w:color w:val="auto"/>
        </w:rPr>
        <w:t xml:space="preserve">William J. Burke </w:t>
      </w:r>
      <w:r>
        <w:rPr>
          <w:rFonts w:ascii="Arial" w:cs="Arial" w:eastAsia="Arial" w:hAnsi="Arial"/>
          <w:sz w:val="17"/>
          <w:szCs w:val="17"/>
          <w:color w:val="auto"/>
        </w:rPr>
        <w:t>was elected Executive Vice President–Chief Financial Officer effective May 15, 2016. He served as Senior Vice President–Comptroller</w:t>
      </w:r>
      <w:r>
        <w:rPr>
          <w:rFonts w:ascii="Arial" w:cs="Arial" w:eastAsia="Arial" w:hAnsi="Arial"/>
          <w:sz w:val="17"/>
          <w:szCs w:val="17"/>
          <w:b w:val="1"/>
          <w:bCs w:val="1"/>
          <w:color w:val="auto"/>
        </w:rPr>
        <w:t xml:space="preserve"> </w:t>
      </w:r>
      <w:r>
        <w:rPr>
          <w:rFonts w:ascii="Arial" w:cs="Arial" w:eastAsia="Arial" w:hAnsi="Arial"/>
          <w:sz w:val="17"/>
          <w:szCs w:val="17"/>
          <w:color w:val="auto"/>
        </w:rPr>
        <w:t>from July 2012 to May 2016, and as Treasurer from March 2007 to September 2017. Mr. Burke has over 34 years of service with us.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Ronald J. Oscher </w:t>
      </w:r>
      <w:r>
        <w:rPr>
          <w:rFonts w:ascii="Arial" w:cs="Arial" w:eastAsia="Arial" w:hAnsi="Arial"/>
          <w:sz w:val="18"/>
          <w:szCs w:val="18"/>
          <w:color w:val="auto"/>
        </w:rPr>
        <w:t>was elected Chief Administrative Officer effective May 5, 2016. Mr. Oscher has 11 years of service with us.</w:t>
      </w:r>
    </w:p>
    <w:p>
      <w:pPr>
        <w:spacing w:after="0" w:line="171" w:lineRule="exact"/>
        <w:rPr>
          <w:sz w:val="20"/>
          <w:szCs w:val="20"/>
          <w:color w:val="auto"/>
        </w:rPr>
      </w:pPr>
    </w:p>
    <w:p>
      <w:pPr>
        <w:spacing w:after="0" w:line="236" w:lineRule="auto"/>
        <w:rPr>
          <w:sz w:val="20"/>
          <w:szCs w:val="20"/>
          <w:color w:val="auto"/>
        </w:rPr>
      </w:pPr>
      <w:r>
        <w:rPr>
          <w:rFonts w:ascii="Arial" w:cs="Arial" w:eastAsia="Arial" w:hAnsi="Arial"/>
          <w:sz w:val="18"/>
          <w:szCs w:val="18"/>
          <w:b w:val="1"/>
          <w:bCs w:val="1"/>
          <w:color w:val="auto"/>
        </w:rPr>
        <w:t xml:space="preserve">Emanuela Speranza </w:t>
      </w:r>
      <w:r>
        <w:rPr>
          <w:rFonts w:ascii="Arial" w:cs="Arial" w:eastAsia="Arial" w:hAnsi="Arial"/>
          <w:sz w:val="18"/>
          <w:szCs w:val="18"/>
          <w:color w:val="auto"/>
        </w:rPr>
        <w:t>was elected Chief Commercial Officer effective January 1, 2022. She served as Vice President and General Manager, International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from January 2020 to December 2021, and Vice President and General Manager, Europe &amp; India from February 2014 to December 2019. Ms. Speranza has 8 years of service with us.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Tony J. Ciampitti </w:t>
      </w:r>
      <w:r>
        <w:rPr>
          <w:rFonts w:ascii="Arial" w:cs="Arial" w:eastAsia="Arial" w:hAnsi="Arial"/>
          <w:sz w:val="18"/>
          <w:szCs w:val="18"/>
          <w:color w:val="auto"/>
        </w:rPr>
        <w:t>was elected President–Electronic Instruments effective January 1, 2017. Mr. Ciampitti has 25 years of service with us.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John W. Hardin </w:t>
      </w:r>
      <w:r>
        <w:rPr>
          <w:rFonts w:ascii="Arial" w:cs="Arial" w:eastAsia="Arial" w:hAnsi="Arial"/>
          <w:sz w:val="18"/>
          <w:szCs w:val="18"/>
          <w:color w:val="auto"/>
        </w:rPr>
        <w:t>was elected President–Electronic Instruments effective July 23, 2008. Mr. Hardin has 23 years of service with us.</w:t>
      </w:r>
    </w:p>
    <w:p>
      <w:pPr>
        <w:spacing w:after="0" w:line="171"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b w:val="1"/>
          <w:bCs w:val="1"/>
          <w:color w:val="auto"/>
        </w:rPr>
        <w:t xml:space="preserve">David F. Hermance </w:t>
      </w:r>
      <w:r>
        <w:rPr>
          <w:rFonts w:ascii="Arial" w:cs="Arial" w:eastAsia="Arial" w:hAnsi="Arial"/>
          <w:sz w:val="18"/>
          <w:szCs w:val="18"/>
          <w:color w:val="auto"/>
        </w:rPr>
        <w:t>was elected President – Electromechanical Group effective January 1, 2022. He served as Vice President and General Manager from</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2015 to December 2021. Mr. Hermance has 30 years of service with us.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Thomas C. Marecic </w:t>
      </w:r>
      <w:r>
        <w:rPr>
          <w:rFonts w:ascii="Arial" w:cs="Arial" w:eastAsia="Arial" w:hAnsi="Arial"/>
          <w:sz w:val="18"/>
          <w:szCs w:val="18"/>
          <w:color w:val="auto"/>
        </w:rPr>
        <w:t>was elected President–Electronic Instruments effective November 5, 2014. Mr. Marecic has 27 years of service with us.</w:t>
      </w:r>
    </w:p>
    <w:p>
      <w:pPr>
        <w:spacing w:after="0" w:line="198"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Thomas M. Montgomery </w:t>
      </w:r>
      <w:r>
        <w:rPr>
          <w:rFonts w:ascii="Arial" w:cs="Arial" w:eastAsia="Arial" w:hAnsi="Arial"/>
          <w:sz w:val="18"/>
          <w:szCs w:val="18"/>
          <w:color w:val="auto"/>
        </w:rPr>
        <w:t>was elected Senior Vice President–Comptroller &amp; Principal Accounting Officer effective May 15, 2016. Mr. Montgomery has</w:t>
      </w:r>
      <w:r>
        <w:rPr>
          <w:rFonts w:ascii="Arial" w:cs="Arial" w:eastAsia="Arial" w:hAnsi="Arial"/>
          <w:sz w:val="18"/>
          <w:szCs w:val="18"/>
          <w:b w:val="1"/>
          <w:bCs w:val="1"/>
          <w:color w:val="auto"/>
        </w:rPr>
        <w:t xml:space="preserve"> </w:t>
      </w:r>
      <w:r>
        <w:rPr>
          <w:rFonts w:ascii="Arial" w:cs="Arial" w:eastAsia="Arial" w:hAnsi="Arial"/>
          <w:sz w:val="18"/>
          <w:szCs w:val="18"/>
          <w:color w:val="auto"/>
        </w:rPr>
        <w:t>38 years of service with us.</w:t>
      </w:r>
    </w:p>
    <w:p>
      <w:pPr>
        <w:spacing w:after="0" w:line="200" w:lineRule="exact"/>
        <w:rPr>
          <w:sz w:val="20"/>
          <w:szCs w:val="20"/>
          <w:color w:val="auto"/>
        </w:rPr>
      </w:pPr>
    </w:p>
    <w:p>
      <w:pPr>
        <w:spacing w:after="0" w:line="245"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b w:val="1"/>
          <w:bCs w:val="1"/>
          <w:color w:val="auto"/>
        </w:rPr>
        <w:t>26</w:t>
        <w:tab/>
        <w:t>AMETEK, INC.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00"/>
          </w:cols>
          <w:pgMar w:left="320" w:top="1111" w:right="37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22"/>
          <w:szCs w:val="22"/>
          <w:b w:val="1"/>
          <w:bCs w:val="1"/>
          <w:color w:val="auto"/>
        </w:rPr>
        <w:t>EXECUTIVE COMPENSATION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COMPENSATION DISCUSSION AND ANALYSIS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89" w:lineRule="exact"/>
        <w:rPr>
          <w:sz w:val="20"/>
          <w:szCs w:val="20"/>
          <w:color w:val="auto"/>
        </w:rPr>
      </w:pPr>
    </w:p>
    <w:p>
      <w:pPr>
        <w:ind w:right="1040"/>
        <w:spacing w:after="0" w:line="342" w:lineRule="auto"/>
        <w:rPr>
          <w:sz w:val="20"/>
          <w:szCs w:val="20"/>
          <w:color w:val="auto"/>
        </w:rPr>
      </w:pPr>
      <w:r>
        <w:rPr>
          <w:rFonts w:ascii="Arial" w:cs="Arial" w:eastAsia="Arial" w:hAnsi="Arial"/>
          <w:sz w:val="16"/>
          <w:szCs w:val="16"/>
          <w:color w:val="auto"/>
        </w:rPr>
        <w:t>In this Compensation Discussion and Analysis, we address the compensation paid or awarded to our executive officers listed in the Summary Compensation Table that immediately follows this discussion. We refer to these executive officers as our “named executive officers.”</w:t>
      </w:r>
    </w:p>
    <w:p>
      <w:pPr>
        <w:spacing w:after="0" w:line="9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Each year, the Compensation Committee, in consultation with an independent compensation consultant, carefully reviews our compensation policies and procedures to determine if they are in the best interests of our stockholders and employees. The Compensation Committee conducted this review in the fall of 2021. Stockholder approval of our executive compensation for the past 10 years has been strong and has averaged approximately 95% of the advisory vote. Accordingly, the Compensation Committee determined that it is in the best interests of our stockholders as well as our employees to maintain our compensation policies and procedures, with certain enhancements, which are described in this Compensation Discussion and Analysis.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 Governance Practices</w:t>
      </w:r>
    </w:p>
    <w:p>
      <w:pPr>
        <w:spacing w:after="0" w:line="189"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The Compensation Committee recognizes that the success of our executive compensation program over the long term requires a robust framework of compensation governance. As a result, the Compensation Committee regularly reviews external executive compensation practices and trends and incorporates best practices into our executive compensation program.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What We Do</w:t>
      </w:r>
    </w:p>
    <w:p>
      <w:pPr>
        <w:spacing w:after="0" w:line="225" w:lineRule="exact"/>
        <w:rPr>
          <w:sz w:val="20"/>
          <w:szCs w:val="20"/>
          <w:color w:val="auto"/>
        </w:rPr>
      </w:pPr>
    </w:p>
    <w:p>
      <w:pPr>
        <w:ind w:left="640" w:hanging="614"/>
        <w:spacing w:after="0"/>
        <w:tabs>
          <w:tab w:leader="none" w:pos="640" w:val="left"/>
        </w:tabs>
        <w:numPr>
          <w:ilvl w:val="0"/>
          <w:numId w:val="27"/>
        </w:numPr>
        <w:rPr>
          <w:rFonts w:ascii="MS PGothic" w:cs="MS PGothic" w:eastAsia="MS PGothic" w:hAnsi="MS PGothic"/>
          <w:sz w:val="18"/>
          <w:szCs w:val="18"/>
          <w:color w:val="auto"/>
        </w:rPr>
      </w:pPr>
      <w:r>
        <w:rPr>
          <w:rFonts w:ascii="Arial" w:cs="Arial" w:eastAsia="Arial" w:hAnsi="Arial"/>
          <w:sz w:val="18"/>
          <w:szCs w:val="18"/>
          <w:color w:val="auto"/>
        </w:rPr>
        <w:t>Strong alignment between pay and performance</w:t>
      </w:r>
    </w:p>
    <w:p>
      <w:pPr>
        <w:spacing w:after="0" w:line="38" w:lineRule="exact"/>
        <w:rPr>
          <w:rFonts w:ascii="MS PGothic" w:cs="MS PGothic" w:eastAsia="MS PGothic" w:hAnsi="MS PGothic"/>
          <w:sz w:val="18"/>
          <w:szCs w:val="18"/>
          <w:color w:val="auto"/>
        </w:rPr>
      </w:pPr>
    </w:p>
    <w:p>
      <w:pPr>
        <w:ind w:left="640" w:hanging="614"/>
        <w:spacing w:after="0"/>
        <w:tabs>
          <w:tab w:leader="none" w:pos="640" w:val="left"/>
        </w:tabs>
        <w:numPr>
          <w:ilvl w:val="0"/>
          <w:numId w:val="27"/>
        </w:numPr>
        <w:rPr>
          <w:rFonts w:ascii="MS PGothic" w:cs="MS PGothic" w:eastAsia="MS PGothic" w:hAnsi="MS PGothic"/>
          <w:sz w:val="18"/>
          <w:szCs w:val="18"/>
          <w:color w:val="auto"/>
        </w:rPr>
      </w:pPr>
      <w:r>
        <w:rPr>
          <w:rFonts w:ascii="Arial" w:cs="Arial" w:eastAsia="Arial" w:hAnsi="Arial"/>
          <w:sz w:val="18"/>
          <w:szCs w:val="18"/>
          <w:color w:val="auto"/>
        </w:rPr>
        <w:t>Large majority of executive compensation is at-risk and variable</w:t>
      </w:r>
    </w:p>
    <w:p>
      <w:pPr>
        <w:spacing w:after="0" w:line="22" w:lineRule="exact"/>
        <w:rPr>
          <w:rFonts w:ascii="MS PGothic" w:cs="MS PGothic" w:eastAsia="MS PGothic" w:hAnsi="MS PGothic"/>
          <w:sz w:val="18"/>
          <w:szCs w:val="18"/>
          <w:color w:val="auto"/>
        </w:rPr>
      </w:pPr>
    </w:p>
    <w:p>
      <w:pPr>
        <w:ind w:left="640" w:hanging="614"/>
        <w:spacing w:after="0"/>
        <w:tabs>
          <w:tab w:leader="none" w:pos="640" w:val="left"/>
        </w:tabs>
        <w:numPr>
          <w:ilvl w:val="0"/>
          <w:numId w:val="27"/>
        </w:numPr>
        <w:rPr>
          <w:rFonts w:ascii="MS PGothic" w:cs="MS PGothic" w:eastAsia="MS PGothic" w:hAnsi="MS PGothic"/>
          <w:sz w:val="18"/>
          <w:szCs w:val="18"/>
          <w:color w:val="auto"/>
        </w:rPr>
      </w:pPr>
      <w:r>
        <w:rPr>
          <w:rFonts w:ascii="Arial" w:cs="Arial" w:eastAsia="Arial" w:hAnsi="Arial"/>
          <w:sz w:val="18"/>
          <w:szCs w:val="18"/>
          <w:color w:val="auto"/>
        </w:rPr>
        <w:t>Large majority of variable compensation is delivered as long-term incentives</w:t>
      </w:r>
    </w:p>
    <w:p>
      <w:pPr>
        <w:spacing w:after="0" w:line="22" w:lineRule="exact"/>
        <w:rPr>
          <w:rFonts w:ascii="MS PGothic" w:cs="MS PGothic" w:eastAsia="MS PGothic" w:hAnsi="MS PGothic"/>
          <w:sz w:val="18"/>
          <w:szCs w:val="18"/>
          <w:color w:val="auto"/>
        </w:rPr>
      </w:pPr>
    </w:p>
    <w:p>
      <w:pPr>
        <w:ind w:left="640" w:hanging="614"/>
        <w:spacing w:after="0"/>
        <w:tabs>
          <w:tab w:leader="none" w:pos="640" w:val="left"/>
        </w:tabs>
        <w:numPr>
          <w:ilvl w:val="0"/>
          <w:numId w:val="27"/>
        </w:numPr>
        <w:rPr>
          <w:rFonts w:ascii="MS PGothic" w:cs="MS PGothic" w:eastAsia="MS PGothic" w:hAnsi="MS PGothic"/>
          <w:sz w:val="18"/>
          <w:szCs w:val="18"/>
          <w:color w:val="auto"/>
        </w:rPr>
      </w:pPr>
      <w:r>
        <w:rPr>
          <w:rFonts w:ascii="Arial" w:cs="Arial" w:eastAsia="Arial" w:hAnsi="Arial"/>
          <w:sz w:val="18"/>
          <w:szCs w:val="18"/>
          <w:color w:val="auto"/>
        </w:rPr>
        <w:t>All long-term incentives are denominated and delivered in equity</w:t>
      </w:r>
    </w:p>
    <w:p>
      <w:pPr>
        <w:spacing w:after="0" w:line="22" w:lineRule="exact"/>
        <w:rPr>
          <w:rFonts w:ascii="MS PGothic" w:cs="MS PGothic" w:eastAsia="MS PGothic" w:hAnsi="MS PGothic"/>
          <w:sz w:val="18"/>
          <w:szCs w:val="18"/>
          <w:color w:val="auto"/>
        </w:rPr>
      </w:pPr>
    </w:p>
    <w:p>
      <w:pPr>
        <w:ind w:left="640" w:hanging="614"/>
        <w:spacing w:after="0"/>
        <w:tabs>
          <w:tab w:leader="none" w:pos="640" w:val="left"/>
        </w:tabs>
        <w:numPr>
          <w:ilvl w:val="0"/>
          <w:numId w:val="27"/>
        </w:numPr>
        <w:rPr>
          <w:rFonts w:ascii="MS PGothic" w:cs="MS PGothic" w:eastAsia="MS PGothic" w:hAnsi="MS PGothic"/>
          <w:sz w:val="18"/>
          <w:szCs w:val="18"/>
          <w:color w:val="auto"/>
        </w:rPr>
      </w:pPr>
      <w:r>
        <w:rPr>
          <w:rFonts w:ascii="Arial" w:cs="Arial" w:eastAsia="Arial" w:hAnsi="Arial"/>
          <w:sz w:val="18"/>
          <w:szCs w:val="18"/>
          <w:color w:val="auto"/>
        </w:rPr>
        <w:t>Stock ownership requirements for all executive officers</w:t>
      </w:r>
    </w:p>
    <w:p>
      <w:pPr>
        <w:spacing w:after="0" w:line="22" w:lineRule="exact"/>
        <w:rPr>
          <w:rFonts w:ascii="MS PGothic" w:cs="MS PGothic" w:eastAsia="MS PGothic" w:hAnsi="MS PGothic"/>
          <w:sz w:val="18"/>
          <w:szCs w:val="18"/>
          <w:color w:val="auto"/>
        </w:rPr>
      </w:pPr>
    </w:p>
    <w:p>
      <w:pPr>
        <w:ind w:left="640" w:hanging="614"/>
        <w:spacing w:after="0"/>
        <w:tabs>
          <w:tab w:leader="none" w:pos="640" w:val="left"/>
        </w:tabs>
        <w:numPr>
          <w:ilvl w:val="0"/>
          <w:numId w:val="27"/>
        </w:numPr>
        <w:rPr>
          <w:rFonts w:ascii="MS PGothic" w:cs="MS PGothic" w:eastAsia="MS PGothic" w:hAnsi="MS PGothic"/>
          <w:sz w:val="18"/>
          <w:szCs w:val="18"/>
          <w:color w:val="auto"/>
        </w:rPr>
      </w:pPr>
      <w:r>
        <w:rPr>
          <w:rFonts w:ascii="Arial" w:cs="Arial" w:eastAsia="Arial" w:hAnsi="Arial"/>
          <w:sz w:val="18"/>
          <w:szCs w:val="18"/>
          <w:color w:val="auto"/>
        </w:rPr>
        <w:t>Minimum vesting requirements for equity awards per our equity plan</w:t>
      </w:r>
    </w:p>
    <w:p>
      <w:pPr>
        <w:spacing w:after="0" w:line="22" w:lineRule="exact"/>
        <w:rPr>
          <w:rFonts w:ascii="MS PGothic" w:cs="MS PGothic" w:eastAsia="MS PGothic" w:hAnsi="MS PGothic"/>
          <w:sz w:val="18"/>
          <w:szCs w:val="18"/>
          <w:color w:val="auto"/>
        </w:rPr>
      </w:pPr>
    </w:p>
    <w:p>
      <w:pPr>
        <w:ind w:left="640" w:hanging="614"/>
        <w:spacing w:after="0"/>
        <w:tabs>
          <w:tab w:leader="none" w:pos="640" w:val="left"/>
        </w:tabs>
        <w:numPr>
          <w:ilvl w:val="0"/>
          <w:numId w:val="27"/>
        </w:numPr>
        <w:rPr>
          <w:rFonts w:ascii="MS PGothic" w:cs="MS PGothic" w:eastAsia="MS PGothic" w:hAnsi="MS PGothic"/>
          <w:sz w:val="18"/>
          <w:szCs w:val="18"/>
          <w:color w:val="auto"/>
        </w:rPr>
      </w:pPr>
      <w:r>
        <w:rPr>
          <w:rFonts w:ascii="Arial" w:cs="Arial" w:eastAsia="Arial" w:hAnsi="Arial"/>
          <w:sz w:val="18"/>
          <w:szCs w:val="18"/>
          <w:color w:val="auto"/>
        </w:rPr>
        <w:t>Caps on annual bonuses to avoid excessive short-term focus and potentially adverse risk-taking</w:t>
      </w:r>
    </w:p>
    <w:p>
      <w:pPr>
        <w:spacing w:after="0" w:line="22" w:lineRule="exact"/>
        <w:rPr>
          <w:rFonts w:ascii="MS PGothic" w:cs="MS PGothic" w:eastAsia="MS PGothic" w:hAnsi="MS PGothic"/>
          <w:sz w:val="18"/>
          <w:szCs w:val="18"/>
          <w:color w:val="auto"/>
        </w:rPr>
      </w:pPr>
    </w:p>
    <w:p>
      <w:pPr>
        <w:ind w:left="640" w:hanging="614"/>
        <w:spacing w:after="0"/>
        <w:tabs>
          <w:tab w:leader="none" w:pos="640" w:val="left"/>
        </w:tabs>
        <w:numPr>
          <w:ilvl w:val="0"/>
          <w:numId w:val="27"/>
        </w:numPr>
        <w:rPr>
          <w:rFonts w:ascii="MS PGothic" w:cs="MS PGothic" w:eastAsia="MS PGothic" w:hAnsi="MS PGothic"/>
          <w:sz w:val="18"/>
          <w:szCs w:val="18"/>
          <w:color w:val="auto"/>
        </w:rPr>
      </w:pPr>
      <w:r>
        <w:rPr>
          <w:rFonts w:ascii="Arial" w:cs="Arial" w:eastAsia="Arial" w:hAnsi="Arial"/>
          <w:sz w:val="18"/>
          <w:szCs w:val="18"/>
          <w:color w:val="auto"/>
        </w:rPr>
        <w:t>Annual benchmarking of our compensation levels to ensure competitiveness</w:t>
      </w:r>
    </w:p>
    <w:p>
      <w:pPr>
        <w:spacing w:after="0" w:line="22" w:lineRule="exact"/>
        <w:rPr>
          <w:rFonts w:ascii="MS PGothic" w:cs="MS PGothic" w:eastAsia="MS PGothic" w:hAnsi="MS PGothic"/>
          <w:sz w:val="18"/>
          <w:szCs w:val="18"/>
          <w:color w:val="auto"/>
        </w:rPr>
      </w:pPr>
    </w:p>
    <w:p>
      <w:pPr>
        <w:ind w:left="640" w:hanging="614"/>
        <w:spacing w:after="0"/>
        <w:tabs>
          <w:tab w:leader="none" w:pos="640" w:val="left"/>
        </w:tabs>
        <w:numPr>
          <w:ilvl w:val="0"/>
          <w:numId w:val="27"/>
        </w:numPr>
        <w:rPr>
          <w:rFonts w:ascii="MS PGothic" w:cs="MS PGothic" w:eastAsia="MS PGothic" w:hAnsi="MS PGothic"/>
          <w:sz w:val="18"/>
          <w:szCs w:val="18"/>
          <w:color w:val="auto"/>
        </w:rPr>
      </w:pPr>
      <w:r>
        <w:rPr>
          <w:rFonts w:ascii="Arial" w:cs="Arial" w:eastAsia="Arial" w:hAnsi="Arial"/>
          <w:sz w:val="18"/>
          <w:szCs w:val="18"/>
          <w:color w:val="auto"/>
        </w:rPr>
        <w:t>Use of an independent consultant to advise the Compensation Committee</w:t>
      </w:r>
    </w:p>
    <w:p>
      <w:pPr>
        <w:spacing w:after="0" w:line="22" w:lineRule="exact"/>
        <w:rPr>
          <w:rFonts w:ascii="MS PGothic" w:cs="MS PGothic" w:eastAsia="MS PGothic" w:hAnsi="MS PGothic"/>
          <w:sz w:val="18"/>
          <w:szCs w:val="18"/>
          <w:color w:val="auto"/>
        </w:rPr>
      </w:pPr>
    </w:p>
    <w:p>
      <w:pPr>
        <w:ind w:left="640" w:hanging="614"/>
        <w:spacing w:after="0"/>
        <w:tabs>
          <w:tab w:leader="none" w:pos="640" w:val="left"/>
        </w:tabs>
        <w:numPr>
          <w:ilvl w:val="0"/>
          <w:numId w:val="27"/>
        </w:numPr>
        <w:rPr>
          <w:rFonts w:ascii="MS PGothic" w:cs="MS PGothic" w:eastAsia="MS PGothic" w:hAnsi="MS PGothic"/>
          <w:sz w:val="18"/>
          <w:szCs w:val="18"/>
          <w:color w:val="auto"/>
        </w:rPr>
      </w:pPr>
      <w:r>
        <w:rPr>
          <w:rFonts w:ascii="Arial" w:cs="Arial" w:eastAsia="Arial" w:hAnsi="Arial"/>
          <w:sz w:val="18"/>
          <w:szCs w:val="18"/>
          <w:color w:val="auto"/>
        </w:rPr>
        <w:t>Clawback policy applicable to current and former executive officers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What We Don’t Do</w:t>
      </w:r>
    </w:p>
    <w:p>
      <w:pPr>
        <w:spacing w:after="0" w:line="225" w:lineRule="exact"/>
        <w:rPr>
          <w:sz w:val="20"/>
          <w:szCs w:val="20"/>
          <w:color w:val="auto"/>
        </w:rPr>
      </w:pPr>
    </w:p>
    <w:p>
      <w:pPr>
        <w:ind w:left="560" w:hanging="534"/>
        <w:spacing w:after="0"/>
        <w:tabs>
          <w:tab w:leader="none" w:pos="560" w:val="left"/>
        </w:tabs>
        <w:numPr>
          <w:ilvl w:val="0"/>
          <w:numId w:val="28"/>
        </w:numPr>
        <w:rPr>
          <w:rFonts w:ascii="MS PGothic" w:cs="MS PGothic" w:eastAsia="MS PGothic" w:hAnsi="MS PGothic"/>
          <w:sz w:val="18"/>
          <w:szCs w:val="18"/>
          <w:color w:val="auto"/>
        </w:rPr>
      </w:pPr>
      <w:r>
        <w:rPr>
          <w:rFonts w:ascii="Arial" w:cs="Arial" w:eastAsia="Arial" w:hAnsi="Arial"/>
          <w:sz w:val="18"/>
          <w:szCs w:val="18"/>
          <w:color w:val="auto"/>
        </w:rPr>
        <w:t>No excise tax gross-ups on change of control payments</w:t>
      </w:r>
    </w:p>
    <w:p>
      <w:pPr>
        <w:spacing w:after="0" w:line="38" w:lineRule="exact"/>
        <w:rPr>
          <w:rFonts w:ascii="MS PGothic" w:cs="MS PGothic" w:eastAsia="MS PGothic" w:hAnsi="MS PGothic"/>
          <w:sz w:val="18"/>
          <w:szCs w:val="18"/>
          <w:color w:val="auto"/>
        </w:rPr>
      </w:pPr>
    </w:p>
    <w:p>
      <w:pPr>
        <w:ind w:left="560" w:hanging="534"/>
        <w:spacing w:after="0"/>
        <w:tabs>
          <w:tab w:leader="none" w:pos="560" w:val="left"/>
        </w:tabs>
        <w:numPr>
          <w:ilvl w:val="0"/>
          <w:numId w:val="28"/>
        </w:numPr>
        <w:rPr>
          <w:rFonts w:ascii="MS PGothic" w:cs="MS PGothic" w:eastAsia="MS PGothic" w:hAnsi="MS PGothic"/>
          <w:sz w:val="18"/>
          <w:szCs w:val="18"/>
          <w:color w:val="auto"/>
        </w:rPr>
      </w:pPr>
      <w:r>
        <w:rPr>
          <w:rFonts w:ascii="Arial" w:cs="Arial" w:eastAsia="Arial" w:hAnsi="Arial"/>
          <w:sz w:val="18"/>
          <w:szCs w:val="18"/>
          <w:color w:val="auto"/>
        </w:rPr>
        <w:t>No excessive perquisites</w:t>
      </w:r>
    </w:p>
    <w:p>
      <w:pPr>
        <w:spacing w:after="0" w:line="22" w:lineRule="exact"/>
        <w:rPr>
          <w:rFonts w:ascii="MS PGothic" w:cs="MS PGothic" w:eastAsia="MS PGothic" w:hAnsi="MS PGothic"/>
          <w:sz w:val="18"/>
          <w:szCs w:val="18"/>
          <w:color w:val="auto"/>
        </w:rPr>
      </w:pPr>
    </w:p>
    <w:p>
      <w:pPr>
        <w:ind w:left="560" w:hanging="534"/>
        <w:spacing w:after="0"/>
        <w:tabs>
          <w:tab w:leader="none" w:pos="560" w:val="left"/>
        </w:tabs>
        <w:numPr>
          <w:ilvl w:val="0"/>
          <w:numId w:val="28"/>
        </w:numPr>
        <w:rPr>
          <w:rFonts w:ascii="MS PGothic" w:cs="MS PGothic" w:eastAsia="MS PGothic" w:hAnsi="MS PGothic"/>
          <w:sz w:val="18"/>
          <w:szCs w:val="18"/>
          <w:color w:val="auto"/>
        </w:rPr>
      </w:pPr>
      <w:r>
        <w:rPr>
          <w:rFonts w:ascii="Arial" w:cs="Arial" w:eastAsia="Arial" w:hAnsi="Arial"/>
          <w:sz w:val="18"/>
          <w:szCs w:val="18"/>
          <w:color w:val="auto"/>
        </w:rPr>
        <w:t>No hedging of our common stock by our officers and Directors</w:t>
      </w:r>
    </w:p>
    <w:p>
      <w:pPr>
        <w:spacing w:after="0" w:line="22" w:lineRule="exact"/>
        <w:rPr>
          <w:rFonts w:ascii="MS PGothic" w:cs="MS PGothic" w:eastAsia="MS PGothic" w:hAnsi="MS PGothic"/>
          <w:sz w:val="18"/>
          <w:szCs w:val="18"/>
          <w:color w:val="auto"/>
        </w:rPr>
      </w:pPr>
    </w:p>
    <w:p>
      <w:pPr>
        <w:ind w:left="560" w:hanging="534"/>
        <w:spacing w:after="0"/>
        <w:tabs>
          <w:tab w:leader="none" w:pos="560" w:val="left"/>
        </w:tabs>
        <w:numPr>
          <w:ilvl w:val="0"/>
          <w:numId w:val="28"/>
        </w:numPr>
        <w:rPr>
          <w:rFonts w:ascii="MS PGothic" w:cs="MS PGothic" w:eastAsia="MS PGothic" w:hAnsi="MS PGothic"/>
          <w:sz w:val="18"/>
          <w:szCs w:val="18"/>
          <w:color w:val="auto"/>
        </w:rPr>
      </w:pPr>
      <w:r>
        <w:rPr>
          <w:rFonts w:ascii="Arial" w:cs="Arial" w:eastAsia="Arial" w:hAnsi="Arial"/>
          <w:sz w:val="18"/>
          <w:szCs w:val="18"/>
          <w:color w:val="auto"/>
        </w:rPr>
        <w:t>No pledging of our common stock by our officers and Directors</w:t>
      </w:r>
    </w:p>
    <w:p>
      <w:pPr>
        <w:spacing w:after="0" w:line="22" w:lineRule="exact"/>
        <w:rPr>
          <w:rFonts w:ascii="MS PGothic" w:cs="MS PGothic" w:eastAsia="MS PGothic" w:hAnsi="MS PGothic"/>
          <w:sz w:val="18"/>
          <w:szCs w:val="18"/>
          <w:color w:val="auto"/>
        </w:rPr>
      </w:pPr>
    </w:p>
    <w:p>
      <w:pPr>
        <w:ind w:left="560" w:hanging="534"/>
        <w:spacing w:after="0"/>
        <w:tabs>
          <w:tab w:leader="none" w:pos="560" w:val="left"/>
        </w:tabs>
        <w:numPr>
          <w:ilvl w:val="0"/>
          <w:numId w:val="28"/>
        </w:numPr>
        <w:rPr>
          <w:rFonts w:ascii="MS PGothic" w:cs="MS PGothic" w:eastAsia="MS PGothic" w:hAnsi="MS PGothic"/>
          <w:sz w:val="18"/>
          <w:szCs w:val="18"/>
          <w:color w:val="auto"/>
        </w:rPr>
      </w:pPr>
      <w:r>
        <w:rPr>
          <w:rFonts w:ascii="Arial" w:cs="Arial" w:eastAsia="Arial" w:hAnsi="Arial"/>
          <w:sz w:val="18"/>
          <w:szCs w:val="18"/>
          <w:color w:val="auto"/>
        </w:rPr>
        <w:t>No discounting, reloading or repricing of stock options without stockholder approval</w:t>
      </w:r>
    </w:p>
    <w:p>
      <w:pPr>
        <w:spacing w:after="0" w:line="22" w:lineRule="exact"/>
        <w:rPr>
          <w:rFonts w:ascii="MS PGothic" w:cs="MS PGothic" w:eastAsia="MS PGothic" w:hAnsi="MS PGothic"/>
          <w:sz w:val="18"/>
          <w:szCs w:val="18"/>
          <w:color w:val="auto"/>
        </w:rPr>
      </w:pPr>
    </w:p>
    <w:p>
      <w:pPr>
        <w:ind w:left="560" w:hanging="534"/>
        <w:spacing w:after="0"/>
        <w:tabs>
          <w:tab w:leader="none" w:pos="560" w:val="left"/>
        </w:tabs>
        <w:numPr>
          <w:ilvl w:val="0"/>
          <w:numId w:val="28"/>
        </w:numPr>
        <w:rPr>
          <w:rFonts w:ascii="MS PGothic" w:cs="MS PGothic" w:eastAsia="MS PGothic" w:hAnsi="MS PGothic"/>
          <w:sz w:val="18"/>
          <w:szCs w:val="18"/>
          <w:color w:val="auto"/>
        </w:rPr>
      </w:pPr>
      <w:r>
        <w:rPr>
          <w:rFonts w:ascii="Arial" w:cs="Arial" w:eastAsia="Arial" w:hAnsi="Arial"/>
          <w:sz w:val="18"/>
          <w:szCs w:val="18"/>
          <w:color w:val="auto"/>
        </w:rPr>
        <w:t>No evergreen provision in our equity plan</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Compensation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Objectives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paid or awarded to our named executive officers for 2021 was designed to meet the following objectives:</w:t>
      </w:r>
    </w:p>
    <w:p>
      <w:pPr>
        <w:spacing w:after="0" w:line="63" w:lineRule="exact"/>
        <w:rPr>
          <w:sz w:val="20"/>
          <w:szCs w:val="20"/>
          <w:color w:val="auto"/>
        </w:rPr>
      </w:pPr>
    </w:p>
    <w:p>
      <w:pPr>
        <w:ind w:left="500" w:right="60" w:hanging="492"/>
        <w:spacing w:after="0" w:line="263" w:lineRule="auto"/>
        <w:tabs>
          <w:tab w:leader="none" w:pos="4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compensation that is competitive with market levels of compensation provided to other relevant companies’ executive officers, as described further below, taking into account the size of our company or operating group, as applicable. We refer to this objective as “competitive compensation.”</w:t>
      </w:r>
    </w:p>
    <w:p>
      <w:pPr>
        <w:spacing w:after="0" w:line="21" w:lineRule="exact"/>
        <w:rPr>
          <w:rFonts w:ascii="Arial" w:cs="Arial" w:eastAsia="Arial" w:hAnsi="Arial"/>
          <w:sz w:val="18"/>
          <w:szCs w:val="18"/>
          <w:color w:val="auto"/>
        </w:rPr>
      </w:pPr>
    </w:p>
    <w:p>
      <w:pPr>
        <w:ind w:left="500" w:right="100" w:hanging="492"/>
        <w:spacing w:after="0" w:line="277" w:lineRule="auto"/>
        <w:tabs>
          <w:tab w:leader="none" w:pos="4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Create a compensation structure under which a meaningful portion of total compensation is at risk and based on achievement of performance goals. We refer to this objective as “performance incentives.”</w:t>
      </w:r>
    </w:p>
    <w:p>
      <w:pPr>
        <w:spacing w:after="0" w:line="200" w:lineRule="exact"/>
        <w:rPr>
          <w:sz w:val="20"/>
          <w:szCs w:val="20"/>
          <w:color w:val="auto"/>
        </w:rPr>
      </w:pPr>
    </w:p>
    <w:p>
      <w:pPr>
        <w:spacing w:after="0" w:line="250"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8"/>
          <w:szCs w:val="18"/>
          <w:b w:val="1"/>
          <w:bCs w:val="1"/>
          <w:color w:val="auto"/>
        </w:rPr>
        <w:t>AMETEK, INC. 2022 Proxy Statement</w:t>
      </w:r>
      <w:r>
        <w:rPr>
          <w:sz w:val="20"/>
          <w:szCs w:val="20"/>
          <w:color w:val="auto"/>
        </w:rPr>
        <w:tab/>
      </w:r>
      <w:r>
        <w:rPr>
          <w:rFonts w:ascii="Arial" w:cs="Arial" w:eastAsia="Arial" w:hAnsi="Arial"/>
          <w:sz w:val="16"/>
          <w:szCs w:val="16"/>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32" w:name="page33"/>
    <w:bookmarkEnd w:id="32"/>
    <w:p>
      <w:pPr>
        <w:ind w:left="500" w:right="140" w:hanging="492"/>
        <w:spacing w:after="0" w:line="277" w:lineRule="auto"/>
        <w:tabs>
          <w:tab w:leader="none" w:pos="4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Encourage the aggregation and maintenance of meaningful equity ownership, and alignment of executive and stockholder interests. We refer to this objective as “stockholder alignment.”</w:t>
      </w:r>
    </w:p>
    <w:p>
      <w:pPr>
        <w:spacing w:after="0" w:line="8" w:lineRule="exact"/>
        <w:rPr>
          <w:rFonts w:ascii="Arial" w:cs="Arial" w:eastAsia="Arial" w:hAnsi="Arial"/>
          <w:sz w:val="18"/>
          <w:szCs w:val="18"/>
          <w:color w:val="auto"/>
        </w:rPr>
      </w:pPr>
    </w:p>
    <w:p>
      <w:pPr>
        <w:ind w:left="480" w:hanging="472"/>
        <w:spacing w:after="0"/>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an incentive for long-term continued employment with us. We refer to this objective as “retention incentives.”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fashioned various components of our 2021 compensation payments and awards to meet these objectives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00" w:type="dxa"/>
            <w:vAlign w:val="bottom"/>
          </w:tcPr>
          <w:p>
            <w:pPr>
              <w:ind w:left="720"/>
              <w:spacing w:after="0"/>
              <w:rPr>
                <w:sz w:val="20"/>
                <w:szCs w:val="20"/>
                <w:color w:val="auto"/>
              </w:rPr>
            </w:pPr>
            <w:r>
              <w:rPr>
                <w:rFonts w:ascii="Arial" w:cs="Arial" w:eastAsia="Arial" w:hAnsi="Arial"/>
                <w:sz w:val="16"/>
                <w:szCs w:val="16"/>
                <w:b w:val="1"/>
                <w:bCs w:val="1"/>
                <w:color w:val="auto"/>
              </w:rPr>
              <w:t>Pay Component</w:t>
            </w:r>
          </w:p>
        </w:tc>
        <w:tc>
          <w:tcPr>
            <w:tcW w:w="2640" w:type="dxa"/>
            <w:vAlign w:val="bottom"/>
          </w:tcPr>
          <w:p>
            <w:pPr>
              <w:jc w:val="center"/>
              <w:ind w:left="99"/>
              <w:spacing w:after="0"/>
              <w:rPr>
                <w:sz w:val="20"/>
                <w:szCs w:val="20"/>
                <w:color w:val="auto"/>
              </w:rPr>
            </w:pPr>
            <w:r>
              <w:rPr>
                <w:rFonts w:ascii="Arial" w:cs="Arial" w:eastAsia="Arial" w:hAnsi="Arial"/>
                <w:sz w:val="16"/>
                <w:szCs w:val="16"/>
                <w:b w:val="1"/>
                <w:bCs w:val="1"/>
                <w:color w:val="auto"/>
                <w:w w:val="91"/>
              </w:rPr>
              <w:t>Competitive Compensation</w:t>
            </w: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w w:val="90"/>
              </w:rPr>
              <w:t>Performance Incentives</w:t>
            </w:r>
          </w:p>
        </w:tc>
        <w:tc>
          <w:tcPr>
            <w:tcW w:w="2140" w:type="dxa"/>
            <w:vAlign w:val="bottom"/>
          </w:tcPr>
          <w:p>
            <w:pPr>
              <w:jc w:val="center"/>
              <w:spacing w:after="0"/>
              <w:rPr>
                <w:sz w:val="20"/>
                <w:szCs w:val="20"/>
                <w:color w:val="auto"/>
              </w:rPr>
            </w:pPr>
            <w:r>
              <w:rPr>
                <w:rFonts w:ascii="Arial" w:cs="Arial" w:eastAsia="Arial" w:hAnsi="Arial"/>
                <w:sz w:val="16"/>
                <w:szCs w:val="16"/>
                <w:b w:val="1"/>
                <w:bCs w:val="1"/>
                <w:color w:val="auto"/>
                <w:w w:val="91"/>
              </w:rPr>
              <w:t>Stockholder Alignment</w:t>
            </w: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90"/>
              </w:rPr>
              <w:t>Retention Incentives</w:t>
            </w:r>
          </w:p>
        </w:tc>
      </w:tr>
      <w:tr>
        <w:trPr>
          <w:trHeight w:val="219"/>
        </w:trPr>
        <w:tc>
          <w:tcPr>
            <w:tcW w:w="2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Salary</w:t>
            </w:r>
          </w:p>
        </w:tc>
        <w:tc>
          <w:tcPr>
            <w:tcW w:w="2640" w:type="dxa"/>
            <w:vAlign w:val="bottom"/>
            <w:shd w:val="clear" w:color="auto" w:fill="CFF0FC"/>
          </w:tcPr>
          <w:p>
            <w:pPr>
              <w:jc w:val="center"/>
              <w:ind w:left="99"/>
              <w:spacing w:after="0" w:line="161" w:lineRule="exact"/>
              <w:rPr>
                <w:sz w:val="20"/>
                <w:szCs w:val="20"/>
                <w:color w:val="auto"/>
              </w:rPr>
            </w:pPr>
            <w:r>
              <w:rPr>
                <w:rFonts w:ascii="MS PGothic" w:cs="MS PGothic" w:eastAsia="MS PGothic" w:hAnsi="MS PGothic"/>
                <w:sz w:val="16"/>
                <w:szCs w:val="16"/>
                <w:color w:val="auto"/>
                <w:w w:val="87"/>
              </w:rPr>
              <w:t>✓</w:t>
            </w:r>
          </w:p>
        </w:tc>
        <w:tc>
          <w:tcPr>
            <w:tcW w:w="2180" w:type="dxa"/>
            <w:vAlign w:val="bottom"/>
            <w:shd w:val="clear" w:color="auto" w:fill="CFF0FC"/>
          </w:tcPr>
          <w:p>
            <w:pPr>
              <w:spacing w:after="0"/>
              <w:rPr>
                <w:sz w:val="19"/>
                <w:szCs w:val="19"/>
                <w:color w:val="auto"/>
              </w:rPr>
            </w:pPr>
          </w:p>
        </w:tc>
        <w:tc>
          <w:tcPr>
            <w:tcW w:w="214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r>
      <w:tr>
        <w:trPr>
          <w:trHeight w:val="216"/>
        </w:trPr>
        <w:tc>
          <w:tcPr>
            <w:tcW w:w="2400" w:type="dxa"/>
            <w:vAlign w:val="bottom"/>
          </w:tcPr>
          <w:p>
            <w:pPr>
              <w:ind w:left="20"/>
              <w:spacing w:after="0"/>
              <w:rPr>
                <w:sz w:val="20"/>
                <w:szCs w:val="20"/>
                <w:color w:val="auto"/>
              </w:rPr>
            </w:pPr>
            <w:r>
              <w:rPr>
                <w:rFonts w:ascii="Arial" w:cs="Arial" w:eastAsia="Arial" w:hAnsi="Arial"/>
                <w:sz w:val="16"/>
                <w:szCs w:val="16"/>
                <w:color w:val="auto"/>
              </w:rPr>
              <w:t>Short-Term Incentive Awards</w:t>
            </w:r>
          </w:p>
        </w:tc>
        <w:tc>
          <w:tcPr>
            <w:tcW w:w="2640" w:type="dxa"/>
            <w:vAlign w:val="bottom"/>
          </w:tcPr>
          <w:p>
            <w:pPr>
              <w:jc w:val="center"/>
              <w:ind w:left="99"/>
              <w:spacing w:after="0" w:line="161" w:lineRule="exact"/>
              <w:rPr>
                <w:sz w:val="20"/>
                <w:szCs w:val="20"/>
                <w:color w:val="auto"/>
              </w:rPr>
            </w:pPr>
            <w:r>
              <w:rPr>
                <w:rFonts w:ascii="MS PGothic" w:cs="MS PGothic" w:eastAsia="MS PGothic" w:hAnsi="MS PGothic"/>
                <w:sz w:val="16"/>
                <w:szCs w:val="16"/>
                <w:color w:val="auto"/>
                <w:w w:val="87"/>
              </w:rPr>
              <w:t>✓</w:t>
            </w:r>
          </w:p>
        </w:tc>
        <w:tc>
          <w:tcPr>
            <w:tcW w:w="21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1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880" w:type="dxa"/>
            <w:vAlign w:val="bottom"/>
          </w:tcPr>
          <w:p>
            <w:pPr>
              <w:spacing w:after="0"/>
              <w:rPr>
                <w:sz w:val="18"/>
                <w:szCs w:val="18"/>
                <w:color w:val="auto"/>
              </w:rPr>
            </w:pPr>
          </w:p>
        </w:tc>
      </w:tr>
      <w:tr>
        <w:trPr>
          <w:trHeight w:val="216"/>
        </w:trPr>
        <w:tc>
          <w:tcPr>
            <w:tcW w:w="2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Long-Term Incentive Awards</w:t>
            </w:r>
          </w:p>
        </w:tc>
        <w:tc>
          <w:tcPr>
            <w:tcW w:w="2640" w:type="dxa"/>
            <w:vAlign w:val="bottom"/>
            <w:shd w:val="clear" w:color="auto" w:fill="CFF0FC"/>
          </w:tcPr>
          <w:p>
            <w:pPr>
              <w:jc w:val="center"/>
              <w:ind w:left="99"/>
              <w:spacing w:after="0" w:line="161" w:lineRule="exact"/>
              <w:rPr>
                <w:sz w:val="20"/>
                <w:szCs w:val="20"/>
                <w:color w:val="auto"/>
              </w:rPr>
            </w:pPr>
            <w:r>
              <w:rPr>
                <w:rFonts w:ascii="MS PGothic" w:cs="MS PGothic" w:eastAsia="MS PGothic" w:hAnsi="MS PGothic"/>
                <w:sz w:val="16"/>
                <w:szCs w:val="16"/>
                <w:color w:val="auto"/>
                <w:w w:val="87"/>
              </w:rPr>
              <w:t>✓</w:t>
            </w:r>
          </w:p>
        </w:tc>
        <w:tc>
          <w:tcPr>
            <w:tcW w:w="2180" w:type="dxa"/>
            <w:vAlign w:val="bottom"/>
            <w:shd w:val="clear" w:color="auto" w:fill="CFF0FC"/>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140" w:type="dxa"/>
            <w:vAlign w:val="bottom"/>
            <w:shd w:val="clear" w:color="auto" w:fill="CFF0FC"/>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880" w:type="dxa"/>
            <w:vAlign w:val="bottom"/>
            <w:shd w:val="clear" w:color="auto" w:fill="CFF0FC"/>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2400" w:type="dxa"/>
            <w:vAlign w:val="bottom"/>
          </w:tcPr>
          <w:p>
            <w:pPr>
              <w:ind w:left="20"/>
              <w:spacing w:after="0"/>
              <w:rPr>
                <w:sz w:val="20"/>
                <w:szCs w:val="20"/>
                <w:color w:val="auto"/>
              </w:rPr>
            </w:pPr>
            <w:r>
              <w:rPr>
                <w:rFonts w:ascii="Arial" w:cs="Arial" w:eastAsia="Arial" w:hAnsi="Arial"/>
                <w:sz w:val="16"/>
                <w:szCs w:val="16"/>
                <w:color w:val="auto"/>
              </w:rPr>
              <w:t>Stock Ownership Guidelines</w:t>
            </w:r>
          </w:p>
        </w:tc>
        <w:tc>
          <w:tcPr>
            <w:tcW w:w="264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21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880" w:type="dxa"/>
            <w:vAlign w:val="bottom"/>
          </w:tcPr>
          <w:p>
            <w:pPr>
              <w:spacing w:after="0"/>
              <w:rPr>
                <w:sz w:val="22"/>
                <w:szCs w:val="22"/>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Competitive Compensation</w:t>
      </w:r>
    </w:p>
    <w:p>
      <w:pPr>
        <w:spacing w:after="0" w:line="18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assessing the competitiveness of our compensation levels, we review current-year compensation data provided to us by an independent compensation consultant, Pay Governance LLC. We generally refer to the median pay levels of both our compensation peer group and the general industry (a collection of more than 800 companies) for each pay component and for all pay components in the aggregate.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We used the following process to determine a reference point for the compensation for each named executive officer in 2021:</w:t>
      </w:r>
    </w:p>
    <w:p>
      <w:pPr>
        <w:spacing w:after="0" w:line="117" w:lineRule="exact"/>
        <w:rPr>
          <w:sz w:val="20"/>
          <w:szCs w:val="20"/>
          <w:color w:val="auto"/>
        </w:rPr>
      </w:pPr>
    </w:p>
    <w:p>
      <w:pPr>
        <w:ind w:left="480" w:hanging="472"/>
        <w:spacing w:after="0"/>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provided to the compensation consultant a description of the responsibilities for each named executive officer.</w:t>
      </w:r>
    </w:p>
    <w:p>
      <w:pPr>
        <w:spacing w:after="0" w:line="117" w:lineRule="exact"/>
        <w:rPr>
          <w:rFonts w:ascii="Arial" w:cs="Arial" w:eastAsia="Arial" w:hAnsi="Arial"/>
          <w:sz w:val="18"/>
          <w:szCs w:val="18"/>
          <w:color w:val="auto"/>
        </w:rPr>
      </w:pPr>
    </w:p>
    <w:p>
      <w:pPr>
        <w:ind w:left="500" w:right="260" w:hanging="492"/>
        <w:spacing w:after="0" w:line="257" w:lineRule="auto"/>
        <w:tabs>
          <w:tab w:leader="none" w:pos="4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compensation consultant employed its standard methodology to provide compensation levels for comparable executives in the market. Comparable executives are seasoned executives having similar responsibilities in companies of generally similar size and scope. The competitive compensation information was based on our compensation peer group and general industry data derived principally from Willis Towers Watson’s Executive Compensation Database, supplemented with data from public filings. The data were size-adjusted to reflect our estimated revenues and the relevant operating groups as appropriate.</w:t>
      </w:r>
    </w:p>
    <w:p>
      <w:pPr>
        <w:spacing w:after="0" w:line="16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While the actual amount of total compensation earned will vary based on company and individual performance, our goal is for total target compensation, as well as each element of total target compensation, to be at or around the median target compensation for executives with similar positions in the market. Individual executive compensation is established based on an executive’s scope of responsibility, impact on profitable growth, individual performance and breadth of experience. The percentage of total target compensation comprised of each component of pay is shown in the following graphs.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606415" cy="17145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06415"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Peer Group</w:t>
      </w:r>
    </w:p>
    <w:p>
      <w:pPr>
        <w:spacing w:after="0" w:line="202"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Compensation Committee selects companies for inclusion in the compensation benchmarking peer group based on similarity of industry classification and general comparability of key size measures including market capitalization, revenue, assets and employees. This defined peer group data is used in conjunction with general industry market data when benchmarking each compensation component and total target compensation.</w:t>
      </w:r>
    </w:p>
    <w:p>
      <w:pPr>
        <w:spacing w:after="0" w:line="200" w:lineRule="exact"/>
        <w:rPr>
          <w:sz w:val="20"/>
          <w:szCs w:val="20"/>
          <w:color w:val="auto"/>
        </w:rPr>
      </w:pPr>
    </w:p>
    <w:p>
      <w:pPr>
        <w:spacing w:after="0" w:line="228"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b w:val="1"/>
          <w:bCs w:val="1"/>
          <w:color w:val="auto"/>
        </w:rPr>
        <w:t>28</w:t>
        <w:tab/>
        <w:t>AMETEK, INC.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We used the following peer group to inform pay actions effective in 2021.</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500" w:type="dxa"/>
            <w:vAlign w:val="bottom"/>
            <w:tcBorders>
              <w:top w:val="single" w:sz="8" w:color="auto"/>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Acuity Brands, Inc.</w:t>
            </w:r>
          </w:p>
        </w:tc>
        <w:tc>
          <w:tcPr>
            <w:tcW w:w="2600" w:type="dxa"/>
            <w:vAlign w:val="bottom"/>
            <w:tcBorders>
              <w:top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Fortive Corporation</w:t>
            </w:r>
          </w:p>
        </w:tc>
        <w:tc>
          <w:tcPr>
            <w:tcW w:w="3180" w:type="dxa"/>
            <w:vAlign w:val="bottom"/>
            <w:tcBorders>
              <w:top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Parker-Hannifin Corporation</w:t>
            </w:r>
          </w:p>
        </w:tc>
        <w:tc>
          <w:tcPr>
            <w:tcW w:w="298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Snap-On Incorporated</w:t>
            </w:r>
          </w:p>
        </w:tc>
      </w:tr>
      <w:tr>
        <w:trPr>
          <w:trHeight w:val="223"/>
        </w:trPr>
        <w:tc>
          <w:tcPr>
            <w:tcW w:w="25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Agilent Technologies, Inc.</w:t>
            </w:r>
          </w:p>
        </w:tc>
        <w:tc>
          <w:tcPr>
            <w:tcW w:w="2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Hubbell Incorporated</w:t>
            </w:r>
          </w:p>
        </w:tc>
        <w:tc>
          <w:tcPr>
            <w:tcW w:w="3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Pentair plc</w:t>
            </w:r>
          </w:p>
        </w:tc>
        <w:tc>
          <w:tcPr>
            <w:tcW w:w="2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TransDigm Group Incorporated</w:t>
            </w:r>
          </w:p>
        </w:tc>
      </w:tr>
      <w:tr>
        <w:trPr>
          <w:trHeight w:val="223"/>
        </w:trPr>
        <w:tc>
          <w:tcPr>
            <w:tcW w:w="250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Dover Corporation</w:t>
            </w:r>
          </w:p>
        </w:tc>
        <w:tc>
          <w:tcPr>
            <w:tcW w:w="26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IDEX Corporation</w:t>
            </w:r>
          </w:p>
        </w:tc>
        <w:tc>
          <w:tcPr>
            <w:tcW w:w="31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Rockwell Automation, Inc.</w:t>
            </w:r>
          </w:p>
        </w:tc>
        <w:tc>
          <w:tcPr>
            <w:tcW w:w="298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Xylem Inc.</w:t>
            </w:r>
          </w:p>
        </w:tc>
      </w:tr>
      <w:tr>
        <w:trPr>
          <w:trHeight w:val="223"/>
        </w:trPr>
        <w:tc>
          <w:tcPr>
            <w:tcW w:w="25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Flowserve Corporation</w:t>
            </w:r>
          </w:p>
        </w:tc>
        <w:tc>
          <w:tcPr>
            <w:tcW w:w="2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Keysight Technologies, Inc.</w:t>
            </w:r>
          </w:p>
        </w:tc>
        <w:tc>
          <w:tcPr>
            <w:tcW w:w="3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Sensata Technologies Holding plc</w:t>
            </w:r>
          </w:p>
        </w:tc>
        <w:tc>
          <w:tcPr>
            <w:tcW w:w="2980" w:type="dxa"/>
            <w:vAlign w:val="bottom"/>
            <w:tcBorders>
              <w:bottom w:val="single" w:sz="8" w:color="auto"/>
              <w:right w:val="single" w:sz="8" w:color="auto"/>
            </w:tcBorders>
          </w:tcPr>
          <w:p>
            <w:pPr>
              <w:spacing w:after="0"/>
              <w:rPr>
                <w:sz w:val="19"/>
                <w:szCs w:val="19"/>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Executive Officers in Determining Executive Compensation for Named Executive Officers</w:t>
      </w:r>
    </w:p>
    <w:p>
      <w:pPr>
        <w:spacing w:after="0" w:line="18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connection with 2021 compensation, Mr. Zapico, aided by our human resources department, provided statistical data and recommendations to the Compensation Committee to assist it in determining compensation levels. Mr. Zapico did not make recommendations as to his own compensation. While the Compensation Committee utilized this information, and valued Mr. Zapico’s observations with regard to other executive officers, the ultimate approval regarding executive compensation came from the Compensation Committee.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Compensation Components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During 2021, in response to the pandemic, the effective date of executive officer base salary increases was delayed from January 1, 2021 to April 1,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Also, our CEO did not receive a base salary increase in 2021.</w:t>
      </w:r>
    </w:p>
    <w:p>
      <w:pPr>
        <w:spacing w:after="0" w:line="23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salary amounts set forth in the Summary Compensation Table for 2021 reflect salary decisions made by the Compensation Committee in November 2020. In determining base salary, our CEO and the Compensation Committee consider the size and scope of the executives’ responsibilities, experience, performance and the median base salary of similar positions in the market. The Compensation Committee believes that median base salary is an appropriate general reference point to attract and retain top executive talent. Base salaries are reviewed annually, and adjustments are intended to recognize performance and contributions over the prior year, as well as any significant changes in duties or scope of responsibility.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Incentive Program</w:t>
      </w:r>
    </w:p>
    <w:p>
      <w:pPr>
        <w:spacing w:after="0" w:line="19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principal objective of our short-term incentive program is to strongly link a portion of annual compensation to our business achievements. We set target short-term incentive opportunities at the median for comparable executives. However, variations from market, both positive and negative, may result based on actual performance.</w:t>
      </w:r>
    </w:p>
    <w:p>
      <w:pPr>
        <w:spacing w:after="0" w:line="14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Target bonus amounts are typically stated as a percentage of base salary. For 2021, the target bonus amount are Mr. Zapico – 130%; Mr. Burke – 80%; Mr. Jones – 70%; Mr. Hardin – 70%; and Mr. Marecic – 70%.</w:t>
      </w:r>
    </w:p>
    <w:p>
      <w:pPr>
        <w:spacing w:after="0" w:line="13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Under our short-term incentive program, we selected performance measures that are key drivers of stockholder value. In some instances, performance metrics differed among the named executive officers. These differences reflect the differing responsibilities of the executives. We also established targets, or expected levels of performance, for each performance measure.</w:t>
      </w:r>
    </w:p>
    <w:p>
      <w:pPr>
        <w:spacing w:after="0" w:line="15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large majority of our executives’ annual incentive is based on formula-driven, non-discretionary, financial metrics. The target goal for each non-discretionary measure in 2021 was largely developed from our 2021 budget. Consistent with past</w:t>
      </w:r>
    </w:p>
    <w:p>
      <w:pPr>
        <w:spacing w:after="0" w:line="200" w:lineRule="exact"/>
        <w:rPr>
          <w:sz w:val="20"/>
          <w:szCs w:val="20"/>
          <w:color w:val="auto"/>
        </w:rPr>
      </w:pPr>
    </w:p>
    <w:p>
      <w:pPr>
        <w:spacing w:after="0" w:line="250" w:lineRule="exact"/>
        <w:rPr>
          <w:sz w:val="20"/>
          <w:szCs w:val="20"/>
          <w:color w:val="auto"/>
        </w:rPr>
      </w:pPr>
    </w:p>
    <w:p>
      <w:pPr>
        <w:ind w:left="7780"/>
        <w:spacing w:after="0"/>
        <w:tabs>
          <w:tab w:leader="none" w:pos="11020" w:val="left"/>
        </w:tabs>
        <w:rPr>
          <w:sz w:val="20"/>
          <w:szCs w:val="20"/>
          <w:color w:val="auto"/>
        </w:rPr>
      </w:pPr>
      <w:r>
        <w:rPr>
          <w:rFonts w:ascii="Arial" w:cs="Arial" w:eastAsia="Arial" w:hAnsi="Arial"/>
          <w:sz w:val="18"/>
          <w:szCs w:val="18"/>
          <w:b w:val="1"/>
          <w:bCs w:val="1"/>
          <w:color w:val="auto"/>
        </w:rPr>
        <w:t>AMETEK, INC. 2022 Proxy Statement</w:t>
      </w:r>
      <w:r>
        <w:rPr>
          <w:sz w:val="20"/>
          <w:szCs w:val="20"/>
          <w:color w:val="auto"/>
        </w:rPr>
        <w:tab/>
      </w:r>
      <w:r>
        <w:rPr>
          <w:rFonts w:ascii="Arial" w:cs="Arial" w:eastAsia="Arial" w:hAnsi="Arial"/>
          <w:sz w:val="16"/>
          <w:szCs w:val="16"/>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60"/>
          </w:cols>
          <w:pgMar w:left="320" w:top="1111" w:right="319" w:bottom="1440" w:gutter="0" w:footer="0" w:header="0"/>
        </w:sectPr>
      </w:pPr>
    </w:p>
    <w:bookmarkStart w:id="34" w:name="page35"/>
    <w:bookmarkEnd w:id="34"/>
    <w:p>
      <w:pPr>
        <w:spacing w:after="0"/>
        <w:rPr>
          <w:sz w:val="20"/>
          <w:szCs w:val="20"/>
          <w:color w:val="auto"/>
        </w:rPr>
      </w:pPr>
      <w:r>
        <w:rPr>
          <w:rFonts w:ascii="Arial" w:cs="Arial" w:eastAsia="Arial" w:hAnsi="Arial"/>
          <w:sz w:val="17"/>
          <w:szCs w:val="17"/>
          <w:color w:val="auto"/>
        </w:rPr>
        <w:t>practice, the Compensation Committee can make adjustments on a case-by-case basis, such as for group operating income, as described below.</w:t>
      </w:r>
    </w:p>
    <w:p>
      <w:pPr>
        <w:spacing w:after="0" w:line="28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200" w:type="dxa"/>
            <w:vAlign w:val="bottom"/>
            <w:tcBorders>
              <w:top w:val="single" w:sz="8" w:color="auto"/>
              <w:left w:val="single" w:sz="8" w:color="auto"/>
              <w:bottom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Performance Measure</w:t>
            </w:r>
          </w:p>
        </w:tc>
        <w:tc>
          <w:tcPr>
            <w:tcW w:w="4380" w:type="dxa"/>
            <w:vAlign w:val="bottom"/>
            <w:tcBorders>
              <w:top w:val="single" w:sz="8" w:color="auto"/>
              <w:bottom w:val="single" w:sz="8" w:color="auto"/>
              <w:right w:val="single" w:sz="8" w:color="auto"/>
            </w:tcBorders>
          </w:tcPr>
          <w:p>
            <w:pPr>
              <w:ind w:left="1600"/>
              <w:spacing w:after="0"/>
              <w:rPr>
                <w:sz w:val="20"/>
                <w:szCs w:val="20"/>
                <w:color w:val="auto"/>
              </w:rPr>
            </w:pPr>
            <w:r>
              <w:rPr>
                <w:rFonts w:ascii="Arial" w:cs="Arial" w:eastAsia="Arial" w:hAnsi="Arial"/>
                <w:sz w:val="18"/>
                <w:szCs w:val="18"/>
                <w:b w:val="1"/>
                <w:bCs w:val="1"/>
                <w:color w:val="auto"/>
              </w:rPr>
              <w:t>Why It Is Used</w:t>
            </w:r>
          </w:p>
        </w:tc>
        <w:tc>
          <w:tcPr>
            <w:tcW w:w="4400" w:type="dxa"/>
            <w:vAlign w:val="bottom"/>
            <w:tcBorders>
              <w:top w:val="single" w:sz="8" w:color="auto"/>
              <w:bottom w:val="single" w:sz="8" w:color="auto"/>
              <w:right w:val="single" w:sz="8" w:color="auto"/>
            </w:tcBorders>
          </w:tcPr>
          <w:p>
            <w:pPr>
              <w:ind w:left="1420"/>
              <w:spacing w:after="0"/>
              <w:rPr>
                <w:sz w:val="20"/>
                <w:szCs w:val="20"/>
                <w:color w:val="auto"/>
              </w:rPr>
            </w:pPr>
            <w:r>
              <w:rPr>
                <w:rFonts w:ascii="Arial" w:cs="Arial" w:eastAsia="Arial" w:hAnsi="Arial"/>
                <w:sz w:val="18"/>
                <w:szCs w:val="18"/>
                <w:b w:val="1"/>
                <w:bCs w:val="1"/>
                <w:color w:val="auto"/>
              </w:rPr>
              <w:t>How It Is Measured</w:t>
            </w:r>
          </w:p>
        </w:tc>
        <w:tc>
          <w:tcPr>
            <w:tcW w:w="0" w:type="dxa"/>
            <w:vAlign w:val="bottom"/>
          </w:tcPr>
          <w:p>
            <w:pPr>
              <w:spacing w:after="0"/>
              <w:rPr>
                <w:sz w:val="1"/>
                <w:szCs w:val="1"/>
                <w:color w:val="auto"/>
              </w:rPr>
            </w:pPr>
          </w:p>
        </w:tc>
      </w:tr>
      <w:tr>
        <w:trPr>
          <w:trHeight w:val="169"/>
        </w:trPr>
        <w:tc>
          <w:tcPr>
            <w:tcW w:w="2200" w:type="dxa"/>
            <w:vAlign w:val="bottom"/>
            <w:tcBorders>
              <w:left w:val="single" w:sz="8" w:color="auto"/>
              <w:right w:val="single" w:sz="8" w:color="auto"/>
            </w:tcBorders>
          </w:tcPr>
          <w:p>
            <w:pPr>
              <w:spacing w:after="0"/>
              <w:rPr>
                <w:sz w:val="14"/>
                <w:szCs w:val="14"/>
                <w:color w:val="auto"/>
              </w:rPr>
            </w:pPr>
          </w:p>
        </w:tc>
        <w:tc>
          <w:tcPr>
            <w:tcW w:w="4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w w:val="97"/>
              </w:rPr>
              <w:t>An excellent measure of our executive officers’ success</w:t>
            </w:r>
          </w:p>
        </w:tc>
        <w:tc>
          <w:tcPr>
            <w:tcW w:w="440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Defined as net income, adjusted for tax-effected</w:t>
            </w:r>
          </w:p>
        </w:tc>
        <w:tc>
          <w:tcPr>
            <w:tcW w:w="0" w:type="dxa"/>
            <w:vAlign w:val="bottom"/>
          </w:tcPr>
          <w:p>
            <w:pPr>
              <w:spacing w:after="0"/>
              <w:rPr>
                <w:sz w:val="1"/>
                <w:szCs w:val="1"/>
                <w:color w:val="auto"/>
              </w:rPr>
            </w:pPr>
          </w:p>
        </w:tc>
      </w:tr>
      <w:tr>
        <w:trPr>
          <w:trHeight w:val="176"/>
        </w:trPr>
        <w:tc>
          <w:tcPr>
            <w:tcW w:w="2200" w:type="dxa"/>
            <w:vAlign w:val="bottom"/>
            <w:tcBorders>
              <w:left w:val="single" w:sz="8" w:color="auto"/>
              <w:right w:val="single" w:sz="8" w:color="auto"/>
            </w:tcBorders>
          </w:tcPr>
          <w:p>
            <w:pPr>
              <w:spacing w:after="0"/>
              <w:rPr>
                <w:sz w:val="15"/>
                <w:szCs w:val="15"/>
                <w:color w:val="auto"/>
              </w:rPr>
            </w:pPr>
          </w:p>
        </w:tc>
        <w:tc>
          <w:tcPr>
            <w:tcW w:w="4380" w:type="dxa"/>
            <w:vAlign w:val="bottom"/>
            <w:tcBorders>
              <w:right w:val="single" w:sz="8" w:color="auto"/>
            </w:tcBorders>
            <w:vMerge w:val="continue"/>
          </w:tcPr>
          <w:p>
            <w:pPr>
              <w:spacing w:after="0"/>
              <w:rPr>
                <w:sz w:val="15"/>
                <w:szCs w:val="15"/>
                <w:color w:val="auto"/>
              </w:rPr>
            </w:pPr>
          </w:p>
        </w:tc>
        <w:tc>
          <w:tcPr>
            <w:tcW w:w="440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5"/>
              </w:rPr>
              <w:t>acquisition-related intangible amortization, divided by the</w:t>
            </w:r>
          </w:p>
        </w:tc>
        <w:tc>
          <w:tcPr>
            <w:tcW w:w="0" w:type="dxa"/>
            <w:vAlign w:val="bottom"/>
          </w:tcPr>
          <w:p>
            <w:pPr>
              <w:spacing w:after="0"/>
              <w:rPr>
                <w:sz w:val="1"/>
                <w:szCs w:val="1"/>
                <w:color w:val="auto"/>
              </w:rPr>
            </w:pPr>
          </w:p>
        </w:tc>
      </w:tr>
      <w:tr>
        <w:trPr>
          <w:trHeight w:val="175"/>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Adjusted Earnings Per</w:t>
            </w:r>
          </w:p>
        </w:tc>
        <w:tc>
          <w:tcPr>
            <w:tcW w:w="43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increasing stockholder returns</w:t>
            </w:r>
          </w:p>
        </w:tc>
        <w:tc>
          <w:tcPr>
            <w:tcW w:w="440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7"/>
              </w:rPr>
              <w:t>total number of fully diluted shares of our common stock</w:t>
            </w:r>
          </w:p>
        </w:tc>
        <w:tc>
          <w:tcPr>
            <w:tcW w:w="0" w:type="dxa"/>
            <w:vAlign w:val="bottom"/>
          </w:tcPr>
          <w:p>
            <w:pPr>
              <w:spacing w:after="0"/>
              <w:rPr>
                <w:sz w:val="1"/>
                <w:szCs w:val="1"/>
                <w:color w:val="auto"/>
              </w:rPr>
            </w:pPr>
          </w:p>
        </w:tc>
      </w:tr>
      <w:tr>
        <w:trPr>
          <w:trHeight w:val="176"/>
        </w:trPr>
        <w:tc>
          <w:tcPr>
            <w:tcW w:w="2200" w:type="dxa"/>
            <w:vAlign w:val="bottom"/>
            <w:tcBorders>
              <w:left w:val="single" w:sz="8" w:color="auto"/>
              <w:right w:val="single" w:sz="8" w:color="auto"/>
            </w:tcBorders>
            <w:vMerge w:val="continue"/>
          </w:tcPr>
          <w:p>
            <w:pPr>
              <w:spacing w:after="0"/>
              <w:rPr>
                <w:sz w:val="15"/>
                <w:szCs w:val="15"/>
                <w:color w:val="auto"/>
              </w:rPr>
            </w:pPr>
          </w:p>
        </w:tc>
        <w:tc>
          <w:tcPr>
            <w:tcW w:w="4380" w:type="dxa"/>
            <w:vAlign w:val="bottom"/>
            <w:tcBorders>
              <w:right w:val="single" w:sz="8" w:color="auto"/>
            </w:tcBorders>
          </w:tcPr>
          <w:p>
            <w:pPr>
              <w:spacing w:after="0"/>
              <w:rPr>
                <w:sz w:val="15"/>
                <w:szCs w:val="15"/>
                <w:color w:val="auto"/>
              </w:rPr>
            </w:pPr>
          </w:p>
        </w:tc>
        <w:tc>
          <w:tcPr>
            <w:tcW w:w="440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outstanding</w:t>
            </w:r>
          </w:p>
        </w:tc>
        <w:tc>
          <w:tcPr>
            <w:tcW w:w="0" w:type="dxa"/>
            <w:vAlign w:val="bottom"/>
          </w:tcPr>
          <w:p>
            <w:pPr>
              <w:spacing w:after="0"/>
              <w:rPr>
                <w:sz w:val="1"/>
                <w:szCs w:val="1"/>
                <w:color w:val="auto"/>
              </w:rPr>
            </w:pPr>
          </w:p>
        </w:tc>
      </w:tr>
      <w:tr>
        <w:trPr>
          <w:trHeight w:val="54"/>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Share (EPS)</w:t>
            </w:r>
          </w:p>
        </w:tc>
        <w:tc>
          <w:tcPr>
            <w:tcW w:w="4380" w:type="dxa"/>
            <w:vAlign w:val="bottom"/>
            <w:tcBorders>
              <w:bottom w:val="single" w:sz="8" w:color="B6B6B6"/>
              <w:right w:val="single" w:sz="8" w:color="auto"/>
            </w:tcBorders>
          </w:tcPr>
          <w:p>
            <w:pPr>
              <w:spacing w:after="0"/>
              <w:rPr>
                <w:sz w:val="4"/>
                <w:szCs w:val="4"/>
                <w:color w:val="auto"/>
              </w:rPr>
            </w:pPr>
          </w:p>
        </w:tc>
        <w:tc>
          <w:tcPr>
            <w:tcW w:w="4400" w:type="dxa"/>
            <w:vAlign w:val="bottom"/>
            <w:tcBorders>
              <w:bottom w:val="single" w:sz="8" w:color="B6B6B6"/>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200" w:type="dxa"/>
            <w:vAlign w:val="bottom"/>
            <w:tcBorders>
              <w:left w:val="single" w:sz="8" w:color="auto"/>
              <w:right w:val="single" w:sz="8" w:color="auto"/>
            </w:tcBorders>
            <w:vMerge w:val="continue"/>
          </w:tcPr>
          <w:p>
            <w:pPr>
              <w:spacing w:after="0"/>
              <w:rPr>
                <w:sz w:val="13"/>
                <w:szCs w:val="13"/>
                <w:color w:val="auto"/>
              </w:rPr>
            </w:pPr>
          </w:p>
        </w:tc>
        <w:tc>
          <w:tcPr>
            <w:tcW w:w="4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 key metric affecting share price</w:t>
            </w:r>
          </w:p>
        </w:tc>
        <w:tc>
          <w:tcPr>
            <w:tcW w:w="4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w w:val="95"/>
              </w:rPr>
              <w:t>May exclude certain nonrecurring items (e.g. realignment</w:t>
            </w:r>
          </w:p>
        </w:tc>
        <w:tc>
          <w:tcPr>
            <w:tcW w:w="0" w:type="dxa"/>
            <w:vAlign w:val="bottom"/>
          </w:tcPr>
          <w:p>
            <w:pPr>
              <w:spacing w:after="0"/>
              <w:rPr>
                <w:sz w:val="1"/>
                <w:szCs w:val="1"/>
                <w:color w:val="auto"/>
              </w:rPr>
            </w:pPr>
          </w:p>
        </w:tc>
      </w:tr>
      <w:tr>
        <w:trPr>
          <w:trHeight w:val="90"/>
        </w:trPr>
        <w:tc>
          <w:tcPr>
            <w:tcW w:w="2200" w:type="dxa"/>
            <w:vAlign w:val="bottom"/>
            <w:tcBorders>
              <w:left w:val="single" w:sz="8" w:color="auto"/>
              <w:right w:val="single" w:sz="8" w:color="auto"/>
            </w:tcBorders>
          </w:tcPr>
          <w:p>
            <w:pPr>
              <w:spacing w:after="0"/>
              <w:rPr>
                <w:sz w:val="7"/>
                <w:szCs w:val="7"/>
                <w:color w:val="auto"/>
              </w:rPr>
            </w:pPr>
          </w:p>
        </w:tc>
        <w:tc>
          <w:tcPr>
            <w:tcW w:w="4380" w:type="dxa"/>
            <w:vAlign w:val="bottom"/>
            <w:tcBorders>
              <w:right w:val="single" w:sz="8" w:color="auto"/>
            </w:tcBorders>
            <w:vMerge w:val="continue"/>
          </w:tcPr>
          <w:p>
            <w:pPr>
              <w:spacing w:after="0"/>
              <w:rPr>
                <w:sz w:val="7"/>
                <w:szCs w:val="7"/>
                <w:color w:val="auto"/>
              </w:rPr>
            </w:pPr>
          </w:p>
        </w:tc>
        <w:tc>
          <w:tcPr>
            <w:tcW w:w="44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200" w:type="dxa"/>
            <w:vAlign w:val="bottom"/>
            <w:tcBorders>
              <w:left w:val="single" w:sz="8" w:color="auto"/>
              <w:right w:val="single" w:sz="8" w:color="auto"/>
            </w:tcBorders>
          </w:tcPr>
          <w:p>
            <w:pPr>
              <w:spacing w:after="0"/>
              <w:rPr>
                <w:sz w:val="12"/>
                <w:szCs w:val="12"/>
                <w:color w:val="auto"/>
              </w:rPr>
            </w:pPr>
          </w:p>
        </w:tc>
        <w:tc>
          <w:tcPr>
            <w:tcW w:w="4380" w:type="dxa"/>
            <w:vAlign w:val="bottom"/>
            <w:tcBorders>
              <w:right w:val="single" w:sz="8" w:color="auto"/>
            </w:tcBorders>
            <w:vMerge w:val="continue"/>
          </w:tcPr>
          <w:p>
            <w:pPr>
              <w:spacing w:after="0"/>
              <w:rPr>
                <w:sz w:val="12"/>
                <w:szCs w:val="12"/>
                <w:color w:val="auto"/>
              </w:rPr>
            </w:pPr>
          </w:p>
        </w:tc>
        <w:tc>
          <w:tcPr>
            <w:tcW w:w="4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costs, tax benefits or charges, sale of a business)</w:t>
            </w:r>
          </w:p>
        </w:tc>
        <w:tc>
          <w:tcPr>
            <w:tcW w:w="0" w:type="dxa"/>
            <w:vAlign w:val="bottom"/>
          </w:tcPr>
          <w:p>
            <w:pPr>
              <w:spacing w:after="0"/>
              <w:rPr>
                <w:sz w:val="1"/>
                <w:szCs w:val="1"/>
                <w:color w:val="auto"/>
              </w:rPr>
            </w:pPr>
          </w:p>
        </w:tc>
      </w:tr>
      <w:tr>
        <w:trPr>
          <w:trHeight w:val="82"/>
        </w:trPr>
        <w:tc>
          <w:tcPr>
            <w:tcW w:w="2200" w:type="dxa"/>
            <w:vAlign w:val="bottom"/>
            <w:tcBorders>
              <w:left w:val="single" w:sz="8" w:color="auto"/>
              <w:right w:val="single" w:sz="8" w:color="auto"/>
            </w:tcBorders>
          </w:tcPr>
          <w:p>
            <w:pPr>
              <w:spacing w:after="0"/>
              <w:rPr>
                <w:sz w:val="7"/>
                <w:szCs w:val="7"/>
                <w:color w:val="auto"/>
              </w:rPr>
            </w:pPr>
          </w:p>
        </w:tc>
        <w:tc>
          <w:tcPr>
            <w:tcW w:w="4380" w:type="dxa"/>
            <w:vAlign w:val="bottom"/>
            <w:tcBorders>
              <w:right w:val="single" w:sz="8" w:color="auto"/>
            </w:tcBorders>
          </w:tcPr>
          <w:p>
            <w:pPr>
              <w:spacing w:after="0"/>
              <w:rPr>
                <w:sz w:val="7"/>
                <w:szCs w:val="7"/>
                <w:color w:val="auto"/>
              </w:rPr>
            </w:pPr>
          </w:p>
        </w:tc>
        <w:tc>
          <w:tcPr>
            <w:tcW w:w="44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200" w:type="dxa"/>
            <w:vAlign w:val="bottom"/>
            <w:tcBorders>
              <w:left w:val="single" w:sz="8" w:color="auto"/>
              <w:bottom w:val="single" w:sz="8" w:color="auto"/>
              <w:right w:val="single" w:sz="8" w:color="auto"/>
            </w:tcBorders>
          </w:tcPr>
          <w:p>
            <w:pPr>
              <w:spacing w:after="0"/>
              <w:rPr>
                <w:sz w:val="8"/>
                <w:szCs w:val="8"/>
                <w:color w:val="auto"/>
              </w:rPr>
            </w:pPr>
          </w:p>
        </w:tc>
        <w:tc>
          <w:tcPr>
            <w:tcW w:w="4380" w:type="dxa"/>
            <w:vAlign w:val="bottom"/>
            <w:tcBorders>
              <w:bottom w:val="single" w:sz="8" w:color="auto"/>
              <w:right w:val="single" w:sz="8" w:color="auto"/>
            </w:tcBorders>
          </w:tcPr>
          <w:p>
            <w:pPr>
              <w:spacing w:after="0"/>
              <w:rPr>
                <w:sz w:val="8"/>
                <w:szCs w:val="8"/>
                <w:color w:val="auto"/>
              </w:rPr>
            </w:pPr>
          </w:p>
        </w:tc>
        <w:tc>
          <w:tcPr>
            <w:tcW w:w="44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200" w:type="dxa"/>
            <w:vAlign w:val="bottom"/>
            <w:tcBorders>
              <w:left w:val="single" w:sz="8" w:color="auto"/>
              <w:right w:val="single" w:sz="8" w:color="auto"/>
            </w:tcBorders>
          </w:tcPr>
          <w:p>
            <w:pPr>
              <w:spacing w:after="0"/>
              <w:rPr>
                <w:sz w:val="14"/>
                <w:szCs w:val="14"/>
                <w:color w:val="auto"/>
              </w:rPr>
            </w:pPr>
          </w:p>
        </w:tc>
        <w:tc>
          <w:tcPr>
            <w:tcW w:w="4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Key to the long-term vitality of a business</w:t>
            </w:r>
          </w:p>
        </w:tc>
        <w:tc>
          <w:tcPr>
            <w:tcW w:w="440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Applied either company-wide or at the operating group</w:t>
            </w:r>
          </w:p>
        </w:tc>
        <w:tc>
          <w:tcPr>
            <w:tcW w:w="0" w:type="dxa"/>
            <w:vAlign w:val="bottom"/>
          </w:tcPr>
          <w:p>
            <w:pPr>
              <w:spacing w:after="0"/>
              <w:rPr>
                <w:sz w:val="1"/>
                <w:szCs w:val="1"/>
                <w:color w:val="auto"/>
              </w:rPr>
            </w:pPr>
          </w:p>
        </w:tc>
      </w:tr>
      <w:tr>
        <w:trPr>
          <w:trHeight w:val="135"/>
        </w:trPr>
        <w:tc>
          <w:tcPr>
            <w:tcW w:w="2200" w:type="dxa"/>
            <w:vAlign w:val="bottom"/>
            <w:tcBorders>
              <w:left w:val="single" w:sz="8" w:color="auto"/>
              <w:right w:val="single" w:sz="8" w:color="auto"/>
            </w:tcBorders>
          </w:tcPr>
          <w:p>
            <w:pPr>
              <w:spacing w:after="0"/>
              <w:rPr>
                <w:sz w:val="11"/>
                <w:szCs w:val="11"/>
                <w:color w:val="auto"/>
              </w:rPr>
            </w:pPr>
          </w:p>
        </w:tc>
        <w:tc>
          <w:tcPr>
            <w:tcW w:w="4380" w:type="dxa"/>
            <w:vAlign w:val="bottom"/>
            <w:tcBorders>
              <w:right w:val="single" w:sz="8" w:color="auto"/>
            </w:tcBorders>
            <w:vMerge w:val="continue"/>
          </w:tcPr>
          <w:p>
            <w:pPr>
              <w:spacing w:after="0"/>
              <w:rPr>
                <w:sz w:val="11"/>
                <w:szCs w:val="11"/>
                <w:color w:val="auto"/>
              </w:rPr>
            </w:pPr>
          </w:p>
        </w:tc>
        <w:tc>
          <w:tcPr>
            <w:tcW w:w="4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level</w:t>
            </w:r>
          </w:p>
        </w:tc>
        <w:tc>
          <w:tcPr>
            <w:tcW w:w="0" w:type="dxa"/>
            <w:vAlign w:val="bottom"/>
          </w:tcPr>
          <w:p>
            <w:pPr>
              <w:spacing w:after="0"/>
              <w:rPr>
                <w:sz w:val="1"/>
                <w:szCs w:val="1"/>
                <w:color w:val="auto"/>
              </w:rPr>
            </w:pPr>
          </w:p>
        </w:tc>
      </w:tr>
      <w:tr>
        <w:trPr>
          <w:trHeight w:val="95"/>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w w:val="98"/>
              </w:rPr>
              <w:t>Organic Revenue Growth</w:t>
            </w:r>
          </w:p>
        </w:tc>
        <w:tc>
          <w:tcPr>
            <w:tcW w:w="4380" w:type="dxa"/>
            <w:vAlign w:val="bottom"/>
            <w:tcBorders>
              <w:bottom w:val="single" w:sz="8" w:color="B6B6B6"/>
              <w:right w:val="single" w:sz="8" w:color="auto"/>
            </w:tcBorders>
          </w:tcPr>
          <w:p>
            <w:pPr>
              <w:spacing w:after="0"/>
              <w:rPr>
                <w:sz w:val="8"/>
                <w:szCs w:val="8"/>
                <w:color w:val="auto"/>
              </w:rPr>
            </w:pPr>
          </w:p>
        </w:tc>
        <w:tc>
          <w:tcPr>
            <w:tcW w:w="4400" w:type="dxa"/>
            <w:vAlign w:val="bottom"/>
            <w:tcBorders>
              <w:bottom w:val="single" w:sz="8" w:color="B6B6B6"/>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200" w:type="dxa"/>
            <w:vAlign w:val="bottom"/>
            <w:tcBorders>
              <w:left w:val="single" w:sz="8" w:color="auto"/>
              <w:right w:val="single" w:sz="8" w:color="auto"/>
            </w:tcBorders>
            <w:vMerge w:val="continue"/>
          </w:tcPr>
          <w:p>
            <w:pPr>
              <w:spacing w:after="0"/>
              <w:rPr>
                <w:sz w:val="14"/>
                <w:szCs w:val="14"/>
                <w:color w:val="auto"/>
              </w:rPr>
            </w:pPr>
          </w:p>
        </w:tc>
        <w:tc>
          <w:tcPr>
            <w:tcW w:w="4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An important indicator of our executive officers’</w:t>
            </w:r>
          </w:p>
        </w:tc>
        <w:tc>
          <w:tcPr>
            <w:tcW w:w="440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5"/>
              </w:rPr>
              <w:t>Defined as actual versus prior-year revenue, excluding (i)</w:t>
            </w:r>
          </w:p>
        </w:tc>
        <w:tc>
          <w:tcPr>
            <w:tcW w:w="0" w:type="dxa"/>
            <w:vAlign w:val="bottom"/>
          </w:tcPr>
          <w:p>
            <w:pPr>
              <w:spacing w:after="0"/>
              <w:rPr>
                <w:sz w:val="1"/>
                <w:szCs w:val="1"/>
                <w:color w:val="auto"/>
              </w:rPr>
            </w:pPr>
          </w:p>
        </w:tc>
      </w:tr>
      <w:tr>
        <w:trPr>
          <w:trHeight w:val="81"/>
        </w:trPr>
        <w:tc>
          <w:tcPr>
            <w:tcW w:w="2200" w:type="dxa"/>
            <w:vAlign w:val="bottom"/>
            <w:tcBorders>
              <w:left w:val="single" w:sz="8" w:color="auto"/>
              <w:right w:val="single" w:sz="8" w:color="auto"/>
            </w:tcBorders>
          </w:tcPr>
          <w:p>
            <w:pPr>
              <w:spacing w:after="0"/>
              <w:rPr>
                <w:sz w:val="7"/>
                <w:szCs w:val="7"/>
                <w:color w:val="auto"/>
              </w:rPr>
            </w:pPr>
          </w:p>
        </w:tc>
        <w:tc>
          <w:tcPr>
            <w:tcW w:w="4380" w:type="dxa"/>
            <w:vAlign w:val="bottom"/>
            <w:tcBorders>
              <w:right w:val="single" w:sz="8" w:color="auto"/>
            </w:tcBorders>
            <w:vMerge w:val="continue"/>
          </w:tcPr>
          <w:p>
            <w:pPr>
              <w:spacing w:after="0"/>
              <w:rPr>
                <w:sz w:val="7"/>
                <w:szCs w:val="7"/>
                <w:color w:val="auto"/>
              </w:rPr>
            </w:pPr>
          </w:p>
        </w:tc>
        <w:tc>
          <w:tcPr>
            <w:tcW w:w="4400" w:type="dxa"/>
            <w:vAlign w:val="bottom"/>
            <w:tcBorders>
              <w:right w:val="single" w:sz="8" w:color="auto"/>
            </w:tcBorders>
            <w:vMerge w:val="restart"/>
          </w:tcPr>
          <w:p>
            <w:pPr>
              <w:ind w:left="20"/>
              <w:spacing w:after="0" w:line="176" w:lineRule="exact"/>
              <w:rPr>
                <w:sz w:val="20"/>
                <w:szCs w:val="20"/>
                <w:color w:val="auto"/>
              </w:rPr>
            </w:pPr>
            <w:r>
              <w:rPr>
                <w:rFonts w:ascii="Arial" w:cs="Arial" w:eastAsia="Arial" w:hAnsi="Arial"/>
                <w:sz w:val="18"/>
                <w:szCs w:val="18"/>
                <w:color w:val="auto"/>
              </w:rPr>
              <w:t>revenue increases attributable to acquisitions and (ii)</w:t>
            </w:r>
          </w:p>
        </w:tc>
        <w:tc>
          <w:tcPr>
            <w:tcW w:w="0" w:type="dxa"/>
            <w:vAlign w:val="bottom"/>
          </w:tcPr>
          <w:p>
            <w:pPr>
              <w:spacing w:after="0"/>
              <w:rPr>
                <w:sz w:val="1"/>
                <w:szCs w:val="1"/>
                <w:color w:val="auto"/>
              </w:rPr>
            </w:pPr>
          </w:p>
        </w:tc>
      </w:tr>
      <w:tr>
        <w:trPr>
          <w:trHeight w:val="94"/>
        </w:trPr>
        <w:tc>
          <w:tcPr>
            <w:tcW w:w="2200" w:type="dxa"/>
            <w:vAlign w:val="bottom"/>
            <w:tcBorders>
              <w:left w:val="single" w:sz="8" w:color="auto"/>
              <w:right w:val="single" w:sz="8" w:color="auto"/>
            </w:tcBorders>
          </w:tcPr>
          <w:p>
            <w:pPr>
              <w:spacing w:after="0"/>
              <w:rPr>
                <w:sz w:val="8"/>
                <w:szCs w:val="8"/>
                <w:color w:val="auto"/>
              </w:rPr>
            </w:pPr>
          </w:p>
        </w:tc>
        <w:tc>
          <w:tcPr>
            <w:tcW w:w="4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performance</w:t>
            </w:r>
          </w:p>
        </w:tc>
        <w:tc>
          <w:tcPr>
            <w:tcW w:w="44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200" w:type="dxa"/>
            <w:vAlign w:val="bottom"/>
            <w:tcBorders>
              <w:left w:val="single" w:sz="8" w:color="auto"/>
              <w:right w:val="single" w:sz="8" w:color="auto"/>
            </w:tcBorders>
          </w:tcPr>
          <w:p>
            <w:pPr>
              <w:spacing w:after="0"/>
              <w:rPr>
                <w:sz w:val="11"/>
                <w:szCs w:val="11"/>
                <w:color w:val="auto"/>
              </w:rPr>
            </w:pPr>
          </w:p>
        </w:tc>
        <w:tc>
          <w:tcPr>
            <w:tcW w:w="4380" w:type="dxa"/>
            <w:vAlign w:val="bottom"/>
            <w:tcBorders>
              <w:right w:val="single" w:sz="8" w:color="auto"/>
            </w:tcBorders>
            <w:vMerge w:val="continue"/>
          </w:tcPr>
          <w:p>
            <w:pPr>
              <w:spacing w:after="0"/>
              <w:rPr>
                <w:sz w:val="11"/>
                <w:szCs w:val="11"/>
                <w:color w:val="auto"/>
              </w:rPr>
            </w:pPr>
          </w:p>
        </w:tc>
        <w:tc>
          <w:tcPr>
            <w:tcW w:w="4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foreign currency effects</w:t>
            </w:r>
          </w:p>
        </w:tc>
        <w:tc>
          <w:tcPr>
            <w:tcW w:w="0" w:type="dxa"/>
            <w:vAlign w:val="bottom"/>
          </w:tcPr>
          <w:p>
            <w:pPr>
              <w:spacing w:after="0"/>
              <w:rPr>
                <w:sz w:val="1"/>
                <w:szCs w:val="1"/>
                <w:color w:val="auto"/>
              </w:rPr>
            </w:pPr>
          </w:p>
        </w:tc>
      </w:tr>
      <w:tr>
        <w:trPr>
          <w:trHeight w:val="94"/>
        </w:trPr>
        <w:tc>
          <w:tcPr>
            <w:tcW w:w="2200" w:type="dxa"/>
            <w:vAlign w:val="bottom"/>
            <w:tcBorders>
              <w:left w:val="single" w:sz="8" w:color="auto"/>
              <w:bottom w:val="single" w:sz="8" w:color="auto"/>
              <w:right w:val="single" w:sz="8" w:color="auto"/>
            </w:tcBorders>
          </w:tcPr>
          <w:p>
            <w:pPr>
              <w:spacing w:after="0"/>
              <w:rPr>
                <w:sz w:val="8"/>
                <w:szCs w:val="8"/>
                <w:color w:val="auto"/>
              </w:rPr>
            </w:pPr>
          </w:p>
        </w:tc>
        <w:tc>
          <w:tcPr>
            <w:tcW w:w="4380" w:type="dxa"/>
            <w:vAlign w:val="bottom"/>
            <w:tcBorders>
              <w:bottom w:val="single" w:sz="8" w:color="auto"/>
              <w:right w:val="single" w:sz="8" w:color="auto"/>
            </w:tcBorders>
          </w:tcPr>
          <w:p>
            <w:pPr>
              <w:spacing w:after="0"/>
              <w:rPr>
                <w:sz w:val="8"/>
                <w:szCs w:val="8"/>
                <w:color w:val="auto"/>
              </w:rPr>
            </w:pPr>
          </w:p>
        </w:tc>
        <w:tc>
          <w:tcPr>
            <w:tcW w:w="440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200" w:type="dxa"/>
            <w:vAlign w:val="bottom"/>
            <w:tcBorders>
              <w:left w:val="single" w:sz="8" w:color="auto"/>
              <w:right w:val="single" w:sz="8" w:color="auto"/>
            </w:tcBorders>
          </w:tcPr>
          <w:p>
            <w:pPr>
              <w:spacing w:after="0"/>
              <w:rPr>
                <w:sz w:val="24"/>
                <w:szCs w:val="24"/>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 reliable indicator of corporate and operating group</w:t>
            </w:r>
          </w:p>
        </w:tc>
        <w:tc>
          <w:tcPr>
            <w:tcW w:w="4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Adjustments approved by the Compensation Committee in</w:t>
            </w:r>
          </w:p>
        </w:tc>
        <w:tc>
          <w:tcPr>
            <w:tcW w:w="0" w:type="dxa"/>
            <w:vAlign w:val="bottom"/>
          </w:tcPr>
          <w:p>
            <w:pPr>
              <w:spacing w:after="0"/>
              <w:rPr>
                <w:sz w:val="1"/>
                <w:szCs w:val="1"/>
                <w:color w:val="auto"/>
              </w:rPr>
            </w:pPr>
          </w:p>
        </w:tc>
      </w:tr>
      <w:tr>
        <w:trPr>
          <w:trHeight w:val="176"/>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Operating Income</w:t>
            </w:r>
          </w:p>
        </w:tc>
        <w:tc>
          <w:tcPr>
            <w:tcW w:w="43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performance</w:t>
            </w:r>
          </w:p>
        </w:tc>
        <w:tc>
          <w:tcPr>
            <w:tcW w:w="440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6"/>
              </w:rPr>
              <w:t>2021 consisted of the inclusion of: estimated tax benefits</w:t>
            </w:r>
          </w:p>
        </w:tc>
        <w:tc>
          <w:tcPr>
            <w:tcW w:w="0" w:type="dxa"/>
            <w:vAlign w:val="bottom"/>
          </w:tcPr>
          <w:p>
            <w:pPr>
              <w:spacing w:after="0"/>
              <w:rPr>
                <w:sz w:val="1"/>
                <w:szCs w:val="1"/>
                <w:color w:val="auto"/>
              </w:rPr>
            </w:pPr>
          </w:p>
        </w:tc>
      </w:tr>
      <w:tr>
        <w:trPr>
          <w:trHeight w:val="122"/>
        </w:trPr>
        <w:tc>
          <w:tcPr>
            <w:tcW w:w="2200" w:type="dxa"/>
            <w:vAlign w:val="bottom"/>
            <w:tcBorders>
              <w:left w:val="single" w:sz="8" w:color="auto"/>
              <w:right w:val="single" w:sz="8" w:color="auto"/>
            </w:tcBorders>
            <w:vMerge w:val="continue"/>
          </w:tcPr>
          <w:p>
            <w:pPr>
              <w:spacing w:after="0"/>
              <w:rPr>
                <w:sz w:val="10"/>
                <w:szCs w:val="10"/>
                <w:color w:val="auto"/>
              </w:rPr>
            </w:pPr>
          </w:p>
        </w:tc>
        <w:tc>
          <w:tcPr>
            <w:tcW w:w="4380" w:type="dxa"/>
            <w:vAlign w:val="bottom"/>
            <w:tcBorders>
              <w:right w:val="single" w:sz="8" w:color="auto"/>
            </w:tcBorders>
          </w:tcPr>
          <w:p>
            <w:pPr>
              <w:spacing w:after="0"/>
              <w:rPr>
                <w:sz w:val="10"/>
                <w:szCs w:val="10"/>
                <w:color w:val="auto"/>
              </w:rPr>
            </w:pPr>
          </w:p>
        </w:tc>
        <w:tc>
          <w:tcPr>
            <w:tcW w:w="4400" w:type="dxa"/>
            <w:vAlign w:val="bottom"/>
            <w:tcBorders>
              <w:right w:val="single" w:sz="8" w:color="auto"/>
            </w:tcBorders>
          </w:tcPr>
          <w:p>
            <w:pPr>
              <w:ind w:left="20"/>
              <w:spacing w:after="0" w:line="122" w:lineRule="exact"/>
              <w:rPr>
                <w:sz w:val="20"/>
                <w:szCs w:val="20"/>
                <w:color w:val="auto"/>
              </w:rPr>
            </w:pPr>
            <w:r>
              <w:rPr>
                <w:rFonts w:ascii="Arial" w:cs="Arial" w:eastAsia="Arial" w:hAnsi="Arial"/>
                <w:sz w:val="13"/>
                <w:szCs w:val="13"/>
                <w:color w:val="auto"/>
              </w:rPr>
              <w:t>pertaining to the disposal of excess and obsolete inventory,</w:t>
            </w:r>
          </w:p>
        </w:tc>
        <w:tc>
          <w:tcPr>
            <w:tcW w:w="0" w:type="dxa"/>
            <w:vAlign w:val="bottom"/>
          </w:tcPr>
          <w:p>
            <w:pPr>
              <w:spacing w:after="0"/>
              <w:rPr>
                <w:sz w:val="1"/>
                <w:szCs w:val="1"/>
                <w:color w:val="auto"/>
              </w:rPr>
            </w:pPr>
          </w:p>
        </w:tc>
      </w:tr>
      <w:tr>
        <w:trPr>
          <w:trHeight w:val="81"/>
        </w:trPr>
        <w:tc>
          <w:tcPr>
            <w:tcW w:w="2200" w:type="dxa"/>
            <w:vAlign w:val="bottom"/>
            <w:tcBorders>
              <w:left w:val="single" w:sz="8" w:color="auto"/>
              <w:right w:val="single" w:sz="8" w:color="auto"/>
            </w:tcBorders>
          </w:tcPr>
          <w:p>
            <w:pPr>
              <w:spacing w:after="0"/>
              <w:rPr>
                <w:sz w:val="7"/>
                <w:szCs w:val="7"/>
                <w:color w:val="auto"/>
              </w:rPr>
            </w:pPr>
          </w:p>
        </w:tc>
        <w:tc>
          <w:tcPr>
            <w:tcW w:w="4380" w:type="dxa"/>
            <w:vAlign w:val="bottom"/>
            <w:tcBorders>
              <w:bottom w:val="single" w:sz="8" w:color="B6B6B6"/>
              <w:right w:val="single" w:sz="8" w:color="auto"/>
            </w:tcBorders>
          </w:tcPr>
          <w:p>
            <w:pPr>
              <w:spacing w:after="0"/>
              <w:rPr>
                <w:sz w:val="7"/>
                <w:szCs w:val="7"/>
                <w:color w:val="auto"/>
              </w:rPr>
            </w:pPr>
          </w:p>
        </w:tc>
        <w:tc>
          <w:tcPr>
            <w:tcW w:w="4400" w:type="dxa"/>
            <w:vAlign w:val="bottom"/>
            <w:tcBorders>
              <w:right w:val="single" w:sz="8" w:color="auto"/>
            </w:tcBorders>
            <w:vMerge w:val="restart"/>
          </w:tcPr>
          <w:p>
            <w:pPr>
              <w:ind w:left="20"/>
              <w:spacing w:after="0" w:line="176" w:lineRule="exact"/>
              <w:rPr>
                <w:sz w:val="20"/>
                <w:szCs w:val="20"/>
                <w:color w:val="auto"/>
              </w:rPr>
            </w:pPr>
            <w:r>
              <w:rPr>
                <w:rFonts w:ascii="Arial" w:cs="Arial" w:eastAsia="Arial" w:hAnsi="Arial"/>
                <w:sz w:val="18"/>
                <w:szCs w:val="18"/>
                <w:color w:val="auto"/>
                <w:w w:val="97"/>
              </w:rPr>
              <w:t>specified financing costs related to acquisitions, and the</w:t>
            </w:r>
          </w:p>
        </w:tc>
        <w:tc>
          <w:tcPr>
            <w:tcW w:w="0" w:type="dxa"/>
            <w:vAlign w:val="bottom"/>
          </w:tcPr>
          <w:p>
            <w:pPr>
              <w:spacing w:after="0"/>
              <w:rPr>
                <w:sz w:val="1"/>
                <w:szCs w:val="1"/>
                <w:color w:val="auto"/>
              </w:rPr>
            </w:pPr>
          </w:p>
        </w:tc>
      </w:tr>
      <w:tr>
        <w:trPr>
          <w:trHeight w:val="74"/>
        </w:trPr>
        <w:tc>
          <w:tcPr>
            <w:tcW w:w="2200" w:type="dxa"/>
            <w:vAlign w:val="bottom"/>
            <w:tcBorders>
              <w:left w:val="single" w:sz="8" w:color="auto"/>
              <w:right w:val="single" w:sz="8" w:color="auto"/>
            </w:tcBorders>
          </w:tcPr>
          <w:p>
            <w:pPr>
              <w:spacing w:after="0"/>
              <w:rPr>
                <w:sz w:val="6"/>
                <w:szCs w:val="6"/>
                <w:color w:val="auto"/>
              </w:rPr>
            </w:pPr>
          </w:p>
        </w:tc>
        <w:tc>
          <w:tcPr>
            <w:tcW w:w="4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w w:val="92"/>
              </w:rPr>
              <w:t>Applies to Group Presidents and their respective operating</w:t>
            </w:r>
          </w:p>
        </w:tc>
        <w:tc>
          <w:tcPr>
            <w:tcW w:w="44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200" w:type="dxa"/>
            <w:vAlign w:val="bottom"/>
            <w:tcBorders>
              <w:left w:val="single" w:sz="8" w:color="auto"/>
              <w:right w:val="single" w:sz="8" w:color="auto"/>
            </w:tcBorders>
          </w:tcPr>
          <w:p>
            <w:pPr>
              <w:spacing w:after="0"/>
              <w:rPr>
                <w:sz w:val="15"/>
                <w:szCs w:val="15"/>
                <w:color w:val="auto"/>
              </w:rPr>
            </w:pPr>
          </w:p>
        </w:tc>
        <w:tc>
          <w:tcPr>
            <w:tcW w:w="4380" w:type="dxa"/>
            <w:vAlign w:val="bottom"/>
            <w:tcBorders>
              <w:right w:val="single" w:sz="8" w:color="auto"/>
            </w:tcBorders>
            <w:vMerge w:val="continue"/>
          </w:tcPr>
          <w:p>
            <w:pPr>
              <w:spacing w:after="0"/>
              <w:rPr>
                <w:sz w:val="15"/>
                <w:szCs w:val="15"/>
                <w:color w:val="auto"/>
              </w:rPr>
            </w:pPr>
          </w:p>
        </w:tc>
        <w:tc>
          <w:tcPr>
            <w:tcW w:w="440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gain on the sale of a small product line</w:t>
            </w:r>
          </w:p>
        </w:tc>
        <w:tc>
          <w:tcPr>
            <w:tcW w:w="0" w:type="dxa"/>
            <w:vAlign w:val="bottom"/>
          </w:tcPr>
          <w:p>
            <w:pPr>
              <w:spacing w:after="0"/>
              <w:rPr>
                <w:sz w:val="1"/>
                <w:szCs w:val="1"/>
                <w:color w:val="auto"/>
              </w:rPr>
            </w:pPr>
          </w:p>
        </w:tc>
      </w:tr>
      <w:tr>
        <w:trPr>
          <w:trHeight w:val="148"/>
        </w:trPr>
        <w:tc>
          <w:tcPr>
            <w:tcW w:w="2200" w:type="dxa"/>
            <w:vAlign w:val="bottom"/>
            <w:tcBorders>
              <w:left w:val="single" w:sz="8" w:color="auto"/>
              <w:bottom w:val="single" w:sz="8" w:color="auto"/>
              <w:right w:val="single" w:sz="8" w:color="auto"/>
            </w:tcBorders>
          </w:tcPr>
          <w:p>
            <w:pPr>
              <w:spacing w:after="0"/>
              <w:rPr>
                <w:sz w:val="12"/>
                <w:szCs w:val="12"/>
                <w:color w:val="auto"/>
              </w:rPr>
            </w:pPr>
          </w:p>
        </w:tc>
        <w:tc>
          <w:tcPr>
            <w:tcW w:w="4380" w:type="dxa"/>
            <w:vAlign w:val="bottom"/>
            <w:tcBorders>
              <w:bottom w:val="single" w:sz="8" w:color="auto"/>
              <w:right w:val="single" w:sz="8" w:color="auto"/>
            </w:tcBorders>
          </w:tcPr>
          <w:p>
            <w:pPr>
              <w:ind w:left="20"/>
              <w:spacing w:after="0" w:line="149" w:lineRule="exact"/>
              <w:rPr>
                <w:sz w:val="20"/>
                <w:szCs w:val="20"/>
                <w:color w:val="auto"/>
              </w:rPr>
            </w:pPr>
            <w:r>
              <w:rPr>
                <w:rFonts w:ascii="Arial" w:cs="Arial" w:eastAsia="Arial" w:hAnsi="Arial"/>
                <w:sz w:val="17"/>
                <w:szCs w:val="17"/>
                <w:color w:val="auto"/>
              </w:rPr>
              <w:t>groups</w:t>
            </w:r>
          </w:p>
        </w:tc>
        <w:tc>
          <w:tcPr>
            <w:tcW w:w="44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Operating Working</w:t>
            </w:r>
          </w:p>
        </w:tc>
        <w:tc>
          <w:tcPr>
            <w:tcW w:w="43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3"/>
              </w:rPr>
              <w:t>Encourages executives to achieve a lower working capital</w:t>
            </w:r>
          </w:p>
        </w:tc>
        <w:tc>
          <w:tcPr>
            <w:tcW w:w="440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9"/>
              </w:rPr>
              <w:t>Defined as inventory, accounts receivable and unbilled</w:t>
            </w:r>
          </w:p>
        </w:tc>
        <w:tc>
          <w:tcPr>
            <w:tcW w:w="0" w:type="dxa"/>
            <w:vAlign w:val="bottom"/>
          </w:tcPr>
          <w:p>
            <w:pPr>
              <w:spacing w:after="0"/>
              <w:rPr>
                <w:sz w:val="1"/>
                <w:szCs w:val="1"/>
                <w:color w:val="auto"/>
              </w:rPr>
            </w:pPr>
          </w:p>
        </w:tc>
      </w:tr>
      <w:tr>
        <w:trPr>
          <w:trHeight w:val="81"/>
        </w:trPr>
        <w:tc>
          <w:tcPr>
            <w:tcW w:w="2200" w:type="dxa"/>
            <w:vAlign w:val="bottom"/>
            <w:tcBorders>
              <w:left w:val="single" w:sz="8" w:color="auto"/>
              <w:right w:val="single" w:sz="8" w:color="auto"/>
            </w:tcBorders>
            <w:vMerge w:val="continue"/>
          </w:tcPr>
          <w:p>
            <w:pPr>
              <w:spacing w:after="0"/>
              <w:rPr>
                <w:sz w:val="7"/>
                <w:szCs w:val="7"/>
                <w:color w:val="auto"/>
              </w:rPr>
            </w:pPr>
          </w:p>
        </w:tc>
        <w:tc>
          <w:tcPr>
            <w:tcW w:w="4380" w:type="dxa"/>
            <w:vAlign w:val="bottom"/>
            <w:tcBorders>
              <w:right w:val="single" w:sz="8" w:color="auto"/>
            </w:tcBorders>
            <w:vMerge w:val="restart"/>
          </w:tcPr>
          <w:p>
            <w:pPr>
              <w:ind w:left="20"/>
              <w:spacing w:after="0" w:line="176" w:lineRule="exact"/>
              <w:rPr>
                <w:sz w:val="20"/>
                <w:szCs w:val="20"/>
                <w:color w:val="auto"/>
              </w:rPr>
            </w:pPr>
            <w:r>
              <w:rPr>
                <w:rFonts w:ascii="Arial" w:cs="Arial" w:eastAsia="Arial" w:hAnsi="Arial"/>
                <w:sz w:val="18"/>
                <w:szCs w:val="18"/>
                <w:color w:val="auto"/>
              </w:rPr>
              <w:t>percentage, thereby increasing cash available for</w:t>
            </w:r>
          </w:p>
        </w:tc>
        <w:tc>
          <w:tcPr>
            <w:tcW w:w="4400" w:type="dxa"/>
            <w:vAlign w:val="bottom"/>
            <w:tcBorders>
              <w:right w:val="single" w:sz="8" w:color="auto"/>
            </w:tcBorders>
            <w:vMerge w:val="restart"/>
          </w:tcPr>
          <w:p>
            <w:pPr>
              <w:ind w:left="20"/>
              <w:spacing w:after="0" w:line="176" w:lineRule="exact"/>
              <w:rPr>
                <w:sz w:val="20"/>
                <w:szCs w:val="20"/>
                <w:color w:val="auto"/>
              </w:rPr>
            </w:pPr>
            <w:r>
              <w:rPr>
                <w:rFonts w:ascii="Arial" w:cs="Arial" w:eastAsia="Arial" w:hAnsi="Arial"/>
                <w:sz w:val="18"/>
                <w:szCs w:val="18"/>
                <w:color w:val="auto"/>
                <w:w w:val="99"/>
              </w:rPr>
              <w:t>revenue less accounts payable and customer advance</w:t>
            </w:r>
          </w:p>
        </w:tc>
        <w:tc>
          <w:tcPr>
            <w:tcW w:w="0" w:type="dxa"/>
            <w:vAlign w:val="bottom"/>
          </w:tcPr>
          <w:p>
            <w:pPr>
              <w:spacing w:after="0"/>
              <w:rPr>
                <w:sz w:val="1"/>
                <w:szCs w:val="1"/>
                <w:color w:val="auto"/>
              </w:rPr>
            </w:pPr>
          </w:p>
        </w:tc>
      </w:tr>
      <w:tr>
        <w:trPr>
          <w:trHeight w:val="94"/>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Capital</w:t>
            </w:r>
          </w:p>
        </w:tc>
        <w:tc>
          <w:tcPr>
            <w:tcW w:w="4380" w:type="dxa"/>
            <w:vAlign w:val="bottom"/>
            <w:tcBorders>
              <w:right w:val="single" w:sz="8" w:color="auto"/>
            </w:tcBorders>
            <w:vMerge w:val="continue"/>
          </w:tcPr>
          <w:p>
            <w:pPr>
              <w:spacing w:after="0"/>
              <w:rPr>
                <w:sz w:val="8"/>
                <w:szCs w:val="8"/>
                <w:color w:val="auto"/>
              </w:rPr>
            </w:pPr>
          </w:p>
        </w:tc>
        <w:tc>
          <w:tcPr>
            <w:tcW w:w="44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200" w:type="dxa"/>
            <w:vAlign w:val="bottom"/>
            <w:tcBorders>
              <w:left w:val="single" w:sz="8" w:color="auto"/>
              <w:right w:val="single" w:sz="8" w:color="auto"/>
            </w:tcBorders>
            <w:vMerge w:val="continue"/>
          </w:tcPr>
          <w:p>
            <w:pPr>
              <w:spacing w:after="0"/>
              <w:rPr>
                <w:sz w:val="12"/>
                <w:szCs w:val="12"/>
                <w:color w:val="auto"/>
              </w:rPr>
            </w:pPr>
          </w:p>
        </w:tc>
        <w:tc>
          <w:tcPr>
            <w:tcW w:w="4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investment</w:t>
            </w:r>
          </w:p>
        </w:tc>
        <w:tc>
          <w:tcPr>
            <w:tcW w:w="4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payments as a percentage of sales</w:t>
            </w:r>
          </w:p>
        </w:tc>
        <w:tc>
          <w:tcPr>
            <w:tcW w:w="0" w:type="dxa"/>
            <w:vAlign w:val="bottom"/>
          </w:tcPr>
          <w:p>
            <w:pPr>
              <w:spacing w:after="0"/>
              <w:rPr>
                <w:sz w:val="1"/>
                <w:szCs w:val="1"/>
                <w:color w:val="auto"/>
              </w:rPr>
            </w:pPr>
          </w:p>
        </w:tc>
      </w:tr>
      <w:tr>
        <w:trPr>
          <w:trHeight w:val="90"/>
        </w:trPr>
        <w:tc>
          <w:tcPr>
            <w:tcW w:w="2200" w:type="dxa"/>
            <w:vAlign w:val="bottom"/>
            <w:tcBorders>
              <w:left w:val="single" w:sz="8" w:color="auto"/>
              <w:bottom w:val="single" w:sz="8" w:color="auto"/>
              <w:right w:val="single" w:sz="8" w:color="auto"/>
            </w:tcBorders>
          </w:tcPr>
          <w:p>
            <w:pPr>
              <w:spacing w:after="0"/>
              <w:rPr>
                <w:sz w:val="7"/>
                <w:szCs w:val="7"/>
                <w:color w:val="auto"/>
              </w:rPr>
            </w:pPr>
          </w:p>
        </w:tc>
        <w:tc>
          <w:tcPr>
            <w:tcW w:w="4380" w:type="dxa"/>
            <w:vAlign w:val="bottom"/>
            <w:tcBorders>
              <w:bottom w:val="single" w:sz="8" w:color="auto"/>
              <w:right w:val="single" w:sz="8" w:color="auto"/>
            </w:tcBorders>
            <w:vMerge w:val="continue"/>
          </w:tcPr>
          <w:p>
            <w:pPr>
              <w:spacing w:after="0"/>
              <w:rPr>
                <w:sz w:val="7"/>
                <w:szCs w:val="7"/>
                <w:color w:val="auto"/>
              </w:rPr>
            </w:pPr>
          </w:p>
        </w:tc>
        <w:tc>
          <w:tcPr>
            <w:tcW w:w="440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200" w:type="dxa"/>
            <w:vAlign w:val="bottom"/>
            <w:tcBorders>
              <w:left w:val="single" w:sz="8" w:color="auto"/>
              <w:right w:val="single" w:sz="8" w:color="auto"/>
            </w:tcBorders>
          </w:tcPr>
          <w:p>
            <w:pPr>
              <w:spacing w:after="0"/>
              <w:rPr>
                <w:sz w:val="14"/>
                <w:szCs w:val="14"/>
                <w:color w:val="auto"/>
              </w:rPr>
            </w:pPr>
          </w:p>
        </w:tc>
        <w:tc>
          <w:tcPr>
            <w:tcW w:w="43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3"/>
              </w:rPr>
              <w:t>Focuses attention on certain objectives deemed important</w:t>
            </w:r>
          </w:p>
        </w:tc>
        <w:tc>
          <w:tcPr>
            <w:tcW w:w="440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2"/>
              </w:rPr>
              <w:t>Quantitative goals are evaluated within a specified range of</w:t>
            </w:r>
          </w:p>
        </w:tc>
        <w:tc>
          <w:tcPr>
            <w:tcW w:w="0" w:type="dxa"/>
            <w:vAlign w:val="bottom"/>
          </w:tcPr>
          <w:p>
            <w:pPr>
              <w:spacing w:after="0"/>
              <w:rPr>
                <w:sz w:val="1"/>
                <w:szCs w:val="1"/>
                <w:color w:val="auto"/>
              </w:rPr>
            </w:pPr>
          </w:p>
        </w:tc>
      </w:tr>
      <w:tr>
        <w:trPr>
          <w:trHeight w:val="229"/>
        </w:trPr>
        <w:tc>
          <w:tcPr>
            <w:tcW w:w="2200" w:type="dxa"/>
            <w:vAlign w:val="bottom"/>
            <w:tcBorders>
              <w:left w:val="single" w:sz="8" w:color="auto"/>
              <w:right w:val="single" w:sz="8" w:color="auto"/>
            </w:tcBorders>
          </w:tcPr>
          <w:p>
            <w:pPr>
              <w:spacing w:after="0"/>
              <w:rPr>
                <w:sz w:val="19"/>
                <w:szCs w:val="19"/>
                <w:color w:val="auto"/>
              </w:rPr>
            </w:pPr>
          </w:p>
        </w:tc>
        <w:tc>
          <w:tcPr>
            <w:tcW w:w="4380" w:type="dxa"/>
            <w:vAlign w:val="bottom"/>
            <w:tcBorders>
              <w:bottom w:val="single" w:sz="8" w:color="B6B6B6"/>
              <w:right w:val="single" w:sz="8" w:color="auto"/>
            </w:tcBorders>
          </w:tcPr>
          <w:p>
            <w:pPr>
              <w:ind w:left="20"/>
              <w:spacing w:after="0"/>
              <w:rPr>
                <w:sz w:val="20"/>
                <w:szCs w:val="20"/>
                <w:color w:val="auto"/>
              </w:rPr>
            </w:pPr>
            <w:r>
              <w:rPr>
                <w:rFonts w:ascii="Arial" w:cs="Arial" w:eastAsia="Arial" w:hAnsi="Arial"/>
                <w:sz w:val="18"/>
                <w:szCs w:val="18"/>
                <w:color w:val="auto"/>
              </w:rPr>
              <w:t>for the vitality of the business</w:t>
            </w:r>
          </w:p>
        </w:tc>
        <w:tc>
          <w:tcPr>
            <w:tcW w:w="4400" w:type="dxa"/>
            <w:vAlign w:val="bottom"/>
            <w:tcBorders>
              <w:bottom w:val="single" w:sz="8" w:color="B6B6B6"/>
              <w:right w:val="single" w:sz="8" w:color="auto"/>
            </w:tcBorders>
          </w:tcPr>
          <w:p>
            <w:pPr>
              <w:ind w:left="20"/>
              <w:spacing w:after="0"/>
              <w:rPr>
                <w:sz w:val="20"/>
                <w:szCs w:val="20"/>
                <w:color w:val="auto"/>
              </w:rPr>
            </w:pPr>
            <w:r>
              <w:rPr>
                <w:rFonts w:ascii="Arial" w:cs="Arial" w:eastAsia="Arial" w:hAnsi="Arial"/>
                <w:sz w:val="18"/>
                <w:szCs w:val="18"/>
                <w:color w:val="auto"/>
              </w:rPr>
              <w:t>performance outcomes</w:t>
            </w:r>
          </w:p>
        </w:tc>
        <w:tc>
          <w:tcPr>
            <w:tcW w:w="0" w:type="dxa"/>
            <w:vAlign w:val="bottom"/>
          </w:tcPr>
          <w:p>
            <w:pPr>
              <w:spacing w:after="0"/>
              <w:rPr>
                <w:sz w:val="1"/>
                <w:szCs w:val="1"/>
                <w:color w:val="auto"/>
              </w:rPr>
            </w:pPr>
          </w:p>
        </w:tc>
      </w:tr>
      <w:tr>
        <w:trPr>
          <w:trHeight w:val="277"/>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Discretionary</w:t>
            </w:r>
          </w:p>
        </w:tc>
        <w:tc>
          <w:tcPr>
            <w:tcW w:w="4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w w:val="97"/>
              </w:rPr>
              <w:t>Comprises 10% to 20% of each executive’s total annual</w:t>
            </w:r>
          </w:p>
        </w:tc>
        <w:tc>
          <w:tcPr>
            <w:tcW w:w="4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w w:val="94"/>
              </w:rPr>
              <w:t>Qualitative goal assessments are based on demonstrated</w:t>
            </w:r>
          </w:p>
        </w:tc>
        <w:tc>
          <w:tcPr>
            <w:tcW w:w="0" w:type="dxa"/>
            <w:vAlign w:val="bottom"/>
          </w:tcPr>
          <w:p>
            <w:pPr>
              <w:spacing w:after="0"/>
              <w:rPr>
                <w:sz w:val="1"/>
                <w:szCs w:val="1"/>
                <w:color w:val="auto"/>
              </w:rPr>
            </w:pPr>
          </w:p>
        </w:tc>
      </w:tr>
      <w:tr>
        <w:trPr>
          <w:trHeight w:val="68"/>
        </w:trPr>
        <w:tc>
          <w:tcPr>
            <w:tcW w:w="2200" w:type="dxa"/>
            <w:vAlign w:val="bottom"/>
            <w:tcBorders>
              <w:left w:val="single" w:sz="8" w:color="auto"/>
              <w:right w:val="single" w:sz="8" w:color="auto"/>
            </w:tcBorders>
          </w:tcPr>
          <w:p>
            <w:pPr>
              <w:spacing w:after="0"/>
              <w:rPr>
                <w:sz w:val="5"/>
                <w:szCs w:val="5"/>
                <w:color w:val="auto"/>
              </w:rPr>
            </w:pPr>
          </w:p>
        </w:tc>
        <w:tc>
          <w:tcPr>
            <w:tcW w:w="4380" w:type="dxa"/>
            <w:vAlign w:val="bottom"/>
            <w:tcBorders>
              <w:right w:val="single" w:sz="8" w:color="auto"/>
            </w:tcBorders>
            <w:vMerge w:val="continue"/>
          </w:tcPr>
          <w:p>
            <w:pPr>
              <w:spacing w:after="0"/>
              <w:rPr>
                <w:sz w:val="5"/>
                <w:szCs w:val="5"/>
                <w:color w:val="auto"/>
              </w:rPr>
            </w:pPr>
          </w:p>
        </w:tc>
        <w:tc>
          <w:tcPr>
            <w:tcW w:w="44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200" w:type="dxa"/>
            <w:vAlign w:val="bottom"/>
            <w:tcBorders>
              <w:left w:val="single" w:sz="8" w:color="auto"/>
              <w:right w:val="single" w:sz="8" w:color="auto"/>
            </w:tcBorders>
          </w:tcPr>
          <w:p>
            <w:pPr>
              <w:spacing w:after="0"/>
              <w:rPr>
                <w:sz w:val="15"/>
                <w:szCs w:val="15"/>
                <w:color w:val="auto"/>
              </w:rPr>
            </w:pPr>
          </w:p>
        </w:tc>
        <w:tc>
          <w:tcPr>
            <w:tcW w:w="43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incentive</w:t>
            </w:r>
          </w:p>
        </w:tc>
        <w:tc>
          <w:tcPr>
            <w:tcW w:w="440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performance including performance related to</w:t>
            </w:r>
          </w:p>
        </w:tc>
        <w:tc>
          <w:tcPr>
            <w:tcW w:w="0" w:type="dxa"/>
            <w:vAlign w:val="bottom"/>
          </w:tcPr>
          <w:p>
            <w:pPr>
              <w:spacing w:after="0"/>
              <w:rPr>
                <w:sz w:val="1"/>
                <w:szCs w:val="1"/>
                <w:color w:val="auto"/>
              </w:rPr>
            </w:pPr>
          </w:p>
        </w:tc>
      </w:tr>
      <w:tr>
        <w:trPr>
          <w:trHeight w:val="230"/>
        </w:trPr>
        <w:tc>
          <w:tcPr>
            <w:tcW w:w="2200" w:type="dxa"/>
            <w:vAlign w:val="bottom"/>
            <w:tcBorders>
              <w:left w:val="single" w:sz="8" w:color="auto"/>
              <w:bottom w:val="single" w:sz="8" w:color="auto"/>
              <w:right w:val="single" w:sz="8" w:color="auto"/>
            </w:tcBorders>
          </w:tcPr>
          <w:p>
            <w:pPr>
              <w:spacing w:after="0"/>
              <w:rPr>
                <w:sz w:val="19"/>
                <w:szCs w:val="19"/>
                <w:color w:val="auto"/>
              </w:rPr>
            </w:pPr>
          </w:p>
        </w:tc>
        <w:tc>
          <w:tcPr>
            <w:tcW w:w="4380" w:type="dxa"/>
            <w:vAlign w:val="bottom"/>
            <w:tcBorders>
              <w:bottom w:val="single" w:sz="8" w:color="auto"/>
              <w:right w:val="single" w:sz="8" w:color="auto"/>
            </w:tcBorders>
          </w:tcPr>
          <w:p>
            <w:pPr>
              <w:spacing w:after="0"/>
              <w:rPr>
                <w:sz w:val="19"/>
                <w:szCs w:val="19"/>
                <w:color w:val="auto"/>
              </w:rPr>
            </w:pP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improvements in diversity and inclusion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b w:val="1"/>
          <w:bCs w:val="1"/>
          <w:color w:val="auto"/>
        </w:rPr>
        <w:t>30</w:t>
        <w:tab/>
        <w:t>AMETEK, INC.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0980"/>
          </w:cols>
          <w:pgMar w:left="320" w:top="1111" w:right="599" w:bottom="1440" w:gutter="0" w:footer="0" w:header="0"/>
        </w:sectPr>
      </w:pPr>
    </w:p>
    <w:bookmarkStart w:id="35" w:name="page36"/>
    <w:bookmarkEnd w:id="35"/>
    <w:p>
      <w:pPr>
        <w:ind w:right="40"/>
        <w:spacing w:after="0" w:line="263" w:lineRule="auto"/>
        <w:rPr>
          <w:sz w:val="20"/>
          <w:szCs w:val="20"/>
          <w:color w:val="auto"/>
        </w:rPr>
      </w:pPr>
      <w:r>
        <w:rPr>
          <w:rFonts w:ascii="Arial" w:cs="Arial" w:eastAsia="Arial" w:hAnsi="Arial"/>
          <w:sz w:val="18"/>
          <w:szCs w:val="18"/>
          <w:color w:val="auto"/>
        </w:rPr>
        <w:t>The weighting of performance measures, achievement range, actual results and actual award for each named executive officer is set forth in the table below. In establishing the weighting, the Compensation Committee considered the alignment of compensation to our business strategy, and key operational and financial measures, as well as motivating and rewarding high individual performance.</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1000" w:type="dxa"/>
            <w:vAlign w:val="bottom"/>
            <w:tcBorders>
              <w:top w:val="single" w:sz="8" w:color="auto"/>
              <w:left w:val="single" w:sz="8" w:color="auto"/>
              <w:right w:val="single" w:sz="8" w:color="auto"/>
            </w:tcBorders>
          </w:tcPr>
          <w:p>
            <w:pPr>
              <w:spacing w:after="0"/>
              <w:rPr>
                <w:sz w:val="12"/>
                <w:szCs w:val="12"/>
                <w:color w:val="auto"/>
              </w:rPr>
            </w:pPr>
          </w:p>
        </w:tc>
        <w:tc>
          <w:tcPr>
            <w:tcW w:w="1760" w:type="dxa"/>
            <w:vAlign w:val="bottom"/>
            <w:tcBorders>
              <w:top w:val="single" w:sz="8" w:color="auto"/>
              <w:right w:val="single" w:sz="8" w:color="auto"/>
            </w:tcBorders>
          </w:tcPr>
          <w:p>
            <w:pPr>
              <w:spacing w:after="0"/>
              <w:rPr>
                <w:sz w:val="12"/>
                <w:szCs w:val="12"/>
                <w:color w:val="auto"/>
              </w:rPr>
            </w:pP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5"/>
              </w:rPr>
              <w:t>Performance</w:t>
            </w: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Borders>
              <w:top w:val="single" w:sz="8" w:color="auto"/>
              <w:right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20" w:type="dxa"/>
            <w:vAlign w:val="bottom"/>
            <w:tcBorders>
              <w:top w:val="single" w:sz="8" w:color="auto"/>
              <w:right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60" w:type="dxa"/>
            <w:vAlign w:val="bottom"/>
            <w:tcBorders>
              <w:top w:val="single" w:sz="8" w:color="auto"/>
              <w:right w:val="single" w:sz="8" w:color="auto"/>
            </w:tcBorders>
          </w:tcPr>
          <w:p>
            <w:pPr>
              <w:spacing w:after="0"/>
              <w:rPr>
                <w:sz w:val="12"/>
                <w:szCs w:val="12"/>
                <w:color w:val="auto"/>
              </w:rPr>
            </w:pP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7"/>
              </w:rPr>
              <w:t>Actual Award as</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Borders>
              <w:left w:val="single" w:sz="8" w:color="auto"/>
              <w:right w:val="single" w:sz="8" w:color="auto"/>
            </w:tcBorders>
          </w:tcPr>
          <w:p>
            <w:pPr>
              <w:spacing w:after="0"/>
              <w:rPr>
                <w:sz w:val="12"/>
                <w:szCs w:val="12"/>
                <w:color w:val="auto"/>
              </w:rPr>
            </w:pPr>
          </w:p>
        </w:tc>
        <w:tc>
          <w:tcPr>
            <w:tcW w:w="176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4"/>
              </w:rPr>
              <w:t>Measure as a Percentage of</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6"/>
              </w:rPr>
              <w:t>Percentage of</w:t>
            </w:r>
          </w:p>
        </w:tc>
        <w:tc>
          <w:tcPr>
            <w:tcW w:w="16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000" w:type="dxa"/>
            <w:vAlign w:val="bottom"/>
            <w:tcBorders>
              <w:left w:val="single" w:sz="8" w:color="auto"/>
              <w:right w:val="single" w:sz="8" w:color="auto"/>
            </w:tcBorders>
          </w:tcPr>
          <w:p>
            <w:pPr>
              <w:spacing w:after="0"/>
              <w:rPr>
                <w:sz w:val="8"/>
                <w:szCs w:val="8"/>
                <w:color w:val="auto"/>
              </w:rPr>
            </w:pPr>
          </w:p>
        </w:tc>
        <w:tc>
          <w:tcPr>
            <w:tcW w:w="1760" w:type="dxa"/>
            <w:vAlign w:val="bottom"/>
            <w:tcBorders>
              <w:right w:val="single" w:sz="8" w:color="auto"/>
            </w:tcBorders>
          </w:tcPr>
          <w:p>
            <w:pPr>
              <w:spacing w:after="0"/>
              <w:rPr>
                <w:sz w:val="8"/>
                <w:szCs w:val="8"/>
                <w:color w:val="auto"/>
              </w:rPr>
            </w:pP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88"/>
              </w:rPr>
              <w:t>Total Target</w:t>
            </w: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righ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1160" w:type="dxa"/>
            <w:vAlign w:val="bottom"/>
            <w:tcBorders>
              <w:right w:val="single" w:sz="8" w:color="auto"/>
            </w:tcBorders>
          </w:tcPr>
          <w:p>
            <w:pPr>
              <w:jc w:val="center"/>
              <w:spacing w:after="0" w:line="95" w:lineRule="exact"/>
              <w:rPr>
                <w:sz w:val="20"/>
                <w:szCs w:val="20"/>
                <w:color w:val="auto"/>
              </w:rPr>
            </w:pPr>
            <w:r>
              <w:rPr>
                <w:rFonts w:ascii="Arial" w:cs="Arial" w:eastAsia="Arial" w:hAnsi="Arial"/>
                <w:sz w:val="10"/>
                <w:szCs w:val="10"/>
                <w:color w:val="auto"/>
              </w:rPr>
              <w:t>Target Award</w:t>
            </w:r>
          </w:p>
        </w:tc>
        <w:tc>
          <w:tcPr>
            <w:tcW w:w="160" w:type="dxa"/>
            <w:vAlign w:val="bottom"/>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000" w:type="dxa"/>
            <w:vAlign w:val="bottom"/>
            <w:tcBorders>
              <w:left w:val="single" w:sz="8" w:color="auto"/>
              <w:right w:val="single" w:sz="8" w:color="auto"/>
            </w:tcBorders>
          </w:tcPr>
          <w:p>
            <w:pPr>
              <w:spacing w:after="0"/>
              <w:rPr>
                <w:sz w:val="6"/>
                <w:szCs w:val="6"/>
                <w:color w:val="auto"/>
              </w:rPr>
            </w:pPr>
          </w:p>
        </w:tc>
        <w:tc>
          <w:tcPr>
            <w:tcW w:w="1760" w:type="dxa"/>
            <w:vAlign w:val="bottom"/>
            <w:tcBorders>
              <w:right w:val="single" w:sz="8" w:color="auto"/>
            </w:tcBorders>
          </w:tcPr>
          <w:p>
            <w:pPr>
              <w:spacing w:after="0"/>
              <w:rPr>
                <w:sz w:val="6"/>
                <w:szCs w:val="6"/>
                <w:color w:val="auto"/>
              </w:rPr>
            </w:pPr>
          </w:p>
        </w:tc>
        <w:tc>
          <w:tcPr>
            <w:tcW w:w="1680" w:type="dxa"/>
            <w:vAlign w:val="bottom"/>
            <w:tcBorders>
              <w:right w:val="single" w:sz="8" w:color="auto"/>
            </w:tcBorders>
            <w:vMerge w:val="continue"/>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Borders>
              <w:right w:val="single" w:sz="8" w:color="auto"/>
            </w:tcBorders>
            <w:vMerge w:val="restart"/>
          </w:tcPr>
          <w:p>
            <w:pPr>
              <w:jc w:val="center"/>
              <w:ind w:right="157"/>
              <w:spacing w:after="0" w:line="122" w:lineRule="exact"/>
              <w:rPr>
                <w:sz w:val="20"/>
                <w:szCs w:val="20"/>
                <w:color w:val="auto"/>
              </w:rPr>
            </w:pPr>
            <w:r>
              <w:rPr>
                <w:rFonts w:ascii="Arial" w:cs="Arial" w:eastAsia="Arial" w:hAnsi="Arial"/>
                <w:sz w:val="13"/>
                <w:szCs w:val="13"/>
                <w:color w:val="auto"/>
                <w:w w:val="85"/>
              </w:rPr>
              <w:t>Designated</w:t>
            </w:r>
          </w:p>
        </w:tc>
        <w:tc>
          <w:tcPr>
            <w:tcW w:w="200" w:type="dxa"/>
            <w:vAlign w:val="bottom"/>
          </w:tcPr>
          <w:p>
            <w:pPr>
              <w:spacing w:after="0"/>
              <w:rPr>
                <w:sz w:val="6"/>
                <w:szCs w:val="6"/>
                <w:color w:val="auto"/>
              </w:rPr>
            </w:pPr>
          </w:p>
        </w:tc>
        <w:tc>
          <w:tcPr>
            <w:tcW w:w="980" w:type="dxa"/>
            <w:vAlign w:val="bottom"/>
            <w:tcBorders>
              <w:right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960" w:type="dxa"/>
            <w:vAlign w:val="bottom"/>
            <w:tcBorders>
              <w:right w:val="single" w:sz="8" w:color="auto"/>
            </w:tcBorders>
          </w:tcPr>
          <w:p>
            <w:pPr>
              <w:spacing w:after="0"/>
              <w:rPr>
                <w:sz w:val="6"/>
                <w:szCs w:val="6"/>
                <w:color w:val="auto"/>
              </w:rPr>
            </w:pPr>
          </w:p>
        </w:tc>
        <w:tc>
          <w:tcPr>
            <w:tcW w:w="1160" w:type="dxa"/>
            <w:vAlign w:val="bottom"/>
            <w:tcBorders>
              <w:right w:val="single" w:sz="8" w:color="auto"/>
            </w:tcBorders>
            <w:vMerge w:val="restart"/>
          </w:tcPr>
          <w:p>
            <w:pPr>
              <w:jc w:val="center"/>
              <w:spacing w:after="0" w:line="122" w:lineRule="exact"/>
              <w:rPr>
                <w:sz w:val="20"/>
                <w:szCs w:val="20"/>
                <w:color w:val="auto"/>
              </w:rPr>
            </w:pPr>
            <w:r>
              <w:rPr>
                <w:rFonts w:ascii="Arial" w:cs="Arial" w:eastAsia="Arial" w:hAnsi="Arial"/>
                <w:sz w:val="13"/>
                <w:szCs w:val="13"/>
                <w:color w:val="auto"/>
                <w:w w:val="90"/>
              </w:rPr>
              <w:t>Opportunity for</w:t>
            </w:r>
          </w:p>
        </w:tc>
        <w:tc>
          <w:tcPr>
            <w:tcW w:w="160" w:type="dxa"/>
            <w:vAlign w:val="bottom"/>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000" w:type="dxa"/>
            <w:vAlign w:val="bottom"/>
            <w:tcBorders>
              <w:left w:val="single" w:sz="8" w:color="auto"/>
              <w:right w:val="single" w:sz="8" w:color="auto"/>
            </w:tcBorders>
          </w:tcPr>
          <w:p>
            <w:pPr>
              <w:spacing w:after="0"/>
              <w:rPr>
                <w:sz w:val="3"/>
                <w:szCs w:val="3"/>
                <w:color w:val="auto"/>
              </w:rPr>
            </w:pPr>
          </w:p>
        </w:tc>
        <w:tc>
          <w:tcPr>
            <w:tcW w:w="1760" w:type="dxa"/>
            <w:vAlign w:val="bottom"/>
            <w:tcBorders>
              <w:right w:val="single" w:sz="8" w:color="auto"/>
            </w:tcBorders>
          </w:tcPr>
          <w:p>
            <w:pPr>
              <w:spacing w:after="0"/>
              <w:rPr>
                <w:sz w:val="3"/>
                <w:szCs w:val="3"/>
                <w:color w:val="auto"/>
              </w:rPr>
            </w:pP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2"/>
              </w:rPr>
              <w:t>Award</w:t>
            </w: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Borders>
              <w:right w:val="single" w:sz="8" w:color="auto"/>
            </w:tcBorders>
            <w:vMerge w:val="continue"/>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Borders>
              <w:right w:val="single" w:sz="8" w:color="auto"/>
            </w:tcBorders>
            <w:vMerge w:val="restart"/>
          </w:tcPr>
          <w:p>
            <w:pPr>
              <w:jc w:val="right"/>
              <w:ind w:right="377"/>
              <w:spacing w:after="0"/>
              <w:rPr>
                <w:sz w:val="20"/>
                <w:szCs w:val="20"/>
                <w:color w:val="auto"/>
              </w:rPr>
            </w:pPr>
            <w:r>
              <w:rPr>
                <w:rFonts w:ascii="Arial" w:cs="Arial" w:eastAsia="Arial" w:hAnsi="Arial"/>
                <w:sz w:val="13"/>
                <w:szCs w:val="13"/>
                <w:color w:val="auto"/>
              </w:rPr>
              <w:t>Actual</w:t>
            </w:r>
          </w:p>
        </w:tc>
        <w:tc>
          <w:tcPr>
            <w:tcW w:w="1160" w:type="dxa"/>
            <w:vAlign w:val="bottom"/>
            <w:tcBorders>
              <w:right w:val="single" w:sz="8" w:color="auto"/>
            </w:tcBorders>
            <w:vMerge w:val="continue"/>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Borders>
              <w:right w:val="single" w:sz="8" w:color="auto"/>
            </w:tcBorders>
            <w:vMerge w:val="restart"/>
          </w:tcPr>
          <w:p>
            <w:pPr>
              <w:jc w:val="right"/>
              <w:ind w:right="217"/>
              <w:spacing w:after="0"/>
              <w:rPr>
                <w:sz w:val="20"/>
                <w:szCs w:val="20"/>
                <w:color w:val="auto"/>
              </w:rPr>
            </w:pPr>
            <w:r>
              <w:rPr>
                <w:rFonts w:ascii="Arial" w:cs="Arial" w:eastAsia="Arial" w:hAnsi="Arial"/>
                <w:sz w:val="13"/>
                <w:szCs w:val="13"/>
                <w:color w:val="auto"/>
              </w:rPr>
              <w:t>Actual</w:t>
            </w:r>
          </w:p>
        </w:tc>
        <w:tc>
          <w:tcPr>
            <w:tcW w:w="0" w:type="dxa"/>
            <w:vAlign w:val="bottom"/>
          </w:tcPr>
          <w:p>
            <w:pPr>
              <w:spacing w:after="0"/>
              <w:rPr>
                <w:sz w:val="1"/>
                <w:szCs w:val="1"/>
                <w:color w:val="auto"/>
              </w:rPr>
            </w:pPr>
          </w:p>
        </w:tc>
      </w:tr>
      <w:tr>
        <w:trPr>
          <w:trHeight w:val="122"/>
        </w:trPr>
        <w:tc>
          <w:tcPr>
            <w:tcW w:w="1000" w:type="dxa"/>
            <w:vAlign w:val="bottom"/>
            <w:tcBorders>
              <w:left w:val="single" w:sz="8" w:color="auto"/>
              <w:right w:val="single" w:sz="8" w:color="auto"/>
            </w:tcBorders>
            <w:vMerge w:val="restart"/>
          </w:tcPr>
          <w:p>
            <w:pPr>
              <w:ind w:left="360"/>
              <w:spacing w:after="0"/>
              <w:rPr>
                <w:sz w:val="20"/>
                <w:szCs w:val="20"/>
                <w:color w:val="auto"/>
              </w:rPr>
            </w:pPr>
            <w:r>
              <w:rPr>
                <w:rFonts w:ascii="Arial" w:cs="Arial" w:eastAsia="Arial" w:hAnsi="Arial"/>
                <w:sz w:val="13"/>
                <w:szCs w:val="13"/>
                <w:color w:val="auto"/>
              </w:rPr>
              <w:t>Name</w:t>
            </w:r>
          </w:p>
        </w:tc>
        <w:tc>
          <w:tcPr>
            <w:tcW w:w="1760" w:type="dxa"/>
            <w:vAlign w:val="bottom"/>
            <w:tcBorders>
              <w:right w:val="single" w:sz="8" w:color="auto"/>
            </w:tcBorders>
            <w:vMerge w:val="restart"/>
          </w:tcPr>
          <w:p>
            <w:pPr>
              <w:ind w:left="320"/>
              <w:spacing w:after="0"/>
              <w:rPr>
                <w:sz w:val="20"/>
                <w:szCs w:val="20"/>
                <w:color w:val="auto"/>
              </w:rPr>
            </w:pPr>
            <w:r>
              <w:rPr>
                <w:rFonts w:ascii="Arial" w:cs="Arial" w:eastAsia="Arial" w:hAnsi="Arial"/>
                <w:sz w:val="13"/>
                <w:szCs w:val="13"/>
                <w:color w:val="auto"/>
              </w:rPr>
              <w:t>Performance Measure</w:t>
            </w:r>
          </w:p>
        </w:tc>
        <w:tc>
          <w:tcPr>
            <w:tcW w:w="1680" w:type="dxa"/>
            <w:vAlign w:val="bottom"/>
            <w:tcBorders>
              <w:right w:val="single" w:sz="8" w:color="auto"/>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Borders>
              <w:right w:val="single" w:sz="8" w:color="auto"/>
            </w:tcBorders>
            <w:gridSpan w:val="2"/>
            <w:vMerge w:val="restart"/>
          </w:tcPr>
          <w:p>
            <w:pPr>
              <w:jc w:val="right"/>
              <w:ind w:right="297"/>
              <w:spacing w:after="0"/>
              <w:rPr>
                <w:sz w:val="20"/>
                <w:szCs w:val="20"/>
                <w:color w:val="auto"/>
              </w:rPr>
            </w:pPr>
            <w:r>
              <w:rPr>
                <w:rFonts w:ascii="Arial" w:cs="Arial" w:eastAsia="Arial" w:hAnsi="Arial"/>
                <w:sz w:val="13"/>
                <w:szCs w:val="13"/>
                <w:color w:val="auto"/>
              </w:rPr>
              <w:t>Threshold</w:t>
            </w:r>
          </w:p>
        </w:tc>
        <w:tc>
          <w:tcPr>
            <w:tcW w:w="200" w:type="dxa"/>
            <w:vAlign w:val="bottom"/>
          </w:tcPr>
          <w:p>
            <w:pPr>
              <w:spacing w:after="0"/>
              <w:rPr>
                <w:sz w:val="10"/>
                <w:szCs w:val="10"/>
                <w:color w:val="auto"/>
              </w:rPr>
            </w:pPr>
          </w:p>
        </w:tc>
        <w:tc>
          <w:tcPr>
            <w:tcW w:w="1020" w:type="dxa"/>
            <w:vAlign w:val="bottom"/>
            <w:tcBorders>
              <w:right w:val="single" w:sz="8" w:color="auto"/>
            </w:tcBorders>
          </w:tcPr>
          <w:p>
            <w:pPr>
              <w:jc w:val="center"/>
              <w:ind w:right="157"/>
              <w:spacing w:after="0" w:line="122" w:lineRule="exact"/>
              <w:rPr>
                <w:sz w:val="20"/>
                <w:szCs w:val="20"/>
                <w:color w:val="auto"/>
              </w:rPr>
            </w:pPr>
            <w:r>
              <w:rPr>
                <w:rFonts w:ascii="Arial" w:cs="Arial" w:eastAsia="Arial" w:hAnsi="Arial"/>
                <w:sz w:val="13"/>
                <w:szCs w:val="13"/>
                <w:color w:val="auto"/>
                <w:w w:val="87"/>
              </w:rPr>
              <w:t>Goal</w:t>
            </w:r>
          </w:p>
        </w:tc>
        <w:tc>
          <w:tcPr>
            <w:tcW w:w="200" w:type="dxa"/>
            <w:vAlign w:val="bottom"/>
          </w:tcPr>
          <w:p>
            <w:pPr>
              <w:spacing w:after="0"/>
              <w:rPr>
                <w:sz w:val="10"/>
                <w:szCs w:val="10"/>
                <w:color w:val="auto"/>
              </w:rPr>
            </w:pPr>
          </w:p>
        </w:tc>
        <w:tc>
          <w:tcPr>
            <w:tcW w:w="980" w:type="dxa"/>
            <w:vAlign w:val="bottom"/>
            <w:tcBorders>
              <w:right w:val="single" w:sz="8" w:color="auto"/>
            </w:tcBorders>
            <w:vMerge w:val="restart"/>
          </w:tcPr>
          <w:p>
            <w:pPr>
              <w:jc w:val="right"/>
              <w:ind w:right="277"/>
              <w:spacing w:after="0"/>
              <w:rPr>
                <w:sz w:val="20"/>
                <w:szCs w:val="20"/>
                <w:color w:val="auto"/>
              </w:rPr>
            </w:pPr>
            <w:r>
              <w:rPr>
                <w:rFonts w:ascii="Arial" w:cs="Arial" w:eastAsia="Arial" w:hAnsi="Arial"/>
                <w:sz w:val="13"/>
                <w:szCs w:val="13"/>
                <w:color w:val="auto"/>
              </w:rPr>
              <w:t>Maximum</w:t>
            </w:r>
          </w:p>
        </w:tc>
        <w:tc>
          <w:tcPr>
            <w:tcW w:w="240" w:type="dxa"/>
            <w:vAlign w:val="bottom"/>
          </w:tcPr>
          <w:p>
            <w:pPr>
              <w:spacing w:after="0"/>
              <w:rPr>
                <w:sz w:val="10"/>
                <w:szCs w:val="10"/>
                <w:color w:val="auto"/>
              </w:rPr>
            </w:pPr>
          </w:p>
        </w:tc>
        <w:tc>
          <w:tcPr>
            <w:tcW w:w="960" w:type="dxa"/>
            <w:vAlign w:val="bottom"/>
            <w:tcBorders>
              <w:right w:val="single" w:sz="8" w:color="auto"/>
            </w:tcBorders>
            <w:vMerge w:val="continue"/>
          </w:tcPr>
          <w:p>
            <w:pPr>
              <w:spacing w:after="0"/>
              <w:rPr>
                <w:sz w:val="10"/>
                <w:szCs w:val="10"/>
                <w:color w:val="auto"/>
              </w:rPr>
            </w:pPr>
          </w:p>
        </w:tc>
        <w:tc>
          <w:tcPr>
            <w:tcW w:w="11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3"/>
                <w:szCs w:val="13"/>
                <w:color w:val="auto"/>
                <w:w w:val="85"/>
              </w:rPr>
              <w:t>the Performance</w:t>
            </w:r>
          </w:p>
        </w:tc>
        <w:tc>
          <w:tcPr>
            <w:tcW w:w="160" w:type="dxa"/>
            <w:vAlign w:val="bottom"/>
          </w:tcPr>
          <w:p>
            <w:pPr>
              <w:spacing w:after="0"/>
              <w:rPr>
                <w:sz w:val="10"/>
                <w:szCs w:val="10"/>
                <w:color w:val="auto"/>
              </w:rPr>
            </w:pPr>
          </w:p>
        </w:tc>
        <w:tc>
          <w:tcPr>
            <w:tcW w:w="7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760" w:type="dxa"/>
            <w:vAlign w:val="bottom"/>
            <w:tcBorders>
              <w:bottom w:val="single" w:sz="8" w:color="auto"/>
              <w:right w:val="single" w:sz="8" w:color="auto"/>
            </w:tcBorders>
            <w:vMerge w:val="continue"/>
          </w:tcPr>
          <w:p>
            <w:pPr>
              <w:spacing w:after="0"/>
              <w:rPr>
                <w:sz w:val="14"/>
                <w:szCs w:val="14"/>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Opportunity</w:t>
            </w: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right w:val="single" w:sz="8" w:color="auto"/>
            </w:tcBorders>
            <w:gridSpan w:val="2"/>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jc w:val="center"/>
              <w:ind w:right="157"/>
              <w:spacing w:after="0"/>
              <w:rPr>
                <w:sz w:val="20"/>
                <w:szCs w:val="20"/>
                <w:color w:val="auto"/>
              </w:rPr>
            </w:pPr>
            <w:r>
              <w:rPr>
                <w:rFonts w:ascii="Arial" w:cs="Arial" w:eastAsia="Arial" w:hAnsi="Arial"/>
                <w:sz w:val="13"/>
                <w:szCs w:val="13"/>
                <w:color w:val="auto"/>
                <w:w w:val="86"/>
              </w:rPr>
              <w:t>(Target)</w:t>
            </w: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right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right"/>
              <w:ind w:right="357"/>
              <w:spacing w:after="0"/>
              <w:rPr>
                <w:sz w:val="20"/>
                <w:szCs w:val="20"/>
                <w:color w:val="auto"/>
              </w:rPr>
            </w:pPr>
            <w:r>
              <w:rPr>
                <w:rFonts w:ascii="Arial" w:cs="Arial" w:eastAsia="Arial" w:hAnsi="Arial"/>
                <w:sz w:val="13"/>
                <w:szCs w:val="13"/>
                <w:color w:val="auto"/>
              </w:rPr>
              <w:t>Results</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Measure</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217"/>
              <w:spacing w:after="0"/>
              <w:rPr>
                <w:sz w:val="20"/>
                <w:szCs w:val="20"/>
                <w:color w:val="auto"/>
              </w:rPr>
            </w:pPr>
            <w:r>
              <w:rPr>
                <w:rFonts w:ascii="Arial" w:cs="Arial" w:eastAsia="Arial" w:hAnsi="Arial"/>
                <w:sz w:val="13"/>
                <w:szCs w:val="13"/>
                <w:color w:val="auto"/>
              </w:rPr>
              <w:t>Award</w:t>
            </w:r>
          </w:p>
        </w:tc>
        <w:tc>
          <w:tcPr>
            <w:tcW w:w="0" w:type="dxa"/>
            <w:vAlign w:val="bottom"/>
          </w:tcPr>
          <w:p>
            <w:pPr>
              <w:spacing w:after="0"/>
              <w:rPr>
                <w:sz w:val="1"/>
                <w:szCs w:val="1"/>
                <w:color w:val="auto"/>
              </w:rPr>
            </w:pPr>
          </w:p>
        </w:tc>
      </w:tr>
      <w:tr>
        <w:trPr>
          <w:trHeight w:val="160"/>
        </w:trPr>
        <w:tc>
          <w:tcPr>
            <w:tcW w:w="100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David A.</w:t>
            </w:r>
          </w:p>
        </w:tc>
        <w:tc>
          <w:tcPr>
            <w:tcW w:w="17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Diluted Earnings Per Share</w:t>
            </w:r>
          </w:p>
        </w:tc>
        <w:tc>
          <w:tcPr>
            <w:tcW w:w="16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4"/>
              </w:rPr>
              <w:t>65%</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w:t>
            </w:r>
          </w:p>
        </w:tc>
        <w:tc>
          <w:tcPr>
            <w:tcW w:w="160" w:type="dxa"/>
            <w:vAlign w:val="bottom"/>
            <w:tcBorders>
              <w:right w:val="single" w:sz="8" w:color="auto"/>
            </w:tcBorders>
            <w:shd w:val="clear" w:color="auto" w:fill="CCEEFF"/>
          </w:tcPr>
          <w:p>
            <w:pPr>
              <w:spacing w:after="0"/>
              <w:rPr>
                <w:sz w:val="13"/>
                <w:szCs w:val="13"/>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1020" w:type="dxa"/>
            <w:vAlign w:val="bottom"/>
            <w:tcBorders>
              <w:right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4.24</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980" w:type="dxa"/>
            <w:vAlign w:val="bottom"/>
            <w:tcBorders>
              <w:right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4.66</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960" w:type="dxa"/>
            <w:vAlign w:val="bottom"/>
            <w:tcBorders>
              <w:right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rPr>
              <w:t>4.85</w:t>
            </w:r>
          </w:p>
        </w:tc>
        <w:tc>
          <w:tcPr>
            <w:tcW w:w="11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0"/>
              </w:rPr>
              <w:t>200%</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2,230,800</w:t>
            </w:r>
          </w:p>
        </w:tc>
        <w:tc>
          <w:tcPr>
            <w:tcW w:w="0" w:type="dxa"/>
            <w:vAlign w:val="bottom"/>
          </w:tcPr>
          <w:p>
            <w:pPr>
              <w:spacing w:after="0"/>
              <w:rPr>
                <w:sz w:val="1"/>
                <w:szCs w:val="1"/>
                <w:color w:val="auto"/>
              </w:rPr>
            </w:pPr>
          </w:p>
        </w:tc>
      </w:tr>
      <w:tr>
        <w:trPr>
          <w:trHeight w:val="175"/>
        </w:trPr>
        <w:tc>
          <w:tcPr>
            <w:tcW w:w="100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Zapico</w:t>
            </w:r>
          </w:p>
        </w:tc>
        <w:tc>
          <w:tcPr>
            <w:tcW w:w="17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Organic Revenue Growth</w:t>
            </w:r>
          </w:p>
        </w:tc>
        <w:tc>
          <w:tcPr>
            <w:tcW w:w="16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4"/>
              </w:rPr>
              <w:t>15%</w:t>
            </w:r>
          </w:p>
        </w:tc>
        <w:tc>
          <w:tcPr>
            <w:tcW w:w="200" w:type="dxa"/>
            <w:vAlign w:val="bottom"/>
            <w:shd w:val="clear" w:color="auto" w:fill="CCEEFF"/>
          </w:tcPr>
          <w:p>
            <w:pPr>
              <w:spacing w:after="0"/>
              <w:rPr>
                <w:sz w:val="15"/>
                <w:szCs w:val="15"/>
                <w:color w:val="auto"/>
              </w:rPr>
            </w:pPr>
          </w:p>
        </w:tc>
        <w:tc>
          <w:tcPr>
            <w:tcW w:w="1000" w:type="dxa"/>
            <w:vAlign w:val="bottom"/>
            <w:tcBorders>
              <w:right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2.00 %</w:t>
            </w:r>
          </w:p>
        </w:tc>
        <w:tc>
          <w:tcPr>
            <w:tcW w:w="200" w:type="dxa"/>
            <w:vAlign w:val="bottom"/>
            <w:shd w:val="clear" w:color="auto" w:fill="CCEEFF"/>
          </w:tcPr>
          <w:p>
            <w:pPr>
              <w:spacing w:after="0"/>
              <w:rPr>
                <w:sz w:val="15"/>
                <w:szCs w:val="15"/>
                <w:color w:val="auto"/>
              </w:rPr>
            </w:pPr>
          </w:p>
        </w:tc>
        <w:tc>
          <w:tcPr>
            <w:tcW w:w="10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5.00 %</w:t>
            </w:r>
          </w:p>
        </w:tc>
        <w:tc>
          <w:tcPr>
            <w:tcW w:w="200" w:type="dxa"/>
            <w:vAlign w:val="bottom"/>
            <w:shd w:val="clear" w:color="auto" w:fill="CCEEFF"/>
          </w:tcPr>
          <w:p>
            <w:pPr>
              <w:spacing w:after="0"/>
              <w:rPr>
                <w:sz w:val="15"/>
                <w:szCs w:val="15"/>
                <w:color w:val="auto"/>
              </w:rPr>
            </w:pPr>
          </w:p>
        </w:tc>
        <w:tc>
          <w:tcPr>
            <w:tcW w:w="9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8.00 %</w:t>
            </w:r>
          </w:p>
        </w:tc>
        <w:tc>
          <w:tcPr>
            <w:tcW w:w="240" w:type="dxa"/>
            <w:vAlign w:val="bottom"/>
            <w:shd w:val="clear" w:color="auto" w:fill="CCEEFF"/>
          </w:tcPr>
          <w:p>
            <w:pPr>
              <w:spacing w:after="0"/>
              <w:rPr>
                <w:sz w:val="15"/>
                <w:szCs w:val="15"/>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14.50 %</w:t>
            </w:r>
          </w:p>
        </w:tc>
        <w:tc>
          <w:tcPr>
            <w:tcW w:w="11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0"/>
              </w:rPr>
              <w:t>200%</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514,800</w:t>
            </w:r>
          </w:p>
        </w:tc>
        <w:tc>
          <w:tcPr>
            <w:tcW w:w="0" w:type="dxa"/>
            <w:vAlign w:val="bottom"/>
          </w:tcPr>
          <w:p>
            <w:pPr>
              <w:spacing w:after="0"/>
              <w:rPr>
                <w:sz w:val="1"/>
                <w:szCs w:val="1"/>
                <w:color w:val="auto"/>
              </w:rPr>
            </w:pPr>
          </w:p>
        </w:tc>
      </w:tr>
      <w:tr>
        <w:trPr>
          <w:trHeight w:val="185"/>
        </w:trPr>
        <w:tc>
          <w:tcPr>
            <w:tcW w:w="1000" w:type="dxa"/>
            <w:vAlign w:val="bottom"/>
            <w:tcBorders>
              <w:left w:val="single" w:sz="8" w:color="auto"/>
              <w:bottom w:val="single" w:sz="8" w:color="auto"/>
              <w:right w:val="single" w:sz="8" w:color="auto"/>
            </w:tcBorders>
            <w:shd w:val="clear" w:color="auto" w:fill="CCEEFF"/>
          </w:tcPr>
          <w:p>
            <w:pPr>
              <w:spacing w:after="0"/>
              <w:rPr>
                <w:sz w:val="16"/>
                <w:szCs w:val="16"/>
                <w:color w:val="auto"/>
              </w:rPr>
            </w:pPr>
          </w:p>
        </w:tc>
        <w:tc>
          <w:tcPr>
            <w:tcW w:w="17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Discretionary</w:t>
            </w:r>
          </w:p>
        </w:tc>
        <w:tc>
          <w:tcPr>
            <w:tcW w:w="1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4"/>
              </w:rPr>
              <w:t>20%</w:t>
            </w:r>
          </w:p>
        </w:tc>
        <w:tc>
          <w:tcPr>
            <w:tcW w:w="2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0 %</w:t>
            </w:r>
          </w:p>
        </w:tc>
        <w:tc>
          <w:tcPr>
            <w:tcW w:w="2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2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200 %</w:t>
            </w:r>
          </w:p>
        </w:tc>
        <w:tc>
          <w:tcPr>
            <w:tcW w:w="2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200 %</w:t>
            </w:r>
          </w:p>
        </w:tc>
        <w:tc>
          <w:tcPr>
            <w:tcW w:w="11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0"/>
              </w:rPr>
              <w:t>200%</w:t>
            </w: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686,400</w:t>
            </w:r>
          </w:p>
        </w:tc>
        <w:tc>
          <w:tcPr>
            <w:tcW w:w="0" w:type="dxa"/>
            <w:vAlign w:val="bottom"/>
          </w:tcPr>
          <w:p>
            <w:pPr>
              <w:spacing w:after="0"/>
              <w:rPr>
                <w:sz w:val="1"/>
                <w:szCs w:val="1"/>
                <w:color w:val="auto"/>
              </w:rPr>
            </w:pPr>
          </w:p>
        </w:tc>
      </w:tr>
      <w:tr>
        <w:trPr>
          <w:trHeight w:val="160"/>
        </w:trPr>
        <w:tc>
          <w:tcPr>
            <w:tcW w:w="1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William J.</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Diluted Earnings Per Share</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4"/>
              </w:rPr>
              <w:t>65%</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3.39</w:t>
            </w:r>
          </w:p>
        </w:tc>
        <w:tc>
          <w:tcPr>
            <w:tcW w:w="160" w:type="dxa"/>
            <w:vAlign w:val="bottom"/>
            <w:tcBorders>
              <w:right w:val="single" w:sz="8" w:color="auto"/>
            </w:tcBorders>
          </w:tcPr>
          <w:p>
            <w:pPr>
              <w:spacing w:after="0"/>
              <w:rPr>
                <w:sz w:val="13"/>
                <w:szCs w:val="13"/>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020" w:type="dxa"/>
            <w:vAlign w:val="bottom"/>
            <w:tcBorders>
              <w:right w:val="single" w:sz="8" w:color="auto"/>
            </w:tcBorders>
          </w:tcPr>
          <w:p>
            <w:pPr>
              <w:jc w:val="right"/>
              <w:ind w:right="117"/>
              <w:spacing w:after="0"/>
              <w:rPr>
                <w:sz w:val="20"/>
                <w:szCs w:val="20"/>
                <w:color w:val="auto"/>
              </w:rPr>
            </w:pPr>
            <w:r>
              <w:rPr>
                <w:rFonts w:ascii="Arial" w:cs="Arial" w:eastAsia="Arial" w:hAnsi="Arial"/>
                <w:sz w:val="13"/>
                <w:szCs w:val="13"/>
                <w:color w:val="auto"/>
              </w:rPr>
              <w:t>4.24</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980" w:type="dxa"/>
            <w:vAlign w:val="bottom"/>
            <w:tcBorders>
              <w:right w:val="single" w:sz="8" w:color="auto"/>
            </w:tcBorders>
          </w:tcPr>
          <w:p>
            <w:pPr>
              <w:jc w:val="right"/>
              <w:ind w:right="117"/>
              <w:spacing w:after="0"/>
              <w:rPr>
                <w:sz w:val="20"/>
                <w:szCs w:val="20"/>
                <w:color w:val="auto"/>
              </w:rPr>
            </w:pPr>
            <w:r>
              <w:rPr>
                <w:rFonts w:ascii="Arial" w:cs="Arial" w:eastAsia="Arial" w:hAnsi="Arial"/>
                <w:sz w:val="13"/>
                <w:szCs w:val="13"/>
                <w:color w:val="auto"/>
              </w:rPr>
              <w:t>4.66</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960" w:type="dxa"/>
            <w:vAlign w:val="bottom"/>
            <w:tcBorders>
              <w:right w:val="single" w:sz="8" w:color="auto"/>
            </w:tcBorders>
          </w:tcPr>
          <w:p>
            <w:pPr>
              <w:jc w:val="right"/>
              <w:ind w:right="137"/>
              <w:spacing w:after="0"/>
              <w:rPr>
                <w:sz w:val="20"/>
                <w:szCs w:val="20"/>
                <w:color w:val="auto"/>
              </w:rPr>
            </w:pPr>
            <w:r>
              <w:rPr>
                <w:rFonts w:ascii="Arial" w:cs="Arial" w:eastAsia="Arial" w:hAnsi="Arial"/>
                <w:sz w:val="13"/>
                <w:szCs w:val="13"/>
                <w:color w:val="auto"/>
              </w:rPr>
              <w:t>4.85</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0"/>
              </w:rPr>
              <w:t>200%</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7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678,132</w:t>
            </w:r>
          </w:p>
        </w:tc>
        <w:tc>
          <w:tcPr>
            <w:tcW w:w="0" w:type="dxa"/>
            <w:vAlign w:val="bottom"/>
          </w:tcPr>
          <w:p>
            <w:pPr>
              <w:spacing w:after="0"/>
              <w:rPr>
                <w:sz w:val="1"/>
                <w:szCs w:val="1"/>
                <w:color w:val="auto"/>
              </w:rPr>
            </w:pPr>
          </w:p>
        </w:tc>
      </w:tr>
      <w:tr>
        <w:trPr>
          <w:trHeight w:val="175"/>
        </w:trPr>
        <w:tc>
          <w:tcPr>
            <w:tcW w:w="1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Burke</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Organic Revenue Growth</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4"/>
              </w:rPr>
              <w:t>15%</w:t>
            </w:r>
          </w:p>
        </w:tc>
        <w:tc>
          <w:tcPr>
            <w:tcW w:w="200" w:type="dxa"/>
            <w:vAlign w:val="bottom"/>
          </w:tcPr>
          <w:p>
            <w:pPr>
              <w:spacing w:after="0"/>
              <w:rPr>
                <w:sz w:val="15"/>
                <w:szCs w:val="15"/>
                <w:color w:val="auto"/>
              </w:rPr>
            </w:pPr>
          </w:p>
        </w:tc>
        <w:tc>
          <w:tcPr>
            <w:tcW w:w="100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2.00 %</w:t>
            </w:r>
          </w:p>
        </w:tc>
        <w:tc>
          <w:tcPr>
            <w:tcW w:w="200" w:type="dxa"/>
            <w:vAlign w:val="bottom"/>
          </w:tcPr>
          <w:p>
            <w:pPr>
              <w:spacing w:after="0"/>
              <w:rPr>
                <w:sz w:val="15"/>
                <w:szCs w:val="15"/>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5.00 %</w:t>
            </w:r>
          </w:p>
        </w:tc>
        <w:tc>
          <w:tcPr>
            <w:tcW w:w="200" w:type="dxa"/>
            <w:vAlign w:val="bottom"/>
          </w:tcPr>
          <w:p>
            <w:pPr>
              <w:spacing w:after="0"/>
              <w:rPr>
                <w:sz w:val="15"/>
                <w:szCs w:val="15"/>
                <w:color w:val="auto"/>
              </w:rPr>
            </w:pP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8.00 %</w:t>
            </w:r>
          </w:p>
        </w:tc>
        <w:tc>
          <w:tcPr>
            <w:tcW w:w="240" w:type="dxa"/>
            <w:vAlign w:val="bottom"/>
          </w:tcPr>
          <w:p>
            <w:pPr>
              <w:spacing w:after="0"/>
              <w:rPr>
                <w:sz w:val="15"/>
                <w:szCs w:val="15"/>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14.50 %</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0"/>
              </w:rPr>
              <w:t>200%</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7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156,492</w:t>
            </w:r>
          </w:p>
        </w:tc>
        <w:tc>
          <w:tcPr>
            <w:tcW w:w="0" w:type="dxa"/>
            <w:vAlign w:val="bottom"/>
          </w:tcPr>
          <w:p>
            <w:pPr>
              <w:spacing w:after="0"/>
              <w:rPr>
                <w:sz w:val="1"/>
                <w:szCs w:val="1"/>
                <w:color w:val="auto"/>
              </w:rPr>
            </w:pPr>
          </w:p>
        </w:tc>
      </w:tr>
      <w:tr>
        <w:trPr>
          <w:trHeight w:val="175"/>
        </w:trPr>
        <w:tc>
          <w:tcPr>
            <w:tcW w:w="10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Corporate Working Capital</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4"/>
              </w:rPr>
              <w:t>10%</w:t>
            </w:r>
          </w:p>
        </w:tc>
        <w:tc>
          <w:tcPr>
            <w:tcW w:w="200" w:type="dxa"/>
            <w:vAlign w:val="bottom"/>
          </w:tcPr>
          <w:p>
            <w:pPr>
              <w:spacing w:after="0"/>
              <w:rPr>
                <w:sz w:val="15"/>
                <w:szCs w:val="15"/>
                <w:color w:val="auto"/>
              </w:rPr>
            </w:pPr>
          </w:p>
        </w:tc>
        <w:tc>
          <w:tcPr>
            <w:tcW w:w="100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18.59 %</w:t>
            </w:r>
          </w:p>
        </w:tc>
        <w:tc>
          <w:tcPr>
            <w:tcW w:w="200" w:type="dxa"/>
            <w:vAlign w:val="bottom"/>
          </w:tcPr>
          <w:p>
            <w:pPr>
              <w:spacing w:after="0"/>
              <w:rPr>
                <w:sz w:val="15"/>
                <w:szCs w:val="15"/>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16.90 %</w:t>
            </w:r>
          </w:p>
        </w:tc>
        <w:tc>
          <w:tcPr>
            <w:tcW w:w="200" w:type="dxa"/>
            <w:vAlign w:val="bottom"/>
          </w:tcPr>
          <w:p>
            <w:pPr>
              <w:spacing w:after="0"/>
              <w:rPr>
                <w:sz w:val="15"/>
                <w:szCs w:val="15"/>
                <w:color w:val="auto"/>
              </w:rPr>
            </w:pP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15.21 %</w:t>
            </w:r>
          </w:p>
        </w:tc>
        <w:tc>
          <w:tcPr>
            <w:tcW w:w="240" w:type="dxa"/>
            <w:vAlign w:val="bottom"/>
          </w:tcPr>
          <w:p>
            <w:pPr>
              <w:spacing w:after="0"/>
              <w:rPr>
                <w:sz w:val="15"/>
                <w:szCs w:val="15"/>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14.30 %</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0"/>
              </w:rPr>
              <w:t>200%</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7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104,328</w:t>
            </w:r>
          </w:p>
        </w:tc>
        <w:tc>
          <w:tcPr>
            <w:tcW w:w="0" w:type="dxa"/>
            <w:vAlign w:val="bottom"/>
          </w:tcPr>
          <w:p>
            <w:pPr>
              <w:spacing w:after="0"/>
              <w:rPr>
                <w:sz w:val="1"/>
                <w:szCs w:val="1"/>
                <w:color w:val="auto"/>
              </w:rPr>
            </w:pPr>
          </w:p>
        </w:tc>
      </w:tr>
      <w:tr>
        <w:trPr>
          <w:trHeight w:val="185"/>
        </w:trPr>
        <w:tc>
          <w:tcPr>
            <w:tcW w:w="1000" w:type="dxa"/>
            <w:vAlign w:val="bottom"/>
            <w:tcBorders>
              <w:left w:val="single" w:sz="8" w:color="auto"/>
              <w:bottom w:val="single" w:sz="8" w:color="auto"/>
              <w:right w:val="single" w:sz="8" w:color="auto"/>
            </w:tcBorders>
          </w:tcPr>
          <w:p>
            <w:pPr>
              <w:spacing w:after="0"/>
              <w:rPr>
                <w:sz w:val="16"/>
                <w:szCs w:val="16"/>
                <w:color w:val="auto"/>
              </w:rPr>
            </w:pP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Discretionary</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4"/>
              </w:rPr>
              <w:t>10%</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3"/>
                <w:szCs w:val="13"/>
                <w:color w:val="auto"/>
              </w:rPr>
              <w:t>0 %</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100 %</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200 %</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200 %</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0"/>
              </w:rPr>
              <w:t>200%</w:t>
            </w: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color w:val="auto"/>
              </w:rPr>
              <w:t>104,328</w:t>
            </w:r>
          </w:p>
        </w:tc>
        <w:tc>
          <w:tcPr>
            <w:tcW w:w="0" w:type="dxa"/>
            <w:vAlign w:val="bottom"/>
          </w:tcPr>
          <w:p>
            <w:pPr>
              <w:spacing w:after="0"/>
              <w:rPr>
                <w:sz w:val="1"/>
                <w:szCs w:val="1"/>
                <w:color w:val="auto"/>
              </w:rPr>
            </w:pPr>
          </w:p>
        </w:tc>
      </w:tr>
      <w:tr>
        <w:trPr>
          <w:trHeight w:val="160"/>
        </w:trPr>
        <w:tc>
          <w:tcPr>
            <w:tcW w:w="100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John W.</w:t>
            </w:r>
          </w:p>
        </w:tc>
        <w:tc>
          <w:tcPr>
            <w:tcW w:w="17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Diluted Earnings Per Share</w:t>
            </w:r>
          </w:p>
        </w:tc>
        <w:tc>
          <w:tcPr>
            <w:tcW w:w="16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4"/>
              </w:rPr>
              <w:t>30%</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w:t>
            </w:r>
          </w:p>
        </w:tc>
        <w:tc>
          <w:tcPr>
            <w:tcW w:w="160" w:type="dxa"/>
            <w:vAlign w:val="bottom"/>
            <w:tcBorders>
              <w:right w:val="single" w:sz="8" w:color="auto"/>
            </w:tcBorders>
            <w:shd w:val="clear" w:color="auto" w:fill="CCEEFF"/>
          </w:tcPr>
          <w:p>
            <w:pPr>
              <w:spacing w:after="0"/>
              <w:rPr>
                <w:sz w:val="13"/>
                <w:szCs w:val="13"/>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1020" w:type="dxa"/>
            <w:vAlign w:val="bottom"/>
            <w:tcBorders>
              <w:right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4.24</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980" w:type="dxa"/>
            <w:vAlign w:val="bottom"/>
            <w:tcBorders>
              <w:right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4.66</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960" w:type="dxa"/>
            <w:vAlign w:val="bottom"/>
            <w:tcBorders>
              <w:right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rPr>
              <w:t>4.85</w:t>
            </w:r>
          </w:p>
        </w:tc>
        <w:tc>
          <w:tcPr>
            <w:tcW w:w="11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0"/>
              </w:rPr>
              <w:t>200%</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252,126</w:t>
            </w:r>
          </w:p>
        </w:tc>
        <w:tc>
          <w:tcPr>
            <w:tcW w:w="0" w:type="dxa"/>
            <w:vAlign w:val="bottom"/>
          </w:tcPr>
          <w:p>
            <w:pPr>
              <w:spacing w:after="0"/>
              <w:rPr>
                <w:sz w:val="1"/>
                <w:szCs w:val="1"/>
                <w:color w:val="auto"/>
              </w:rPr>
            </w:pPr>
          </w:p>
        </w:tc>
      </w:tr>
      <w:tr>
        <w:trPr>
          <w:trHeight w:val="175"/>
        </w:trPr>
        <w:tc>
          <w:tcPr>
            <w:tcW w:w="100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Hardin</w:t>
            </w:r>
          </w:p>
        </w:tc>
        <w:tc>
          <w:tcPr>
            <w:tcW w:w="17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Organic Revenue Growth</w:t>
            </w:r>
          </w:p>
        </w:tc>
        <w:tc>
          <w:tcPr>
            <w:tcW w:w="16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4"/>
              </w:rPr>
              <w:t>15%</w:t>
            </w:r>
          </w:p>
        </w:tc>
        <w:tc>
          <w:tcPr>
            <w:tcW w:w="200" w:type="dxa"/>
            <w:vAlign w:val="bottom"/>
            <w:shd w:val="clear" w:color="auto" w:fill="CCEEFF"/>
          </w:tcPr>
          <w:p>
            <w:pPr>
              <w:spacing w:after="0"/>
              <w:rPr>
                <w:sz w:val="15"/>
                <w:szCs w:val="15"/>
                <w:color w:val="auto"/>
              </w:rPr>
            </w:pPr>
          </w:p>
        </w:tc>
        <w:tc>
          <w:tcPr>
            <w:tcW w:w="1000" w:type="dxa"/>
            <w:vAlign w:val="bottom"/>
            <w:tcBorders>
              <w:right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0.60 %</w:t>
            </w:r>
          </w:p>
        </w:tc>
        <w:tc>
          <w:tcPr>
            <w:tcW w:w="200" w:type="dxa"/>
            <w:vAlign w:val="bottom"/>
            <w:shd w:val="clear" w:color="auto" w:fill="CCEEFF"/>
          </w:tcPr>
          <w:p>
            <w:pPr>
              <w:spacing w:after="0"/>
              <w:rPr>
                <w:sz w:val="15"/>
                <w:szCs w:val="15"/>
                <w:color w:val="auto"/>
              </w:rPr>
            </w:pPr>
          </w:p>
        </w:tc>
        <w:tc>
          <w:tcPr>
            <w:tcW w:w="10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3.60 %</w:t>
            </w:r>
          </w:p>
        </w:tc>
        <w:tc>
          <w:tcPr>
            <w:tcW w:w="200" w:type="dxa"/>
            <w:vAlign w:val="bottom"/>
            <w:shd w:val="clear" w:color="auto" w:fill="CCEEFF"/>
          </w:tcPr>
          <w:p>
            <w:pPr>
              <w:spacing w:after="0"/>
              <w:rPr>
                <w:sz w:val="15"/>
                <w:szCs w:val="15"/>
                <w:color w:val="auto"/>
              </w:rPr>
            </w:pPr>
          </w:p>
        </w:tc>
        <w:tc>
          <w:tcPr>
            <w:tcW w:w="9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6.60 %</w:t>
            </w:r>
          </w:p>
        </w:tc>
        <w:tc>
          <w:tcPr>
            <w:tcW w:w="240" w:type="dxa"/>
            <w:vAlign w:val="bottom"/>
            <w:shd w:val="clear" w:color="auto" w:fill="CCEEFF"/>
          </w:tcPr>
          <w:p>
            <w:pPr>
              <w:spacing w:after="0"/>
              <w:rPr>
                <w:sz w:val="15"/>
                <w:szCs w:val="15"/>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10.70 %</w:t>
            </w:r>
          </w:p>
        </w:tc>
        <w:tc>
          <w:tcPr>
            <w:tcW w:w="11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0"/>
              </w:rPr>
              <w:t>200%</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126,063</w:t>
            </w:r>
          </w:p>
        </w:tc>
        <w:tc>
          <w:tcPr>
            <w:tcW w:w="0" w:type="dxa"/>
            <w:vAlign w:val="bottom"/>
          </w:tcPr>
          <w:p>
            <w:pPr>
              <w:spacing w:after="0"/>
              <w:rPr>
                <w:sz w:val="1"/>
                <w:szCs w:val="1"/>
                <w:color w:val="auto"/>
              </w:rPr>
            </w:pPr>
          </w:p>
        </w:tc>
      </w:tr>
      <w:tr>
        <w:trPr>
          <w:trHeight w:val="176"/>
        </w:trPr>
        <w:tc>
          <w:tcPr>
            <w:tcW w:w="1000" w:type="dxa"/>
            <w:vAlign w:val="bottom"/>
            <w:tcBorders>
              <w:left w:val="single" w:sz="8" w:color="auto"/>
              <w:right w:val="single" w:sz="8" w:color="auto"/>
            </w:tcBorders>
            <w:shd w:val="clear" w:color="auto" w:fill="CCEEFF"/>
          </w:tcPr>
          <w:p>
            <w:pPr>
              <w:spacing w:after="0"/>
              <w:rPr>
                <w:sz w:val="15"/>
                <w:szCs w:val="15"/>
                <w:color w:val="auto"/>
              </w:rPr>
            </w:pPr>
          </w:p>
        </w:tc>
        <w:tc>
          <w:tcPr>
            <w:tcW w:w="17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Group Operating Income</w:t>
            </w:r>
          </w:p>
        </w:tc>
        <w:tc>
          <w:tcPr>
            <w:tcW w:w="16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4"/>
              </w:rPr>
              <w:t>25%</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294,391,000</w:t>
            </w:r>
          </w:p>
        </w:tc>
        <w:tc>
          <w:tcPr>
            <w:tcW w:w="160" w:type="dxa"/>
            <w:vAlign w:val="bottom"/>
            <w:tcBorders>
              <w:right w:val="single" w:sz="8" w:color="auto"/>
            </w:tcBorders>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1020" w:type="dxa"/>
            <w:vAlign w:val="bottom"/>
            <w:tcBorders>
              <w:right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rPr>
              <w:t>367,989,000</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980" w:type="dxa"/>
            <w:vAlign w:val="bottom"/>
            <w:tcBorders>
              <w:right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404,788,000</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960" w:type="dxa"/>
            <w:vAlign w:val="bottom"/>
            <w:tcBorders>
              <w:right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rPr>
              <w:t>389,758,000</w:t>
            </w:r>
          </w:p>
        </w:tc>
        <w:tc>
          <w:tcPr>
            <w:tcW w:w="11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0"/>
              </w:rPr>
              <w:t>159%</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167,198</w:t>
            </w:r>
          </w:p>
        </w:tc>
        <w:tc>
          <w:tcPr>
            <w:tcW w:w="0" w:type="dxa"/>
            <w:vAlign w:val="bottom"/>
          </w:tcPr>
          <w:p>
            <w:pPr>
              <w:spacing w:after="0"/>
              <w:rPr>
                <w:sz w:val="1"/>
                <w:szCs w:val="1"/>
                <w:color w:val="auto"/>
              </w:rPr>
            </w:pPr>
          </w:p>
        </w:tc>
      </w:tr>
      <w:tr>
        <w:trPr>
          <w:trHeight w:val="176"/>
        </w:trPr>
        <w:tc>
          <w:tcPr>
            <w:tcW w:w="1000" w:type="dxa"/>
            <w:vAlign w:val="bottom"/>
            <w:tcBorders>
              <w:left w:val="single" w:sz="8" w:color="auto"/>
              <w:right w:val="single" w:sz="8" w:color="auto"/>
            </w:tcBorders>
            <w:shd w:val="clear" w:color="auto" w:fill="CCEEFF"/>
          </w:tcPr>
          <w:p>
            <w:pPr>
              <w:spacing w:after="0"/>
              <w:rPr>
                <w:sz w:val="15"/>
                <w:szCs w:val="15"/>
                <w:color w:val="auto"/>
              </w:rPr>
            </w:pPr>
          </w:p>
        </w:tc>
        <w:tc>
          <w:tcPr>
            <w:tcW w:w="17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Group Working Capital</w:t>
            </w:r>
          </w:p>
        </w:tc>
        <w:tc>
          <w:tcPr>
            <w:tcW w:w="16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4"/>
              </w:rPr>
              <w:t>10%</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26.18</w:t>
            </w:r>
          </w:p>
        </w:tc>
        <w:tc>
          <w:tcPr>
            <w:tcW w:w="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200" w:type="dxa"/>
            <w:vAlign w:val="bottom"/>
            <w:shd w:val="clear" w:color="auto" w:fill="CCEEFF"/>
          </w:tcPr>
          <w:p>
            <w:pPr>
              <w:spacing w:after="0"/>
              <w:rPr>
                <w:sz w:val="15"/>
                <w:szCs w:val="15"/>
                <w:color w:val="auto"/>
              </w:rPr>
            </w:pPr>
          </w:p>
        </w:tc>
        <w:tc>
          <w:tcPr>
            <w:tcW w:w="10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23.80 %</w:t>
            </w:r>
          </w:p>
        </w:tc>
        <w:tc>
          <w:tcPr>
            <w:tcW w:w="200" w:type="dxa"/>
            <w:vAlign w:val="bottom"/>
            <w:shd w:val="clear" w:color="auto" w:fill="CCEEFF"/>
          </w:tcPr>
          <w:p>
            <w:pPr>
              <w:spacing w:after="0"/>
              <w:rPr>
                <w:sz w:val="15"/>
                <w:szCs w:val="15"/>
                <w:color w:val="auto"/>
              </w:rPr>
            </w:pPr>
          </w:p>
        </w:tc>
        <w:tc>
          <w:tcPr>
            <w:tcW w:w="9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21.42 %</w:t>
            </w:r>
          </w:p>
        </w:tc>
        <w:tc>
          <w:tcPr>
            <w:tcW w:w="240" w:type="dxa"/>
            <w:vAlign w:val="bottom"/>
            <w:shd w:val="clear" w:color="auto" w:fill="CCEEFF"/>
          </w:tcPr>
          <w:p>
            <w:pPr>
              <w:spacing w:after="0"/>
              <w:rPr>
                <w:sz w:val="15"/>
                <w:szCs w:val="15"/>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19.10 %</w:t>
            </w:r>
          </w:p>
        </w:tc>
        <w:tc>
          <w:tcPr>
            <w:tcW w:w="11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0"/>
              </w:rPr>
              <w:t>200%</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83,202</w:t>
            </w:r>
          </w:p>
        </w:tc>
        <w:tc>
          <w:tcPr>
            <w:tcW w:w="0" w:type="dxa"/>
            <w:vAlign w:val="bottom"/>
          </w:tcPr>
          <w:p>
            <w:pPr>
              <w:spacing w:after="0"/>
              <w:rPr>
                <w:sz w:val="1"/>
                <w:szCs w:val="1"/>
                <w:color w:val="auto"/>
              </w:rPr>
            </w:pPr>
          </w:p>
        </w:tc>
      </w:tr>
      <w:tr>
        <w:trPr>
          <w:trHeight w:val="185"/>
        </w:trPr>
        <w:tc>
          <w:tcPr>
            <w:tcW w:w="1000" w:type="dxa"/>
            <w:vAlign w:val="bottom"/>
            <w:tcBorders>
              <w:left w:val="single" w:sz="8" w:color="auto"/>
              <w:bottom w:val="single" w:sz="8" w:color="auto"/>
              <w:right w:val="single" w:sz="8" w:color="auto"/>
            </w:tcBorders>
            <w:shd w:val="clear" w:color="auto" w:fill="CCEEFF"/>
          </w:tcPr>
          <w:p>
            <w:pPr>
              <w:spacing w:after="0"/>
              <w:rPr>
                <w:sz w:val="16"/>
                <w:szCs w:val="16"/>
                <w:color w:val="auto"/>
              </w:rPr>
            </w:pPr>
          </w:p>
        </w:tc>
        <w:tc>
          <w:tcPr>
            <w:tcW w:w="17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Discretionary</w:t>
            </w:r>
          </w:p>
        </w:tc>
        <w:tc>
          <w:tcPr>
            <w:tcW w:w="1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4"/>
              </w:rPr>
              <w:t>20%</w:t>
            </w:r>
          </w:p>
        </w:tc>
        <w:tc>
          <w:tcPr>
            <w:tcW w:w="2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2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2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200 %</w:t>
            </w:r>
          </w:p>
        </w:tc>
        <w:tc>
          <w:tcPr>
            <w:tcW w:w="2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175 %</w:t>
            </w:r>
          </w:p>
        </w:tc>
        <w:tc>
          <w:tcPr>
            <w:tcW w:w="11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0"/>
              </w:rPr>
              <w:t>175%</w:t>
            </w: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147,494</w:t>
            </w:r>
          </w:p>
        </w:tc>
        <w:tc>
          <w:tcPr>
            <w:tcW w:w="0" w:type="dxa"/>
            <w:vAlign w:val="bottom"/>
          </w:tcPr>
          <w:p>
            <w:pPr>
              <w:spacing w:after="0"/>
              <w:rPr>
                <w:sz w:val="1"/>
                <w:szCs w:val="1"/>
                <w:color w:val="auto"/>
              </w:rPr>
            </w:pPr>
          </w:p>
        </w:tc>
      </w:tr>
      <w:tr>
        <w:trPr>
          <w:trHeight w:val="160"/>
        </w:trPr>
        <w:tc>
          <w:tcPr>
            <w:tcW w:w="1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Timothy N.</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Diluted Earnings Per Share</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4"/>
              </w:rPr>
              <w:t>30%</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3.39</w:t>
            </w:r>
          </w:p>
        </w:tc>
        <w:tc>
          <w:tcPr>
            <w:tcW w:w="160" w:type="dxa"/>
            <w:vAlign w:val="bottom"/>
            <w:tcBorders>
              <w:right w:val="single" w:sz="8" w:color="auto"/>
            </w:tcBorders>
          </w:tcPr>
          <w:p>
            <w:pPr>
              <w:spacing w:after="0"/>
              <w:rPr>
                <w:sz w:val="13"/>
                <w:szCs w:val="13"/>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020" w:type="dxa"/>
            <w:vAlign w:val="bottom"/>
            <w:tcBorders>
              <w:right w:val="single" w:sz="8" w:color="auto"/>
            </w:tcBorders>
          </w:tcPr>
          <w:p>
            <w:pPr>
              <w:jc w:val="right"/>
              <w:ind w:right="117"/>
              <w:spacing w:after="0"/>
              <w:rPr>
                <w:sz w:val="20"/>
                <w:szCs w:val="20"/>
                <w:color w:val="auto"/>
              </w:rPr>
            </w:pPr>
            <w:r>
              <w:rPr>
                <w:rFonts w:ascii="Arial" w:cs="Arial" w:eastAsia="Arial" w:hAnsi="Arial"/>
                <w:sz w:val="13"/>
                <w:szCs w:val="13"/>
                <w:color w:val="auto"/>
              </w:rPr>
              <w:t>4.24</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980" w:type="dxa"/>
            <w:vAlign w:val="bottom"/>
            <w:tcBorders>
              <w:right w:val="single" w:sz="8" w:color="auto"/>
            </w:tcBorders>
          </w:tcPr>
          <w:p>
            <w:pPr>
              <w:jc w:val="right"/>
              <w:ind w:right="117"/>
              <w:spacing w:after="0"/>
              <w:rPr>
                <w:sz w:val="20"/>
                <w:szCs w:val="20"/>
                <w:color w:val="auto"/>
              </w:rPr>
            </w:pPr>
            <w:r>
              <w:rPr>
                <w:rFonts w:ascii="Arial" w:cs="Arial" w:eastAsia="Arial" w:hAnsi="Arial"/>
                <w:sz w:val="13"/>
                <w:szCs w:val="13"/>
                <w:color w:val="auto"/>
              </w:rPr>
              <w:t>4.66</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960" w:type="dxa"/>
            <w:vAlign w:val="bottom"/>
            <w:tcBorders>
              <w:right w:val="single" w:sz="8" w:color="auto"/>
            </w:tcBorders>
          </w:tcPr>
          <w:p>
            <w:pPr>
              <w:jc w:val="right"/>
              <w:ind w:right="137"/>
              <w:spacing w:after="0"/>
              <w:rPr>
                <w:sz w:val="20"/>
                <w:szCs w:val="20"/>
                <w:color w:val="auto"/>
              </w:rPr>
            </w:pPr>
            <w:r>
              <w:rPr>
                <w:rFonts w:ascii="Arial" w:cs="Arial" w:eastAsia="Arial" w:hAnsi="Arial"/>
                <w:sz w:val="13"/>
                <w:szCs w:val="13"/>
                <w:color w:val="auto"/>
              </w:rPr>
              <w:t>4.85</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0"/>
              </w:rPr>
              <w:t>200%</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7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236,632</w:t>
            </w:r>
          </w:p>
        </w:tc>
        <w:tc>
          <w:tcPr>
            <w:tcW w:w="0" w:type="dxa"/>
            <w:vAlign w:val="bottom"/>
          </w:tcPr>
          <w:p>
            <w:pPr>
              <w:spacing w:after="0"/>
              <w:rPr>
                <w:sz w:val="1"/>
                <w:szCs w:val="1"/>
                <w:color w:val="auto"/>
              </w:rPr>
            </w:pPr>
          </w:p>
        </w:tc>
      </w:tr>
      <w:tr>
        <w:trPr>
          <w:trHeight w:val="175"/>
        </w:trPr>
        <w:tc>
          <w:tcPr>
            <w:tcW w:w="1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Jones</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Organic Revenue Growth</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4"/>
              </w:rPr>
              <w:t>15%</w:t>
            </w:r>
          </w:p>
        </w:tc>
        <w:tc>
          <w:tcPr>
            <w:tcW w:w="200" w:type="dxa"/>
            <w:vAlign w:val="bottom"/>
          </w:tcPr>
          <w:p>
            <w:pPr>
              <w:spacing w:after="0"/>
              <w:rPr>
                <w:sz w:val="15"/>
                <w:szCs w:val="15"/>
                <w:color w:val="auto"/>
              </w:rPr>
            </w:pPr>
          </w:p>
        </w:tc>
        <w:tc>
          <w:tcPr>
            <w:tcW w:w="100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2.90 %</w:t>
            </w:r>
          </w:p>
        </w:tc>
        <w:tc>
          <w:tcPr>
            <w:tcW w:w="200" w:type="dxa"/>
            <w:vAlign w:val="bottom"/>
          </w:tcPr>
          <w:p>
            <w:pPr>
              <w:spacing w:after="0"/>
              <w:rPr>
                <w:sz w:val="15"/>
                <w:szCs w:val="15"/>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5.90 %</w:t>
            </w:r>
          </w:p>
        </w:tc>
        <w:tc>
          <w:tcPr>
            <w:tcW w:w="200" w:type="dxa"/>
            <w:vAlign w:val="bottom"/>
          </w:tcPr>
          <w:p>
            <w:pPr>
              <w:spacing w:after="0"/>
              <w:rPr>
                <w:sz w:val="15"/>
                <w:szCs w:val="15"/>
                <w:color w:val="auto"/>
              </w:rPr>
            </w:pP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8.90 %</w:t>
            </w:r>
          </w:p>
        </w:tc>
        <w:tc>
          <w:tcPr>
            <w:tcW w:w="240" w:type="dxa"/>
            <w:vAlign w:val="bottom"/>
          </w:tcPr>
          <w:p>
            <w:pPr>
              <w:spacing w:after="0"/>
              <w:rPr>
                <w:sz w:val="15"/>
                <w:szCs w:val="15"/>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18.20 %</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0"/>
              </w:rPr>
              <w:t>200%</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7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118,316</w:t>
            </w:r>
          </w:p>
        </w:tc>
        <w:tc>
          <w:tcPr>
            <w:tcW w:w="0" w:type="dxa"/>
            <w:vAlign w:val="bottom"/>
          </w:tcPr>
          <w:p>
            <w:pPr>
              <w:spacing w:after="0"/>
              <w:rPr>
                <w:sz w:val="1"/>
                <w:szCs w:val="1"/>
                <w:color w:val="auto"/>
              </w:rPr>
            </w:pPr>
          </w:p>
        </w:tc>
      </w:tr>
      <w:tr>
        <w:trPr>
          <w:trHeight w:val="175"/>
        </w:trPr>
        <w:tc>
          <w:tcPr>
            <w:tcW w:w="10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Group Operating Income</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4"/>
              </w:rPr>
              <w:t>25%</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215,632,000</w:t>
            </w:r>
          </w:p>
        </w:tc>
        <w:tc>
          <w:tcPr>
            <w:tcW w:w="160" w:type="dxa"/>
            <w:vAlign w:val="bottom"/>
            <w:tcBorders>
              <w:right w:val="single" w:sz="8" w:color="auto"/>
            </w:tcBorders>
          </w:tcPr>
          <w:p>
            <w:pPr>
              <w:spacing w:after="0"/>
              <w:rPr>
                <w:sz w:val="15"/>
                <w:szCs w:val="15"/>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020" w:type="dxa"/>
            <w:vAlign w:val="bottom"/>
            <w:tcBorders>
              <w:right w:val="single" w:sz="8" w:color="auto"/>
            </w:tcBorders>
          </w:tcPr>
          <w:p>
            <w:pPr>
              <w:jc w:val="right"/>
              <w:ind w:right="117"/>
              <w:spacing w:after="0"/>
              <w:rPr>
                <w:sz w:val="20"/>
                <w:szCs w:val="20"/>
                <w:color w:val="auto"/>
              </w:rPr>
            </w:pPr>
            <w:r>
              <w:rPr>
                <w:rFonts w:ascii="Arial" w:cs="Arial" w:eastAsia="Arial" w:hAnsi="Arial"/>
                <w:sz w:val="13"/>
                <w:szCs w:val="13"/>
                <w:color w:val="auto"/>
              </w:rPr>
              <w:t>269,540,000</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980" w:type="dxa"/>
            <w:vAlign w:val="bottom"/>
            <w:tcBorders>
              <w:right w:val="single" w:sz="8" w:color="auto"/>
            </w:tcBorders>
          </w:tcPr>
          <w:p>
            <w:pPr>
              <w:jc w:val="right"/>
              <w:ind w:right="117"/>
              <w:spacing w:after="0"/>
              <w:rPr>
                <w:sz w:val="20"/>
                <w:szCs w:val="20"/>
                <w:color w:val="auto"/>
              </w:rPr>
            </w:pPr>
            <w:r>
              <w:rPr>
                <w:rFonts w:ascii="Arial" w:cs="Arial" w:eastAsia="Arial" w:hAnsi="Arial"/>
                <w:sz w:val="13"/>
                <w:szCs w:val="13"/>
                <w:color w:val="auto"/>
              </w:rPr>
              <w:t>296,494,000</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960" w:type="dxa"/>
            <w:vAlign w:val="bottom"/>
            <w:tcBorders>
              <w:right w:val="single" w:sz="8" w:color="auto"/>
            </w:tcBorders>
          </w:tcPr>
          <w:p>
            <w:pPr>
              <w:jc w:val="right"/>
              <w:ind w:right="137"/>
              <w:spacing w:after="0"/>
              <w:rPr>
                <w:sz w:val="20"/>
                <w:szCs w:val="20"/>
                <w:color w:val="auto"/>
              </w:rPr>
            </w:pPr>
            <w:r>
              <w:rPr>
                <w:rFonts w:ascii="Arial" w:cs="Arial" w:eastAsia="Arial" w:hAnsi="Arial"/>
                <w:sz w:val="13"/>
                <w:szCs w:val="13"/>
                <w:color w:val="auto"/>
              </w:rPr>
              <w:t>302,123,000</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0"/>
              </w:rPr>
              <w:t>200%</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7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197,194</w:t>
            </w:r>
          </w:p>
        </w:tc>
        <w:tc>
          <w:tcPr>
            <w:tcW w:w="0" w:type="dxa"/>
            <w:vAlign w:val="bottom"/>
          </w:tcPr>
          <w:p>
            <w:pPr>
              <w:spacing w:after="0"/>
              <w:rPr>
                <w:sz w:val="1"/>
                <w:szCs w:val="1"/>
                <w:color w:val="auto"/>
              </w:rPr>
            </w:pPr>
          </w:p>
        </w:tc>
      </w:tr>
      <w:tr>
        <w:trPr>
          <w:trHeight w:val="176"/>
        </w:trPr>
        <w:tc>
          <w:tcPr>
            <w:tcW w:w="10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Group Working Capital</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4"/>
              </w:rPr>
              <w:t>10%</w:t>
            </w:r>
          </w:p>
        </w:tc>
        <w:tc>
          <w:tcPr>
            <w:tcW w:w="200" w:type="dxa"/>
            <w:vAlign w:val="bottom"/>
          </w:tcPr>
          <w:p>
            <w:pPr>
              <w:spacing w:after="0"/>
              <w:rPr>
                <w:sz w:val="15"/>
                <w:szCs w:val="15"/>
                <w:color w:val="auto"/>
              </w:rPr>
            </w:pPr>
          </w:p>
        </w:tc>
        <w:tc>
          <w:tcPr>
            <w:tcW w:w="100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17.93 %</w:t>
            </w:r>
          </w:p>
        </w:tc>
        <w:tc>
          <w:tcPr>
            <w:tcW w:w="200" w:type="dxa"/>
            <w:vAlign w:val="bottom"/>
          </w:tcPr>
          <w:p>
            <w:pPr>
              <w:spacing w:after="0"/>
              <w:rPr>
                <w:sz w:val="15"/>
                <w:szCs w:val="15"/>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16.30 %</w:t>
            </w:r>
          </w:p>
        </w:tc>
        <w:tc>
          <w:tcPr>
            <w:tcW w:w="200" w:type="dxa"/>
            <w:vAlign w:val="bottom"/>
          </w:tcPr>
          <w:p>
            <w:pPr>
              <w:spacing w:after="0"/>
              <w:rPr>
                <w:sz w:val="15"/>
                <w:szCs w:val="15"/>
                <w:color w:val="auto"/>
              </w:rPr>
            </w:pP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14.67 %</w:t>
            </w:r>
          </w:p>
        </w:tc>
        <w:tc>
          <w:tcPr>
            <w:tcW w:w="240" w:type="dxa"/>
            <w:vAlign w:val="bottom"/>
          </w:tcPr>
          <w:p>
            <w:pPr>
              <w:spacing w:after="0"/>
              <w:rPr>
                <w:sz w:val="15"/>
                <w:szCs w:val="15"/>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14.70 %</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0"/>
              </w:rPr>
              <w:t>198%</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7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77,370</w:t>
            </w:r>
          </w:p>
        </w:tc>
        <w:tc>
          <w:tcPr>
            <w:tcW w:w="0" w:type="dxa"/>
            <w:vAlign w:val="bottom"/>
          </w:tcPr>
          <w:p>
            <w:pPr>
              <w:spacing w:after="0"/>
              <w:rPr>
                <w:sz w:val="1"/>
                <w:szCs w:val="1"/>
                <w:color w:val="auto"/>
              </w:rPr>
            </w:pPr>
          </w:p>
        </w:tc>
      </w:tr>
      <w:tr>
        <w:trPr>
          <w:trHeight w:val="185"/>
        </w:trPr>
        <w:tc>
          <w:tcPr>
            <w:tcW w:w="1000" w:type="dxa"/>
            <w:vAlign w:val="bottom"/>
            <w:tcBorders>
              <w:left w:val="single" w:sz="8" w:color="auto"/>
              <w:bottom w:val="single" w:sz="8" w:color="auto"/>
              <w:right w:val="single" w:sz="8" w:color="auto"/>
            </w:tcBorders>
          </w:tcPr>
          <w:p>
            <w:pPr>
              <w:spacing w:after="0"/>
              <w:rPr>
                <w:sz w:val="16"/>
                <w:szCs w:val="16"/>
                <w:color w:val="auto"/>
              </w:rPr>
            </w:pP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Discretionary</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4"/>
              </w:rPr>
              <w:t>20%</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3"/>
                <w:szCs w:val="13"/>
                <w:color w:val="auto"/>
              </w:rPr>
              <w:t>0 %</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100 %</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200 %</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138 %</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0"/>
              </w:rPr>
              <w:t>138%</w:t>
            </w: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color w:val="auto"/>
              </w:rPr>
              <w:t>109,442</w:t>
            </w:r>
          </w:p>
        </w:tc>
        <w:tc>
          <w:tcPr>
            <w:tcW w:w="0" w:type="dxa"/>
            <w:vAlign w:val="bottom"/>
          </w:tcPr>
          <w:p>
            <w:pPr>
              <w:spacing w:after="0"/>
              <w:rPr>
                <w:sz w:val="1"/>
                <w:szCs w:val="1"/>
                <w:color w:val="auto"/>
              </w:rPr>
            </w:pPr>
          </w:p>
        </w:tc>
      </w:tr>
      <w:tr>
        <w:trPr>
          <w:trHeight w:val="160"/>
        </w:trPr>
        <w:tc>
          <w:tcPr>
            <w:tcW w:w="100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Thomas C.</w:t>
            </w:r>
          </w:p>
        </w:tc>
        <w:tc>
          <w:tcPr>
            <w:tcW w:w="17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Diluted Earnings Per Share</w:t>
            </w:r>
          </w:p>
        </w:tc>
        <w:tc>
          <w:tcPr>
            <w:tcW w:w="16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4"/>
              </w:rPr>
              <w:t>30%</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w:t>
            </w:r>
          </w:p>
        </w:tc>
        <w:tc>
          <w:tcPr>
            <w:tcW w:w="160" w:type="dxa"/>
            <w:vAlign w:val="bottom"/>
            <w:tcBorders>
              <w:right w:val="single" w:sz="8" w:color="auto"/>
            </w:tcBorders>
            <w:shd w:val="clear" w:color="auto" w:fill="CCEEFF"/>
          </w:tcPr>
          <w:p>
            <w:pPr>
              <w:spacing w:after="0"/>
              <w:rPr>
                <w:sz w:val="13"/>
                <w:szCs w:val="13"/>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1020" w:type="dxa"/>
            <w:vAlign w:val="bottom"/>
            <w:tcBorders>
              <w:right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4.24</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980" w:type="dxa"/>
            <w:vAlign w:val="bottom"/>
            <w:tcBorders>
              <w:right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4.66</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960" w:type="dxa"/>
            <w:vAlign w:val="bottom"/>
            <w:tcBorders>
              <w:right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rPr>
              <w:t>4.85</w:t>
            </w:r>
          </w:p>
        </w:tc>
        <w:tc>
          <w:tcPr>
            <w:tcW w:w="11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0"/>
              </w:rPr>
              <w:t>200%</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217,350</w:t>
            </w:r>
          </w:p>
        </w:tc>
        <w:tc>
          <w:tcPr>
            <w:tcW w:w="0" w:type="dxa"/>
            <w:vAlign w:val="bottom"/>
          </w:tcPr>
          <w:p>
            <w:pPr>
              <w:spacing w:after="0"/>
              <w:rPr>
                <w:sz w:val="1"/>
                <w:szCs w:val="1"/>
                <w:color w:val="auto"/>
              </w:rPr>
            </w:pPr>
          </w:p>
        </w:tc>
      </w:tr>
      <w:tr>
        <w:trPr>
          <w:trHeight w:val="175"/>
        </w:trPr>
        <w:tc>
          <w:tcPr>
            <w:tcW w:w="100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Marecic</w:t>
            </w:r>
          </w:p>
        </w:tc>
        <w:tc>
          <w:tcPr>
            <w:tcW w:w="17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Organic Revenue Growth</w:t>
            </w:r>
          </w:p>
        </w:tc>
        <w:tc>
          <w:tcPr>
            <w:tcW w:w="16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4"/>
              </w:rPr>
              <w:t>15%</w:t>
            </w:r>
          </w:p>
        </w:tc>
        <w:tc>
          <w:tcPr>
            <w:tcW w:w="200" w:type="dxa"/>
            <w:vAlign w:val="bottom"/>
            <w:shd w:val="clear" w:color="auto" w:fill="CCEEFF"/>
          </w:tcPr>
          <w:p>
            <w:pPr>
              <w:spacing w:after="0"/>
              <w:rPr>
                <w:sz w:val="15"/>
                <w:szCs w:val="15"/>
                <w:color w:val="auto"/>
              </w:rPr>
            </w:pPr>
          </w:p>
        </w:tc>
        <w:tc>
          <w:tcPr>
            <w:tcW w:w="1000" w:type="dxa"/>
            <w:vAlign w:val="bottom"/>
            <w:tcBorders>
              <w:right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1.60 %</w:t>
            </w:r>
          </w:p>
        </w:tc>
        <w:tc>
          <w:tcPr>
            <w:tcW w:w="200" w:type="dxa"/>
            <w:vAlign w:val="bottom"/>
            <w:shd w:val="clear" w:color="auto" w:fill="CCEEFF"/>
          </w:tcPr>
          <w:p>
            <w:pPr>
              <w:spacing w:after="0"/>
              <w:rPr>
                <w:sz w:val="15"/>
                <w:szCs w:val="15"/>
                <w:color w:val="auto"/>
              </w:rPr>
            </w:pPr>
          </w:p>
        </w:tc>
        <w:tc>
          <w:tcPr>
            <w:tcW w:w="10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4.60 %</w:t>
            </w:r>
          </w:p>
        </w:tc>
        <w:tc>
          <w:tcPr>
            <w:tcW w:w="200" w:type="dxa"/>
            <w:vAlign w:val="bottom"/>
            <w:shd w:val="clear" w:color="auto" w:fill="CCEEFF"/>
          </w:tcPr>
          <w:p>
            <w:pPr>
              <w:spacing w:after="0"/>
              <w:rPr>
                <w:sz w:val="15"/>
                <w:szCs w:val="15"/>
                <w:color w:val="auto"/>
              </w:rPr>
            </w:pPr>
          </w:p>
        </w:tc>
        <w:tc>
          <w:tcPr>
            <w:tcW w:w="9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7.60 %</w:t>
            </w:r>
          </w:p>
        </w:tc>
        <w:tc>
          <w:tcPr>
            <w:tcW w:w="240" w:type="dxa"/>
            <w:vAlign w:val="bottom"/>
            <w:shd w:val="clear" w:color="auto" w:fill="CCEEFF"/>
          </w:tcPr>
          <w:p>
            <w:pPr>
              <w:spacing w:after="0"/>
              <w:rPr>
                <w:sz w:val="15"/>
                <w:szCs w:val="15"/>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12.30 %</w:t>
            </w:r>
          </w:p>
        </w:tc>
        <w:tc>
          <w:tcPr>
            <w:tcW w:w="11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0"/>
              </w:rPr>
              <w:t>200%</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108,675</w:t>
            </w:r>
          </w:p>
        </w:tc>
        <w:tc>
          <w:tcPr>
            <w:tcW w:w="0" w:type="dxa"/>
            <w:vAlign w:val="bottom"/>
          </w:tcPr>
          <w:p>
            <w:pPr>
              <w:spacing w:after="0"/>
              <w:rPr>
                <w:sz w:val="1"/>
                <w:szCs w:val="1"/>
                <w:color w:val="auto"/>
              </w:rPr>
            </w:pPr>
          </w:p>
        </w:tc>
      </w:tr>
      <w:tr>
        <w:trPr>
          <w:trHeight w:val="175"/>
        </w:trPr>
        <w:tc>
          <w:tcPr>
            <w:tcW w:w="1000" w:type="dxa"/>
            <w:vAlign w:val="bottom"/>
            <w:tcBorders>
              <w:left w:val="single" w:sz="8" w:color="auto"/>
              <w:right w:val="single" w:sz="8" w:color="auto"/>
            </w:tcBorders>
            <w:shd w:val="clear" w:color="auto" w:fill="CCEEFF"/>
          </w:tcPr>
          <w:p>
            <w:pPr>
              <w:spacing w:after="0"/>
              <w:rPr>
                <w:sz w:val="15"/>
                <w:szCs w:val="15"/>
                <w:color w:val="auto"/>
              </w:rPr>
            </w:pPr>
          </w:p>
        </w:tc>
        <w:tc>
          <w:tcPr>
            <w:tcW w:w="17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Group Operating Income</w:t>
            </w:r>
          </w:p>
        </w:tc>
        <w:tc>
          <w:tcPr>
            <w:tcW w:w="16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4"/>
              </w:rPr>
              <w:t>25%</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213,677,000</w:t>
            </w:r>
          </w:p>
        </w:tc>
        <w:tc>
          <w:tcPr>
            <w:tcW w:w="160" w:type="dxa"/>
            <w:vAlign w:val="bottom"/>
            <w:tcBorders>
              <w:right w:val="single" w:sz="8" w:color="auto"/>
            </w:tcBorders>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1020" w:type="dxa"/>
            <w:vAlign w:val="bottom"/>
            <w:tcBorders>
              <w:right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267,096,000</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980" w:type="dxa"/>
            <w:vAlign w:val="bottom"/>
            <w:tcBorders>
              <w:right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293,806,000</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960" w:type="dxa"/>
            <w:vAlign w:val="bottom"/>
            <w:tcBorders>
              <w:right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rPr>
              <w:t>277,520,000</w:t>
            </w:r>
          </w:p>
        </w:tc>
        <w:tc>
          <w:tcPr>
            <w:tcW w:w="11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0"/>
              </w:rPr>
              <w:t>139%</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125,906</w:t>
            </w:r>
          </w:p>
        </w:tc>
        <w:tc>
          <w:tcPr>
            <w:tcW w:w="0" w:type="dxa"/>
            <w:vAlign w:val="bottom"/>
          </w:tcPr>
          <w:p>
            <w:pPr>
              <w:spacing w:after="0"/>
              <w:rPr>
                <w:sz w:val="1"/>
                <w:szCs w:val="1"/>
                <w:color w:val="auto"/>
              </w:rPr>
            </w:pPr>
          </w:p>
        </w:tc>
      </w:tr>
      <w:tr>
        <w:trPr>
          <w:trHeight w:val="176"/>
        </w:trPr>
        <w:tc>
          <w:tcPr>
            <w:tcW w:w="1000" w:type="dxa"/>
            <w:vAlign w:val="bottom"/>
            <w:tcBorders>
              <w:left w:val="single" w:sz="8" w:color="auto"/>
              <w:right w:val="single" w:sz="8" w:color="auto"/>
            </w:tcBorders>
            <w:shd w:val="clear" w:color="auto" w:fill="CCEEFF"/>
          </w:tcPr>
          <w:p>
            <w:pPr>
              <w:spacing w:after="0"/>
              <w:rPr>
                <w:sz w:val="15"/>
                <w:szCs w:val="15"/>
                <w:color w:val="auto"/>
              </w:rPr>
            </w:pPr>
          </w:p>
        </w:tc>
        <w:tc>
          <w:tcPr>
            <w:tcW w:w="17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Group Working Capital</w:t>
            </w:r>
          </w:p>
        </w:tc>
        <w:tc>
          <w:tcPr>
            <w:tcW w:w="16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4"/>
              </w:rPr>
              <w:t>10%</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18.59</w:t>
            </w:r>
          </w:p>
        </w:tc>
        <w:tc>
          <w:tcPr>
            <w:tcW w:w="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200" w:type="dxa"/>
            <w:vAlign w:val="bottom"/>
            <w:shd w:val="clear" w:color="auto" w:fill="CCEEFF"/>
          </w:tcPr>
          <w:p>
            <w:pPr>
              <w:spacing w:after="0"/>
              <w:rPr>
                <w:sz w:val="15"/>
                <w:szCs w:val="15"/>
                <w:color w:val="auto"/>
              </w:rPr>
            </w:pPr>
          </w:p>
        </w:tc>
        <w:tc>
          <w:tcPr>
            <w:tcW w:w="10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16.90 %</w:t>
            </w:r>
          </w:p>
        </w:tc>
        <w:tc>
          <w:tcPr>
            <w:tcW w:w="200" w:type="dxa"/>
            <w:vAlign w:val="bottom"/>
            <w:shd w:val="clear" w:color="auto" w:fill="CCEEFF"/>
          </w:tcPr>
          <w:p>
            <w:pPr>
              <w:spacing w:after="0"/>
              <w:rPr>
                <w:sz w:val="15"/>
                <w:szCs w:val="15"/>
                <w:color w:val="auto"/>
              </w:rPr>
            </w:pPr>
          </w:p>
        </w:tc>
        <w:tc>
          <w:tcPr>
            <w:tcW w:w="9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15.21 %</w:t>
            </w:r>
          </w:p>
        </w:tc>
        <w:tc>
          <w:tcPr>
            <w:tcW w:w="240" w:type="dxa"/>
            <w:vAlign w:val="bottom"/>
            <w:shd w:val="clear" w:color="auto" w:fill="CCEEFF"/>
          </w:tcPr>
          <w:p>
            <w:pPr>
              <w:spacing w:after="0"/>
              <w:rPr>
                <w:sz w:val="15"/>
                <w:szCs w:val="15"/>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14.90 %</w:t>
            </w:r>
          </w:p>
        </w:tc>
        <w:tc>
          <w:tcPr>
            <w:tcW w:w="11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0"/>
              </w:rPr>
              <w:t>200%</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71,726</w:t>
            </w:r>
          </w:p>
        </w:tc>
        <w:tc>
          <w:tcPr>
            <w:tcW w:w="0" w:type="dxa"/>
            <w:vAlign w:val="bottom"/>
          </w:tcPr>
          <w:p>
            <w:pPr>
              <w:spacing w:after="0"/>
              <w:rPr>
                <w:sz w:val="1"/>
                <w:szCs w:val="1"/>
                <w:color w:val="auto"/>
              </w:rPr>
            </w:pPr>
          </w:p>
        </w:tc>
      </w:tr>
      <w:tr>
        <w:trPr>
          <w:trHeight w:val="185"/>
        </w:trPr>
        <w:tc>
          <w:tcPr>
            <w:tcW w:w="1000" w:type="dxa"/>
            <w:vAlign w:val="bottom"/>
            <w:tcBorders>
              <w:left w:val="single" w:sz="8" w:color="auto"/>
              <w:bottom w:val="single" w:sz="8" w:color="auto"/>
              <w:right w:val="single" w:sz="8" w:color="auto"/>
            </w:tcBorders>
            <w:shd w:val="clear" w:color="auto" w:fill="CCEEFF"/>
          </w:tcPr>
          <w:p>
            <w:pPr>
              <w:spacing w:after="0"/>
              <w:rPr>
                <w:sz w:val="16"/>
                <w:szCs w:val="16"/>
                <w:color w:val="auto"/>
              </w:rPr>
            </w:pPr>
          </w:p>
        </w:tc>
        <w:tc>
          <w:tcPr>
            <w:tcW w:w="17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Discretionary</w:t>
            </w:r>
          </w:p>
        </w:tc>
        <w:tc>
          <w:tcPr>
            <w:tcW w:w="1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4"/>
              </w:rPr>
              <w:t>20%</w:t>
            </w:r>
          </w:p>
        </w:tc>
        <w:tc>
          <w:tcPr>
            <w:tcW w:w="2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2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2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200 %</w:t>
            </w:r>
          </w:p>
        </w:tc>
        <w:tc>
          <w:tcPr>
            <w:tcW w:w="2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174 %</w:t>
            </w:r>
          </w:p>
        </w:tc>
        <w:tc>
          <w:tcPr>
            <w:tcW w:w="11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0"/>
              </w:rPr>
              <w:t>174%</w:t>
            </w: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126,791</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660"/>
        <w:spacing w:after="0" w:line="291" w:lineRule="auto"/>
        <w:rPr>
          <w:sz w:val="20"/>
          <w:szCs w:val="20"/>
          <w:color w:val="auto"/>
        </w:rPr>
      </w:pPr>
      <w:r>
        <w:rPr>
          <w:rFonts w:ascii="Arial" w:cs="Arial" w:eastAsia="Arial" w:hAnsi="Arial"/>
          <w:sz w:val="16"/>
          <w:szCs w:val="16"/>
          <w:color w:val="auto"/>
        </w:rPr>
        <w:t>As a result of our actual outcomes with respect to the performance measures and the Compensation Committee’s determinations with respect to the discretionary component, the award payments and the percentage of the aggregate target award represented by the award payments are as follows:</w:t>
      </w:r>
    </w:p>
    <w:p>
      <w:pPr>
        <w:ind w:right="200"/>
        <w:spacing w:after="0" w:line="260" w:lineRule="auto"/>
        <w:rPr>
          <w:sz w:val="20"/>
          <w:szCs w:val="20"/>
          <w:color w:val="auto"/>
        </w:rPr>
      </w:pPr>
      <w:r>
        <w:rPr>
          <w:rFonts w:ascii="Arial" w:cs="Arial" w:eastAsia="Arial" w:hAnsi="Arial"/>
          <w:sz w:val="18"/>
          <w:szCs w:val="18"/>
          <w:color w:val="auto"/>
        </w:rPr>
        <w:t>Mr. Zapico, $3,432,000 (200%); Mr. Burke, $1,043,280 (200%); Mr. Hardin, $776,082 (185%); Mr. Jones, $738,954 (187%); and Mr. Marecic, $650,448 (180%).</w:t>
      </w:r>
    </w:p>
    <w:p>
      <w:pPr>
        <w:spacing w:after="0" w:line="14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 accordance with SEC regulations, the award payments are reflected in two separate columns of the Summary Compensation Table. The discretionary awards for the named executive officers appear in the “Bonus” column. The other awards are reflected in the “Non-Equity Incentive Plan Compensation” column.</w:t>
      </w:r>
    </w:p>
    <w:p>
      <w:pPr>
        <w:spacing w:after="0" w:line="14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 providing discretionary awards to our named executive officers, the Compensation Committee considered our strong success and specific named executive officers’ contributions in the following areas:</w:t>
      </w:r>
    </w:p>
    <w:p>
      <w:pPr>
        <w:spacing w:after="0" w:line="8" w:lineRule="exact"/>
        <w:rPr>
          <w:sz w:val="20"/>
          <w:szCs w:val="20"/>
          <w:color w:val="auto"/>
        </w:rPr>
      </w:pPr>
    </w:p>
    <w:p>
      <w:pPr>
        <w:ind w:left="660" w:right="900" w:hanging="571"/>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Leadership – Provided strong and effective leadership, with a focus on employee safety and well-being, during a challenging operating environment.</w:t>
      </w:r>
    </w:p>
    <w:p>
      <w:pPr>
        <w:spacing w:after="0" w:line="8" w:lineRule="exact"/>
        <w:rPr>
          <w:rFonts w:ascii="Arial" w:cs="Arial" w:eastAsia="Arial" w:hAnsi="Arial"/>
          <w:sz w:val="18"/>
          <w:szCs w:val="18"/>
          <w:color w:val="auto"/>
        </w:rPr>
      </w:pPr>
    </w:p>
    <w:p>
      <w:pPr>
        <w:ind w:left="660" w:hanging="571"/>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Sales Growth – Overall sales for the year were a record $5.5 billion, up 22% from 2020, with organic sales growth of 15%.</w:t>
      </w:r>
    </w:p>
    <w:p>
      <w:pPr>
        <w:spacing w:after="0" w:line="63" w:lineRule="exact"/>
        <w:rPr>
          <w:rFonts w:ascii="Arial" w:cs="Arial" w:eastAsia="Arial" w:hAnsi="Arial"/>
          <w:sz w:val="18"/>
          <w:szCs w:val="18"/>
          <w:color w:val="auto"/>
        </w:rPr>
      </w:pPr>
    </w:p>
    <w:p>
      <w:pPr>
        <w:ind w:left="660" w:hanging="571"/>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Orders Growth – Orders increased 40% versus 2020, with organic orders up 26%, ending the year with a record backlog of $2.7 billion.</w:t>
      </w:r>
    </w:p>
    <w:p>
      <w:pPr>
        <w:spacing w:after="0" w:line="74" w:lineRule="exact"/>
        <w:rPr>
          <w:rFonts w:ascii="Arial" w:cs="Arial" w:eastAsia="Arial" w:hAnsi="Arial"/>
          <w:sz w:val="17"/>
          <w:szCs w:val="17"/>
          <w:color w:val="auto"/>
        </w:rPr>
      </w:pPr>
    </w:p>
    <w:p>
      <w:pPr>
        <w:ind w:left="660" w:right="400" w:hanging="571"/>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Operational Excellence – We achieved record operating income of $1.3 billion with core operating margins expanding 110 basis points versus 2020.</w:t>
      </w:r>
    </w:p>
    <w:p>
      <w:pPr>
        <w:spacing w:after="0" w:line="8" w:lineRule="exact"/>
        <w:rPr>
          <w:rFonts w:ascii="Arial" w:cs="Arial" w:eastAsia="Arial" w:hAnsi="Arial"/>
          <w:sz w:val="18"/>
          <w:szCs w:val="18"/>
          <w:color w:val="auto"/>
        </w:rPr>
      </w:pPr>
    </w:p>
    <w:p>
      <w:pPr>
        <w:ind w:left="660" w:hanging="571"/>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Earnings per Share – Full-year adjusted diluted earnings per share were a record $4.85, up 23% versus the prior year.</w:t>
      </w:r>
    </w:p>
    <w:p>
      <w:pPr>
        <w:spacing w:after="0" w:line="63" w:lineRule="exact"/>
        <w:rPr>
          <w:rFonts w:ascii="Arial" w:cs="Arial" w:eastAsia="Arial" w:hAnsi="Arial"/>
          <w:sz w:val="18"/>
          <w:szCs w:val="18"/>
          <w:color w:val="auto"/>
        </w:rPr>
      </w:pPr>
    </w:p>
    <w:p>
      <w:pPr>
        <w:ind w:left="660" w:hanging="571"/>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Cash Flow – We generated strong cash flows, with full-year free cash flow to net income conversion of 106%.</w:t>
      </w:r>
    </w:p>
    <w:p>
      <w:pPr>
        <w:spacing w:after="0" w:line="63" w:lineRule="exact"/>
        <w:rPr>
          <w:rFonts w:ascii="Arial" w:cs="Arial" w:eastAsia="Arial" w:hAnsi="Arial"/>
          <w:sz w:val="18"/>
          <w:szCs w:val="18"/>
          <w:color w:val="auto"/>
        </w:rPr>
      </w:pPr>
    </w:p>
    <w:p>
      <w:pPr>
        <w:ind w:left="660" w:hanging="571"/>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Working Capital – We achieved excellent working capital performance of 15.3% of sales.</w:t>
      </w:r>
    </w:p>
    <w:p>
      <w:pPr>
        <w:spacing w:after="0" w:line="63" w:lineRule="exact"/>
        <w:rPr>
          <w:rFonts w:ascii="Arial" w:cs="Arial" w:eastAsia="Arial" w:hAnsi="Arial"/>
          <w:sz w:val="18"/>
          <w:szCs w:val="18"/>
          <w:color w:val="auto"/>
        </w:rPr>
      </w:pPr>
    </w:p>
    <w:p>
      <w:pPr>
        <w:ind w:left="660" w:hanging="571"/>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Strategic Acquisitions – We deployed a record $2 billion on the acquisition of six businesses.</w:t>
      </w:r>
    </w:p>
    <w:p>
      <w:pPr>
        <w:spacing w:after="0" w:line="63" w:lineRule="exact"/>
        <w:rPr>
          <w:rFonts w:ascii="Arial" w:cs="Arial" w:eastAsia="Arial" w:hAnsi="Arial"/>
          <w:sz w:val="18"/>
          <w:szCs w:val="18"/>
          <w:color w:val="auto"/>
        </w:rPr>
      </w:pPr>
    </w:p>
    <w:p>
      <w:pPr>
        <w:ind w:left="660" w:right="100" w:hanging="571"/>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Liquidity – Despite the record level of capital deployed, our gross debt-to-EBITDA ratio declined from 1.8X at the end of 2020 to 1.5X at the end of 2021, providing $2.3 billion in liquidity to support our growth initiatives.</w:t>
      </w:r>
    </w:p>
    <w:p>
      <w:pPr>
        <w:spacing w:after="0" w:line="8" w:lineRule="exact"/>
        <w:rPr>
          <w:rFonts w:ascii="Arial" w:cs="Arial" w:eastAsia="Arial" w:hAnsi="Arial"/>
          <w:sz w:val="18"/>
          <w:szCs w:val="18"/>
          <w:color w:val="auto"/>
        </w:rPr>
      </w:pPr>
    </w:p>
    <w:p>
      <w:pPr>
        <w:ind w:left="660" w:right="240" w:hanging="571"/>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Sustainability (ESG) – Excellent and important progress on our sustainability journey. We published our 2021 Sustainability Report, established scope 1 and scope 2 greenhouse gas emission reduction targets, made strong</w:t>
      </w:r>
    </w:p>
    <w:p>
      <w:pPr>
        <w:sectPr>
          <w:pgSz w:w="11900" w:h="16838" w:orient="portrait"/>
          <w:cols w:equalWidth="0" w:num="1">
            <w:col w:w="11260"/>
          </w:cols>
          <w:pgMar w:left="320" w:top="1111" w:right="31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ind w:left="7780"/>
        <w:spacing w:after="0"/>
        <w:tabs>
          <w:tab w:leader="none" w:pos="11020" w:val="left"/>
        </w:tabs>
        <w:rPr>
          <w:sz w:val="20"/>
          <w:szCs w:val="20"/>
          <w:color w:val="auto"/>
        </w:rPr>
      </w:pPr>
      <w:r>
        <w:rPr>
          <w:rFonts w:ascii="Arial" w:cs="Arial" w:eastAsia="Arial" w:hAnsi="Arial"/>
          <w:sz w:val="18"/>
          <w:szCs w:val="18"/>
          <w:b w:val="1"/>
          <w:bCs w:val="1"/>
          <w:color w:val="auto"/>
        </w:rPr>
        <w:t>AMETEK, INC. 2022 Proxy Statement</w:t>
      </w:r>
      <w:r>
        <w:rPr>
          <w:sz w:val="20"/>
          <w:szCs w:val="20"/>
          <w:color w:val="auto"/>
        </w:rPr>
        <w:tab/>
      </w:r>
      <w:r>
        <w:rPr>
          <w:rFonts w:ascii="Arial" w:cs="Arial" w:eastAsia="Arial" w:hAnsi="Arial"/>
          <w:sz w:val="16"/>
          <w:szCs w:val="16"/>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60"/>
          </w:cols>
          <w:pgMar w:left="320" w:top="1111" w:right="319" w:bottom="1440" w:gutter="0" w:footer="0" w:header="0"/>
          <w:type w:val="continuous"/>
        </w:sectPr>
      </w:pPr>
    </w:p>
    <w:bookmarkStart w:id="36" w:name="page37"/>
    <w:bookmarkEnd w:id="36"/>
    <w:p>
      <w:pPr>
        <w:ind w:left="660"/>
        <w:spacing w:after="0"/>
        <w:rPr>
          <w:sz w:val="20"/>
          <w:szCs w:val="20"/>
          <w:color w:val="auto"/>
        </w:rPr>
      </w:pPr>
      <w:r>
        <w:rPr>
          <w:rFonts w:ascii="Arial" w:cs="Arial" w:eastAsia="Arial" w:hAnsi="Arial"/>
          <w:sz w:val="16"/>
          <w:szCs w:val="16"/>
          <w:color w:val="auto"/>
        </w:rPr>
        <w:t>progress on our diversity and inclusion initiatives, and drove continued improvements in our ESG scores as measured by various rating agencies.</w:t>
      </w:r>
    </w:p>
    <w:p>
      <w:pPr>
        <w:spacing w:after="0" w:line="86" w:lineRule="exact"/>
        <w:rPr>
          <w:sz w:val="20"/>
          <w:szCs w:val="20"/>
          <w:color w:val="auto"/>
        </w:rPr>
      </w:pPr>
    </w:p>
    <w:p>
      <w:pPr>
        <w:ind w:left="660" w:hanging="571"/>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Total Shareholder Return – Our total shareholder return (“TSR”) increased 22% in 2021, outpacing the S&amp;P 500 Industrials.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Equity-Based Compensation</w:t>
      </w:r>
    </w:p>
    <w:p>
      <w:pPr>
        <w:spacing w:after="0" w:line="19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use equity-based compensation to align the interests of executives with those of stockholders and to support succession planning and retention. We use the most recent year median of the compensation benchmarking peer group and general industry group as reference points for assessing and establishing our equity awards.</w:t>
      </w:r>
    </w:p>
    <w:p>
      <w:pPr>
        <w:spacing w:after="0" w:line="143"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Performance-based Restricted Stock Units (“PRSUs”) comprise 50% of the target long-term incentive award for the CEO and CFO, and 40% for the other named executive officers. The complete 2021 LTI award mix for each named executive officer is shown in the following table.</w:t>
      </w:r>
    </w:p>
    <w:p>
      <w:pPr>
        <w:spacing w:after="0" w:line="195" w:lineRule="exact"/>
        <w:rPr>
          <w:sz w:val="20"/>
          <w:szCs w:val="20"/>
          <w:color w:val="auto"/>
        </w:rPr>
      </w:pPr>
    </w:p>
    <w:tbl>
      <w:tblPr>
        <w:tblLayout w:type="fixed"/>
        <w:tblInd w:w="770" w:type="dxa"/>
        <w:tblCellMar>
          <w:top w:w="0" w:type="dxa"/>
          <w:left w:w="0" w:type="dxa"/>
          <w:bottom w:w="0" w:type="dxa"/>
          <w:right w:w="0" w:type="dxa"/>
        </w:tblCellMar>
      </w:tblPr>
      <w:tr>
        <w:trPr>
          <w:trHeight w:val="243"/>
        </w:trPr>
        <w:tc>
          <w:tcPr>
            <w:tcW w:w="33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Award Type</w:t>
            </w:r>
          </w:p>
        </w:tc>
        <w:tc>
          <w:tcPr>
            <w:tcW w:w="3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CEO &amp; CFO</w:t>
            </w:r>
          </w:p>
        </w:tc>
        <w:tc>
          <w:tcPr>
            <w:tcW w:w="32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Other NEOs</w:t>
            </w:r>
          </w:p>
        </w:tc>
        <w:tc>
          <w:tcPr>
            <w:tcW w:w="0" w:type="dxa"/>
            <w:vAlign w:val="bottom"/>
          </w:tcPr>
          <w:p>
            <w:pPr>
              <w:spacing w:after="0"/>
              <w:rPr>
                <w:sz w:val="1"/>
                <w:szCs w:val="1"/>
                <w:color w:val="auto"/>
              </w:rPr>
            </w:pPr>
          </w:p>
        </w:tc>
      </w:tr>
      <w:tr>
        <w:trPr>
          <w:trHeight w:val="169"/>
        </w:trPr>
        <w:tc>
          <w:tcPr>
            <w:tcW w:w="3300" w:type="dxa"/>
            <w:vAlign w:val="bottom"/>
            <w:tcBorders>
              <w:left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0"/>
              </w:rPr>
              <w:t>Performance-Based Restricted Stock Units</w:t>
            </w:r>
          </w:p>
        </w:tc>
        <w:tc>
          <w:tcPr>
            <w:tcW w:w="3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50%</w:t>
            </w:r>
          </w:p>
        </w:tc>
        <w:tc>
          <w:tcPr>
            <w:tcW w:w="3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40%</w:t>
            </w:r>
          </w:p>
        </w:tc>
        <w:tc>
          <w:tcPr>
            <w:tcW w:w="0" w:type="dxa"/>
            <w:vAlign w:val="bottom"/>
          </w:tcPr>
          <w:p>
            <w:pPr>
              <w:spacing w:after="0"/>
              <w:rPr>
                <w:sz w:val="1"/>
                <w:szCs w:val="1"/>
                <w:color w:val="auto"/>
              </w:rPr>
            </w:pPr>
          </w:p>
        </w:tc>
      </w:tr>
      <w:tr>
        <w:trPr>
          <w:trHeight w:val="135"/>
        </w:trPr>
        <w:tc>
          <w:tcPr>
            <w:tcW w:w="33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(“PRSU”)</w:t>
            </w:r>
          </w:p>
        </w:tc>
        <w:tc>
          <w:tcPr>
            <w:tcW w:w="3260" w:type="dxa"/>
            <w:vAlign w:val="bottom"/>
            <w:tcBorders>
              <w:right w:val="single" w:sz="8" w:color="auto"/>
            </w:tcBorders>
            <w:vMerge w:val="continue"/>
          </w:tcPr>
          <w:p>
            <w:pPr>
              <w:spacing w:after="0"/>
              <w:rPr>
                <w:sz w:val="11"/>
                <w:szCs w:val="11"/>
                <w:color w:val="auto"/>
              </w:rPr>
            </w:pPr>
          </w:p>
        </w:tc>
        <w:tc>
          <w:tcPr>
            <w:tcW w:w="32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30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3260" w:type="dxa"/>
            <w:vAlign w:val="bottom"/>
            <w:tcBorders>
              <w:bottom w:val="single" w:sz="8" w:color="auto"/>
              <w:right w:val="single" w:sz="8" w:color="auto"/>
            </w:tcBorders>
          </w:tcPr>
          <w:p>
            <w:pPr>
              <w:spacing w:after="0"/>
              <w:rPr>
                <w:sz w:val="8"/>
                <w:szCs w:val="8"/>
                <w:color w:val="auto"/>
              </w:rPr>
            </w:pPr>
          </w:p>
        </w:tc>
        <w:tc>
          <w:tcPr>
            <w:tcW w:w="32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33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Nonqualified Stock Options (“NQSO”)</w:t>
            </w:r>
          </w:p>
        </w:tc>
        <w:tc>
          <w:tcPr>
            <w:tcW w:w="3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25%</w:t>
            </w:r>
          </w:p>
        </w:tc>
        <w:tc>
          <w:tcPr>
            <w:tcW w:w="3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30%</w:t>
            </w:r>
          </w:p>
        </w:tc>
        <w:tc>
          <w:tcPr>
            <w:tcW w:w="0" w:type="dxa"/>
            <w:vAlign w:val="bottom"/>
          </w:tcPr>
          <w:p>
            <w:pPr>
              <w:spacing w:after="0"/>
              <w:rPr>
                <w:sz w:val="1"/>
                <w:szCs w:val="1"/>
                <w:color w:val="auto"/>
              </w:rPr>
            </w:pPr>
          </w:p>
        </w:tc>
      </w:tr>
      <w:tr>
        <w:trPr>
          <w:trHeight w:val="223"/>
        </w:trPr>
        <w:tc>
          <w:tcPr>
            <w:tcW w:w="33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Restricted Stock Awards (“RSA”)</w:t>
            </w:r>
          </w:p>
        </w:tc>
        <w:tc>
          <w:tcPr>
            <w:tcW w:w="3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25%</w:t>
            </w:r>
          </w:p>
        </w:tc>
        <w:tc>
          <w:tcPr>
            <w:tcW w:w="3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30%</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NQSOs feature three-year ratable vesting and a ten-year term. RSAs feature three-year ratable vesting.</w:t>
      </w:r>
    </w:p>
    <w:p>
      <w:pPr>
        <w:spacing w:after="0" w:line="252" w:lineRule="exact"/>
        <w:rPr>
          <w:sz w:val="20"/>
          <w:szCs w:val="20"/>
          <w:color w:val="auto"/>
        </w:rPr>
      </w:pPr>
    </w:p>
    <w:p>
      <w:pPr>
        <w:ind w:right="2020"/>
        <w:spacing w:after="0" w:line="301" w:lineRule="auto"/>
        <w:rPr>
          <w:sz w:val="20"/>
          <w:szCs w:val="20"/>
          <w:color w:val="auto"/>
        </w:rPr>
      </w:pPr>
      <w:r>
        <w:rPr>
          <w:rFonts w:ascii="Arial" w:cs="Arial" w:eastAsia="Arial" w:hAnsi="Arial"/>
          <w:sz w:val="16"/>
          <w:szCs w:val="16"/>
          <w:color w:val="auto"/>
        </w:rPr>
        <w:t>The PRSU awards feature two equally-weighted performance measures: Return on Tangible Capital (“ROTC”) and Relative Total Shareholder Return (“TSR”), each of which is explained further in the following table. Payouts range from 50% at threshold to 200% at maximum for both measures but will be forfeited if we do not achieve the threshold level of performance. The 2021 PRSU award features a three-year performance period, January 1, 2021 through December 31, 2023.</w:t>
      </w:r>
    </w:p>
    <w:p>
      <w:pPr>
        <w:spacing w:after="0" w:line="205" w:lineRule="exact"/>
        <w:rPr>
          <w:sz w:val="20"/>
          <w:szCs w:val="20"/>
          <w:color w:val="auto"/>
        </w:rPr>
      </w:pPr>
    </w:p>
    <w:tbl>
      <w:tblPr>
        <w:tblLayout w:type="fixed"/>
        <w:tblInd w:w="130" w:type="dxa"/>
        <w:tblCellMar>
          <w:top w:w="0" w:type="dxa"/>
          <w:left w:w="0" w:type="dxa"/>
          <w:bottom w:w="0" w:type="dxa"/>
          <w:right w:w="0" w:type="dxa"/>
        </w:tblCellMar>
      </w:tblPr>
      <w:tr>
        <w:trPr>
          <w:trHeight w:val="243"/>
        </w:trPr>
        <w:tc>
          <w:tcPr>
            <w:tcW w:w="2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Performance Measure</w:t>
            </w:r>
          </w:p>
        </w:tc>
        <w:tc>
          <w:tcPr>
            <w:tcW w:w="4380" w:type="dxa"/>
            <w:vAlign w:val="bottom"/>
            <w:tcBorders>
              <w:top w:val="single" w:sz="8" w:color="auto"/>
              <w:bottom w:val="single" w:sz="8" w:color="auto"/>
              <w:right w:val="single" w:sz="8" w:color="auto"/>
            </w:tcBorders>
          </w:tcPr>
          <w:p>
            <w:pPr>
              <w:ind w:left="1600"/>
              <w:spacing w:after="0"/>
              <w:rPr>
                <w:sz w:val="20"/>
                <w:szCs w:val="20"/>
                <w:color w:val="auto"/>
              </w:rPr>
            </w:pPr>
            <w:r>
              <w:rPr>
                <w:rFonts w:ascii="Arial" w:cs="Arial" w:eastAsia="Arial" w:hAnsi="Arial"/>
                <w:sz w:val="18"/>
                <w:szCs w:val="18"/>
                <w:b w:val="1"/>
                <w:bCs w:val="1"/>
                <w:color w:val="auto"/>
              </w:rPr>
              <w:t>Why It Is Used</w:t>
            </w:r>
          </w:p>
        </w:tc>
        <w:tc>
          <w:tcPr>
            <w:tcW w:w="4380" w:type="dxa"/>
            <w:vAlign w:val="bottom"/>
            <w:tcBorders>
              <w:top w:val="single" w:sz="8" w:color="auto"/>
              <w:bottom w:val="single" w:sz="8" w:color="auto"/>
              <w:right w:val="single" w:sz="8" w:color="auto"/>
            </w:tcBorders>
          </w:tcPr>
          <w:p>
            <w:pPr>
              <w:ind w:left="1400"/>
              <w:spacing w:after="0"/>
              <w:rPr>
                <w:sz w:val="20"/>
                <w:szCs w:val="20"/>
                <w:color w:val="auto"/>
              </w:rPr>
            </w:pPr>
            <w:r>
              <w:rPr>
                <w:rFonts w:ascii="Arial" w:cs="Arial" w:eastAsia="Arial" w:hAnsi="Arial"/>
                <w:sz w:val="18"/>
                <w:szCs w:val="18"/>
                <w:b w:val="1"/>
                <w:bCs w:val="1"/>
                <w:color w:val="auto"/>
              </w:rPr>
              <w:t>How It Is Measured</w:t>
            </w:r>
          </w:p>
        </w:tc>
        <w:tc>
          <w:tcPr>
            <w:tcW w:w="0" w:type="dxa"/>
            <w:vAlign w:val="bottom"/>
          </w:tcPr>
          <w:p>
            <w:pPr>
              <w:spacing w:after="0"/>
              <w:rPr>
                <w:sz w:val="1"/>
                <w:szCs w:val="1"/>
                <w:color w:val="auto"/>
              </w:rPr>
            </w:pPr>
          </w:p>
        </w:tc>
      </w:tr>
      <w:tr>
        <w:trPr>
          <w:trHeight w:val="169"/>
        </w:trPr>
        <w:tc>
          <w:tcPr>
            <w:tcW w:w="2260" w:type="dxa"/>
            <w:vAlign w:val="bottom"/>
            <w:tcBorders>
              <w:left w:val="single" w:sz="8" w:color="auto"/>
              <w:right w:val="single" w:sz="8" w:color="auto"/>
            </w:tcBorders>
          </w:tcPr>
          <w:p>
            <w:pPr>
              <w:spacing w:after="0"/>
              <w:rPr>
                <w:sz w:val="14"/>
                <w:szCs w:val="14"/>
                <w:color w:val="auto"/>
              </w:rPr>
            </w:pPr>
          </w:p>
        </w:tc>
        <w:tc>
          <w:tcPr>
            <w:tcW w:w="43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An important input to value creation</w:t>
            </w:r>
          </w:p>
        </w:tc>
        <w:tc>
          <w:tcPr>
            <w:tcW w:w="438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99"/>
              </w:rPr>
              <w:t>Target performance is established using the three-year</w:t>
            </w:r>
          </w:p>
        </w:tc>
        <w:tc>
          <w:tcPr>
            <w:tcW w:w="0" w:type="dxa"/>
            <w:vAlign w:val="bottom"/>
          </w:tcPr>
          <w:p>
            <w:pPr>
              <w:spacing w:after="0"/>
              <w:rPr>
                <w:sz w:val="1"/>
                <w:szCs w:val="1"/>
                <w:color w:val="auto"/>
              </w:rPr>
            </w:pPr>
          </w:p>
        </w:tc>
      </w:tr>
      <w:tr>
        <w:trPr>
          <w:trHeight w:val="135"/>
        </w:trPr>
        <w:tc>
          <w:tcPr>
            <w:tcW w:w="2260" w:type="dxa"/>
            <w:vAlign w:val="bottom"/>
            <w:tcBorders>
              <w:left w:val="single" w:sz="8" w:color="auto"/>
              <w:right w:val="single" w:sz="8" w:color="auto"/>
            </w:tcBorders>
          </w:tcPr>
          <w:p>
            <w:pPr>
              <w:spacing w:after="0"/>
              <w:rPr>
                <w:sz w:val="11"/>
                <w:szCs w:val="11"/>
                <w:color w:val="auto"/>
              </w:rPr>
            </w:pPr>
          </w:p>
        </w:tc>
        <w:tc>
          <w:tcPr>
            <w:tcW w:w="4380" w:type="dxa"/>
            <w:vAlign w:val="bottom"/>
            <w:tcBorders>
              <w:right w:val="single" w:sz="8" w:color="auto"/>
            </w:tcBorders>
            <w:vMerge w:val="continue"/>
          </w:tcPr>
          <w:p>
            <w:pPr>
              <w:spacing w:after="0"/>
              <w:rPr>
                <w:sz w:val="11"/>
                <w:szCs w:val="11"/>
                <w:color w:val="auto"/>
              </w:rPr>
            </w:pPr>
          </w:p>
        </w:tc>
        <w:tc>
          <w:tcPr>
            <w:tcW w:w="43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trailing average of Company results.</w:t>
            </w:r>
          </w:p>
        </w:tc>
        <w:tc>
          <w:tcPr>
            <w:tcW w:w="0" w:type="dxa"/>
            <w:vAlign w:val="bottom"/>
          </w:tcPr>
          <w:p>
            <w:pPr>
              <w:spacing w:after="0"/>
              <w:rPr>
                <w:sz w:val="1"/>
                <w:szCs w:val="1"/>
                <w:color w:val="auto"/>
              </w:rPr>
            </w:pPr>
          </w:p>
        </w:tc>
      </w:tr>
      <w:tr>
        <w:trPr>
          <w:trHeight w:val="95"/>
        </w:trPr>
        <w:tc>
          <w:tcPr>
            <w:tcW w:w="2260" w:type="dxa"/>
            <w:vAlign w:val="bottom"/>
            <w:tcBorders>
              <w:left w:val="single" w:sz="8" w:color="auto"/>
              <w:right w:val="single" w:sz="8" w:color="auto"/>
            </w:tcBorders>
          </w:tcPr>
          <w:p>
            <w:pPr>
              <w:spacing w:after="0"/>
              <w:rPr>
                <w:sz w:val="8"/>
                <w:szCs w:val="8"/>
                <w:color w:val="auto"/>
              </w:rPr>
            </w:pPr>
          </w:p>
        </w:tc>
        <w:tc>
          <w:tcPr>
            <w:tcW w:w="4380" w:type="dxa"/>
            <w:vAlign w:val="bottom"/>
            <w:tcBorders>
              <w:bottom w:val="single" w:sz="8" w:color="B6B6B6"/>
              <w:right w:val="single" w:sz="8" w:color="auto"/>
            </w:tcBorders>
          </w:tcPr>
          <w:p>
            <w:pPr>
              <w:spacing w:after="0"/>
              <w:rPr>
                <w:sz w:val="8"/>
                <w:szCs w:val="8"/>
                <w:color w:val="auto"/>
              </w:rPr>
            </w:pPr>
          </w:p>
        </w:tc>
        <w:tc>
          <w:tcPr>
            <w:tcW w:w="4380" w:type="dxa"/>
            <w:vAlign w:val="bottom"/>
            <w:tcBorders>
              <w:bottom w:val="single" w:sz="8" w:color="B6B6B6"/>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Return on Tangible Capital</w:t>
            </w:r>
          </w:p>
        </w:tc>
        <w:tc>
          <w:tcPr>
            <w:tcW w:w="4380" w:type="dxa"/>
            <w:vAlign w:val="bottom"/>
            <w:tcBorders>
              <w:right w:val="single" w:sz="8" w:color="auto"/>
            </w:tcBorders>
          </w:tcPr>
          <w:p>
            <w:pPr>
              <w:spacing w:after="0"/>
              <w:rPr>
                <w:sz w:val="21"/>
                <w:szCs w:val="21"/>
                <w:color w:val="auto"/>
              </w:rPr>
            </w:pP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Threshold performance is Target minus four</w:t>
            </w:r>
          </w:p>
        </w:tc>
        <w:tc>
          <w:tcPr>
            <w:tcW w:w="0" w:type="dxa"/>
            <w:vAlign w:val="bottom"/>
          </w:tcPr>
          <w:p>
            <w:pPr>
              <w:spacing w:after="0"/>
              <w:rPr>
                <w:sz w:val="1"/>
                <w:szCs w:val="1"/>
                <w:color w:val="auto"/>
              </w:rPr>
            </w:pPr>
          </w:p>
        </w:tc>
      </w:tr>
      <w:tr>
        <w:trPr>
          <w:trHeight w:val="175"/>
        </w:trPr>
        <w:tc>
          <w:tcPr>
            <w:tcW w:w="2260" w:type="dxa"/>
            <w:vAlign w:val="bottom"/>
            <w:tcBorders>
              <w:left w:val="single" w:sz="8" w:color="auto"/>
              <w:right w:val="single" w:sz="8" w:color="auto"/>
            </w:tcBorders>
            <w:vMerge w:val="continue"/>
          </w:tcPr>
          <w:p>
            <w:pPr>
              <w:spacing w:after="0"/>
              <w:rPr>
                <w:sz w:val="15"/>
                <w:szCs w:val="15"/>
                <w:color w:val="auto"/>
              </w:rPr>
            </w:pPr>
          </w:p>
        </w:tc>
        <w:tc>
          <w:tcPr>
            <w:tcW w:w="438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w w:val="98"/>
              </w:rPr>
              <w:t>thousand basis points (-4,000 bps) and is set above the</w:t>
            </w:r>
          </w:p>
        </w:tc>
        <w:tc>
          <w:tcPr>
            <w:tcW w:w="0" w:type="dxa"/>
            <w:vAlign w:val="bottom"/>
          </w:tcPr>
          <w:p>
            <w:pPr>
              <w:spacing w:after="0"/>
              <w:rPr>
                <w:sz w:val="1"/>
                <w:szCs w:val="1"/>
                <w:color w:val="auto"/>
              </w:rPr>
            </w:pPr>
          </w:p>
        </w:tc>
      </w:tr>
      <w:tr>
        <w:trPr>
          <w:trHeight w:val="270"/>
        </w:trPr>
        <w:tc>
          <w:tcPr>
            <w:tcW w:w="2260" w:type="dxa"/>
            <w:vAlign w:val="bottom"/>
            <w:tcBorders>
              <w:left w:val="single" w:sz="8" w:color="auto"/>
              <w:right w:val="single" w:sz="8" w:color="auto"/>
            </w:tcBorders>
          </w:tcPr>
          <w:p>
            <w:pPr>
              <w:spacing w:after="0"/>
              <w:rPr>
                <w:sz w:val="23"/>
                <w:szCs w:val="23"/>
                <w:color w:val="auto"/>
              </w:rPr>
            </w:pP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Measured on an absolute basis against internal standards</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median for the constituents of the S&amp;P 500 Industrials.</w:t>
            </w:r>
          </w:p>
        </w:tc>
        <w:tc>
          <w:tcPr>
            <w:tcW w:w="0" w:type="dxa"/>
            <w:vAlign w:val="bottom"/>
          </w:tcPr>
          <w:p>
            <w:pPr>
              <w:spacing w:after="0"/>
              <w:rPr>
                <w:sz w:val="1"/>
                <w:szCs w:val="1"/>
                <w:color w:val="auto"/>
              </w:rPr>
            </w:pPr>
          </w:p>
        </w:tc>
      </w:tr>
      <w:tr>
        <w:trPr>
          <w:trHeight w:val="54"/>
        </w:trPr>
        <w:tc>
          <w:tcPr>
            <w:tcW w:w="2260" w:type="dxa"/>
            <w:vAlign w:val="bottom"/>
            <w:tcBorders>
              <w:left w:val="single" w:sz="8" w:color="auto"/>
              <w:right w:val="single" w:sz="8" w:color="auto"/>
            </w:tcBorders>
          </w:tcPr>
          <w:p>
            <w:pPr>
              <w:spacing w:after="0"/>
              <w:rPr>
                <w:sz w:val="4"/>
                <w:szCs w:val="4"/>
                <w:color w:val="auto"/>
              </w:rPr>
            </w:pPr>
          </w:p>
        </w:tc>
        <w:tc>
          <w:tcPr>
            <w:tcW w:w="4380" w:type="dxa"/>
            <w:vAlign w:val="bottom"/>
            <w:tcBorders>
              <w:right w:val="single" w:sz="8" w:color="auto"/>
            </w:tcBorders>
          </w:tcPr>
          <w:p>
            <w:pPr>
              <w:spacing w:after="0"/>
              <w:rPr>
                <w:sz w:val="4"/>
                <w:szCs w:val="4"/>
                <w:color w:val="auto"/>
              </w:rPr>
            </w:pPr>
          </w:p>
        </w:tc>
        <w:tc>
          <w:tcPr>
            <w:tcW w:w="4380" w:type="dxa"/>
            <w:vAlign w:val="bottom"/>
            <w:tcBorders>
              <w:bottom w:val="single" w:sz="8" w:color="B6B6B6"/>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260" w:type="dxa"/>
            <w:vAlign w:val="bottom"/>
            <w:tcBorders>
              <w:left w:val="single" w:sz="8" w:color="auto"/>
              <w:right w:val="single" w:sz="8" w:color="auto"/>
            </w:tcBorders>
          </w:tcPr>
          <w:p>
            <w:pPr>
              <w:spacing w:after="0"/>
              <w:rPr>
                <w:sz w:val="14"/>
                <w:szCs w:val="14"/>
                <w:color w:val="auto"/>
              </w:rPr>
            </w:pPr>
          </w:p>
        </w:tc>
        <w:tc>
          <w:tcPr>
            <w:tcW w:w="4380" w:type="dxa"/>
            <w:vAlign w:val="bottom"/>
            <w:tcBorders>
              <w:right w:val="single" w:sz="8" w:color="auto"/>
            </w:tcBorders>
          </w:tcPr>
          <w:p>
            <w:pPr>
              <w:spacing w:after="0"/>
              <w:rPr>
                <w:sz w:val="14"/>
                <w:szCs w:val="14"/>
                <w:color w:val="auto"/>
              </w:rPr>
            </w:pPr>
          </w:p>
        </w:tc>
        <w:tc>
          <w:tcPr>
            <w:tcW w:w="438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Maximum performance is Target plus two</w:t>
            </w: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bottom w:val="single" w:sz="8" w:color="auto"/>
              <w:right w:val="single" w:sz="8" w:color="auto"/>
            </w:tcBorders>
          </w:tcPr>
          <w:p>
            <w:pPr>
              <w:spacing w:after="0"/>
              <w:rPr>
                <w:sz w:val="19"/>
                <w:szCs w:val="19"/>
                <w:color w:val="auto"/>
              </w:rPr>
            </w:pPr>
          </w:p>
        </w:tc>
        <w:tc>
          <w:tcPr>
            <w:tcW w:w="4380" w:type="dxa"/>
            <w:vAlign w:val="bottom"/>
            <w:tcBorders>
              <w:bottom w:val="single" w:sz="8" w:color="auto"/>
              <w:right w:val="single" w:sz="8" w:color="auto"/>
            </w:tcBorders>
          </w:tcPr>
          <w:p>
            <w:pPr>
              <w:spacing w:after="0"/>
              <w:rPr>
                <w:sz w:val="19"/>
                <w:szCs w:val="19"/>
                <w:color w:val="auto"/>
              </w:rPr>
            </w:pP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thousand basis points (+2,000 bps)</w:t>
            </w:r>
          </w:p>
        </w:tc>
        <w:tc>
          <w:tcPr>
            <w:tcW w:w="0" w:type="dxa"/>
            <w:vAlign w:val="bottom"/>
          </w:tcPr>
          <w:p>
            <w:pPr>
              <w:spacing w:after="0"/>
              <w:rPr>
                <w:sz w:val="1"/>
                <w:szCs w:val="1"/>
                <w:color w:val="auto"/>
              </w:rPr>
            </w:pPr>
          </w:p>
        </w:tc>
      </w:tr>
      <w:tr>
        <w:trPr>
          <w:trHeight w:val="250"/>
        </w:trPr>
        <w:tc>
          <w:tcPr>
            <w:tcW w:w="2260" w:type="dxa"/>
            <w:vAlign w:val="bottom"/>
            <w:tcBorders>
              <w:left w:val="single" w:sz="8" w:color="auto"/>
              <w:right w:val="single" w:sz="8" w:color="auto"/>
            </w:tcBorders>
          </w:tcPr>
          <w:p>
            <w:pPr>
              <w:spacing w:after="0"/>
              <w:rPr>
                <w:sz w:val="21"/>
                <w:szCs w:val="21"/>
                <w:color w:val="auto"/>
              </w:rPr>
            </w:pPr>
          </w:p>
        </w:tc>
        <w:tc>
          <w:tcPr>
            <w:tcW w:w="43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Reflects the collective output of management efforts</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The relative TSR performance target is set at the median of</w:t>
            </w:r>
          </w:p>
        </w:tc>
        <w:tc>
          <w:tcPr>
            <w:tcW w:w="0" w:type="dxa"/>
            <w:vAlign w:val="bottom"/>
          </w:tcPr>
          <w:p>
            <w:pPr>
              <w:spacing w:after="0"/>
              <w:rPr>
                <w:sz w:val="1"/>
                <w:szCs w:val="1"/>
                <w:color w:val="auto"/>
              </w:rPr>
            </w:pPr>
          </w:p>
        </w:tc>
      </w:tr>
      <w:tr>
        <w:trPr>
          <w:trHeight w:val="148"/>
        </w:trPr>
        <w:tc>
          <w:tcPr>
            <w:tcW w:w="2260" w:type="dxa"/>
            <w:vAlign w:val="bottom"/>
            <w:tcBorders>
              <w:left w:val="single" w:sz="8" w:color="auto"/>
              <w:right w:val="single" w:sz="8" w:color="auto"/>
            </w:tcBorders>
          </w:tcPr>
          <w:p>
            <w:pPr>
              <w:spacing w:after="0"/>
              <w:rPr>
                <w:sz w:val="12"/>
                <w:szCs w:val="12"/>
                <w:color w:val="auto"/>
              </w:rPr>
            </w:pPr>
          </w:p>
        </w:tc>
        <w:tc>
          <w:tcPr>
            <w:tcW w:w="4380" w:type="dxa"/>
            <w:vAlign w:val="bottom"/>
            <w:tcBorders>
              <w:right w:val="single" w:sz="8" w:color="auto"/>
            </w:tcBorders>
            <w:vMerge w:val="continue"/>
          </w:tcPr>
          <w:p>
            <w:pPr>
              <w:spacing w:after="0"/>
              <w:rPr>
                <w:sz w:val="12"/>
                <w:szCs w:val="12"/>
                <w:color w:val="auto"/>
              </w:rPr>
            </w:pPr>
          </w:p>
        </w:tc>
        <w:tc>
          <w:tcPr>
            <w:tcW w:w="43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the constituents of the S&amp;P 500 Industrials</w:t>
            </w:r>
          </w:p>
        </w:tc>
        <w:tc>
          <w:tcPr>
            <w:tcW w:w="0" w:type="dxa"/>
            <w:vAlign w:val="bottom"/>
          </w:tcPr>
          <w:p>
            <w:pPr>
              <w:spacing w:after="0"/>
              <w:rPr>
                <w:sz w:val="1"/>
                <w:szCs w:val="1"/>
                <w:color w:val="auto"/>
              </w:rPr>
            </w:pPr>
          </w:p>
        </w:tc>
      </w:tr>
      <w:tr>
        <w:trPr>
          <w:trHeight w:val="82"/>
        </w:trPr>
        <w:tc>
          <w:tcPr>
            <w:tcW w:w="2260" w:type="dxa"/>
            <w:vAlign w:val="bottom"/>
            <w:tcBorders>
              <w:left w:val="single" w:sz="8" w:color="auto"/>
              <w:right w:val="single" w:sz="8" w:color="auto"/>
            </w:tcBorders>
          </w:tcPr>
          <w:p>
            <w:pPr>
              <w:spacing w:after="0"/>
              <w:rPr>
                <w:sz w:val="7"/>
                <w:szCs w:val="7"/>
                <w:color w:val="auto"/>
              </w:rPr>
            </w:pPr>
          </w:p>
        </w:tc>
        <w:tc>
          <w:tcPr>
            <w:tcW w:w="4380" w:type="dxa"/>
            <w:vAlign w:val="bottom"/>
            <w:tcBorders>
              <w:right w:val="single" w:sz="8" w:color="auto"/>
            </w:tcBorders>
          </w:tcPr>
          <w:p>
            <w:pPr>
              <w:spacing w:after="0"/>
              <w:rPr>
                <w:sz w:val="7"/>
                <w:szCs w:val="7"/>
                <w:color w:val="auto"/>
              </w:rPr>
            </w:pPr>
          </w:p>
        </w:tc>
        <w:tc>
          <w:tcPr>
            <w:tcW w:w="43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Relative Total Shareholder</w:t>
            </w:r>
          </w:p>
        </w:tc>
        <w:tc>
          <w:tcPr>
            <w:tcW w:w="4380" w:type="dxa"/>
            <w:vAlign w:val="bottom"/>
            <w:tcBorders>
              <w:bottom w:val="single" w:sz="8" w:color="B6B6B6"/>
              <w:right w:val="single" w:sz="8" w:color="auto"/>
            </w:tcBorders>
          </w:tcPr>
          <w:p>
            <w:pPr>
              <w:spacing w:after="0"/>
              <w:rPr>
                <w:sz w:val="8"/>
                <w:szCs w:val="8"/>
                <w:color w:val="auto"/>
              </w:rPr>
            </w:pPr>
          </w:p>
        </w:tc>
        <w:tc>
          <w:tcPr>
            <w:tcW w:w="4380" w:type="dxa"/>
            <w:vAlign w:val="bottom"/>
            <w:tcBorders>
              <w:bottom w:val="single" w:sz="8" w:color="B6B6B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260" w:type="dxa"/>
            <w:vAlign w:val="bottom"/>
            <w:tcBorders>
              <w:left w:val="single" w:sz="8" w:color="auto"/>
              <w:right w:val="single" w:sz="8" w:color="auto"/>
            </w:tcBorders>
            <w:vMerge w:val="continue"/>
          </w:tcPr>
          <w:p>
            <w:pPr>
              <w:spacing w:after="0"/>
              <w:rPr>
                <w:sz w:val="14"/>
                <w:szCs w:val="14"/>
                <w:color w:val="auto"/>
              </w:rPr>
            </w:pPr>
          </w:p>
        </w:tc>
        <w:tc>
          <w:tcPr>
            <w:tcW w:w="438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98"/>
              </w:rPr>
              <w:t>Measured relative to the TSR for the constituents of the</w:t>
            </w:r>
          </w:p>
        </w:tc>
        <w:tc>
          <w:tcPr>
            <w:tcW w:w="43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Threshold performance is the 30th percentile</w:t>
            </w:r>
          </w:p>
        </w:tc>
        <w:tc>
          <w:tcPr>
            <w:tcW w:w="0" w:type="dxa"/>
            <w:vAlign w:val="bottom"/>
          </w:tcPr>
          <w:p>
            <w:pPr>
              <w:spacing w:after="0"/>
              <w:rPr>
                <w:sz w:val="1"/>
                <w:szCs w:val="1"/>
                <w:color w:val="auto"/>
              </w:rPr>
            </w:pPr>
          </w:p>
        </w:tc>
      </w:tr>
      <w:tr>
        <w:trPr>
          <w:trHeight w:val="135"/>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Return</w:t>
            </w:r>
          </w:p>
        </w:tc>
        <w:tc>
          <w:tcPr>
            <w:tcW w:w="43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S&amp;P 500 Industrials index</w:t>
            </w:r>
          </w:p>
        </w:tc>
        <w:tc>
          <w:tcPr>
            <w:tcW w:w="43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260" w:type="dxa"/>
            <w:vAlign w:val="bottom"/>
            <w:tcBorders>
              <w:left w:val="single" w:sz="8" w:color="auto"/>
              <w:right w:val="single" w:sz="8" w:color="auto"/>
            </w:tcBorders>
            <w:vMerge w:val="continue"/>
          </w:tcPr>
          <w:p>
            <w:pPr>
              <w:spacing w:after="0"/>
              <w:rPr>
                <w:sz w:val="8"/>
                <w:szCs w:val="8"/>
                <w:color w:val="auto"/>
              </w:rPr>
            </w:pPr>
          </w:p>
        </w:tc>
        <w:tc>
          <w:tcPr>
            <w:tcW w:w="4380" w:type="dxa"/>
            <w:vAlign w:val="bottom"/>
            <w:tcBorders>
              <w:bottom w:val="single" w:sz="8" w:color="B6B6B6"/>
              <w:right w:val="single" w:sz="8" w:color="auto"/>
            </w:tcBorders>
            <w:vMerge w:val="continue"/>
          </w:tcPr>
          <w:p>
            <w:pPr>
              <w:spacing w:after="0"/>
              <w:rPr>
                <w:sz w:val="8"/>
                <w:szCs w:val="8"/>
                <w:color w:val="auto"/>
              </w:rPr>
            </w:pPr>
          </w:p>
        </w:tc>
        <w:tc>
          <w:tcPr>
            <w:tcW w:w="4380" w:type="dxa"/>
            <w:vAlign w:val="bottom"/>
            <w:tcBorders>
              <w:bottom w:val="single" w:sz="8" w:color="B6B6B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260" w:type="dxa"/>
            <w:vAlign w:val="bottom"/>
            <w:tcBorders>
              <w:left w:val="single" w:sz="8" w:color="auto"/>
              <w:right w:val="single" w:sz="8" w:color="auto"/>
            </w:tcBorders>
          </w:tcPr>
          <w:p>
            <w:pPr>
              <w:spacing w:after="0"/>
              <w:rPr>
                <w:sz w:val="14"/>
                <w:szCs w:val="14"/>
                <w:color w:val="auto"/>
              </w:rPr>
            </w:pPr>
          </w:p>
        </w:tc>
        <w:tc>
          <w:tcPr>
            <w:tcW w:w="438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97"/>
              </w:rPr>
              <w:t>AMETEK is a member of the robust S&amp;P 500 Industrials</w:t>
            </w:r>
          </w:p>
        </w:tc>
        <w:tc>
          <w:tcPr>
            <w:tcW w:w="43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Maximum performance is the 80th percentile</w:t>
            </w:r>
          </w:p>
        </w:tc>
        <w:tc>
          <w:tcPr>
            <w:tcW w:w="0" w:type="dxa"/>
            <w:vAlign w:val="bottom"/>
          </w:tcPr>
          <w:p>
            <w:pPr>
              <w:spacing w:after="0"/>
              <w:rPr>
                <w:sz w:val="1"/>
                <w:szCs w:val="1"/>
                <w:color w:val="auto"/>
              </w:rPr>
            </w:pPr>
          </w:p>
        </w:tc>
      </w:tr>
      <w:tr>
        <w:trPr>
          <w:trHeight w:val="175"/>
        </w:trPr>
        <w:tc>
          <w:tcPr>
            <w:tcW w:w="2260" w:type="dxa"/>
            <w:vAlign w:val="bottom"/>
            <w:tcBorders>
              <w:left w:val="single" w:sz="8" w:color="auto"/>
              <w:right w:val="single" w:sz="8" w:color="auto"/>
            </w:tcBorders>
          </w:tcPr>
          <w:p>
            <w:pPr>
              <w:spacing w:after="0"/>
              <w:rPr>
                <w:sz w:val="15"/>
                <w:szCs w:val="15"/>
                <w:color w:val="auto"/>
              </w:rPr>
            </w:pPr>
          </w:p>
        </w:tc>
        <w:tc>
          <w:tcPr>
            <w:tcW w:w="438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w w:val="97"/>
              </w:rPr>
              <w:t>index which best represents the competition for investor</w:t>
            </w:r>
          </w:p>
        </w:tc>
        <w:tc>
          <w:tcPr>
            <w:tcW w:w="43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bottom w:val="single" w:sz="8" w:color="auto"/>
              <w:right w:val="single" w:sz="8" w:color="auto"/>
            </w:tcBorders>
          </w:tcPr>
          <w:p>
            <w:pPr>
              <w:spacing w:after="0"/>
              <w:rPr>
                <w:sz w:val="19"/>
                <w:szCs w:val="19"/>
                <w:color w:val="auto"/>
              </w:rPr>
            </w:pP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funds</w:t>
            </w:r>
          </w:p>
        </w:tc>
        <w:tc>
          <w:tcPr>
            <w:tcW w:w="43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In 2019, AMETEK decided to align the grant date for NQSOs and RSAs with the March timing previously established for PRSUs. This change enables AMETEK to grant the entirety of the annual LTI awards at once, streamlining review and approvals, in addition to improving administrative efficiency. Accordingly, all three forms of award that comprise the LTI mix for our NEOs were granted in March 2021.</w:t>
      </w:r>
    </w:p>
    <w:p>
      <w:pPr>
        <w:spacing w:after="0" w:line="125"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For equity grants issued prior to March 2018, RSAs vested early if the closing price of our common stock was at least two times the grant date fair market value for five consecutive days. In March 2018, this early vesting feature was eliminated for all equity grants made to our named executive officers after this date.</w:t>
      </w:r>
    </w:p>
    <w:p>
      <w:pPr>
        <w:spacing w:after="0" w:line="200" w:lineRule="exact"/>
        <w:rPr>
          <w:sz w:val="20"/>
          <w:szCs w:val="20"/>
          <w:color w:val="auto"/>
        </w:rPr>
      </w:pPr>
    </w:p>
    <w:p>
      <w:pPr>
        <w:spacing w:after="0" w:line="263"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b w:val="1"/>
          <w:bCs w:val="1"/>
          <w:color w:val="auto"/>
        </w:rPr>
        <w:t>32</w:t>
        <w:tab/>
        <w:t>AMETEK, INC.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180"/>
          </w:cols>
          <w:pgMar w:left="320" w:top="989" w:right="39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Stock-Based Award Grant Practices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practices for the grant of stock-based awards encompass the following principles:</w:t>
      </w:r>
    </w:p>
    <w:p>
      <w:pPr>
        <w:spacing w:after="0" w:line="63" w:lineRule="exact"/>
        <w:rPr>
          <w:sz w:val="20"/>
          <w:szCs w:val="20"/>
          <w:color w:val="auto"/>
        </w:rPr>
      </w:pPr>
    </w:p>
    <w:p>
      <w:pPr>
        <w:ind w:left="660" w:hanging="571"/>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Stock-based awards for our named executive officers are approved annually by the Compensation Committee on a pre-scheduled date.</w:t>
      </w:r>
    </w:p>
    <w:p>
      <w:pPr>
        <w:spacing w:after="0" w:line="74" w:lineRule="exact"/>
        <w:rPr>
          <w:rFonts w:ascii="Arial" w:cs="Arial" w:eastAsia="Arial" w:hAnsi="Arial"/>
          <w:sz w:val="17"/>
          <w:szCs w:val="17"/>
          <w:color w:val="auto"/>
        </w:rPr>
      </w:pPr>
    </w:p>
    <w:p>
      <w:pPr>
        <w:ind w:left="660" w:right="220" w:hanging="571"/>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annual stock-based awards will not be made when the Compensation Committee is aware that executive officers or non-employee Directors are in possession of material, non-public information, or during quarterly or other specified “blackout” periods.</w:t>
      </w:r>
    </w:p>
    <w:p>
      <w:pPr>
        <w:spacing w:after="0" w:line="8" w:lineRule="exact"/>
        <w:rPr>
          <w:rFonts w:ascii="Arial" w:cs="Arial" w:eastAsia="Arial" w:hAnsi="Arial"/>
          <w:sz w:val="18"/>
          <w:szCs w:val="18"/>
          <w:color w:val="auto"/>
        </w:rPr>
      </w:pPr>
    </w:p>
    <w:p>
      <w:pPr>
        <w:ind w:left="660" w:right="80" w:hanging="571"/>
        <w:spacing w:after="0" w:line="263"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While stock-based awards other than annual awards may be granted to address, among other things, the recruiting or hiring of new employees and promotions, such awards will not be made to executive officers if the Compensation Committee is aware that the executive officers are in possession of material, non-public information, or during quarterly or other specified “blackout” periods.</w:t>
      </w:r>
    </w:p>
    <w:p>
      <w:pPr>
        <w:spacing w:after="0" w:line="21" w:lineRule="exact"/>
        <w:rPr>
          <w:rFonts w:ascii="Arial" w:cs="Arial" w:eastAsia="Arial" w:hAnsi="Arial"/>
          <w:sz w:val="18"/>
          <w:szCs w:val="18"/>
          <w:color w:val="auto"/>
        </w:rPr>
      </w:pPr>
    </w:p>
    <w:p>
      <w:pPr>
        <w:ind w:left="660" w:right="40" w:hanging="571"/>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Compensation Committee has established that stock options are granted only on the date the Compensation Committee approves the grant and with an exercise price equal to the fair market value on the date of grant.</w:t>
      </w:r>
    </w:p>
    <w:p>
      <w:pPr>
        <w:spacing w:after="0" w:line="8" w:lineRule="exact"/>
        <w:rPr>
          <w:rFonts w:ascii="Arial" w:cs="Arial" w:eastAsia="Arial" w:hAnsi="Arial"/>
          <w:sz w:val="18"/>
          <w:szCs w:val="18"/>
          <w:color w:val="auto"/>
        </w:rPr>
      </w:pPr>
    </w:p>
    <w:p>
      <w:pPr>
        <w:ind w:left="660" w:hanging="571"/>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Backdating of stock options is prohibited.</w:t>
      </w:r>
    </w:p>
    <w:p>
      <w:pPr>
        <w:spacing w:after="0" w:line="63" w:lineRule="exact"/>
        <w:rPr>
          <w:rFonts w:ascii="Arial" w:cs="Arial" w:eastAsia="Arial" w:hAnsi="Arial"/>
          <w:sz w:val="18"/>
          <w:szCs w:val="18"/>
          <w:color w:val="auto"/>
        </w:rPr>
      </w:pPr>
    </w:p>
    <w:p>
      <w:pPr>
        <w:ind w:left="660" w:right="160" w:hanging="571"/>
        <w:spacing w:after="0" w:line="260"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are prohibited from repricing stock options and stock appreciation rights and from cash buy-outs of underwater stock options and stock appreciation rights, except in connection with a corporate transaction involving us including, without limitation, any stock dividend, distribution (whether in the form of cash, company stock, other securities or other property), stock split, extraordinary cash dividend, recapitalization, change of control, reorganization, merger, consolidation, split-up, spin-off, combination, repurchase or exchange of company stock or other securities, or similar transaction(s), unless stockholders approve such actions</w:t>
      </w:r>
      <w:r>
        <w:rPr>
          <w:rFonts w:ascii="Arial" w:cs="Arial" w:eastAsia="Arial" w:hAnsi="Arial"/>
          <w:sz w:val="21"/>
          <w:szCs w:val="21"/>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18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believe that by encouraging our executives to maintain a meaningful equity interest in our company, we will align the interests of our executives with those of our stockholders. The stock ownership requirement for Mr. Zapico is a multiple of six times his base salary. The multiple for Messrs. Burke, Jones, Hardin and Marecic is three times base salary. Under our guidelines, an executive is expected to reach his or her stock ownership requirement within five years of being hired or promoted to his or her position. As of December 31, 2021, all of our named executive officers met the stock ownership guidelines.</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28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i w:val="1"/>
                <w:iCs w:val="1"/>
                <w:color w:val="auto"/>
                <w:w w:val="85"/>
              </w:rPr>
              <w:t>Name</w:t>
            </w:r>
          </w:p>
        </w:tc>
        <w:tc>
          <w:tcPr>
            <w:tcW w:w="28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i w:val="1"/>
                <w:iCs w:val="1"/>
                <w:color w:val="auto"/>
                <w:w w:val="96"/>
              </w:rPr>
              <w:t>Position</w:t>
            </w:r>
          </w:p>
        </w:tc>
        <w:tc>
          <w:tcPr>
            <w:tcW w:w="282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i w:val="1"/>
                <w:iCs w:val="1"/>
                <w:color w:val="auto"/>
                <w:w w:val="93"/>
              </w:rPr>
              <w:t>Stock Ownership Guideline (multiple of base</w:t>
            </w:r>
          </w:p>
        </w:tc>
        <w:tc>
          <w:tcPr>
            <w:tcW w:w="28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i w:val="1"/>
                <w:iCs w:val="1"/>
                <w:color w:val="auto"/>
                <w:w w:val="94"/>
              </w:rPr>
              <w:t>Current Standing (multiple of base salary)</w:t>
            </w:r>
          </w:p>
        </w:tc>
        <w:tc>
          <w:tcPr>
            <w:tcW w:w="0" w:type="dxa"/>
            <w:vAlign w:val="bottom"/>
          </w:tcPr>
          <w:p>
            <w:pPr>
              <w:spacing w:after="0"/>
              <w:rPr>
                <w:sz w:val="1"/>
                <w:szCs w:val="1"/>
                <w:color w:val="auto"/>
              </w:rPr>
            </w:pPr>
          </w:p>
        </w:tc>
      </w:tr>
      <w:tr>
        <w:trPr>
          <w:trHeight w:val="186"/>
        </w:trPr>
        <w:tc>
          <w:tcPr>
            <w:tcW w:w="284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2800" w:type="dxa"/>
            <w:vAlign w:val="bottom"/>
            <w:tcBorders>
              <w:bottom w:val="single" w:sz="8" w:color="auto"/>
              <w:right w:val="single" w:sz="8" w:color="auto"/>
            </w:tcBorders>
            <w:vMerge w:val="continue"/>
          </w:tcPr>
          <w:p>
            <w:pPr>
              <w:spacing w:after="0"/>
              <w:rPr>
                <w:sz w:val="16"/>
                <w:szCs w:val="16"/>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w w:val="95"/>
              </w:rPr>
              <w:t>salary)</w:t>
            </w:r>
          </w:p>
        </w:tc>
        <w:tc>
          <w:tcPr>
            <w:tcW w:w="280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84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7"/>
              </w:rPr>
              <w:t>David A. Zapico</w:t>
            </w:r>
          </w:p>
        </w:tc>
        <w:tc>
          <w:tcPr>
            <w:tcW w:w="2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8"/>
              </w:rPr>
              <w:t>CEO</w:t>
            </w:r>
          </w:p>
        </w:tc>
        <w:tc>
          <w:tcPr>
            <w:tcW w:w="2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8"/>
              </w:rPr>
              <w:t>6.0x</w:t>
            </w:r>
          </w:p>
        </w:tc>
        <w:tc>
          <w:tcPr>
            <w:tcW w:w="2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35.5x</w:t>
            </w:r>
          </w:p>
        </w:tc>
        <w:tc>
          <w:tcPr>
            <w:tcW w:w="0" w:type="dxa"/>
            <w:vAlign w:val="bottom"/>
          </w:tcPr>
          <w:p>
            <w:pPr>
              <w:spacing w:after="0"/>
              <w:rPr>
                <w:sz w:val="1"/>
                <w:szCs w:val="1"/>
                <w:color w:val="auto"/>
              </w:rPr>
            </w:pPr>
          </w:p>
        </w:tc>
      </w:tr>
      <w:tr>
        <w:trPr>
          <w:trHeight w:val="183"/>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William J. Burke</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CFO</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3.0x</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23.1x</w:t>
            </w:r>
          </w:p>
        </w:tc>
        <w:tc>
          <w:tcPr>
            <w:tcW w:w="0" w:type="dxa"/>
            <w:vAlign w:val="bottom"/>
          </w:tcPr>
          <w:p>
            <w:pPr>
              <w:spacing w:after="0"/>
              <w:rPr>
                <w:sz w:val="1"/>
                <w:szCs w:val="1"/>
                <w:color w:val="auto"/>
              </w:rPr>
            </w:pPr>
          </w:p>
        </w:tc>
      </w:tr>
      <w:tr>
        <w:trPr>
          <w:trHeight w:val="183"/>
        </w:trPr>
        <w:tc>
          <w:tcPr>
            <w:tcW w:w="284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Timothy N. Jones</w:t>
            </w:r>
          </w:p>
        </w:tc>
        <w:tc>
          <w:tcPr>
            <w:tcW w:w="2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Group President</w:t>
            </w:r>
          </w:p>
        </w:tc>
        <w:tc>
          <w:tcPr>
            <w:tcW w:w="2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8"/>
              </w:rPr>
              <w:t>3.0x</w:t>
            </w:r>
          </w:p>
        </w:tc>
        <w:tc>
          <w:tcPr>
            <w:tcW w:w="2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19.3x</w:t>
            </w:r>
          </w:p>
        </w:tc>
        <w:tc>
          <w:tcPr>
            <w:tcW w:w="0" w:type="dxa"/>
            <w:vAlign w:val="bottom"/>
          </w:tcPr>
          <w:p>
            <w:pPr>
              <w:spacing w:after="0"/>
              <w:rPr>
                <w:sz w:val="1"/>
                <w:szCs w:val="1"/>
                <w:color w:val="auto"/>
              </w:rPr>
            </w:pPr>
          </w:p>
        </w:tc>
      </w:tr>
      <w:tr>
        <w:trPr>
          <w:trHeight w:val="183"/>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John W. Hardin</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Group President</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3.0x</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20.5x</w:t>
            </w:r>
          </w:p>
        </w:tc>
        <w:tc>
          <w:tcPr>
            <w:tcW w:w="0" w:type="dxa"/>
            <w:vAlign w:val="bottom"/>
          </w:tcPr>
          <w:p>
            <w:pPr>
              <w:spacing w:after="0"/>
              <w:rPr>
                <w:sz w:val="1"/>
                <w:szCs w:val="1"/>
                <w:color w:val="auto"/>
              </w:rPr>
            </w:pPr>
          </w:p>
        </w:tc>
      </w:tr>
      <w:tr>
        <w:trPr>
          <w:trHeight w:val="183"/>
        </w:trPr>
        <w:tc>
          <w:tcPr>
            <w:tcW w:w="284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Thomas C. Marecic</w:t>
            </w:r>
          </w:p>
        </w:tc>
        <w:tc>
          <w:tcPr>
            <w:tcW w:w="2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Group President</w:t>
            </w:r>
          </w:p>
        </w:tc>
        <w:tc>
          <w:tcPr>
            <w:tcW w:w="2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8"/>
              </w:rPr>
              <w:t>3.0x</w:t>
            </w:r>
          </w:p>
        </w:tc>
        <w:tc>
          <w:tcPr>
            <w:tcW w:w="2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13.1x</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w:t>
      </w:r>
    </w:p>
    <w:p>
      <w:pPr>
        <w:spacing w:after="0" w:line="18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review the risks associated with employee compensation policies and practices as an element of the annual incentive compensation process. As part of this process, we establish a balanced mix of fixed pay, short-term incentives and long-term incentives designed to motivate behaviors and decisions that promote disciplined progress towards longer-term, sustainable goals. The multi-year vesting of our equity-based compensation award program, along with our stock ownership guidelines, serves as a control mechanism to our longer-term risk horizon. The structural components of the short-term incentive compensation, including the quantitative nature of our goals, the setting of capped payout targets with actual payouts based on a capped achievement scale, and the individual performance evaluation process, are designed to prevent excessive risk-taking that would potentially harm our value or reward poor executive judgment. We reviewed our compensation policies and practices and concluded that they are not reasonably likely to have a material adverse effect on the company.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Anti-Hedging and Anti-Pledging Policies</w:t>
      </w:r>
    </w:p>
    <w:p>
      <w:pPr>
        <w:spacing w:after="0" w:line="202"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The Board of Directors and our Section 16 officers, which include our executive officers, are prohibited from hedging their ownership of our stock, including trading in publicly traded options, puts, calls, or other derivative instruments related to our stock. They are also prohibited from pledging our stock. This prohibition relates to any type of pledge arrangement, including using margin in accounts covering our stock.</w:t>
      </w:r>
    </w:p>
    <w:p>
      <w:pPr>
        <w:spacing w:after="0" w:line="200" w:lineRule="exact"/>
        <w:rPr>
          <w:sz w:val="20"/>
          <w:szCs w:val="20"/>
          <w:color w:val="auto"/>
        </w:rPr>
      </w:pPr>
    </w:p>
    <w:p>
      <w:pPr>
        <w:spacing w:after="0" w:line="245" w:lineRule="exact"/>
        <w:rPr>
          <w:sz w:val="20"/>
          <w:szCs w:val="20"/>
          <w:color w:val="auto"/>
        </w:rPr>
      </w:pPr>
    </w:p>
    <w:p>
      <w:pPr>
        <w:ind w:left="7780"/>
        <w:spacing w:after="0"/>
        <w:tabs>
          <w:tab w:leader="none" w:pos="11020" w:val="left"/>
        </w:tabs>
        <w:rPr>
          <w:sz w:val="20"/>
          <w:szCs w:val="20"/>
          <w:color w:val="auto"/>
        </w:rPr>
      </w:pPr>
      <w:r>
        <w:rPr>
          <w:rFonts w:ascii="Arial" w:cs="Arial" w:eastAsia="Arial" w:hAnsi="Arial"/>
          <w:sz w:val="18"/>
          <w:szCs w:val="18"/>
          <w:b w:val="1"/>
          <w:bCs w:val="1"/>
          <w:color w:val="auto"/>
        </w:rPr>
        <w:t>AMETEK, INC. 2022 Proxy Statement</w:t>
      </w:r>
      <w:r>
        <w:rPr>
          <w:sz w:val="20"/>
          <w:szCs w:val="20"/>
          <w:color w:val="auto"/>
        </w:rPr>
        <w:tab/>
      </w:r>
      <w:r>
        <w:rPr>
          <w:rFonts w:ascii="Arial" w:cs="Arial" w:eastAsia="Arial" w:hAnsi="Arial"/>
          <w:sz w:val="16"/>
          <w:szCs w:val="16"/>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60"/>
          </w:cols>
          <w:pgMar w:left="320" w:top="1107" w:right="31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Clawback Policy</w:t>
      </w:r>
    </w:p>
    <w:p>
      <w:pPr>
        <w:spacing w:after="0" w:line="20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We reserve the right to recover, or claw back, from a current or former executive officer any wrongfully earned performance-based compensation, including cash or stock-based awards, upon the determination by the Compensation Committee of the following:</w:t>
      </w:r>
    </w:p>
    <w:p>
      <w:pPr>
        <w:spacing w:after="0" w:line="8" w:lineRule="exact"/>
        <w:rPr>
          <w:sz w:val="20"/>
          <w:szCs w:val="20"/>
          <w:color w:val="auto"/>
        </w:rPr>
      </w:pPr>
    </w:p>
    <w:p>
      <w:pPr>
        <w:ind w:left="500" w:right="240" w:hanging="492"/>
        <w:spacing w:after="0" w:line="263" w:lineRule="auto"/>
        <w:tabs>
          <w:tab w:leader="none" w:pos="4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has been restatement of our financials due to the material noncompliance with any financial reporting requirement (other than a restatement caused by a change in applicable accounting rules or interpretations), and such executive officer engaged in fraud or intentional illegal conduct which materially contributed to the need for such restatement,</w:t>
      </w:r>
    </w:p>
    <w:p>
      <w:pPr>
        <w:spacing w:after="0" w:line="21" w:lineRule="exact"/>
        <w:rPr>
          <w:rFonts w:ascii="Arial" w:cs="Arial" w:eastAsia="Arial" w:hAnsi="Arial"/>
          <w:sz w:val="18"/>
          <w:szCs w:val="18"/>
          <w:color w:val="auto"/>
        </w:rPr>
      </w:pPr>
    </w:p>
    <w:p>
      <w:pPr>
        <w:ind w:left="500" w:right="700" w:hanging="492"/>
        <w:spacing w:after="0" w:line="277" w:lineRule="auto"/>
        <w:tabs>
          <w:tab w:leader="none" w:pos="4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cash incentive or equity compensation to be recouped was calculated on, or its realized value affected by, the financial results that were subsequently restated,</w:t>
      </w:r>
    </w:p>
    <w:p>
      <w:pPr>
        <w:spacing w:after="0" w:line="8" w:lineRule="exact"/>
        <w:rPr>
          <w:rFonts w:ascii="Arial" w:cs="Arial" w:eastAsia="Arial" w:hAnsi="Arial"/>
          <w:sz w:val="18"/>
          <w:szCs w:val="18"/>
          <w:color w:val="auto"/>
        </w:rPr>
      </w:pPr>
    </w:p>
    <w:p>
      <w:pPr>
        <w:ind w:left="500" w:right="120" w:hanging="492"/>
        <w:spacing w:after="0" w:line="277" w:lineRule="auto"/>
        <w:tabs>
          <w:tab w:leader="none" w:pos="4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cash incentive or equity compensation would have been less valuable than what was actually awarded or paid based upon the application of the correct financial results, and</w:t>
      </w:r>
    </w:p>
    <w:p>
      <w:pPr>
        <w:spacing w:after="0" w:line="8" w:lineRule="exact"/>
        <w:rPr>
          <w:rFonts w:ascii="Arial" w:cs="Arial" w:eastAsia="Arial" w:hAnsi="Arial"/>
          <w:sz w:val="18"/>
          <w:szCs w:val="18"/>
          <w:color w:val="auto"/>
        </w:rPr>
      </w:pPr>
    </w:p>
    <w:p>
      <w:pPr>
        <w:ind w:left="480" w:hanging="472"/>
        <w:spacing w:after="0"/>
        <w:tabs>
          <w:tab w:leader="none" w:pos="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pay affected by the calculation was earned or awarded within three years of the determination of the necessary restatement.</w:t>
      </w:r>
    </w:p>
    <w:p>
      <w:pPr>
        <w:spacing w:after="0" w:line="18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Any recoupment under this policy may be in addition to any other remedies that may be available to us under applicable law, including disciplinary actions up to, and including, termination of employment.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has exclusive authority to modify, interpret and enforce this provision in compliance with all regulations.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and Post-Employment Agreements</w:t>
      </w:r>
    </w:p>
    <w:p>
      <w:pPr>
        <w:spacing w:after="0" w:line="18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have plans and agreements addressing compensation for our named executive officers that accrue value as the executive continues to work for us, provide benefits upon certain types of termination events and provide retirement benefits. These plans and agreements were adopted and, in some cases, amended at various times over the past 25 years, and were designed to be a part of a competitive compensation package. All plans apply to each named executive officer, except for the 2004 Executive Death Benefit Plan as further explained below, and the specific named executive officers who participate are indicated in the discussion below.</w:t>
      </w:r>
    </w:p>
    <w:p>
      <w:pPr>
        <w:spacing w:after="0" w:line="26" w:lineRule="exact"/>
        <w:rPr>
          <w:sz w:val="20"/>
          <w:szCs w:val="20"/>
          <w:color w:val="auto"/>
        </w:rPr>
      </w:pPr>
    </w:p>
    <w:p>
      <w:pPr>
        <w:ind w:left="500" w:right="20" w:hanging="492"/>
        <w:spacing w:after="0" w:line="257" w:lineRule="auto"/>
        <w:tabs>
          <w:tab w:leader="none" w:pos="4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Supplemental Executive Retirement Plan (“SERP”) – This plan is a non-qualified deferred compensation plan that provides benefits for executives to the extent that their compensation cannot be taken into account under our tax-qualified plans because the compensation exceeds limits imposed by the Internal Revenue Code. We refer to the compensation that exceeds these limits as “excess compensation.” For 2021, compensation in excess of $290,000 constitutes excess compensation. All the named executive officers participate in the SERP. See the Non-Qualified Deferred Compensation table and accompanying narrative for additional information.</w:t>
      </w:r>
    </w:p>
    <w:p>
      <w:pPr>
        <w:spacing w:after="0" w:line="25" w:lineRule="exact"/>
        <w:rPr>
          <w:rFonts w:ascii="Arial" w:cs="Arial" w:eastAsia="Arial" w:hAnsi="Arial"/>
          <w:sz w:val="18"/>
          <w:szCs w:val="18"/>
          <w:color w:val="auto"/>
        </w:rPr>
      </w:pPr>
    </w:p>
    <w:p>
      <w:pPr>
        <w:ind w:left="500" w:right="40" w:hanging="492"/>
        <w:spacing w:after="0" w:line="257" w:lineRule="auto"/>
        <w:tabs>
          <w:tab w:leader="none" w:pos="4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Deferred Compensation Plan – This plan provides an opportunity for named executive officers to defer payment of their short-term incentive award to the extent that such award, together with other relevant compensation, constitutes excess compensation. In advance of the year in which the short-term incentive award will be paid, a named executive officer may elect to defer all or part of his or her eligible incentive award into a notional investment. Mr. Zapico elected to participate in the Deferred Compensation Plan. See the Non-Qualified Deferred Compensation table and accompanying narrative for additional information.</w:t>
      </w:r>
    </w:p>
    <w:p>
      <w:pPr>
        <w:spacing w:after="0" w:line="25" w:lineRule="exact"/>
        <w:rPr>
          <w:rFonts w:ascii="Arial" w:cs="Arial" w:eastAsia="Arial" w:hAnsi="Arial"/>
          <w:sz w:val="18"/>
          <w:szCs w:val="18"/>
          <w:color w:val="auto"/>
        </w:rPr>
      </w:pPr>
    </w:p>
    <w:p>
      <w:pPr>
        <w:ind w:left="500" w:right="120" w:hanging="492"/>
        <w:spacing w:after="0" w:line="259" w:lineRule="auto"/>
        <w:tabs>
          <w:tab w:leader="none" w:pos="4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2004 Executive Death Benefit Plan – This plan provides for retirement benefits or, if the named executive officer dies before retirement, a death benefit. Messrs. Zapico, Burke, Jones and Hardin participate in this plan. Mr. Marecic does not participate as he was not eligible to participate on January 1, 2004, the date the plan was frozen to new participants. See the Non-Qualified Deferred Compensation table and accompanying narrative for further information.</w:t>
      </w:r>
    </w:p>
    <w:p>
      <w:pPr>
        <w:spacing w:after="0" w:line="24" w:lineRule="exact"/>
        <w:rPr>
          <w:rFonts w:ascii="Arial" w:cs="Arial" w:eastAsia="Arial" w:hAnsi="Arial"/>
          <w:sz w:val="18"/>
          <w:szCs w:val="18"/>
          <w:color w:val="auto"/>
        </w:rPr>
      </w:pPr>
    </w:p>
    <w:p>
      <w:pPr>
        <w:ind w:left="500" w:hanging="492"/>
        <w:spacing w:after="0" w:line="279" w:lineRule="auto"/>
        <w:tabs>
          <w:tab w:leader="none" w:pos="495" w:val="left"/>
        </w:tabs>
        <w:numPr>
          <w:ilvl w:val="0"/>
          <w:numId w:val="36"/>
        </w:numPr>
        <w:rPr>
          <w:rFonts w:ascii="Arial" w:cs="Arial" w:eastAsia="Arial" w:hAnsi="Arial"/>
          <w:sz w:val="17"/>
          <w:szCs w:val="17"/>
          <w:color w:val="auto"/>
        </w:rPr>
      </w:pPr>
      <w:r>
        <w:rPr>
          <w:rFonts w:ascii="Arial" w:cs="Arial" w:eastAsia="Arial" w:hAnsi="Arial"/>
          <w:sz w:val="17"/>
          <w:szCs w:val="17"/>
          <w:color w:val="auto"/>
        </w:rPr>
        <w:t>Executive Life Insurance Program – Under this program, U.S.-based named executive officers not participating in the 2004 Executive Death Benefit Plan receive term life insurance equal to three times base salary up to a maximum of $1,200,000. Named executive officers who are participating in the 2004 Executive Death Benefit Plan receive term life insurance of $100,000. Coverage is provided while the named executive officers are actively employed. The imputed cost of coverage is reported as income for each participating named executive officer.</w:t>
      </w:r>
    </w:p>
    <w:p>
      <w:pPr>
        <w:spacing w:after="0" w:line="9" w:lineRule="exact"/>
        <w:rPr>
          <w:rFonts w:ascii="Arial" w:cs="Arial" w:eastAsia="Arial" w:hAnsi="Arial"/>
          <w:sz w:val="17"/>
          <w:szCs w:val="17"/>
          <w:color w:val="auto"/>
        </w:rPr>
      </w:pPr>
    </w:p>
    <w:p>
      <w:pPr>
        <w:ind w:left="500" w:right="220" w:hanging="492"/>
        <w:spacing w:after="0" w:line="296" w:lineRule="auto"/>
        <w:tabs>
          <w:tab w:leader="none" w:pos="495" w:val="left"/>
        </w:tabs>
        <w:numPr>
          <w:ilvl w:val="0"/>
          <w:numId w:val="36"/>
        </w:numPr>
        <w:rPr>
          <w:rFonts w:ascii="Arial" w:cs="Arial" w:eastAsia="Arial" w:hAnsi="Arial"/>
          <w:sz w:val="16"/>
          <w:szCs w:val="16"/>
          <w:color w:val="auto"/>
        </w:rPr>
      </w:pPr>
      <w:r>
        <w:rPr>
          <w:rFonts w:ascii="Arial" w:cs="Arial" w:eastAsia="Arial" w:hAnsi="Arial"/>
          <w:sz w:val="16"/>
          <w:szCs w:val="16"/>
          <w:color w:val="auto"/>
        </w:rPr>
        <w:t>Change of Control Agreements – We have change of control agreements with each of our named executive officers, which are described under “Potential Payments Upon Termination or Change of Control.” We entered into these change of control agreements so that our named executive officers can focus their attention and energies on our business during periods of uncertainty that may occur due to a potential change of control. In addition, we want our named executive officers to support a corporate transaction involving a change of control that is in the best interests of our stockholders, even though the transaction may have an effect on his or her continued employment with us. We believe these</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b w:val="1"/>
          <w:bCs w:val="1"/>
          <w:color w:val="auto"/>
        </w:rPr>
        <w:t>34</w:t>
        <w:tab/>
        <w:t>AMETEK, INC.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9" w:name="page40"/>
    <w:bookmarkEnd w:id="39"/>
    <w:p>
      <w:pPr>
        <w:ind w:left="500" w:right="380"/>
        <w:spacing w:after="0" w:line="277" w:lineRule="auto"/>
        <w:rPr>
          <w:sz w:val="20"/>
          <w:szCs w:val="20"/>
          <w:color w:val="auto"/>
        </w:rPr>
      </w:pPr>
      <w:r>
        <w:rPr>
          <w:rFonts w:ascii="Arial" w:cs="Arial" w:eastAsia="Arial" w:hAnsi="Arial"/>
          <w:sz w:val="18"/>
          <w:szCs w:val="18"/>
          <w:color w:val="auto"/>
        </w:rPr>
        <w:t>arrangements provide an important incentive for our named executive officers to remain with us through a transaction. See “Potential Payments Upon Termination or Change of Control” for more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Considerations</w:t>
      </w:r>
    </w:p>
    <w:p>
      <w:pPr>
        <w:spacing w:after="0" w:line="20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Compensation paid to our covered employees in excess of $1 million will not be deductible unless it qualifies for transition relief applicable to certain arrangements that were in effect as of November 2, 2017 and not materially modified thereafter. The covered employees to whom this deductibility cap applies for 2021 include our CEO and CFO, the next three most highly compensated executive officers, and any such “covered employee” for a year after 2016. As in the past, going forward we will retain the flexibility to authorize compensation paid to our named executive officers even if it may not be deductible if we believe it is in our best interest.</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COMPENSATION COMMITTEE REPORT</w:t>
      </w:r>
    </w:p>
    <w:p>
      <w:pPr>
        <w:spacing w:after="0" w:line="17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Compensation Committee reviewed and discussed with management the Compensation Discussion and Analysis required by SEC regulations. Based on its review and discussions, the Compensation Committee recommended to the Board of Directors that the Compensation Discussion and Analysis be included in this proxy statement.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Respectfully submitted,</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Compensation Committee:</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Thomas A. Amato, Chair</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Tod E. Carpenter</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Anthony J. Conti</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14, 2022</w:t>
      </w:r>
    </w:p>
    <w:p>
      <w:pPr>
        <w:spacing w:after="0" w:line="200" w:lineRule="exact"/>
        <w:rPr>
          <w:sz w:val="20"/>
          <w:szCs w:val="20"/>
          <w:color w:val="auto"/>
        </w:rPr>
      </w:pPr>
    </w:p>
    <w:p>
      <w:pPr>
        <w:spacing w:after="0" w:line="305"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8"/>
          <w:szCs w:val="18"/>
          <w:b w:val="1"/>
          <w:bCs w:val="1"/>
          <w:color w:val="auto"/>
        </w:rPr>
        <w:t>AMETEK, INC. 2022 Proxy Statement</w:t>
      </w:r>
      <w:r>
        <w:rPr>
          <w:sz w:val="20"/>
          <w:szCs w:val="20"/>
          <w:color w:val="auto"/>
        </w:rPr>
        <w:tab/>
      </w:r>
      <w:r>
        <w:rPr>
          <w:rFonts w:ascii="Arial" w:cs="Arial" w:eastAsia="Arial" w:hAnsi="Arial"/>
          <w:sz w:val="16"/>
          <w:szCs w:val="16"/>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40" w:name="page41"/>
    <w:bookmarkEnd w:id="40"/>
    <w:p>
      <w:pPr>
        <w:jc w:val="center"/>
        <w:ind w:right="20"/>
        <w:spacing w:after="0"/>
        <w:rPr>
          <w:sz w:val="20"/>
          <w:szCs w:val="20"/>
          <w:color w:val="auto"/>
        </w:rPr>
      </w:pPr>
      <w:r>
        <w:rPr>
          <w:rFonts w:ascii="Arial" w:cs="Arial" w:eastAsia="Arial" w:hAnsi="Arial"/>
          <w:sz w:val="22"/>
          <w:szCs w:val="22"/>
          <w:b w:val="1"/>
          <w:bCs w:val="1"/>
          <w:color w:val="auto"/>
        </w:rPr>
        <w:t>COMPENSATION TABLES</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 COMPENSATION TABLE</w:t>
      </w:r>
    </w:p>
    <w:p>
      <w:pPr>
        <w:spacing w:after="0" w:line="18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table provides information regarding the compensation of our Chief Executive Officer, Chief Financial Officer, and the next three most highly compensated executive officers.</w:t>
      </w:r>
    </w:p>
    <w:p>
      <w:pPr>
        <w:spacing w:after="0" w:line="151" w:lineRule="exact"/>
        <w:rPr>
          <w:sz w:val="20"/>
          <w:szCs w:val="20"/>
          <w:color w:val="auto"/>
        </w:rPr>
      </w:pPr>
    </w:p>
    <w:tbl>
      <w:tblPr>
        <w:tblLayout w:type="fixed"/>
        <w:tblInd w:w="10" w:type="dxa"/>
        <w:tblCellMar>
          <w:top w:w="0" w:type="dxa"/>
          <w:left w:w="0" w:type="dxa"/>
          <w:bottom w:w="0" w:type="dxa"/>
          <w:right w:w="0" w:type="dxa"/>
        </w:tblCellMar>
      </w:tblPr>
      <w:tr>
        <w:trPr>
          <w:trHeight w:val="152"/>
        </w:trPr>
        <w:tc>
          <w:tcPr>
            <w:tcW w:w="1760" w:type="dxa"/>
            <w:vAlign w:val="bottom"/>
            <w:tcBorders>
              <w:top w:val="single" w:sz="8" w:color="auto"/>
              <w:left w:val="single" w:sz="8" w:color="auto"/>
              <w:right w:val="single" w:sz="8" w:color="auto"/>
            </w:tcBorders>
          </w:tcPr>
          <w:p>
            <w:pPr>
              <w:spacing w:after="0"/>
              <w:rPr>
                <w:sz w:val="13"/>
                <w:szCs w:val="13"/>
                <w:color w:val="auto"/>
              </w:rPr>
            </w:pPr>
          </w:p>
        </w:tc>
        <w:tc>
          <w:tcPr>
            <w:tcW w:w="960" w:type="dxa"/>
            <w:vAlign w:val="bottom"/>
            <w:tcBorders>
              <w:top w:val="single" w:sz="8" w:color="auto"/>
              <w:right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right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right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right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60" w:type="dxa"/>
            <w:vAlign w:val="bottom"/>
            <w:tcBorders>
              <w:top w:val="single" w:sz="8" w:color="auto"/>
              <w:right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right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right w:val="single" w:sz="8" w:color="auto"/>
            </w:tcBorders>
          </w:tcPr>
          <w:p>
            <w:pPr>
              <w:jc w:val="center"/>
              <w:ind w:right="106"/>
              <w:spacing w:after="0"/>
              <w:rPr>
                <w:sz w:val="20"/>
                <w:szCs w:val="20"/>
                <w:color w:val="auto"/>
              </w:rPr>
            </w:pPr>
            <w:r>
              <w:rPr>
                <w:rFonts w:ascii="Arial" w:cs="Arial" w:eastAsia="Arial" w:hAnsi="Arial"/>
                <w:sz w:val="11"/>
                <w:szCs w:val="11"/>
                <w:i w:val="1"/>
                <w:iCs w:val="1"/>
                <w:color w:val="auto"/>
                <w:w w:val="87"/>
              </w:rPr>
              <w:t>Change in</w:t>
            </w: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right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right w:val="single" w:sz="8" w:color="auto"/>
            </w:tcBorders>
          </w:tcPr>
          <w:p>
            <w:pPr>
              <w:spacing w:after="0"/>
              <w:rPr>
                <w:sz w:val="13"/>
                <w:szCs w:val="13"/>
                <w:color w:val="auto"/>
              </w:rPr>
            </w:pPr>
          </w:p>
        </w:tc>
      </w:tr>
      <w:tr>
        <w:trPr>
          <w:trHeight w:val="122"/>
        </w:trPr>
        <w:tc>
          <w:tcPr>
            <w:tcW w:w="1760" w:type="dxa"/>
            <w:vAlign w:val="bottom"/>
            <w:tcBorders>
              <w:left w:val="single" w:sz="8" w:color="auto"/>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Borders>
              <w:right w:val="single" w:sz="8" w:color="auto"/>
            </w:tcBorders>
          </w:tcPr>
          <w:p>
            <w:pPr>
              <w:jc w:val="center"/>
              <w:ind w:right="106"/>
              <w:spacing w:after="0" w:line="122" w:lineRule="exact"/>
              <w:rPr>
                <w:sz w:val="20"/>
                <w:szCs w:val="20"/>
                <w:color w:val="auto"/>
              </w:rPr>
            </w:pPr>
            <w:r>
              <w:rPr>
                <w:rFonts w:ascii="Arial" w:cs="Arial" w:eastAsia="Arial" w:hAnsi="Arial"/>
                <w:sz w:val="11"/>
                <w:szCs w:val="11"/>
                <w:i w:val="1"/>
                <w:iCs w:val="1"/>
                <w:color w:val="auto"/>
                <w:w w:val="84"/>
              </w:rPr>
              <w:t>Pension Value</w:t>
            </w:r>
          </w:p>
        </w:tc>
        <w:tc>
          <w:tcPr>
            <w:tcW w:w="140" w:type="dxa"/>
            <w:vAlign w:val="bottom"/>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r>
      <w:tr>
        <w:trPr>
          <w:trHeight w:val="122"/>
        </w:trPr>
        <w:tc>
          <w:tcPr>
            <w:tcW w:w="1760" w:type="dxa"/>
            <w:vAlign w:val="bottom"/>
            <w:tcBorders>
              <w:left w:val="single" w:sz="8" w:color="auto"/>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Borders>
              <w:right w:val="single" w:sz="8" w:color="auto"/>
            </w:tcBorders>
          </w:tcPr>
          <w:p>
            <w:pPr>
              <w:jc w:val="center"/>
              <w:ind w:right="106"/>
              <w:spacing w:after="0" w:line="122" w:lineRule="exact"/>
              <w:rPr>
                <w:sz w:val="20"/>
                <w:szCs w:val="20"/>
                <w:color w:val="auto"/>
              </w:rPr>
            </w:pPr>
            <w:r>
              <w:rPr>
                <w:rFonts w:ascii="Arial" w:cs="Arial" w:eastAsia="Arial" w:hAnsi="Arial"/>
                <w:sz w:val="11"/>
                <w:szCs w:val="11"/>
                <w:i w:val="1"/>
                <w:iCs w:val="1"/>
                <w:color w:val="auto"/>
                <w:w w:val="86"/>
              </w:rPr>
              <w:t>and</w:t>
            </w:r>
          </w:p>
        </w:tc>
        <w:tc>
          <w:tcPr>
            <w:tcW w:w="140" w:type="dxa"/>
            <w:vAlign w:val="bottom"/>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r>
      <w:tr>
        <w:trPr>
          <w:trHeight w:val="122"/>
        </w:trPr>
        <w:tc>
          <w:tcPr>
            <w:tcW w:w="1760" w:type="dxa"/>
            <w:vAlign w:val="bottom"/>
            <w:tcBorders>
              <w:left w:val="single" w:sz="8" w:color="auto"/>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Borders>
              <w:right w:val="single" w:sz="8" w:color="auto"/>
            </w:tcBorders>
          </w:tcPr>
          <w:p>
            <w:pPr>
              <w:jc w:val="center"/>
              <w:ind w:right="106"/>
              <w:spacing w:after="0" w:line="122" w:lineRule="exact"/>
              <w:rPr>
                <w:sz w:val="20"/>
                <w:szCs w:val="20"/>
                <w:color w:val="auto"/>
              </w:rPr>
            </w:pPr>
            <w:r>
              <w:rPr>
                <w:rFonts w:ascii="Arial" w:cs="Arial" w:eastAsia="Arial" w:hAnsi="Arial"/>
                <w:sz w:val="11"/>
                <w:szCs w:val="11"/>
                <w:i w:val="1"/>
                <w:iCs w:val="1"/>
                <w:color w:val="auto"/>
                <w:w w:val="91"/>
              </w:rPr>
              <w:t>Nonqualified</w:t>
            </w:r>
          </w:p>
        </w:tc>
        <w:tc>
          <w:tcPr>
            <w:tcW w:w="140" w:type="dxa"/>
            <w:vAlign w:val="bottom"/>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r>
      <w:tr>
        <w:trPr>
          <w:trHeight w:val="122"/>
        </w:trPr>
        <w:tc>
          <w:tcPr>
            <w:tcW w:w="1760" w:type="dxa"/>
            <w:vAlign w:val="bottom"/>
            <w:tcBorders>
              <w:left w:val="single" w:sz="8" w:color="auto"/>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Borders>
              <w:right w:val="single" w:sz="8" w:color="auto"/>
            </w:tcBorders>
          </w:tcPr>
          <w:p>
            <w:pPr>
              <w:jc w:val="center"/>
              <w:ind w:right="126"/>
              <w:spacing w:after="0" w:line="122" w:lineRule="exact"/>
              <w:rPr>
                <w:sz w:val="20"/>
                <w:szCs w:val="20"/>
                <w:color w:val="auto"/>
              </w:rPr>
            </w:pPr>
            <w:r>
              <w:rPr>
                <w:rFonts w:ascii="Arial" w:cs="Arial" w:eastAsia="Arial" w:hAnsi="Arial"/>
                <w:sz w:val="11"/>
                <w:szCs w:val="11"/>
                <w:i w:val="1"/>
                <w:iCs w:val="1"/>
                <w:color w:val="auto"/>
                <w:w w:val="91"/>
              </w:rPr>
              <w:t>Non-Equity</w:t>
            </w:r>
          </w:p>
        </w:tc>
        <w:tc>
          <w:tcPr>
            <w:tcW w:w="140" w:type="dxa"/>
            <w:vAlign w:val="bottom"/>
          </w:tcPr>
          <w:p>
            <w:pPr>
              <w:spacing w:after="0"/>
              <w:rPr>
                <w:sz w:val="10"/>
                <w:szCs w:val="10"/>
                <w:color w:val="auto"/>
              </w:rPr>
            </w:pPr>
          </w:p>
        </w:tc>
        <w:tc>
          <w:tcPr>
            <w:tcW w:w="920" w:type="dxa"/>
            <w:vAlign w:val="bottom"/>
            <w:tcBorders>
              <w:right w:val="single" w:sz="8" w:color="auto"/>
            </w:tcBorders>
          </w:tcPr>
          <w:p>
            <w:pPr>
              <w:jc w:val="center"/>
              <w:ind w:right="106"/>
              <w:spacing w:after="0" w:line="122" w:lineRule="exact"/>
              <w:rPr>
                <w:sz w:val="20"/>
                <w:szCs w:val="20"/>
                <w:color w:val="auto"/>
              </w:rPr>
            </w:pPr>
            <w:r>
              <w:rPr>
                <w:rFonts w:ascii="Arial" w:cs="Arial" w:eastAsia="Arial" w:hAnsi="Arial"/>
                <w:sz w:val="11"/>
                <w:szCs w:val="11"/>
                <w:i w:val="1"/>
                <w:iCs w:val="1"/>
                <w:color w:val="auto"/>
                <w:w w:val="93"/>
              </w:rPr>
              <w:t>Deferred</w:t>
            </w:r>
          </w:p>
        </w:tc>
        <w:tc>
          <w:tcPr>
            <w:tcW w:w="140" w:type="dxa"/>
            <w:vAlign w:val="bottom"/>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r>
      <w:tr>
        <w:trPr>
          <w:trHeight w:val="121"/>
        </w:trPr>
        <w:tc>
          <w:tcPr>
            <w:tcW w:w="1760" w:type="dxa"/>
            <w:vAlign w:val="bottom"/>
            <w:tcBorders>
              <w:left w:val="single" w:sz="8" w:color="auto"/>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Borders>
              <w:right w:val="single" w:sz="8" w:color="auto"/>
            </w:tcBorders>
          </w:tcPr>
          <w:p>
            <w:pPr>
              <w:jc w:val="center"/>
              <w:ind w:right="186"/>
              <w:spacing w:after="0" w:line="122" w:lineRule="exact"/>
              <w:rPr>
                <w:sz w:val="20"/>
                <w:szCs w:val="20"/>
                <w:color w:val="auto"/>
              </w:rPr>
            </w:pPr>
            <w:r>
              <w:rPr>
                <w:rFonts w:ascii="Arial" w:cs="Arial" w:eastAsia="Arial" w:hAnsi="Arial"/>
                <w:sz w:val="11"/>
                <w:szCs w:val="11"/>
                <w:i w:val="1"/>
                <w:iCs w:val="1"/>
                <w:color w:val="auto"/>
                <w:w w:val="87"/>
              </w:rPr>
              <w:t>Stock</w:t>
            </w:r>
          </w:p>
        </w:tc>
        <w:tc>
          <w:tcPr>
            <w:tcW w:w="220" w:type="dxa"/>
            <w:vAlign w:val="bottom"/>
          </w:tcPr>
          <w:p>
            <w:pPr>
              <w:spacing w:after="0"/>
              <w:rPr>
                <w:sz w:val="10"/>
                <w:szCs w:val="10"/>
                <w:color w:val="auto"/>
              </w:rPr>
            </w:pPr>
          </w:p>
        </w:tc>
        <w:tc>
          <w:tcPr>
            <w:tcW w:w="860" w:type="dxa"/>
            <w:vAlign w:val="bottom"/>
            <w:tcBorders>
              <w:right w:val="single" w:sz="8" w:color="auto"/>
            </w:tcBorders>
          </w:tcPr>
          <w:p>
            <w:pPr>
              <w:jc w:val="center"/>
              <w:ind w:right="186"/>
              <w:spacing w:after="0" w:line="122" w:lineRule="exact"/>
              <w:rPr>
                <w:sz w:val="20"/>
                <w:szCs w:val="20"/>
                <w:color w:val="auto"/>
              </w:rPr>
            </w:pPr>
            <w:r>
              <w:rPr>
                <w:rFonts w:ascii="Arial" w:cs="Arial" w:eastAsia="Arial" w:hAnsi="Arial"/>
                <w:sz w:val="11"/>
                <w:szCs w:val="11"/>
                <w:i w:val="1"/>
                <w:iCs w:val="1"/>
                <w:color w:val="auto"/>
                <w:w w:val="92"/>
              </w:rPr>
              <w:t>Option</w:t>
            </w:r>
          </w:p>
        </w:tc>
        <w:tc>
          <w:tcPr>
            <w:tcW w:w="140" w:type="dxa"/>
            <w:vAlign w:val="bottom"/>
          </w:tcPr>
          <w:p>
            <w:pPr>
              <w:spacing w:after="0"/>
              <w:rPr>
                <w:sz w:val="10"/>
                <w:szCs w:val="10"/>
                <w:color w:val="auto"/>
              </w:rPr>
            </w:pPr>
          </w:p>
        </w:tc>
        <w:tc>
          <w:tcPr>
            <w:tcW w:w="920" w:type="dxa"/>
            <w:vAlign w:val="bottom"/>
            <w:tcBorders>
              <w:right w:val="single" w:sz="8" w:color="auto"/>
            </w:tcBorders>
          </w:tcPr>
          <w:p>
            <w:pPr>
              <w:jc w:val="center"/>
              <w:ind w:right="126"/>
              <w:spacing w:after="0" w:line="122" w:lineRule="exact"/>
              <w:rPr>
                <w:sz w:val="20"/>
                <w:szCs w:val="20"/>
                <w:color w:val="auto"/>
              </w:rPr>
            </w:pPr>
            <w:r>
              <w:rPr>
                <w:rFonts w:ascii="Arial" w:cs="Arial" w:eastAsia="Arial" w:hAnsi="Arial"/>
                <w:sz w:val="11"/>
                <w:szCs w:val="11"/>
                <w:i w:val="1"/>
                <w:iCs w:val="1"/>
                <w:color w:val="auto"/>
                <w:w w:val="89"/>
              </w:rPr>
              <w:t>Incentive Plan</w:t>
            </w:r>
          </w:p>
        </w:tc>
        <w:tc>
          <w:tcPr>
            <w:tcW w:w="140" w:type="dxa"/>
            <w:vAlign w:val="bottom"/>
          </w:tcPr>
          <w:p>
            <w:pPr>
              <w:spacing w:after="0"/>
              <w:rPr>
                <w:sz w:val="10"/>
                <w:szCs w:val="10"/>
                <w:color w:val="auto"/>
              </w:rPr>
            </w:pPr>
          </w:p>
        </w:tc>
        <w:tc>
          <w:tcPr>
            <w:tcW w:w="920" w:type="dxa"/>
            <w:vAlign w:val="bottom"/>
            <w:tcBorders>
              <w:right w:val="single" w:sz="8" w:color="auto"/>
            </w:tcBorders>
          </w:tcPr>
          <w:p>
            <w:pPr>
              <w:jc w:val="center"/>
              <w:ind w:right="106"/>
              <w:spacing w:after="0" w:line="122" w:lineRule="exact"/>
              <w:rPr>
                <w:sz w:val="20"/>
                <w:szCs w:val="20"/>
                <w:color w:val="auto"/>
              </w:rPr>
            </w:pPr>
            <w:r>
              <w:rPr>
                <w:rFonts w:ascii="Arial" w:cs="Arial" w:eastAsia="Arial" w:hAnsi="Arial"/>
                <w:sz w:val="11"/>
                <w:szCs w:val="11"/>
                <w:i w:val="1"/>
                <w:iCs w:val="1"/>
                <w:color w:val="auto"/>
                <w:w w:val="90"/>
              </w:rPr>
              <w:t>Compensation</w:t>
            </w:r>
          </w:p>
        </w:tc>
        <w:tc>
          <w:tcPr>
            <w:tcW w:w="140" w:type="dxa"/>
            <w:vAlign w:val="bottom"/>
          </w:tcPr>
          <w:p>
            <w:pPr>
              <w:spacing w:after="0"/>
              <w:rPr>
                <w:sz w:val="10"/>
                <w:szCs w:val="10"/>
                <w:color w:val="auto"/>
              </w:rPr>
            </w:pPr>
          </w:p>
        </w:tc>
        <w:tc>
          <w:tcPr>
            <w:tcW w:w="940" w:type="dxa"/>
            <w:vAlign w:val="bottom"/>
            <w:tcBorders>
              <w:right w:val="single" w:sz="8" w:color="auto"/>
            </w:tcBorders>
          </w:tcPr>
          <w:p>
            <w:pPr>
              <w:jc w:val="center"/>
              <w:ind w:right="126"/>
              <w:spacing w:after="0" w:line="122" w:lineRule="exact"/>
              <w:rPr>
                <w:sz w:val="20"/>
                <w:szCs w:val="20"/>
                <w:color w:val="auto"/>
              </w:rPr>
            </w:pPr>
            <w:r>
              <w:rPr>
                <w:rFonts w:ascii="Arial" w:cs="Arial" w:eastAsia="Arial" w:hAnsi="Arial"/>
                <w:sz w:val="11"/>
                <w:szCs w:val="11"/>
                <w:i w:val="1"/>
                <w:iCs w:val="1"/>
                <w:color w:val="auto"/>
                <w:w w:val="93"/>
              </w:rPr>
              <w:t>All Other</w:t>
            </w:r>
          </w:p>
        </w:tc>
        <w:tc>
          <w:tcPr>
            <w:tcW w:w="24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r>
      <w:tr>
        <w:trPr>
          <w:trHeight w:val="122"/>
        </w:trPr>
        <w:tc>
          <w:tcPr>
            <w:tcW w:w="1760" w:type="dxa"/>
            <w:vAlign w:val="bottom"/>
            <w:tcBorders>
              <w:left w:val="single" w:sz="8" w:color="auto"/>
              <w:right w:val="single" w:sz="8" w:color="auto"/>
            </w:tcBorders>
          </w:tcPr>
          <w:p>
            <w:pPr>
              <w:ind w:left="660"/>
              <w:spacing w:after="0" w:line="122" w:lineRule="exact"/>
              <w:rPr>
                <w:sz w:val="20"/>
                <w:szCs w:val="20"/>
                <w:color w:val="auto"/>
              </w:rPr>
            </w:pPr>
            <w:r>
              <w:rPr>
                <w:rFonts w:ascii="Arial" w:cs="Arial" w:eastAsia="Arial" w:hAnsi="Arial"/>
                <w:sz w:val="11"/>
                <w:szCs w:val="11"/>
                <w:i w:val="1"/>
                <w:iCs w:val="1"/>
                <w:color w:val="auto"/>
              </w:rPr>
              <w:t>Name and</w:t>
            </w:r>
          </w:p>
        </w:tc>
        <w:tc>
          <w:tcPr>
            <w:tcW w:w="9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Borders>
              <w:right w:val="single" w:sz="8" w:color="auto"/>
            </w:tcBorders>
          </w:tcPr>
          <w:p>
            <w:pPr>
              <w:jc w:val="center"/>
              <w:ind w:right="186"/>
              <w:spacing w:after="0" w:line="122" w:lineRule="exact"/>
              <w:rPr>
                <w:sz w:val="20"/>
                <w:szCs w:val="20"/>
                <w:color w:val="auto"/>
              </w:rPr>
            </w:pPr>
            <w:r>
              <w:rPr>
                <w:rFonts w:ascii="Arial" w:cs="Arial" w:eastAsia="Arial" w:hAnsi="Arial"/>
                <w:sz w:val="11"/>
                <w:szCs w:val="11"/>
                <w:i w:val="1"/>
                <w:iCs w:val="1"/>
                <w:color w:val="auto"/>
                <w:w w:val="87"/>
              </w:rPr>
              <w:t>Awards</w:t>
            </w:r>
          </w:p>
        </w:tc>
        <w:tc>
          <w:tcPr>
            <w:tcW w:w="220" w:type="dxa"/>
            <w:vAlign w:val="bottom"/>
          </w:tcPr>
          <w:p>
            <w:pPr>
              <w:spacing w:after="0"/>
              <w:rPr>
                <w:sz w:val="10"/>
                <w:szCs w:val="10"/>
                <w:color w:val="auto"/>
              </w:rPr>
            </w:pPr>
          </w:p>
        </w:tc>
        <w:tc>
          <w:tcPr>
            <w:tcW w:w="860" w:type="dxa"/>
            <w:vAlign w:val="bottom"/>
            <w:tcBorders>
              <w:right w:val="single" w:sz="8" w:color="auto"/>
            </w:tcBorders>
          </w:tcPr>
          <w:p>
            <w:pPr>
              <w:jc w:val="center"/>
              <w:ind w:right="206"/>
              <w:spacing w:after="0" w:line="122" w:lineRule="exact"/>
              <w:rPr>
                <w:sz w:val="20"/>
                <w:szCs w:val="20"/>
                <w:color w:val="auto"/>
              </w:rPr>
            </w:pPr>
            <w:r>
              <w:rPr>
                <w:rFonts w:ascii="Arial" w:cs="Arial" w:eastAsia="Arial" w:hAnsi="Arial"/>
                <w:sz w:val="11"/>
                <w:szCs w:val="11"/>
                <w:i w:val="1"/>
                <w:iCs w:val="1"/>
                <w:color w:val="auto"/>
                <w:w w:val="87"/>
              </w:rPr>
              <w:t>Awards</w:t>
            </w:r>
          </w:p>
        </w:tc>
        <w:tc>
          <w:tcPr>
            <w:tcW w:w="140" w:type="dxa"/>
            <w:vAlign w:val="bottom"/>
          </w:tcPr>
          <w:p>
            <w:pPr>
              <w:spacing w:after="0"/>
              <w:rPr>
                <w:sz w:val="10"/>
                <w:szCs w:val="10"/>
                <w:color w:val="auto"/>
              </w:rPr>
            </w:pPr>
          </w:p>
        </w:tc>
        <w:tc>
          <w:tcPr>
            <w:tcW w:w="920" w:type="dxa"/>
            <w:vAlign w:val="bottom"/>
            <w:tcBorders>
              <w:right w:val="single" w:sz="8" w:color="auto"/>
            </w:tcBorders>
          </w:tcPr>
          <w:p>
            <w:pPr>
              <w:jc w:val="center"/>
              <w:ind w:right="126"/>
              <w:spacing w:after="0" w:line="122" w:lineRule="exact"/>
              <w:rPr>
                <w:sz w:val="20"/>
                <w:szCs w:val="20"/>
                <w:color w:val="auto"/>
              </w:rPr>
            </w:pPr>
            <w:r>
              <w:rPr>
                <w:rFonts w:ascii="Arial" w:cs="Arial" w:eastAsia="Arial" w:hAnsi="Arial"/>
                <w:sz w:val="11"/>
                <w:szCs w:val="11"/>
                <w:i w:val="1"/>
                <w:iCs w:val="1"/>
                <w:color w:val="auto"/>
                <w:w w:val="87"/>
              </w:rPr>
              <w:t>Compensation</w:t>
            </w:r>
          </w:p>
        </w:tc>
        <w:tc>
          <w:tcPr>
            <w:tcW w:w="140" w:type="dxa"/>
            <w:vAlign w:val="bottom"/>
          </w:tcPr>
          <w:p>
            <w:pPr>
              <w:spacing w:after="0"/>
              <w:rPr>
                <w:sz w:val="10"/>
                <w:szCs w:val="10"/>
                <w:color w:val="auto"/>
              </w:rPr>
            </w:pPr>
          </w:p>
        </w:tc>
        <w:tc>
          <w:tcPr>
            <w:tcW w:w="920" w:type="dxa"/>
            <w:vAlign w:val="bottom"/>
            <w:tcBorders>
              <w:right w:val="single" w:sz="8" w:color="auto"/>
            </w:tcBorders>
          </w:tcPr>
          <w:p>
            <w:pPr>
              <w:jc w:val="center"/>
              <w:ind w:right="106"/>
              <w:spacing w:after="0" w:line="122" w:lineRule="exact"/>
              <w:rPr>
                <w:sz w:val="20"/>
                <w:szCs w:val="20"/>
                <w:color w:val="auto"/>
              </w:rPr>
            </w:pPr>
            <w:r>
              <w:rPr>
                <w:rFonts w:ascii="Arial" w:cs="Arial" w:eastAsia="Arial" w:hAnsi="Arial"/>
                <w:sz w:val="11"/>
                <w:szCs w:val="11"/>
                <w:i w:val="1"/>
                <w:iCs w:val="1"/>
                <w:color w:val="auto"/>
                <w:w w:val="92"/>
              </w:rPr>
              <w:t>Earnings</w:t>
            </w:r>
          </w:p>
        </w:tc>
        <w:tc>
          <w:tcPr>
            <w:tcW w:w="140" w:type="dxa"/>
            <w:vAlign w:val="bottom"/>
          </w:tcPr>
          <w:p>
            <w:pPr>
              <w:spacing w:after="0"/>
              <w:rPr>
                <w:sz w:val="10"/>
                <w:szCs w:val="10"/>
                <w:color w:val="auto"/>
              </w:rPr>
            </w:pPr>
          </w:p>
        </w:tc>
        <w:tc>
          <w:tcPr>
            <w:tcW w:w="940" w:type="dxa"/>
            <w:vAlign w:val="bottom"/>
            <w:tcBorders>
              <w:right w:val="single" w:sz="8" w:color="auto"/>
            </w:tcBorders>
          </w:tcPr>
          <w:p>
            <w:pPr>
              <w:jc w:val="center"/>
              <w:ind w:right="106"/>
              <w:spacing w:after="0" w:line="122" w:lineRule="exact"/>
              <w:rPr>
                <w:sz w:val="20"/>
                <w:szCs w:val="20"/>
                <w:color w:val="auto"/>
              </w:rPr>
            </w:pPr>
            <w:r>
              <w:rPr>
                <w:rFonts w:ascii="Arial" w:cs="Arial" w:eastAsia="Arial" w:hAnsi="Arial"/>
                <w:sz w:val="11"/>
                <w:szCs w:val="11"/>
                <w:i w:val="1"/>
                <w:iCs w:val="1"/>
                <w:color w:val="auto"/>
                <w:w w:val="87"/>
              </w:rPr>
              <w:t>Compensation</w:t>
            </w:r>
          </w:p>
        </w:tc>
        <w:tc>
          <w:tcPr>
            <w:tcW w:w="24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r>
      <w:tr>
        <w:trPr>
          <w:trHeight w:val="136"/>
        </w:trPr>
        <w:tc>
          <w:tcPr>
            <w:tcW w:w="1760" w:type="dxa"/>
            <w:vAlign w:val="bottom"/>
            <w:tcBorders>
              <w:left w:val="single" w:sz="8" w:color="auto"/>
              <w:right w:val="single" w:sz="8" w:color="auto"/>
            </w:tcBorders>
          </w:tcPr>
          <w:p>
            <w:pPr>
              <w:ind w:left="480"/>
              <w:spacing w:after="0"/>
              <w:rPr>
                <w:sz w:val="20"/>
                <w:szCs w:val="20"/>
                <w:color w:val="auto"/>
              </w:rPr>
            </w:pPr>
            <w:r>
              <w:rPr>
                <w:rFonts w:ascii="Arial" w:cs="Arial" w:eastAsia="Arial" w:hAnsi="Arial"/>
                <w:sz w:val="11"/>
                <w:szCs w:val="11"/>
                <w:i w:val="1"/>
                <w:iCs w:val="1"/>
                <w:color w:val="auto"/>
              </w:rPr>
              <w:t>Principal Position</w:t>
            </w:r>
          </w:p>
        </w:tc>
        <w:tc>
          <w:tcPr>
            <w:tcW w:w="960" w:type="dxa"/>
            <w:vAlign w:val="bottom"/>
            <w:tcBorders>
              <w:right w:val="single" w:sz="8" w:color="auto"/>
            </w:tcBorders>
          </w:tcPr>
          <w:p>
            <w:pPr>
              <w:ind w:left="380"/>
              <w:spacing w:after="0"/>
              <w:rPr>
                <w:sz w:val="20"/>
                <w:szCs w:val="20"/>
                <w:color w:val="auto"/>
              </w:rPr>
            </w:pPr>
            <w:r>
              <w:rPr>
                <w:rFonts w:ascii="Arial" w:cs="Arial" w:eastAsia="Arial" w:hAnsi="Arial"/>
                <w:sz w:val="11"/>
                <w:szCs w:val="11"/>
                <w:i w:val="1"/>
                <w:iCs w:val="1"/>
                <w:color w:val="auto"/>
              </w:rPr>
              <w:t>Year</w:t>
            </w:r>
          </w:p>
        </w:tc>
        <w:tc>
          <w:tcPr>
            <w:tcW w:w="240" w:type="dxa"/>
            <w:vAlign w:val="bottom"/>
          </w:tcPr>
          <w:p>
            <w:pPr>
              <w:spacing w:after="0"/>
              <w:rPr>
                <w:sz w:val="11"/>
                <w:szCs w:val="11"/>
                <w:color w:val="auto"/>
              </w:rPr>
            </w:pPr>
          </w:p>
        </w:tc>
        <w:tc>
          <w:tcPr>
            <w:tcW w:w="840" w:type="dxa"/>
            <w:vAlign w:val="bottom"/>
            <w:tcBorders>
              <w:right w:val="single" w:sz="8" w:color="auto"/>
            </w:tcBorders>
          </w:tcPr>
          <w:p>
            <w:pPr>
              <w:jc w:val="right"/>
              <w:ind w:right="366"/>
              <w:spacing w:after="0"/>
              <w:rPr>
                <w:sz w:val="20"/>
                <w:szCs w:val="20"/>
                <w:color w:val="auto"/>
              </w:rPr>
            </w:pPr>
            <w:r>
              <w:rPr>
                <w:rFonts w:ascii="Arial" w:cs="Arial" w:eastAsia="Arial" w:hAnsi="Arial"/>
                <w:sz w:val="11"/>
                <w:szCs w:val="11"/>
                <w:i w:val="1"/>
                <w:iCs w:val="1"/>
                <w:color w:val="auto"/>
              </w:rPr>
              <w:t>Salary</w:t>
            </w:r>
          </w:p>
        </w:tc>
        <w:tc>
          <w:tcPr>
            <w:tcW w:w="220" w:type="dxa"/>
            <w:vAlign w:val="bottom"/>
          </w:tcPr>
          <w:p>
            <w:pPr>
              <w:spacing w:after="0"/>
              <w:rPr>
                <w:sz w:val="11"/>
                <w:szCs w:val="11"/>
                <w:color w:val="auto"/>
              </w:rPr>
            </w:pPr>
          </w:p>
        </w:tc>
        <w:tc>
          <w:tcPr>
            <w:tcW w:w="840" w:type="dxa"/>
            <w:vAlign w:val="bottom"/>
            <w:tcBorders>
              <w:right w:val="single" w:sz="8" w:color="auto"/>
            </w:tcBorders>
          </w:tcPr>
          <w:p>
            <w:pPr>
              <w:jc w:val="right"/>
              <w:ind w:right="366"/>
              <w:spacing w:after="0"/>
              <w:rPr>
                <w:sz w:val="20"/>
                <w:szCs w:val="20"/>
                <w:color w:val="auto"/>
              </w:rPr>
            </w:pPr>
            <w:r>
              <w:rPr>
                <w:rFonts w:ascii="Arial" w:cs="Arial" w:eastAsia="Arial" w:hAnsi="Arial"/>
                <w:sz w:val="11"/>
                <w:szCs w:val="11"/>
                <w:i w:val="1"/>
                <w:iCs w:val="1"/>
                <w:color w:val="auto"/>
              </w:rPr>
              <w:t>Bonus</w:t>
            </w:r>
          </w:p>
        </w:tc>
        <w:tc>
          <w:tcPr>
            <w:tcW w:w="220" w:type="dxa"/>
            <w:vAlign w:val="bottom"/>
          </w:tcPr>
          <w:p>
            <w:pPr>
              <w:spacing w:after="0"/>
              <w:rPr>
                <w:sz w:val="11"/>
                <w:szCs w:val="11"/>
                <w:color w:val="auto"/>
              </w:rPr>
            </w:pPr>
          </w:p>
        </w:tc>
        <w:tc>
          <w:tcPr>
            <w:tcW w:w="840" w:type="dxa"/>
            <w:vAlign w:val="bottom"/>
            <w:tcBorders>
              <w:right w:val="single" w:sz="8" w:color="auto"/>
            </w:tcBorders>
          </w:tcPr>
          <w:p>
            <w:pPr>
              <w:jc w:val="center"/>
              <w:ind w:right="186"/>
              <w:spacing w:after="0"/>
              <w:rPr>
                <w:sz w:val="20"/>
                <w:szCs w:val="20"/>
                <w:color w:val="auto"/>
              </w:rPr>
            </w:pPr>
            <w:r>
              <w:rPr>
                <w:rFonts w:ascii="Arial" w:cs="Arial" w:eastAsia="Arial" w:hAnsi="Arial"/>
                <w:sz w:val="11"/>
                <w:szCs w:val="11"/>
                <w:i w:val="1"/>
                <w:iCs w:val="1"/>
                <w:color w:val="auto"/>
                <w:w w:val="88"/>
              </w:rPr>
              <w:t>(1)</w:t>
            </w:r>
          </w:p>
        </w:tc>
        <w:tc>
          <w:tcPr>
            <w:tcW w:w="220" w:type="dxa"/>
            <w:vAlign w:val="bottom"/>
          </w:tcPr>
          <w:p>
            <w:pPr>
              <w:spacing w:after="0"/>
              <w:rPr>
                <w:sz w:val="11"/>
                <w:szCs w:val="11"/>
                <w:color w:val="auto"/>
              </w:rPr>
            </w:pPr>
          </w:p>
        </w:tc>
        <w:tc>
          <w:tcPr>
            <w:tcW w:w="860" w:type="dxa"/>
            <w:vAlign w:val="bottom"/>
            <w:tcBorders>
              <w:right w:val="single" w:sz="8" w:color="auto"/>
            </w:tcBorders>
          </w:tcPr>
          <w:p>
            <w:pPr>
              <w:jc w:val="center"/>
              <w:ind w:right="186"/>
              <w:spacing w:after="0"/>
              <w:rPr>
                <w:sz w:val="20"/>
                <w:szCs w:val="20"/>
                <w:color w:val="auto"/>
              </w:rPr>
            </w:pPr>
            <w:r>
              <w:rPr>
                <w:rFonts w:ascii="Arial" w:cs="Arial" w:eastAsia="Arial" w:hAnsi="Arial"/>
                <w:sz w:val="11"/>
                <w:szCs w:val="11"/>
                <w:i w:val="1"/>
                <w:iCs w:val="1"/>
                <w:color w:val="auto"/>
              </w:rPr>
              <w:t>(2)</w:t>
            </w:r>
          </w:p>
        </w:tc>
        <w:tc>
          <w:tcPr>
            <w:tcW w:w="140" w:type="dxa"/>
            <w:vAlign w:val="bottom"/>
          </w:tcPr>
          <w:p>
            <w:pPr>
              <w:spacing w:after="0"/>
              <w:rPr>
                <w:sz w:val="11"/>
                <w:szCs w:val="11"/>
                <w:color w:val="auto"/>
              </w:rPr>
            </w:pPr>
          </w:p>
        </w:tc>
        <w:tc>
          <w:tcPr>
            <w:tcW w:w="920" w:type="dxa"/>
            <w:vAlign w:val="bottom"/>
            <w:tcBorders>
              <w:right w:val="single" w:sz="8" w:color="auto"/>
            </w:tcBorders>
          </w:tcPr>
          <w:p>
            <w:pPr>
              <w:jc w:val="center"/>
              <w:ind w:right="106"/>
              <w:spacing w:after="0"/>
              <w:rPr>
                <w:sz w:val="20"/>
                <w:szCs w:val="20"/>
                <w:color w:val="auto"/>
              </w:rPr>
            </w:pPr>
            <w:r>
              <w:rPr>
                <w:rFonts w:ascii="Arial" w:cs="Arial" w:eastAsia="Arial" w:hAnsi="Arial"/>
                <w:sz w:val="11"/>
                <w:szCs w:val="11"/>
                <w:i w:val="1"/>
                <w:iCs w:val="1"/>
                <w:color w:val="auto"/>
                <w:w w:val="88"/>
              </w:rPr>
              <w:t>(3)</w:t>
            </w:r>
          </w:p>
        </w:tc>
        <w:tc>
          <w:tcPr>
            <w:tcW w:w="140" w:type="dxa"/>
            <w:vAlign w:val="bottom"/>
          </w:tcPr>
          <w:p>
            <w:pPr>
              <w:spacing w:after="0"/>
              <w:rPr>
                <w:sz w:val="11"/>
                <w:szCs w:val="11"/>
                <w:color w:val="auto"/>
              </w:rPr>
            </w:pPr>
          </w:p>
        </w:tc>
        <w:tc>
          <w:tcPr>
            <w:tcW w:w="920" w:type="dxa"/>
            <w:vAlign w:val="bottom"/>
            <w:tcBorders>
              <w:right w:val="single" w:sz="8" w:color="auto"/>
            </w:tcBorders>
          </w:tcPr>
          <w:p>
            <w:pPr>
              <w:jc w:val="center"/>
              <w:ind w:right="106"/>
              <w:spacing w:after="0"/>
              <w:rPr>
                <w:sz w:val="20"/>
                <w:szCs w:val="20"/>
                <w:color w:val="auto"/>
              </w:rPr>
            </w:pPr>
            <w:r>
              <w:rPr>
                <w:rFonts w:ascii="Arial" w:cs="Arial" w:eastAsia="Arial" w:hAnsi="Arial"/>
                <w:sz w:val="11"/>
                <w:szCs w:val="11"/>
                <w:i w:val="1"/>
                <w:iCs w:val="1"/>
                <w:color w:val="auto"/>
                <w:w w:val="88"/>
              </w:rPr>
              <w:t>(4)</w:t>
            </w:r>
          </w:p>
        </w:tc>
        <w:tc>
          <w:tcPr>
            <w:tcW w:w="140" w:type="dxa"/>
            <w:vAlign w:val="bottom"/>
          </w:tcPr>
          <w:p>
            <w:pPr>
              <w:spacing w:after="0"/>
              <w:rPr>
                <w:sz w:val="11"/>
                <w:szCs w:val="11"/>
                <w:color w:val="auto"/>
              </w:rPr>
            </w:pPr>
          </w:p>
        </w:tc>
        <w:tc>
          <w:tcPr>
            <w:tcW w:w="940" w:type="dxa"/>
            <w:vAlign w:val="bottom"/>
            <w:tcBorders>
              <w:right w:val="single" w:sz="8" w:color="auto"/>
            </w:tcBorders>
          </w:tcPr>
          <w:p>
            <w:pPr>
              <w:jc w:val="center"/>
              <w:ind w:right="126"/>
              <w:spacing w:after="0"/>
              <w:rPr>
                <w:sz w:val="20"/>
                <w:szCs w:val="20"/>
                <w:color w:val="auto"/>
              </w:rPr>
            </w:pPr>
            <w:r>
              <w:rPr>
                <w:rFonts w:ascii="Arial" w:cs="Arial" w:eastAsia="Arial" w:hAnsi="Arial"/>
                <w:sz w:val="11"/>
                <w:szCs w:val="11"/>
                <w:i w:val="1"/>
                <w:iCs w:val="1"/>
                <w:color w:val="auto"/>
                <w:w w:val="88"/>
              </w:rPr>
              <w:t>(5)</w:t>
            </w:r>
          </w:p>
        </w:tc>
        <w:tc>
          <w:tcPr>
            <w:tcW w:w="240" w:type="dxa"/>
            <w:vAlign w:val="bottom"/>
          </w:tcPr>
          <w:p>
            <w:pPr>
              <w:spacing w:after="0"/>
              <w:rPr>
                <w:sz w:val="11"/>
                <w:szCs w:val="11"/>
                <w:color w:val="auto"/>
              </w:rPr>
            </w:pPr>
          </w:p>
        </w:tc>
        <w:tc>
          <w:tcPr>
            <w:tcW w:w="820" w:type="dxa"/>
            <w:vAlign w:val="bottom"/>
            <w:tcBorders>
              <w:right w:val="single" w:sz="8" w:color="auto"/>
            </w:tcBorders>
          </w:tcPr>
          <w:p>
            <w:pPr>
              <w:jc w:val="right"/>
              <w:ind w:right="386"/>
              <w:spacing w:after="0"/>
              <w:rPr>
                <w:sz w:val="20"/>
                <w:szCs w:val="20"/>
                <w:color w:val="auto"/>
              </w:rPr>
            </w:pPr>
            <w:r>
              <w:rPr>
                <w:rFonts w:ascii="Arial" w:cs="Arial" w:eastAsia="Arial" w:hAnsi="Arial"/>
                <w:sz w:val="11"/>
                <w:szCs w:val="11"/>
                <w:i w:val="1"/>
                <w:iCs w:val="1"/>
                <w:color w:val="auto"/>
              </w:rPr>
              <w:t>Total</w:t>
            </w:r>
          </w:p>
        </w:tc>
      </w:tr>
      <w:tr>
        <w:trPr>
          <w:trHeight w:val="22"/>
        </w:trPr>
        <w:tc>
          <w:tcPr>
            <w:tcW w:w="1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r>
      <w:tr>
        <w:trPr>
          <w:trHeight w:val="134"/>
        </w:trPr>
        <w:tc>
          <w:tcPr>
            <w:tcW w:w="1760" w:type="dxa"/>
            <w:vAlign w:val="bottom"/>
            <w:tcBorders>
              <w:left w:val="single" w:sz="8" w:color="auto"/>
              <w:right w:val="single" w:sz="8" w:color="auto"/>
            </w:tcBorders>
            <w:shd w:val="clear" w:color="auto" w:fill="CFF0FC"/>
          </w:tcPr>
          <w:p>
            <w:pPr>
              <w:ind w:left="160"/>
              <w:spacing w:after="0"/>
              <w:rPr>
                <w:sz w:val="20"/>
                <w:szCs w:val="20"/>
                <w:color w:val="auto"/>
              </w:rPr>
            </w:pPr>
            <w:r>
              <w:rPr>
                <w:rFonts w:ascii="Arial" w:cs="Arial" w:eastAsia="Arial" w:hAnsi="Arial"/>
                <w:sz w:val="11"/>
                <w:szCs w:val="11"/>
                <w:color w:val="auto"/>
              </w:rPr>
              <w:t>David A. Zapico</w:t>
            </w:r>
          </w:p>
        </w:tc>
        <w:tc>
          <w:tcPr>
            <w:tcW w:w="960" w:type="dxa"/>
            <w:vAlign w:val="bottom"/>
            <w:tcBorders>
              <w:right w:val="single" w:sz="8" w:color="auto"/>
            </w:tcBorders>
            <w:shd w:val="clear" w:color="auto" w:fill="CFF0FC"/>
          </w:tcPr>
          <w:p>
            <w:pPr>
              <w:ind w:left="360"/>
              <w:spacing w:after="0"/>
              <w:rPr>
                <w:sz w:val="20"/>
                <w:szCs w:val="20"/>
                <w:color w:val="auto"/>
              </w:rPr>
            </w:pPr>
            <w:r>
              <w:rPr>
                <w:rFonts w:ascii="Arial" w:cs="Arial" w:eastAsia="Arial" w:hAnsi="Arial"/>
                <w:sz w:val="11"/>
                <w:szCs w:val="11"/>
                <w:color w:val="auto"/>
              </w:rPr>
              <w:t>2021</w:t>
            </w:r>
          </w:p>
        </w:tc>
        <w:tc>
          <w:tcPr>
            <w:tcW w:w="240" w:type="dxa"/>
            <w:vAlign w:val="bottom"/>
            <w:shd w:val="clear" w:color="auto" w:fill="CFF0FC"/>
          </w:tcPr>
          <w:p>
            <w:pPr>
              <w:jc w:val="right"/>
              <w:ind w:right="106"/>
              <w:spacing w:after="0"/>
              <w:rPr>
                <w:sz w:val="20"/>
                <w:szCs w:val="20"/>
                <w:color w:val="auto"/>
              </w:rPr>
            </w:pPr>
            <w:r>
              <w:rPr>
                <w:rFonts w:ascii="Arial" w:cs="Arial" w:eastAsia="Arial" w:hAnsi="Arial"/>
                <w:sz w:val="11"/>
                <w:szCs w:val="11"/>
                <w:color w:val="auto"/>
                <w:w w:val="97"/>
              </w:rPr>
              <w:t>$</w:t>
            </w:r>
          </w:p>
        </w:tc>
        <w:tc>
          <w:tcPr>
            <w:tcW w:w="840" w:type="dxa"/>
            <w:vAlign w:val="bottom"/>
            <w:tcBorders>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1,320,000</w:t>
            </w:r>
          </w:p>
        </w:tc>
        <w:tc>
          <w:tcPr>
            <w:tcW w:w="220" w:type="dxa"/>
            <w:vAlign w:val="bottom"/>
            <w:shd w:val="clear" w:color="auto" w:fill="CFF0FC"/>
          </w:tcPr>
          <w:p>
            <w:pPr>
              <w:jc w:val="right"/>
              <w:ind w:right="111"/>
              <w:spacing w:after="0"/>
              <w:rPr>
                <w:sz w:val="20"/>
                <w:szCs w:val="20"/>
                <w:color w:val="auto"/>
              </w:rPr>
            </w:pPr>
            <w:r>
              <w:rPr>
                <w:rFonts w:ascii="Arial" w:cs="Arial" w:eastAsia="Arial" w:hAnsi="Arial"/>
                <w:sz w:val="10"/>
                <w:szCs w:val="10"/>
                <w:color w:val="auto"/>
                <w:w w:val="71"/>
              </w:rPr>
              <w:t>$</w:t>
            </w:r>
          </w:p>
        </w:tc>
        <w:tc>
          <w:tcPr>
            <w:tcW w:w="840" w:type="dxa"/>
            <w:vAlign w:val="bottom"/>
            <w:tcBorders>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686,400</w:t>
            </w:r>
          </w:p>
        </w:tc>
        <w:tc>
          <w:tcPr>
            <w:tcW w:w="220" w:type="dxa"/>
            <w:vAlign w:val="bottom"/>
            <w:shd w:val="clear" w:color="auto" w:fill="CFF0FC"/>
          </w:tcPr>
          <w:p>
            <w:pPr>
              <w:jc w:val="right"/>
              <w:ind w:right="111"/>
              <w:spacing w:after="0"/>
              <w:rPr>
                <w:sz w:val="20"/>
                <w:szCs w:val="20"/>
                <w:color w:val="auto"/>
              </w:rPr>
            </w:pPr>
            <w:r>
              <w:rPr>
                <w:rFonts w:ascii="Arial" w:cs="Arial" w:eastAsia="Arial" w:hAnsi="Arial"/>
                <w:sz w:val="10"/>
                <w:szCs w:val="10"/>
                <w:color w:val="auto"/>
                <w:w w:val="71"/>
              </w:rPr>
              <w:t>$</w:t>
            </w:r>
          </w:p>
        </w:tc>
        <w:tc>
          <w:tcPr>
            <w:tcW w:w="840" w:type="dxa"/>
            <w:vAlign w:val="bottom"/>
            <w:tcBorders>
              <w:right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5,837,811</w:t>
            </w:r>
          </w:p>
        </w:tc>
        <w:tc>
          <w:tcPr>
            <w:tcW w:w="2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w w:val="97"/>
              </w:rPr>
              <w:t>$</w:t>
            </w:r>
          </w:p>
        </w:tc>
        <w:tc>
          <w:tcPr>
            <w:tcW w:w="860" w:type="dxa"/>
            <w:vAlign w:val="bottom"/>
            <w:tcBorders>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1,568,518</w:t>
            </w: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920" w:type="dxa"/>
            <w:vAlign w:val="bottom"/>
            <w:tcBorders>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2,745,600</w:t>
            </w: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920" w:type="dxa"/>
            <w:vAlign w:val="bottom"/>
            <w:tcBorders>
              <w:right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150,064</w:t>
            </w:r>
          </w:p>
        </w:tc>
        <w:tc>
          <w:tcPr>
            <w:tcW w:w="1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940" w:type="dxa"/>
            <w:vAlign w:val="bottom"/>
            <w:tcBorders>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611,038</w:t>
            </w:r>
          </w:p>
        </w:tc>
        <w:tc>
          <w:tcPr>
            <w:tcW w:w="240" w:type="dxa"/>
            <w:vAlign w:val="bottom"/>
            <w:shd w:val="clear" w:color="auto" w:fill="CFF0FC"/>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tcBorders>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12,919,431</w:t>
            </w:r>
          </w:p>
        </w:tc>
      </w:tr>
      <w:tr>
        <w:trPr>
          <w:trHeight w:val="162"/>
        </w:trPr>
        <w:tc>
          <w:tcPr>
            <w:tcW w:w="1760" w:type="dxa"/>
            <w:vAlign w:val="bottom"/>
            <w:tcBorders>
              <w:left w:val="single" w:sz="8" w:color="auto"/>
              <w:right w:val="single" w:sz="8" w:color="auto"/>
            </w:tcBorders>
            <w:shd w:val="clear" w:color="auto" w:fill="CFF0FC"/>
          </w:tcPr>
          <w:p>
            <w:pPr>
              <w:ind w:left="160"/>
              <w:spacing w:after="0"/>
              <w:rPr>
                <w:sz w:val="20"/>
                <w:szCs w:val="20"/>
                <w:color w:val="auto"/>
              </w:rPr>
            </w:pPr>
            <w:r>
              <w:rPr>
                <w:rFonts w:ascii="Arial" w:cs="Arial" w:eastAsia="Arial" w:hAnsi="Arial"/>
                <w:sz w:val="11"/>
                <w:szCs w:val="11"/>
                <w:color w:val="auto"/>
              </w:rPr>
              <w:t>Chairman and Chief</w:t>
            </w:r>
          </w:p>
        </w:tc>
        <w:tc>
          <w:tcPr>
            <w:tcW w:w="960" w:type="dxa"/>
            <w:vAlign w:val="bottom"/>
            <w:tcBorders>
              <w:right w:val="single" w:sz="8" w:color="auto"/>
            </w:tcBorders>
            <w:shd w:val="clear" w:color="auto" w:fill="CFF0FC"/>
          </w:tcPr>
          <w:p>
            <w:pPr>
              <w:ind w:left="360"/>
              <w:spacing w:after="0"/>
              <w:rPr>
                <w:sz w:val="20"/>
                <w:szCs w:val="20"/>
                <w:color w:val="auto"/>
              </w:rPr>
            </w:pPr>
            <w:r>
              <w:rPr>
                <w:rFonts w:ascii="Arial" w:cs="Arial" w:eastAsia="Arial" w:hAnsi="Arial"/>
                <w:sz w:val="11"/>
                <w:szCs w:val="11"/>
                <w:color w:val="auto"/>
              </w:rPr>
              <w:t>2020</w:t>
            </w:r>
          </w:p>
        </w:tc>
        <w:tc>
          <w:tcPr>
            <w:tcW w:w="240" w:type="dxa"/>
            <w:vAlign w:val="bottom"/>
            <w:shd w:val="clear" w:color="auto" w:fill="CFF0FC"/>
          </w:tcPr>
          <w:p>
            <w:pPr>
              <w:spacing w:after="0"/>
              <w:rPr>
                <w:sz w:val="14"/>
                <w:szCs w:val="14"/>
                <w:color w:val="auto"/>
              </w:rPr>
            </w:pPr>
          </w:p>
        </w:tc>
        <w:tc>
          <w:tcPr>
            <w:tcW w:w="840" w:type="dxa"/>
            <w:vAlign w:val="bottom"/>
            <w:tcBorders>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1,122,000</w:t>
            </w:r>
          </w:p>
        </w:tc>
        <w:tc>
          <w:tcPr>
            <w:tcW w:w="220" w:type="dxa"/>
            <w:vAlign w:val="bottom"/>
            <w:shd w:val="clear" w:color="auto" w:fill="CFF0FC"/>
          </w:tcPr>
          <w:p>
            <w:pPr>
              <w:spacing w:after="0"/>
              <w:rPr>
                <w:sz w:val="14"/>
                <w:szCs w:val="14"/>
                <w:color w:val="auto"/>
              </w:rPr>
            </w:pPr>
          </w:p>
        </w:tc>
        <w:tc>
          <w:tcPr>
            <w:tcW w:w="840" w:type="dxa"/>
            <w:vAlign w:val="bottom"/>
            <w:tcBorders>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660,000</w:t>
            </w:r>
          </w:p>
        </w:tc>
        <w:tc>
          <w:tcPr>
            <w:tcW w:w="220" w:type="dxa"/>
            <w:vAlign w:val="bottom"/>
            <w:shd w:val="clear" w:color="auto" w:fill="CFF0FC"/>
          </w:tcPr>
          <w:p>
            <w:pPr>
              <w:spacing w:after="0"/>
              <w:rPr>
                <w:sz w:val="14"/>
                <w:szCs w:val="14"/>
                <w:color w:val="auto"/>
              </w:rPr>
            </w:pPr>
          </w:p>
        </w:tc>
        <w:tc>
          <w:tcPr>
            <w:tcW w:w="840" w:type="dxa"/>
            <w:vAlign w:val="bottom"/>
            <w:tcBorders>
              <w:right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4,398,065</w:t>
            </w:r>
          </w:p>
        </w:tc>
        <w:tc>
          <w:tcPr>
            <w:tcW w:w="220" w:type="dxa"/>
            <w:vAlign w:val="bottom"/>
            <w:shd w:val="clear" w:color="auto" w:fill="CFF0FC"/>
          </w:tcPr>
          <w:p>
            <w:pPr>
              <w:spacing w:after="0"/>
              <w:rPr>
                <w:sz w:val="14"/>
                <w:szCs w:val="14"/>
                <w:color w:val="auto"/>
              </w:rPr>
            </w:pPr>
          </w:p>
        </w:tc>
        <w:tc>
          <w:tcPr>
            <w:tcW w:w="860" w:type="dxa"/>
            <w:vAlign w:val="bottom"/>
            <w:tcBorders>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1,090,871</w:t>
            </w:r>
          </w:p>
        </w:tc>
        <w:tc>
          <w:tcPr>
            <w:tcW w:w="140" w:type="dxa"/>
            <w:vAlign w:val="bottom"/>
            <w:shd w:val="clear" w:color="auto" w:fill="CFF0FC"/>
          </w:tcPr>
          <w:p>
            <w:pPr>
              <w:spacing w:after="0"/>
              <w:rPr>
                <w:sz w:val="14"/>
                <w:szCs w:val="14"/>
                <w:color w:val="auto"/>
              </w:rPr>
            </w:pPr>
          </w:p>
        </w:tc>
        <w:tc>
          <w:tcPr>
            <w:tcW w:w="920" w:type="dxa"/>
            <w:vAlign w:val="bottom"/>
            <w:tcBorders>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604,051</w:t>
            </w:r>
          </w:p>
        </w:tc>
        <w:tc>
          <w:tcPr>
            <w:tcW w:w="140" w:type="dxa"/>
            <w:vAlign w:val="bottom"/>
            <w:shd w:val="clear" w:color="auto" w:fill="CFF0FC"/>
          </w:tcPr>
          <w:p>
            <w:pPr>
              <w:spacing w:after="0"/>
              <w:rPr>
                <w:sz w:val="14"/>
                <w:szCs w:val="14"/>
                <w:color w:val="auto"/>
              </w:rPr>
            </w:pPr>
          </w:p>
        </w:tc>
        <w:tc>
          <w:tcPr>
            <w:tcW w:w="920" w:type="dxa"/>
            <w:vAlign w:val="bottom"/>
            <w:tcBorders>
              <w:right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339,141</w:t>
            </w:r>
          </w:p>
        </w:tc>
        <w:tc>
          <w:tcPr>
            <w:tcW w:w="140" w:type="dxa"/>
            <w:vAlign w:val="bottom"/>
            <w:shd w:val="clear" w:color="auto" w:fill="CFF0FC"/>
          </w:tcPr>
          <w:p>
            <w:pPr>
              <w:spacing w:after="0"/>
              <w:rPr>
                <w:sz w:val="14"/>
                <w:szCs w:val="14"/>
                <w:color w:val="auto"/>
              </w:rPr>
            </w:pPr>
          </w:p>
        </w:tc>
        <w:tc>
          <w:tcPr>
            <w:tcW w:w="940" w:type="dxa"/>
            <w:vAlign w:val="bottom"/>
            <w:tcBorders>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304,093</w:t>
            </w:r>
          </w:p>
        </w:tc>
        <w:tc>
          <w:tcPr>
            <w:tcW w:w="240" w:type="dxa"/>
            <w:vAlign w:val="bottom"/>
            <w:shd w:val="clear" w:color="auto" w:fill="CFF0FC"/>
          </w:tcPr>
          <w:p>
            <w:pPr>
              <w:spacing w:after="0"/>
              <w:rPr>
                <w:sz w:val="14"/>
                <w:szCs w:val="14"/>
                <w:color w:val="auto"/>
              </w:rPr>
            </w:pPr>
          </w:p>
        </w:tc>
        <w:tc>
          <w:tcPr>
            <w:tcW w:w="820" w:type="dxa"/>
            <w:vAlign w:val="bottom"/>
            <w:tcBorders>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8,518,221</w:t>
            </w:r>
          </w:p>
        </w:tc>
      </w:tr>
      <w:tr>
        <w:trPr>
          <w:trHeight w:val="189"/>
        </w:trPr>
        <w:tc>
          <w:tcPr>
            <w:tcW w:w="1760" w:type="dxa"/>
            <w:vAlign w:val="bottom"/>
            <w:tcBorders>
              <w:left w:val="single" w:sz="8" w:color="auto"/>
              <w:bottom w:val="single" w:sz="8" w:color="CFF0FC"/>
              <w:right w:val="single" w:sz="8" w:color="auto"/>
            </w:tcBorders>
            <w:shd w:val="clear" w:color="auto" w:fill="CFF0FC"/>
          </w:tcPr>
          <w:p>
            <w:pPr>
              <w:ind w:left="160"/>
              <w:spacing w:after="0"/>
              <w:rPr>
                <w:sz w:val="20"/>
                <w:szCs w:val="20"/>
                <w:color w:val="auto"/>
              </w:rPr>
            </w:pPr>
            <w:r>
              <w:rPr>
                <w:rFonts w:ascii="Arial" w:cs="Arial" w:eastAsia="Arial" w:hAnsi="Arial"/>
                <w:sz w:val="11"/>
                <w:szCs w:val="11"/>
                <w:color w:val="auto"/>
              </w:rPr>
              <w:t>Executive Officer</w:t>
            </w:r>
          </w:p>
        </w:tc>
        <w:tc>
          <w:tcPr>
            <w:tcW w:w="960" w:type="dxa"/>
            <w:vAlign w:val="bottom"/>
            <w:tcBorders>
              <w:bottom w:val="single" w:sz="8" w:color="CFF0FC"/>
              <w:right w:val="single" w:sz="8" w:color="auto"/>
            </w:tcBorders>
            <w:shd w:val="clear" w:color="auto" w:fill="CFF0FC"/>
          </w:tcPr>
          <w:p>
            <w:pPr>
              <w:ind w:left="360"/>
              <w:spacing w:after="0"/>
              <w:rPr>
                <w:sz w:val="20"/>
                <w:szCs w:val="20"/>
                <w:color w:val="auto"/>
              </w:rPr>
            </w:pPr>
            <w:r>
              <w:rPr>
                <w:rFonts w:ascii="Arial" w:cs="Arial" w:eastAsia="Arial" w:hAnsi="Arial"/>
                <w:sz w:val="11"/>
                <w:szCs w:val="11"/>
                <w:color w:val="auto"/>
              </w:rPr>
              <w:t>2019</w:t>
            </w:r>
          </w:p>
        </w:tc>
        <w:tc>
          <w:tcPr>
            <w:tcW w:w="24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CFF0FC"/>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1,260,000</w:t>
            </w:r>
          </w:p>
        </w:tc>
        <w:tc>
          <w:tcPr>
            <w:tcW w:w="22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CFF0FC"/>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604,800</w:t>
            </w:r>
          </w:p>
        </w:tc>
        <w:tc>
          <w:tcPr>
            <w:tcW w:w="22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CFF0FC"/>
              <w:right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4,723,620</w:t>
            </w:r>
          </w:p>
        </w:tc>
        <w:tc>
          <w:tcPr>
            <w:tcW w:w="22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1,276,314</w:t>
            </w:r>
          </w:p>
        </w:tc>
        <w:tc>
          <w:tcPr>
            <w:tcW w:w="14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1,540,350</w:t>
            </w:r>
          </w:p>
        </w:tc>
        <w:tc>
          <w:tcPr>
            <w:tcW w:w="14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right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346,990</w:t>
            </w:r>
          </w:p>
        </w:tc>
        <w:tc>
          <w:tcPr>
            <w:tcW w:w="14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CFF0FC"/>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435,954</w:t>
            </w:r>
          </w:p>
        </w:tc>
        <w:tc>
          <w:tcPr>
            <w:tcW w:w="24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10,188,028</w:t>
            </w:r>
          </w:p>
        </w:tc>
      </w:tr>
      <w:tr>
        <w:trPr>
          <w:trHeight w:val="133"/>
        </w:trPr>
        <w:tc>
          <w:tcPr>
            <w:tcW w:w="17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William J. Burke</w:t>
            </w:r>
          </w:p>
        </w:tc>
        <w:tc>
          <w:tcPr>
            <w:tcW w:w="96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1"/>
                <w:szCs w:val="11"/>
                <w:color w:val="auto"/>
              </w:rPr>
              <w:t>2021</w:t>
            </w: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646,538</w:t>
            </w: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104,328</w:t>
            </w: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right w:val="single" w:sz="8" w:color="auto"/>
            </w:tcBorders>
          </w:tcPr>
          <w:p>
            <w:pPr>
              <w:jc w:val="right"/>
              <w:ind w:right="6"/>
              <w:spacing w:after="0"/>
              <w:rPr>
                <w:sz w:val="20"/>
                <w:szCs w:val="20"/>
                <w:color w:val="auto"/>
              </w:rPr>
            </w:pPr>
            <w:r>
              <w:rPr>
                <w:rFonts w:ascii="Arial" w:cs="Arial" w:eastAsia="Arial" w:hAnsi="Arial"/>
                <w:sz w:val="11"/>
                <w:szCs w:val="11"/>
                <w:color w:val="auto"/>
              </w:rPr>
              <w:t>1,602,236</w:t>
            </w:r>
          </w:p>
        </w:tc>
        <w:tc>
          <w:tcPr>
            <w:tcW w:w="220" w:type="dxa"/>
            <w:vAlign w:val="bottom"/>
            <w:tcBorders>
              <w:top w:val="single" w:sz="8" w:color="auto"/>
            </w:tcBorders>
          </w:tcPr>
          <w:p>
            <w:pPr>
              <w:spacing w:after="0"/>
              <w:rPr>
                <w:sz w:val="11"/>
                <w:szCs w:val="11"/>
                <w:color w:val="auto"/>
              </w:rPr>
            </w:pPr>
          </w:p>
        </w:tc>
        <w:tc>
          <w:tcPr>
            <w:tcW w:w="860" w:type="dxa"/>
            <w:vAlign w:val="bottom"/>
            <w:tcBorders>
              <w:top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430,503</w:t>
            </w: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938,952</w:t>
            </w: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right w:val="single" w:sz="8" w:color="auto"/>
            </w:tcBorders>
          </w:tcPr>
          <w:p>
            <w:pPr>
              <w:jc w:val="right"/>
              <w:ind w:right="6"/>
              <w:spacing w:after="0"/>
              <w:rPr>
                <w:sz w:val="20"/>
                <w:szCs w:val="20"/>
                <w:color w:val="auto"/>
              </w:rPr>
            </w:pPr>
            <w:r>
              <w:rPr>
                <w:rFonts w:ascii="Arial" w:cs="Arial" w:eastAsia="Arial" w:hAnsi="Arial"/>
                <w:sz w:val="11"/>
                <w:szCs w:val="11"/>
                <w:color w:val="auto"/>
              </w:rPr>
              <w:t>167,455</w:t>
            </w: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190,543</w:t>
            </w:r>
          </w:p>
        </w:tc>
        <w:tc>
          <w:tcPr>
            <w:tcW w:w="240" w:type="dxa"/>
            <w:vAlign w:val="bottom"/>
            <w:tcBorders>
              <w:top w:val="single" w:sz="8" w:color="auto"/>
            </w:tcBorders>
          </w:tcPr>
          <w:p>
            <w:pPr>
              <w:spacing w:after="0"/>
              <w:rPr>
                <w:sz w:val="11"/>
                <w:szCs w:val="11"/>
                <w:color w:val="auto"/>
              </w:rPr>
            </w:pPr>
          </w:p>
        </w:tc>
        <w:tc>
          <w:tcPr>
            <w:tcW w:w="820" w:type="dxa"/>
            <w:vAlign w:val="bottom"/>
            <w:tcBorders>
              <w:top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4,080,555</w:t>
            </w:r>
          </w:p>
        </w:tc>
      </w:tr>
      <w:tr>
        <w:trPr>
          <w:trHeight w:val="162"/>
        </w:trPr>
        <w:tc>
          <w:tcPr>
            <w:tcW w:w="17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1"/>
                <w:szCs w:val="11"/>
                <w:color w:val="auto"/>
              </w:rPr>
              <w:t>Executive Vice President-</w:t>
            </w:r>
          </w:p>
        </w:tc>
        <w:tc>
          <w:tcPr>
            <w:tcW w:w="96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2020</w:t>
            </w:r>
          </w:p>
        </w:tc>
        <w:tc>
          <w:tcPr>
            <w:tcW w:w="240" w:type="dxa"/>
            <w:vAlign w:val="bottom"/>
          </w:tcPr>
          <w:p>
            <w:pPr>
              <w:spacing w:after="0"/>
              <w:rPr>
                <w:sz w:val="14"/>
                <w:szCs w:val="14"/>
                <w:color w:val="auto"/>
              </w:rPr>
            </w:pPr>
          </w:p>
        </w:tc>
        <w:tc>
          <w:tcPr>
            <w:tcW w:w="84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582,750</w:t>
            </w:r>
          </w:p>
        </w:tc>
        <w:tc>
          <w:tcPr>
            <w:tcW w:w="220" w:type="dxa"/>
            <w:vAlign w:val="bottom"/>
          </w:tcPr>
          <w:p>
            <w:pPr>
              <w:spacing w:after="0"/>
              <w:rPr>
                <w:sz w:val="14"/>
                <w:szCs w:val="14"/>
                <w:color w:val="auto"/>
              </w:rPr>
            </w:pPr>
          </w:p>
        </w:tc>
        <w:tc>
          <w:tcPr>
            <w:tcW w:w="84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100,800</w:t>
            </w:r>
          </w:p>
        </w:tc>
        <w:tc>
          <w:tcPr>
            <w:tcW w:w="220" w:type="dxa"/>
            <w:vAlign w:val="bottom"/>
          </w:tcPr>
          <w:p>
            <w:pPr>
              <w:spacing w:after="0"/>
              <w:rPr>
                <w:sz w:val="14"/>
                <w:szCs w:val="14"/>
                <w:color w:val="auto"/>
              </w:rPr>
            </w:pPr>
          </w:p>
        </w:tc>
        <w:tc>
          <w:tcPr>
            <w:tcW w:w="84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color w:val="auto"/>
              </w:rPr>
              <w:t>1,216,974</w:t>
            </w:r>
          </w:p>
        </w:tc>
        <w:tc>
          <w:tcPr>
            <w:tcW w:w="220" w:type="dxa"/>
            <w:vAlign w:val="bottom"/>
          </w:tcPr>
          <w:p>
            <w:pPr>
              <w:spacing w:after="0"/>
              <w:rPr>
                <w:sz w:val="14"/>
                <w:szCs w:val="14"/>
                <w:color w:val="auto"/>
              </w:rPr>
            </w:pPr>
          </w:p>
        </w:tc>
        <w:tc>
          <w:tcPr>
            <w:tcW w:w="86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301,674</w:t>
            </w:r>
          </w:p>
        </w:tc>
        <w:tc>
          <w:tcPr>
            <w:tcW w:w="140" w:type="dxa"/>
            <w:vAlign w:val="bottom"/>
          </w:tcPr>
          <w:p>
            <w:pPr>
              <w:spacing w:after="0"/>
              <w:rPr>
                <w:sz w:val="14"/>
                <w:szCs w:val="14"/>
                <w:color w:val="auto"/>
              </w:rPr>
            </w:pPr>
          </w:p>
        </w:tc>
        <w:tc>
          <w:tcPr>
            <w:tcW w:w="92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237,790</w:t>
            </w:r>
          </w:p>
        </w:tc>
        <w:tc>
          <w:tcPr>
            <w:tcW w:w="140" w:type="dxa"/>
            <w:vAlign w:val="bottom"/>
          </w:tcPr>
          <w:p>
            <w:pPr>
              <w:spacing w:after="0"/>
              <w:rPr>
                <w:sz w:val="14"/>
                <w:szCs w:val="14"/>
                <w:color w:val="auto"/>
              </w:rPr>
            </w:pPr>
          </w:p>
        </w:tc>
        <w:tc>
          <w:tcPr>
            <w:tcW w:w="92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color w:val="auto"/>
              </w:rPr>
              <w:t>366,597</w:t>
            </w:r>
          </w:p>
        </w:tc>
        <w:tc>
          <w:tcPr>
            <w:tcW w:w="140" w:type="dxa"/>
            <w:vAlign w:val="bottom"/>
          </w:tcPr>
          <w:p>
            <w:pPr>
              <w:spacing w:after="0"/>
              <w:rPr>
                <w:sz w:val="14"/>
                <w:szCs w:val="14"/>
                <w:color w:val="auto"/>
              </w:rPr>
            </w:pPr>
          </w:p>
        </w:tc>
        <w:tc>
          <w:tcPr>
            <w:tcW w:w="94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100,394</w:t>
            </w:r>
          </w:p>
        </w:tc>
        <w:tc>
          <w:tcPr>
            <w:tcW w:w="240" w:type="dxa"/>
            <w:vAlign w:val="bottom"/>
          </w:tcPr>
          <w:p>
            <w:pPr>
              <w:spacing w:after="0"/>
              <w:rPr>
                <w:sz w:val="14"/>
                <w:szCs w:val="14"/>
                <w:color w:val="auto"/>
              </w:rPr>
            </w:pPr>
          </w:p>
        </w:tc>
        <w:tc>
          <w:tcPr>
            <w:tcW w:w="82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2,906,979</w:t>
            </w:r>
          </w:p>
        </w:tc>
      </w:tr>
      <w:tr>
        <w:trPr>
          <w:trHeight w:val="162"/>
        </w:trPr>
        <w:tc>
          <w:tcPr>
            <w:tcW w:w="17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1"/>
                <w:szCs w:val="11"/>
                <w:color w:val="auto"/>
              </w:rPr>
              <w:t>Chief Financial Officer</w:t>
            </w:r>
          </w:p>
        </w:tc>
        <w:tc>
          <w:tcPr>
            <w:tcW w:w="96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2019</w:t>
            </w:r>
          </w:p>
        </w:tc>
        <w:tc>
          <w:tcPr>
            <w:tcW w:w="240" w:type="dxa"/>
            <w:vAlign w:val="bottom"/>
          </w:tcPr>
          <w:p>
            <w:pPr>
              <w:spacing w:after="0"/>
              <w:rPr>
                <w:sz w:val="14"/>
                <w:szCs w:val="14"/>
                <w:color w:val="auto"/>
              </w:rPr>
            </w:pPr>
          </w:p>
        </w:tc>
        <w:tc>
          <w:tcPr>
            <w:tcW w:w="84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603,750</w:t>
            </w:r>
          </w:p>
        </w:tc>
        <w:tc>
          <w:tcPr>
            <w:tcW w:w="220" w:type="dxa"/>
            <w:vAlign w:val="bottom"/>
          </w:tcPr>
          <w:p>
            <w:pPr>
              <w:spacing w:after="0"/>
              <w:rPr>
                <w:sz w:val="14"/>
                <w:szCs w:val="14"/>
                <w:color w:val="auto"/>
              </w:rPr>
            </w:pPr>
          </w:p>
        </w:tc>
        <w:tc>
          <w:tcPr>
            <w:tcW w:w="84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96,600</w:t>
            </w:r>
          </w:p>
        </w:tc>
        <w:tc>
          <w:tcPr>
            <w:tcW w:w="220" w:type="dxa"/>
            <w:vAlign w:val="bottom"/>
          </w:tcPr>
          <w:p>
            <w:pPr>
              <w:spacing w:after="0"/>
              <w:rPr>
                <w:sz w:val="14"/>
                <w:szCs w:val="14"/>
                <w:color w:val="auto"/>
              </w:rPr>
            </w:pPr>
          </w:p>
        </w:tc>
        <w:tc>
          <w:tcPr>
            <w:tcW w:w="84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color w:val="auto"/>
              </w:rPr>
              <w:t>1,460,367</w:t>
            </w:r>
          </w:p>
        </w:tc>
        <w:tc>
          <w:tcPr>
            <w:tcW w:w="220" w:type="dxa"/>
            <w:vAlign w:val="bottom"/>
          </w:tcPr>
          <w:p>
            <w:pPr>
              <w:spacing w:after="0"/>
              <w:rPr>
                <w:sz w:val="14"/>
                <w:szCs w:val="14"/>
                <w:color w:val="auto"/>
              </w:rPr>
            </w:pPr>
          </w:p>
        </w:tc>
        <w:tc>
          <w:tcPr>
            <w:tcW w:w="86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394,592</w:t>
            </w:r>
          </w:p>
        </w:tc>
        <w:tc>
          <w:tcPr>
            <w:tcW w:w="140" w:type="dxa"/>
            <w:vAlign w:val="bottom"/>
          </w:tcPr>
          <w:p>
            <w:pPr>
              <w:spacing w:after="0"/>
              <w:rPr>
                <w:sz w:val="14"/>
                <w:szCs w:val="14"/>
                <w:color w:val="auto"/>
              </w:rPr>
            </w:pPr>
          </w:p>
        </w:tc>
        <w:tc>
          <w:tcPr>
            <w:tcW w:w="92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502,757</w:t>
            </w:r>
          </w:p>
        </w:tc>
        <w:tc>
          <w:tcPr>
            <w:tcW w:w="140" w:type="dxa"/>
            <w:vAlign w:val="bottom"/>
          </w:tcPr>
          <w:p>
            <w:pPr>
              <w:spacing w:after="0"/>
              <w:rPr>
                <w:sz w:val="14"/>
                <w:szCs w:val="14"/>
                <w:color w:val="auto"/>
              </w:rPr>
            </w:pPr>
          </w:p>
        </w:tc>
        <w:tc>
          <w:tcPr>
            <w:tcW w:w="92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color w:val="auto"/>
              </w:rPr>
              <w:t>394,711</w:t>
            </w:r>
          </w:p>
        </w:tc>
        <w:tc>
          <w:tcPr>
            <w:tcW w:w="140" w:type="dxa"/>
            <w:vAlign w:val="bottom"/>
          </w:tcPr>
          <w:p>
            <w:pPr>
              <w:spacing w:after="0"/>
              <w:rPr>
                <w:sz w:val="14"/>
                <w:szCs w:val="14"/>
                <w:color w:val="auto"/>
              </w:rPr>
            </w:pPr>
          </w:p>
        </w:tc>
        <w:tc>
          <w:tcPr>
            <w:tcW w:w="94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137,091</w:t>
            </w:r>
          </w:p>
        </w:tc>
        <w:tc>
          <w:tcPr>
            <w:tcW w:w="240" w:type="dxa"/>
            <w:vAlign w:val="bottom"/>
          </w:tcPr>
          <w:p>
            <w:pPr>
              <w:spacing w:after="0"/>
              <w:rPr>
                <w:sz w:val="14"/>
                <w:szCs w:val="14"/>
                <w:color w:val="auto"/>
              </w:rPr>
            </w:pPr>
          </w:p>
        </w:tc>
        <w:tc>
          <w:tcPr>
            <w:tcW w:w="82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3,589,868</w:t>
            </w:r>
          </w:p>
        </w:tc>
      </w:tr>
      <w:tr>
        <w:trPr>
          <w:trHeight w:val="22"/>
        </w:trPr>
        <w:tc>
          <w:tcPr>
            <w:tcW w:w="1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r>
      <w:tr>
        <w:trPr>
          <w:trHeight w:val="133"/>
        </w:trPr>
        <w:tc>
          <w:tcPr>
            <w:tcW w:w="1760" w:type="dxa"/>
            <w:vAlign w:val="bottom"/>
            <w:tcBorders>
              <w:left w:val="single" w:sz="8" w:color="auto"/>
              <w:right w:val="single" w:sz="8" w:color="auto"/>
            </w:tcBorders>
            <w:shd w:val="clear" w:color="auto" w:fill="CFF0FC"/>
          </w:tcPr>
          <w:p>
            <w:pPr>
              <w:ind w:left="40"/>
              <w:spacing w:after="0"/>
              <w:rPr>
                <w:sz w:val="20"/>
                <w:szCs w:val="20"/>
                <w:color w:val="auto"/>
              </w:rPr>
            </w:pPr>
            <w:r>
              <w:rPr>
                <w:rFonts w:ascii="Arial" w:cs="Arial" w:eastAsia="Arial" w:hAnsi="Arial"/>
                <w:sz w:val="11"/>
                <w:szCs w:val="11"/>
                <w:color w:val="auto"/>
              </w:rPr>
              <w:t>John W. Hardin</w:t>
            </w:r>
          </w:p>
        </w:tc>
        <w:tc>
          <w:tcPr>
            <w:tcW w:w="960" w:type="dxa"/>
            <w:vAlign w:val="bottom"/>
            <w:tcBorders>
              <w:right w:val="single" w:sz="8" w:color="auto"/>
            </w:tcBorders>
            <w:shd w:val="clear" w:color="auto" w:fill="CFF0FC"/>
          </w:tcPr>
          <w:p>
            <w:pPr>
              <w:ind w:left="360"/>
              <w:spacing w:after="0"/>
              <w:rPr>
                <w:sz w:val="20"/>
                <w:szCs w:val="20"/>
                <w:color w:val="auto"/>
              </w:rPr>
            </w:pPr>
            <w:r>
              <w:rPr>
                <w:rFonts w:ascii="Arial" w:cs="Arial" w:eastAsia="Arial" w:hAnsi="Arial"/>
                <w:sz w:val="11"/>
                <w:szCs w:val="11"/>
                <w:color w:val="auto"/>
              </w:rPr>
              <w:t>2021</w:t>
            </w:r>
          </w:p>
        </w:tc>
        <w:tc>
          <w:tcPr>
            <w:tcW w:w="240" w:type="dxa"/>
            <w:vAlign w:val="bottom"/>
            <w:shd w:val="clear" w:color="auto" w:fill="CFF0FC"/>
          </w:tcPr>
          <w:p>
            <w:pPr>
              <w:spacing w:after="0"/>
              <w:rPr>
                <w:sz w:val="11"/>
                <w:szCs w:val="11"/>
                <w:color w:val="auto"/>
              </w:rPr>
            </w:pPr>
          </w:p>
        </w:tc>
        <w:tc>
          <w:tcPr>
            <w:tcW w:w="840" w:type="dxa"/>
            <w:vAlign w:val="bottom"/>
            <w:tcBorders>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595,225</w:t>
            </w:r>
          </w:p>
        </w:tc>
        <w:tc>
          <w:tcPr>
            <w:tcW w:w="220" w:type="dxa"/>
            <w:vAlign w:val="bottom"/>
            <w:shd w:val="clear" w:color="auto" w:fill="CFF0FC"/>
          </w:tcPr>
          <w:p>
            <w:pPr>
              <w:spacing w:after="0"/>
              <w:rPr>
                <w:sz w:val="11"/>
                <w:szCs w:val="11"/>
                <w:color w:val="auto"/>
              </w:rPr>
            </w:pPr>
          </w:p>
        </w:tc>
        <w:tc>
          <w:tcPr>
            <w:tcW w:w="840" w:type="dxa"/>
            <w:vAlign w:val="bottom"/>
            <w:tcBorders>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147,494</w:t>
            </w:r>
          </w:p>
        </w:tc>
        <w:tc>
          <w:tcPr>
            <w:tcW w:w="220" w:type="dxa"/>
            <w:vAlign w:val="bottom"/>
            <w:shd w:val="clear" w:color="auto" w:fill="CFF0FC"/>
          </w:tcPr>
          <w:p>
            <w:pPr>
              <w:spacing w:after="0"/>
              <w:rPr>
                <w:sz w:val="11"/>
                <w:szCs w:val="11"/>
                <w:color w:val="auto"/>
              </w:rPr>
            </w:pPr>
          </w:p>
        </w:tc>
        <w:tc>
          <w:tcPr>
            <w:tcW w:w="840" w:type="dxa"/>
            <w:vAlign w:val="bottom"/>
            <w:tcBorders>
              <w:right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781,906</w:t>
            </w:r>
          </w:p>
        </w:tc>
        <w:tc>
          <w:tcPr>
            <w:tcW w:w="220" w:type="dxa"/>
            <w:vAlign w:val="bottom"/>
            <w:shd w:val="clear" w:color="auto" w:fill="CFF0FC"/>
          </w:tcPr>
          <w:p>
            <w:pPr>
              <w:spacing w:after="0"/>
              <w:rPr>
                <w:sz w:val="11"/>
                <w:szCs w:val="11"/>
                <w:color w:val="auto"/>
              </w:rPr>
            </w:pPr>
          </w:p>
        </w:tc>
        <w:tc>
          <w:tcPr>
            <w:tcW w:w="860" w:type="dxa"/>
            <w:vAlign w:val="bottom"/>
            <w:tcBorders>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271,627</w:t>
            </w:r>
          </w:p>
        </w:tc>
        <w:tc>
          <w:tcPr>
            <w:tcW w:w="140" w:type="dxa"/>
            <w:vAlign w:val="bottom"/>
            <w:shd w:val="clear" w:color="auto" w:fill="CFF0FC"/>
          </w:tcPr>
          <w:p>
            <w:pPr>
              <w:spacing w:after="0"/>
              <w:rPr>
                <w:sz w:val="11"/>
                <w:szCs w:val="11"/>
                <w:color w:val="auto"/>
              </w:rPr>
            </w:pPr>
          </w:p>
        </w:tc>
        <w:tc>
          <w:tcPr>
            <w:tcW w:w="920" w:type="dxa"/>
            <w:vAlign w:val="bottom"/>
            <w:tcBorders>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628,588</w:t>
            </w:r>
          </w:p>
        </w:tc>
        <w:tc>
          <w:tcPr>
            <w:tcW w:w="140" w:type="dxa"/>
            <w:vAlign w:val="bottom"/>
            <w:shd w:val="clear" w:color="auto" w:fill="CFF0FC"/>
          </w:tcPr>
          <w:p>
            <w:pPr>
              <w:spacing w:after="0"/>
              <w:rPr>
                <w:sz w:val="11"/>
                <w:szCs w:val="11"/>
                <w:color w:val="auto"/>
              </w:rPr>
            </w:pPr>
          </w:p>
        </w:tc>
        <w:tc>
          <w:tcPr>
            <w:tcW w:w="920" w:type="dxa"/>
            <w:vAlign w:val="bottom"/>
            <w:tcBorders>
              <w:right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94,707</w:t>
            </w:r>
          </w:p>
        </w:tc>
        <w:tc>
          <w:tcPr>
            <w:tcW w:w="140" w:type="dxa"/>
            <w:vAlign w:val="bottom"/>
            <w:shd w:val="clear" w:color="auto" w:fill="CFF0FC"/>
          </w:tcPr>
          <w:p>
            <w:pPr>
              <w:spacing w:after="0"/>
              <w:rPr>
                <w:sz w:val="11"/>
                <w:szCs w:val="11"/>
                <w:color w:val="auto"/>
              </w:rPr>
            </w:pPr>
          </w:p>
        </w:tc>
        <w:tc>
          <w:tcPr>
            <w:tcW w:w="940" w:type="dxa"/>
            <w:vAlign w:val="bottom"/>
            <w:tcBorders>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108,147</w:t>
            </w:r>
          </w:p>
        </w:tc>
        <w:tc>
          <w:tcPr>
            <w:tcW w:w="240" w:type="dxa"/>
            <w:vAlign w:val="bottom"/>
            <w:shd w:val="clear" w:color="auto" w:fill="CFF0FC"/>
          </w:tcPr>
          <w:p>
            <w:pPr>
              <w:spacing w:after="0"/>
              <w:rPr>
                <w:sz w:val="11"/>
                <w:szCs w:val="11"/>
                <w:color w:val="auto"/>
              </w:rPr>
            </w:pPr>
          </w:p>
        </w:tc>
        <w:tc>
          <w:tcPr>
            <w:tcW w:w="820" w:type="dxa"/>
            <w:vAlign w:val="bottom"/>
            <w:tcBorders>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2,627,694</w:t>
            </w:r>
          </w:p>
        </w:tc>
      </w:tr>
      <w:tr>
        <w:trPr>
          <w:trHeight w:val="162"/>
        </w:trPr>
        <w:tc>
          <w:tcPr>
            <w:tcW w:w="1760" w:type="dxa"/>
            <w:vAlign w:val="bottom"/>
            <w:tcBorders>
              <w:left w:val="single" w:sz="8" w:color="auto"/>
              <w:right w:val="single" w:sz="8" w:color="auto"/>
            </w:tcBorders>
            <w:shd w:val="clear" w:color="auto" w:fill="CFF0FC"/>
          </w:tcPr>
          <w:p>
            <w:pPr>
              <w:ind w:left="160"/>
              <w:spacing w:after="0"/>
              <w:rPr>
                <w:sz w:val="20"/>
                <w:szCs w:val="20"/>
                <w:color w:val="auto"/>
              </w:rPr>
            </w:pPr>
            <w:r>
              <w:rPr>
                <w:rFonts w:ascii="Arial" w:cs="Arial" w:eastAsia="Arial" w:hAnsi="Arial"/>
                <w:sz w:val="11"/>
                <w:szCs w:val="11"/>
                <w:color w:val="auto"/>
              </w:rPr>
              <w:t>President -</w:t>
            </w:r>
          </w:p>
        </w:tc>
        <w:tc>
          <w:tcPr>
            <w:tcW w:w="960" w:type="dxa"/>
            <w:vAlign w:val="bottom"/>
            <w:tcBorders>
              <w:right w:val="single" w:sz="8" w:color="auto"/>
            </w:tcBorders>
            <w:shd w:val="clear" w:color="auto" w:fill="CFF0FC"/>
          </w:tcPr>
          <w:p>
            <w:pPr>
              <w:ind w:left="360"/>
              <w:spacing w:after="0"/>
              <w:rPr>
                <w:sz w:val="20"/>
                <w:szCs w:val="20"/>
                <w:color w:val="auto"/>
              </w:rPr>
            </w:pPr>
            <w:r>
              <w:rPr>
                <w:rFonts w:ascii="Arial" w:cs="Arial" w:eastAsia="Arial" w:hAnsi="Arial"/>
                <w:sz w:val="11"/>
                <w:szCs w:val="11"/>
                <w:color w:val="auto"/>
              </w:rPr>
              <w:t>2020</w:t>
            </w:r>
          </w:p>
        </w:tc>
        <w:tc>
          <w:tcPr>
            <w:tcW w:w="240" w:type="dxa"/>
            <w:vAlign w:val="bottom"/>
            <w:shd w:val="clear" w:color="auto" w:fill="CFF0FC"/>
          </w:tcPr>
          <w:p>
            <w:pPr>
              <w:spacing w:after="0"/>
              <w:rPr>
                <w:sz w:val="14"/>
                <w:szCs w:val="14"/>
                <w:color w:val="auto"/>
              </w:rPr>
            </w:pPr>
          </w:p>
        </w:tc>
        <w:tc>
          <w:tcPr>
            <w:tcW w:w="840" w:type="dxa"/>
            <w:vAlign w:val="bottom"/>
            <w:tcBorders>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536,500</w:t>
            </w:r>
          </w:p>
        </w:tc>
        <w:tc>
          <w:tcPr>
            <w:tcW w:w="220" w:type="dxa"/>
            <w:vAlign w:val="bottom"/>
            <w:shd w:val="clear" w:color="auto" w:fill="CFF0FC"/>
          </w:tcPr>
          <w:p>
            <w:pPr>
              <w:spacing w:after="0"/>
              <w:rPr>
                <w:sz w:val="14"/>
                <w:szCs w:val="14"/>
                <w:color w:val="auto"/>
              </w:rPr>
            </w:pPr>
          </w:p>
        </w:tc>
        <w:tc>
          <w:tcPr>
            <w:tcW w:w="840" w:type="dxa"/>
            <w:vAlign w:val="bottom"/>
            <w:tcBorders>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123,018</w:t>
            </w:r>
          </w:p>
        </w:tc>
        <w:tc>
          <w:tcPr>
            <w:tcW w:w="220" w:type="dxa"/>
            <w:vAlign w:val="bottom"/>
            <w:shd w:val="clear" w:color="auto" w:fill="CFF0FC"/>
          </w:tcPr>
          <w:p>
            <w:pPr>
              <w:spacing w:after="0"/>
              <w:rPr>
                <w:sz w:val="14"/>
                <w:szCs w:val="14"/>
                <w:color w:val="auto"/>
              </w:rPr>
            </w:pPr>
          </w:p>
        </w:tc>
        <w:tc>
          <w:tcPr>
            <w:tcW w:w="840" w:type="dxa"/>
            <w:vAlign w:val="bottom"/>
            <w:tcBorders>
              <w:right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551,257</w:t>
            </w:r>
          </w:p>
        </w:tc>
        <w:tc>
          <w:tcPr>
            <w:tcW w:w="220" w:type="dxa"/>
            <w:vAlign w:val="bottom"/>
            <w:shd w:val="clear" w:color="auto" w:fill="CFF0FC"/>
          </w:tcPr>
          <w:p>
            <w:pPr>
              <w:spacing w:after="0"/>
              <w:rPr>
                <w:sz w:val="14"/>
                <w:szCs w:val="14"/>
                <w:color w:val="auto"/>
              </w:rPr>
            </w:pPr>
          </w:p>
        </w:tc>
        <w:tc>
          <w:tcPr>
            <w:tcW w:w="860" w:type="dxa"/>
            <w:vAlign w:val="bottom"/>
            <w:tcBorders>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176,931</w:t>
            </w:r>
          </w:p>
        </w:tc>
        <w:tc>
          <w:tcPr>
            <w:tcW w:w="140" w:type="dxa"/>
            <w:vAlign w:val="bottom"/>
            <w:shd w:val="clear" w:color="auto" w:fill="CFF0FC"/>
          </w:tcPr>
          <w:p>
            <w:pPr>
              <w:spacing w:after="0"/>
              <w:rPr>
                <w:sz w:val="14"/>
                <w:szCs w:val="14"/>
                <w:color w:val="auto"/>
              </w:rPr>
            </w:pPr>
          </w:p>
        </w:tc>
        <w:tc>
          <w:tcPr>
            <w:tcW w:w="920" w:type="dxa"/>
            <w:vAlign w:val="bottom"/>
            <w:tcBorders>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68,600</w:t>
            </w:r>
          </w:p>
        </w:tc>
        <w:tc>
          <w:tcPr>
            <w:tcW w:w="140" w:type="dxa"/>
            <w:vAlign w:val="bottom"/>
            <w:shd w:val="clear" w:color="auto" w:fill="CFF0FC"/>
          </w:tcPr>
          <w:p>
            <w:pPr>
              <w:spacing w:after="0"/>
              <w:rPr>
                <w:sz w:val="14"/>
                <w:szCs w:val="14"/>
                <w:color w:val="auto"/>
              </w:rPr>
            </w:pPr>
          </w:p>
        </w:tc>
        <w:tc>
          <w:tcPr>
            <w:tcW w:w="920" w:type="dxa"/>
            <w:vAlign w:val="bottom"/>
            <w:tcBorders>
              <w:right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101,835</w:t>
            </w:r>
          </w:p>
        </w:tc>
        <w:tc>
          <w:tcPr>
            <w:tcW w:w="140" w:type="dxa"/>
            <w:vAlign w:val="bottom"/>
            <w:shd w:val="clear" w:color="auto" w:fill="CFF0FC"/>
          </w:tcPr>
          <w:p>
            <w:pPr>
              <w:spacing w:after="0"/>
              <w:rPr>
                <w:sz w:val="14"/>
                <w:szCs w:val="14"/>
                <w:color w:val="auto"/>
              </w:rPr>
            </w:pPr>
          </w:p>
        </w:tc>
        <w:tc>
          <w:tcPr>
            <w:tcW w:w="940" w:type="dxa"/>
            <w:vAlign w:val="bottom"/>
            <w:tcBorders>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129,162</w:t>
            </w:r>
          </w:p>
        </w:tc>
        <w:tc>
          <w:tcPr>
            <w:tcW w:w="240" w:type="dxa"/>
            <w:vAlign w:val="bottom"/>
            <w:shd w:val="clear" w:color="auto" w:fill="CFF0FC"/>
          </w:tcPr>
          <w:p>
            <w:pPr>
              <w:spacing w:after="0"/>
              <w:rPr>
                <w:sz w:val="14"/>
                <w:szCs w:val="14"/>
                <w:color w:val="auto"/>
              </w:rPr>
            </w:pPr>
          </w:p>
        </w:tc>
        <w:tc>
          <w:tcPr>
            <w:tcW w:w="820" w:type="dxa"/>
            <w:vAlign w:val="bottom"/>
            <w:tcBorders>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1,687,303</w:t>
            </w:r>
          </w:p>
        </w:tc>
      </w:tr>
      <w:tr>
        <w:trPr>
          <w:trHeight w:val="189"/>
        </w:trPr>
        <w:tc>
          <w:tcPr>
            <w:tcW w:w="1760" w:type="dxa"/>
            <w:vAlign w:val="bottom"/>
            <w:tcBorders>
              <w:left w:val="single" w:sz="8" w:color="auto"/>
              <w:bottom w:val="single" w:sz="8" w:color="CFF0FC"/>
              <w:right w:val="single" w:sz="8" w:color="auto"/>
            </w:tcBorders>
            <w:shd w:val="clear" w:color="auto" w:fill="CFF0FC"/>
          </w:tcPr>
          <w:p>
            <w:pPr>
              <w:ind w:left="160"/>
              <w:spacing w:after="0"/>
              <w:rPr>
                <w:sz w:val="20"/>
                <w:szCs w:val="20"/>
                <w:color w:val="auto"/>
              </w:rPr>
            </w:pPr>
            <w:r>
              <w:rPr>
                <w:rFonts w:ascii="Arial" w:cs="Arial" w:eastAsia="Arial" w:hAnsi="Arial"/>
                <w:sz w:val="11"/>
                <w:szCs w:val="11"/>
                <w:color w:val="auto"/>
              </w:rPr>
              <w:t>Electronic Instruments</w:t>
            </w:r>
          </w:p>
        </w:tc>
        <w:tc>
          <w:tcPr>
            <w:tcW w:w="960" w:type="dxa"/>
            <w:vAlign w:val="bottom"/>
            <w:tcBorders>
              <w:bottom w:val="single" w:sz="8" w:color="CFF0FC"/>
              <w:right w:val="single" w:sz="8" w:color="auto"/>
            </w:tcBorders>
            <w:shd w:val="clear" w:color="auto" w:fill="CFF0FC"/>
          </w:tcPr>
          <w:p>
            <w:pPr>
              <w:ind w:left="360"/>
              <w:spacing w:after="0"/>
              <w:rPr>
                <w:sz w:val="20"/>
                <w:szCs w:val="20"/>
                <w:color w:val="auto"/>
              </w:rPr>
            </w:pPr>
            <w:r>
              <w:rPr>
                <w:rFonts w:ascii="Arial" w:cs="Arial" w:eastAsia="Arial" w:hAnsi="Arial"/>
                <w:sz w:val="11"/>
                <w:szCs w:val="11"/>
                <w:color w:val="auto"/>
              </w:rPr>
              <w:t>2019</w:t>
            </w:r>
          </w:p>
        </w:tc>
        <w:tc>
          <w:tcPr>
            <w:tcW w:w="24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CFF0FC"/>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556,500</w:t>
            </w:r>
          </w:p>
        </w:tc>
        <w:tc>
          <w:tcPr>
            <w:tcW w:w="22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CFF0FC"/>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132,396</w:t>
            </w:r>
          </w:p>
        </w:tc>
        <w:tc>
          <w:tcPr>
            <w:tcW w:w="22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CFF0FC"/>
              <w:right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656,415</w:t>
            </w:r>
          </w:p>
        </w:tc>
        <w:tc>
          <w:tcPr>
            <w:tcW w:w="22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231,260</w:t>
            </w:r>
          </w:p>
        </w:tc>
        <w:tc>
          <w:tcPr>
            <w:tcW w:w="14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281,103</w:t>
            </w:r>
          </w:p>
        </w:tc>
        <w:tc>
          <w:tcPr>
            <w:tcW w:w="14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right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112,955</w:t>
            </w:r>
          </w:p>
        </w:tc>
        <w:tc>
          <w:tcPr>
            <w:tcW w:w="14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CFF0FC"/>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133,199</w:t>
            </w:r>
          </w:p>
        </w:tc>
        <w:tc>
          <w:tcPr>
            <w:tcW w:w="24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2,103,828</w:t>
            </w:r>
          </w:p>
        </w:tc>
      </w:tr>
      <w:tr>
        <w:trPr>
          <w:trHeight w:val="133"/>
        </w:trPr>
        <w:tc>
          <w:tcPr>
            <w:tcW w:w="17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Timothy N. Jones (6)</w:t>
            </w:r>
          </w:p>
        </w:tc>
        <w:tc>
          <w:tcPr>
            <w:tcW w:w="96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1"/>
                <w:szCs w:val="11"/>
                <w:color w:val="auto"/>
              </w:rPr>
              <w:t>2021</w:t>
            </w: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559,308</w:t>
            </w: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109,442</w:t>
            </w: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right w:val="single" w:sz="8" w:color="auto"/>
            </w:tcBorders>
          </w:tcPr>
          <w:p>
            <w:pPr>
              <w:jc w:val="right"/>
              <w:ind w:right="6"/>
              <w:spacing w:after="0"/>
              <w:rPr>
                <w:sz w:val="20"/>
                <w:szCs w:val="20"/>
                <w:color w:val="auto"/>
              </w:rPr>
            </w:pPr>
            <w:r>
              <w:rPr>
                <w:rFonts w:ascii="Arial" w:cs="Arial" w:eastAsia="Arial" w:hAnsi="Arial"/>
                <w:sz w:val="11"/>
                <w:szCs w:val="11"/>
                <w:color w:val="auto"/>
              </w:rPr>
              <w:t>726,069</w:t>
            </w:r>
          </w:p>
        </w:tc>
        <w:tc>
          <w:tcPr>
            <w:tcW w:w="220" w:type="dxa"/>
            <w:vAlign w:val="bottom"/>
            <w:tcBorders>
              <w:top w:val="single" w:sz="8" w:color="auto"/>
            </w:tcBorders>
          </w:tcPr>
          <w:p>
            <w:pPr>
              <w:spacing w:after="0"/>
              <w:rPr>
                <w:sz w:val="11"/>
                <w:szCs w:val="11"/>
                <w:color w:val="auto"/>
              </w:rPr>
            </w:pPr>
          </w:p>
        </w:tc>
        <w:tc>
          <w:tcPr>
            <w:tcW w:w="860" w:type="dxa"/>
            <w:vAlign w:val="bottom"/>
            <w:tcBorders>
              <w:top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252,152</w:t>
            </w: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629,512</w:t>
            </w: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right w:val="single" w:sz="8" w:color="auto"/>
            </w:tcBorders>
          </w:tcPr>
          <w:p>
            <w:pPr>
              <w:jc w:val="right"/>
              <w:ind w:right="6"/>
              <w:spacing w:after="0"/>
              <w:rPr>
                <w:sz w:val="20"/>
                <w:szCs w:val="20"/>
                <w:color w:val="auto"/>
              </w:rPr>
            </w:pPr>
            <w:r>
              <w:rPr>
                <w:rFonts w:ascii="Arial" w:cs="Arial" w:eastAsia="Arial" w:hAnsi="Arial"/>
                <w:sz w:val="11"/>
                <w:szCs w:val="11"/>
                <w:color w:val="auto"/>
              </w:rPr>
              <w:t>200,901</w:t>
            </w: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148,420</w:t>
            </w:r>
          </w:p>
        </w:tc>
        <w:tc>
          <w:tcPr>
            <w:tcW w:w="240" w:type="dxa"/>
            <w:vAlign w:val="bottom"/>
            <w:tcBorders>
              <w:top w:val="single" w:sz="8" w:color="auto"/>
            </w:tcBorders>
          </w:tcPr>
          <w:p>
            <w:pPr>
              <w:spacing w:after="0"/>
              <w:rPr>
                <w:sz w:val="11"/>
                <w:szCs w:val="11"/>
                <w:color w:val="auto"/>
              </w:rPr>
            </w:pPr>
          </w:p>
        </w:tc>
        <w:tc>
          <w:tcPr>
            <w:tcW w:w="820" w:type="dxa"/>
            <w:vAlign w:val="bottom"/>
            <w:tcBorders>
              <w:top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2,625,804</w:t>
            </w:r>
          </w:p>
        </w:tc>
      </w:tr>
      <w:tr>
        <w:trPr>
          <w:trHeight w:val="162"/>
        </w:trPr>
        <w:tc>
          <w:tcPr>
            <w:tcW w:w="17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1"/>
                <w:szCs w:val="11"/>
                <w:color w:val="auto"/>
              </w:rPr>
              <w:t>President -</w:t>
            </w:r>
          </w:p>
        </w:tc>
        <w:tc>
          <w:tcPr>
            <w:tcW w:w="96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2020</w:t>
            </w:r>
          </w:p>
        </w:tc>
        <w:tc>
          <w:tcPr>
            <w:tcW w:w="240" w:type="dxa"/>
            <w:vAlign w:val="bottom"/>
          </w:tcPr>
          <w:p>
            <w:pPr>
              <w:spacing w:after="0"/>
              <w:rPr>
                <w:sz w:val="14"/>
                <w:szCs w:val="14"/>
                <w:color w:val="auto"/>
              </w:rPr>
            </w:pPr>
          </w:p>
        </w:tc>
        <w:tc>
          <w:tcPr>
            <w:tcW w:w="84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505,975</w:t>
            </w:r>
          </w:p>
        </w:tc>
        <w:tc>
          <w:tcPr>
            <w:tcW w:w="220" w:type="dxa"/>
            <w:vAlign w:val="bottom"/>
          </w:tcPr>
          <w:p>
            <w:pPr>
              <w:spacing w:after="0"/>
              <w:rPr>
                <w:sz w:val="14"/>
                <w:szCs w:val="14"/>
                <w:color w:val="auto"/>
              </w:rPr>
            </w:pPr>
          </w:p>
        </w:tc>
        <w:tc>
          <w:tcPr>
            <w:tcW w:w="84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120,751</w:t>
            </w:r>
          </w:p>
        </w:tc>
        <w:tc>
          <w:tcPr>
            <w:tcW w:w="220" w:type="dxa"/>
            <w:vAlign w:val="bottom"/>
          </w:tcPr>
          <w:p>
            <w:pPr>
              <w:spacing w:after="0"/>
              <w:rPr>
                <w:sz w:val="14"/>
                <w:szCs w:val="14"/>
                <w:color w:val="auto"/>
              </w:rPr>
            </w:pPr>
          </w:p>
        </w:tc>
        <w:tc>
          <w:tcPr>
            <w:tcW w:w="84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color w:val="auto"/>
              </w:rPr>
              <w:t>509,466</w:t>
            </w:r>
          </w:p>
        </w:tc>
        <w:tc>
          <w:tcPr>
            <w:tcW w:w="220" w:type="dxa"/>
            <w:vAlign w:val="bottom"/>
          </w:tcPr>
          <w:p>
            <w:pPr>
              <w:spacing w:after="0"/>
              <w:rPr>
                <w:sz w:val="14"/>
                <w:szCs w:val="14"/>
                <w:color w:val="auto"/>
              </w:rPr>
            </w:pPr>
          </w:p>
        </w:tc>
        <w:tc>
          <w:tcPr>
            <w:tcW w:w="86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163,719</w:t>
            </w:r>
          </w:p>
        </w:tc>
        <w:tc>
          <w:tcPr>
            <w:tcW w:w="140" w:type="dxa"/>
            <w:vAlign w:val="bottom"/>
          </w:tcPr>
          <w:p>
            <w:pPr>
              <w:spacing w:after="0"/>
              <w:rPr>
                <w:sz w:val="14"/>
                <w:szCs w:val="14"/>
                <w:color w:val="auto"/>
              </w:rPr>
            </w:pPr>
          </w:p>
        </w:tc>
        <w:tc>
          <w:tcPr>
            <w:tcW w:w="92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172,969</w:t>
            </w:r>
          </w:p>
        </w:tc>
        <w:tc>
          <w:tcPr>
            <w:tcW w:w="140" w:type="dxa"/>
            <w:vAlign w:val="bottom"/>
          </w:tcPr>
          <w:p>
            <w:pPr>
              <w:spacing w:after="0"/>
              <w:rPr>
                <w:sz w:val="14"/>
                <w:szCs w:val="14"/>
                <w:color w:val="auto"/>
              </w:rPr>
            </w:pPr>
          </w:p>
        </w:tc>
        <w:tc>
          <w:tcPr>
            <w:tcW w:w="92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color w:val="auto"/>
              </w:rPr>
              <w:t>418,813</w:t>
            </w:r>
          </w:p>
        </w:tc>
        <w:tc>
          <w:tcPr>
            <w:tcW w:w="140" w:type="dxa"/>
            <w:vAlign w:val="bottom"/>
          </w:tcPr>
          <w:p>
            <w:pPr>
              <w:spacing w:after="0"/>
              <w:rPr>
                <w:sz w:val="14"/>
                <w:szCs w:val="14"/>
                <w:color w:val="auto"/>
              </w:rPr>
            </w:pPr>
          </w:p>
        </w:tc>
        <w:tc>
          <w:tcPr>
            <w:tcW w:w="94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77,695</w:t>
            </w:r>
          </w:p>
        </w:tc>
        <w:tc>
          <w:tcPr>
            <w:tcW w:w="240" w:type="dxa"/>
            <w:vAlign w:val="bottom"/>
          </w:tcPr>
          <w:p>
            <w:pPr>
              <w:spacing w:after="0"/>
              <w:rPr>
                <w:sz w:val="14"/>
                <w:szCs w:val="14"/>
                <w:color w:val="auto"/>
              </w:rPr>
            </w:pPr>
          </w:p>
        </w:tc>
        <w:tc>
          <w:tcPr>
            <w:tcW w:w="82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1,969,388</w:t>
            </w:r>
          </w:p>
        </w:tc>
      </w:tr>
      <w:tr>
        <w:trPr>
          <w:trHeight w:val="162"/>
        </w:trPr>
        <w:tc>
          <w:tcPr>
            <w:tcW w:w="17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1"/>
                <w:szCs w:val="11"/>
                <w:color w:val="auto"/>
              </w:rPr>
              <w:t>Electromechanical Group</w:t>
            </w:r>
          </w:p>
        </w:tc>
        <w:tc>
          <w:tcPr>
            <w:tcW w:w="96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2019</w:t>
            </w:r>
          </w:p>
        </w:tc>
        <w:tc>
          <w:tcPr>
            <w:tcW w:w="240" w:type="dxa"/>
            <w:vAlign w:val="bottom"/>
          </w:tcPr>
          <w:p>
            <w:pPr>
              <w:spacing w:after="0"/>
              <w:rPr>
                <w:sz w:val="14"/>
                <w:szCs w:val="14"/>
                <w:color w:val="auto"/>
              </w:rPr>
            </w:pPr>
          </w:p>
        </w:tc>
        <w:tc>
          <w:tcPr>
            <w:tcW w:w="84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525,780</w:t>
            </w:r>
          </w:p>
        </w:tc>
        <w:tc>
          <w:tcPr>
            <w:tcW w:w="220" w:type="dxa"/>
            <w:vAlign w:val="bottom"/>
          </w:tcPr>
          <w:p>
            <w:pPr>
              <w:spacing w:after="0"/>
              <w:rPr>
                <w:sz w:val="14"/>
                <w:szCs w:val="14"/>
                <w:color w:val="auto"/>
              </w:rPr>
            </w:pPr>
          </w:p>
        </w:tc>
        <w:tc>
          <w:tcPr>
            <w:tcW w:w="84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102,133</w:t>
            </w:r>
          </w:p>
        </w:tc>
        <w:tc>
          <w:tcPr>
            <w:tcW w:w="220" w:type="dxa"/>
            <w:vAlign w:val="bottom"/>
          </w:tcPr>
          <w:p>
            <w:pPr>
              <w:spacing w:after="0"/>
              <w:rPr>
                <w:sz w:val="14"/>
                <w:szCs w:val="14"/>
                <w:color w:val="auto"/>
              </w:rPr>
            </w:pPr>
          </w:p>
        </w:tc>
        <w:tc>
          <w:tcPr>
            <w:tcW w:w="84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color w:val="auto"/>
              </w:rPr>
              <w:t>612,787</w:t>
            </w:r>
          </w:p>
        </w:tc>
        <w:tc>
          <w:tcPr>
            <w:tcW w:w="220" w:type="dxa"/>
            <w:vAlign w:val="bottom"/>
          </w:tcPr>
          <w:p>
            <w:pPr>
              <w:spacing w:after="0"/>
              <w:rPr>
                <w:sz w:val="14"/>
                <w:szCs w:val="14"/>
                <w:color w:val="auto"/>
              </w:rPr>
            </w:pPr>
          </w:p>
        </w:tc>
        <w:tc>
          <w:tcPr>
            <w:tcW w:w="86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215,992</w:t>
            </w:r>
          </w:p>
        </w:tc>
        <w:tc>
          <w:tcPr>
            <w:tcW w:w="140" w:type="dxa"/>
            <w:vAlign w:val="bottom"/>
          </w:tcPr>
          <w:p>
            <w:pPr>
              <w:spacing w:after="0"/>
              <w:rPr>
                <w:sz w:val="14"/>
                <w:szCs w:val="14"/>
                <w:color w:val="auto"/>
              </w:rPr>
            </w:pPr>
          </w:p>
        </w:tc>
        <w:tc>
          <w:tcPr>
            <w:tcW w:w="92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255,563</w:t>
            </w:r>
          </w:p>
        </w:tc>
        <w:tc>
          <w:tcPr>
            <w:tcW w:w="140" w:type="dxa"/>
            <w:vAlign w:val="bottom"/>
          </w:tcPr>
          <w:p>
            <w:pPr>
              <w:spacing w:after="0"/>
              <w:rPr>
                <w:sz w:val="14"/>
                <w:szCs w:val="14"/>
                <w:color w:val="auto"/>
              </w:rPr>
            </w:pPr>
          </w:p>
        </w:tc>
        <w:tc>
          <w:tcPr>
            <w:tcW w:w="92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color w:val="auto"/>
              </w:rPr>
              <w:t>455,276</w:t>
            </w:r>
          </w:p>
        </w:tc>
        <w:tc>
          <w:tcPr>
            <w:tcW w:w="140" w:type="dxa"/>
            <w:vAlign w:val="bottom"/>
          </w:tcPr>
          <w:p>
            <w:pPr>
              <w:spacing w:after="0"/>
              <w:rPr>
                <w:sz w:val="14"/>
                <w:szCs w:val="14"/>
                <w:color w:val="auto"/>
              </w:rPr>
            </w:pPr>
          </w:p>
        </w:tc>
        <w:tc>
          <w:tcPr>
            <w:tcW w:w="94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87,201</w:t>
            </w:r>
          </w:p>
        </w:tc>
        <w:tc>
          <w:tcPr>
            <w:tcW w:w="240" w:type="dxa"/>
            <w:vAlign w:val="bottom"/>
          </w:tcPr>
          <w:p>
            <w:pPr>
              <w:spacing w:after="0"/>
              <w:rPr>
                <w:sz w:val="14"/>
                <w:szCs w:val="14"/>
                <w:color w:val="auto"/>
              </w:rPr>
            </w:pPr>
          </w:p>
        </w:tc>
        <w:tc>
          <w:tcPr>
            <w:tcW w:w="82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2,254,732</w:t>
            </w:r>
          </w:p>
        </w:tc>
      </w:tr>
      <w:tr>
        <w:trPr>
          <w:trHeight w:val="22"/>
        </w:trPr>
        <w:tc>
          <w:tcPr>
            <w:tcW w:w="1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r>
      <w:tr>
        <w:trPr>
          <w:trHeight w:val="133"/>
        </w:trPr>
        <w:tc>
          <w:tcPr>
            <w:tcW w:w="1760" w:type="dxa"/>
            <w:vAlign w:val="bottom"/>
            <w:tcBorders>
              <w:left w:val="single" w:sz="8" w:color="auto"/>
              <w:right w:val="single" w:sz="8" w:color="auto"/>
            </w:tcBorders>
            <w:shd w:val="clear" w:color="auto" w:fill="CFF0FC"/>
          </w:tcPr>
          <w:p>
            <w:pPr>
              <w:ind w:left="40"/>
              <w:spacing w:after="0"/>
              <w:rPr>
                <w:sz w:val="20"/>
                <w:szCs w:val="20"/>
                <w:color w:val="auto"/>
              </w:rPr>
            </w:pPr>
            <w:r>
              <w:rPr>
                <w:rFonts w:ascii="Arial" w:cs="Arial" w:eastAsia="Arial" w:hAnsi="Arial"/>
                <w:sz w:val="11"/>
                <w:szCs w:val="11"/>
                <w:color w:val="auto"/>
              </w:rPr>
              <w:t>Thomas C. Marecic</w:t>
            </w:r>
          </w:p>
        </w:tc>
        <w:tc>
          <w:tcPr>
            <w:tcW w:w="960" w:type="dxa"/>
            <w:vAlign w:val="bottom"/>
            <w:tcBorders>
              <w:right w:val="single" w:sz="8" w:color="auto"/>
            </w:tcBorders>
            <w:shd w:val="clear" w:color="auto" w:fill="CFF0FC"/>
          </w:tcPr>
          <w:p>
            <w:pPr>
              <w:ind w:left="360"/>
              <w:spacing w:after="0"/>
              <w:rPr>
                <w:sz w:val="20"/>
                <w:szCs w:val="20"/>
                <w:color w:val="auto"/>
              </w:rPr>
            </w:pPr>
            <w:r>
              <w:rPr>
                <w:rFonts w:ascii="Arial" w:cs="Arial" w:eastAsia="Arial" w:hAnsi="Arial"/>
                <w:sz w:val="11"/>
                <w:szCs w:val="11"/>
                <w:color w:val="auto"/>
              </w:rPr>
              <w:t>2021</w:t>
            </w:r>
          </w:p>
        </w:tc>
        <w:tc>
          <w:tcPr>
            <w:tcW w:w="240" w:type="dxa"/>
            <w:vAlign w:val="bottom"/>
            <w:shd w:val="clear" w:color="auto" w:fill="CFF0FC"/>
          </w:tcPr>
          <w:p>
            <w:pPr>
              <w:spacing w:after="0"/>
              <w:rPr>
                <w:sz w:val="11"/>
                <w:szCs w:val="11"/>
                <w:color w:val="auto"/>
              </w:rPr>
            </w:pPr>
          </w:p>
        </w:tc>
        <w:tc>
          <w:tcPr>
            <w:tcW w:w="840" w:type="dxa"/>
            <w:vAlign w:val="bottom"/>
            <w:tcBorders>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513,125</w:t>
            </w:r>
          </w:p>
        </w:tc>
        <w:tc>
          <w:tcPr>
            <w:tcW w:w="220" w:type="dxa"/>
            <w:vAlign w:val="bottom"/>
            <w:shd w:val="clear" w:color="auto" w:fill="CFF0FC"/>
          </w:tcPr>
          <w:p>
            <w:pPr>
              <w:spacing w:after="0"/>
              <w:rPr>
                <w:sz w:val="11"/>
                <w:szCs w:val="11"/>
                <w:color w:val="auto"/>
              </w:rPr>
            </w:pPr>
          </w:p>
        </w:tc>
        <w:tc>
          <w:tcPr>
            <w:tcW w:w="840" w:type="dxa"/>
            <w:vAlign w:val="bottom"/>
            <w:tcBorders>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126,791</w:t>
            </w:r>
          </w:p>
        </w:tc>
        <w:tc>
          <w:tcPr>
            <w:tcW w:w="220" w:type="dxa"/>
            <w:vAlign w:val="bottom"/>
            <w:shd w:val="clear" w:color="auto" w:fill="CFF0FC"/>
          </w:tcPr>
          <w:p>
            <w:pPr>
              <w:spacing w:after="0"/>
              <w:rPr>
                <w:sz w:val="11"/>
                <w:szCs w:val="11"/>
                <w:color w:val="auto"/>
              </w:rPr>
            </w:pPr>
          </w:p>
        </w:tc>
        <w:tc>
          <w:tcPr>
            <w:tcW w:w="840" w:type="dxa"/>
            <w:vAlign w:val="bottom"/>
            <w:tcBorders>
              <w:right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699,413</w:t>
            </w:r>
          </w:p>
        </w:tc>
        <w:tc>
          <w:tcPr>
            <w:tcW w:w="220" w:type="dxa"/>
            <w:vAlign w:val="bottom"/>
            <w:shd w:val="clear" w:color="auto" w:fill="CFF0FC"/>
          </w:tcPr>
          <w:p>
            <w:pPr>
              <w:spacing w:after="0"/>
              <w:rPr>
                <w:sz w:val="11"/>
                <w:szCs w:val="11"/>
                <w:color w:val="auto"/>
              </w:rPr>
            </w:pPr>
          </w:p>
        </w:tc>
        <w:tc>
          <w:tcPr>
            <w:tcW w:w="860" w:type="dxa"/>
            <w:vAlign w:val="bottom"/>
            <w:tcBorders>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242,927</w:t>
            </w:r>
          </w:p>
        </w:tc>
        <w:tc>
          <w:tcPr>
            <w:tcW w:w="140" w:type="dxa"/>
            <w:vAlign w:val="bottom"/>
            <w:shd w:val="clear" w:color="auto" w:fill="CFF0FC"/>
          </w:tcPr>
          <w:p>
            <w:pPr>
              <w:spacing w:after="0"/>
              <w:rPr>
                <w:sz w:val="11"/>
                <w:szCs w:val="11"/>
                <w:color w:val="auto"/>
              </w:rPr>
            </w:pPr>
          </w:p>
        </w:tc>
        <w:tc>
          <w:tcPr>
            <w:tcW w:w="920" w:type="dxa"/>
            <w:vAlign w:val="bottom"/>
            <w:tcBorders>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523,656</w:t>
            </w:r>
          </w:p>
        </w:tc>
        <w:tc>
          <w:tcPr>
            <w:tcW w:w="140" w:type="dxa"/>
            <w:vAlign w:val="bottom"/>
            <w:shd w:val="clear" w:color="auto" w:fill="CFF0FC"/>
          </w:tcPr>
          <w:p>
            <w:pPr>
              <w:spacing w:after="0"/>
              <w:rPr>
                <w:sz w:val="11"/>
                <w:szCs w:val="11"/>
                <w:color w:val="auto"/>
              </w:rPr>
            </w:pPr>
          </w:p>
        </w:tc>
        <w:tc>
          <w:tcPr>
            <w:tcW w:w="920" w:type="dxa"/>
            <w:vAlign w:val="bottom"/>
            <w:tcBorders>
              <w:right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47,600</w:t>
            </w:r>
          </w:p>
        </w:tc>
        <w:tc>
          <w:tcPr>
            <w:tcW w:w="140" w:type="dxa"/>
            <w:vAlign w:val="bottom"/>
            <w:shd w:val="clear" w:color="auto" w:fill="CFF0FC"/>
          </w:tcPr>
          <w:p>
            <w:pPr>
              <w:spacing w:after="0"/>
              <w:rPr>
                <w:sz w:val="11"/>
                <w:szCs w:val="11"/>
                <w:color w:val="auto"/>
              </w:rPr>
            </w:pPr>
          </w:p>
        </w:tc>
        <w:tc>
          <w:tcPr>
            <w:tcW w:w="940" w:type="dxa"/>
            <w:vAlign w:val="bottom"/>
            <w:tcBorders>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134,020</w:t>
            </w:r>
          </w:p>
        </w:tc>
        <w:tc>
          <w:tcPr>
            <w:tcW w:w="240" w:type="dxa"/>
            <w:vAlign w:val="bottom"/>
            <w:shd w:val="clear" w:color="auto" w:fill="CFF0FC"/>
          </w:tcPr>
          <w:p>
            <w:pPr>
              <w:spacing w:after="0"/>
              <w:rPr>
                <w:sz w:val="11"/>
                <w:szCs w:val="11"/>
                <w:color w:val="auto"/>
              </w:rPr>
            </w:pPr>
          </w:p>
        </w:tc>
        <w:tc>
          <w:tcPr>
            <w:tcW w:w="820" w:type="dxa"/>
            <w:vAlign w:val="bottom"/>
            <w:tcBorders>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2,287,532</w:t>
            </w:r>
          </w:p>
        </w:tc>
      </w:tr>
      <w:tr>
        <w:trPr>
          <w:trHeight w:val="162"/>
        </w:trPr>
        <w:tc>
          <w:tcPr>
            <w:tcW w:w="1760" w:type="dxa"/>
            <w:vAlign w:val="bottom"/>
            <w:tcBorders>
              <w:left w:val="single" w:sz="8" w:color="auto"/>
              <w:right w:val="single" w:sz="8" w:color="auto"/>
            </w:tcBorders>
            <w:shd w:val="clear" w:color="auto" w:fill="CFF0FC"/>
          </w:tcPr>
          <w:p>
            <w:pPr>
              <w:ind w:left="160"/>
              <w:spacing w:after="0"/>
              <w:rPr>
                <w:sz w:val="20"/>
                <w:szCs w:val="20"/>
                <w:color w:val="auto"/>
              </w:rPr>
            </w:pPr>
            <w:r>
              <w:rPr>
                <w:rFonts w:ascii="Arial" w:cs="Arial" w:eastAsia="Arial" w:hAnsi="Arial"/>
                <w:sz w:val="11"/>
                <w:szCs w:val="11"/>
                <w:color w:val="auto"/>
              </w:rPr>
              <w:t>President -</w:t>
            </w:r>
          </w:p>
        </w:tc>
        <w:tc>
          <w:tcPr>
            <w:tcW w:w="960" w:type="dxa"/>
            <w:vAlign w:val="bottom"/>
            <w:tcBorders>
              <w:right w:val="single" w:sz="8" w:color="auto"/>
            </w:tcBorders>
            <w:shd w:val="clear" w:color="auto" w:fill="CFF0FC"/>
          </w:tcPr>
          <w:p>
            <w:pPr>
              <w:ind w:left="360"/>
              <w:spacing w:after="0"/>
              <w:rPr>
                <w:sz w:val="20"/>
                <w:szCs w:val="20"/>
                <w:color w:val="auto"/>
              </w:rPr>
            </w:pPr>
            <w:r>
              <w:rPr>
                <w:rFonts w:ascii="Arial" w:cs="Arial" w:eastAsia="Arial" w:hAnsi="Arial"/>
                <w:sz w:val="11"/>
                <w:szCs w:val="11"/>
                <w:color w:val="auto"/>
              </w:rPr>
              <w:t>2020</w:t>
            </w:r>
          </w:p>
        </w:tc>
        <w:tc>
          <w:tcPr>
            <w:tcW w:w="240" w:type="dxa"/>
            <w:vAlign w:val="bottom"/>
            <w:shd w:val="clear" w:color="auto" w:fill="CFF0FC"/>
          </w:tcPr>
          <w:p>
            <w:pPr>
              <w:spacing w:after="0"/>
              <w:rPr>
                <w:sz w:val="14"/>
                <w:szCs w:val="14"/>
                <w:color w:val="auto"/>
              </w:rPr>
            </w:pPr>
          </w:p>
        </w:tc>
        <w:tc>
          <w:tcPr>
            <w:tcW w:w="840" w:type="dxa"/>
            <w:vAlign w:val="bottom"/>
            <w:tcBorders>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462,500</w:t>
            </w:r>
          </w:p>
        </w:tc>
        <w:tc>
          <w:tcPr>
            <w:tcW w:w="220" w:type="dxa"/>
            <w:vAlign w:val="bottom"/>
            <w:shd w:val="clear" w:color="auto" w:fill="CFF0FC"/>
          </w:tcPr>
          <w:p>
            <w:pPr>
              <w:spacing w:after="0"/>
              <w:rPr>
                <w:sz w:val="14"/>
                <w:szCs w:val="14"/>
                <w:color w:val="auto"/>
              </w:rPr>
            </w:pPr>
          </w:p>
        </w:tc>
        <w:tc>
          <w:tcPr>
            <w:tcW w:w="840" w:type="dxa"/>
            <w:vAlign w:val="bottom"/>
            <w:tcBorders>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106,050</w:t>
            </w:r>
          </w:p>
        </w:tc>
        <w:tc>
          <w:tcPr>
            <w:tcW w:w="220" w:type="dxa"/>
            <w:vAlign w:val="bottom"/>
            <w:shd w:val="clear" w:color="auto" w:fill="CFF0FC"/>
          </w:tcPr>
          <w:p>
            <w:pPr>
              <w:spacing w:after="0"/>
              <w:rPr>
                <w:sz w:val="14"/>
                <w:szCs w:val="14"/>
                <w:color w:val="auto"/>
              </w:rPr>
            </w:pPr>
          </w:p>
        </w:tc>
        <w:tc>
          <w:tcPr>
            <w:tcW w:w="840" w:type="dxa"/>
            <w:vAlign w:val="bottom"/>
            <w:tcBorders>
              <w:right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490,892</w:t>
            </w:r>
          </w:p>
        </w:tc>
        <w:tc>
          <w:tcPr>
            <w:tcW w:w="220" w:type="dxa"/>
            <w:vAlign w:val="bottom"/>
            <w:shd w:val="clear" w:color="auto" w:fill="CFF0FC"/>
          </w:tcPr>
          <w:p>
            <w:pPr>
              <w:spacing w:after="0"/>
              <w:rPr>
                <w:sz w:val="14"/>
                <w:szCs w:val="14"/>
                <w:color w:val="auto"/>
              </w:rPr>
            </w:pPr>
          </w:p>
        </w:tc>
        <w:tc>
          <w:tcPr>
            <w:tcW w:w="860" w:type="dxa"/>
            <w:vAlign w:val="bottom"/>
            <w:tcBorders>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157,553</w:t>
            </w:r>
          </w:p>
        </w:tc>
        <w:tc>
          <w:tcPr>
            <w:tcW w:w="140" w:type="dxa"/>
            <w:vAlign w:val="bottom"/>
            <w:shd w:val="clear" w:color="auto" w:fill="CFF0FC"/>
          </w:tcPr>
          <w:p>
            <w:pPr>
              <w:spacing w:after="0"/>
              <w:rPr>
                <w:sz w:val="14"/>
                <w:szCs w:val="14"/>
                <w:color w:val="auto"/>
              </w:rPr>
            </w:pPr>
          </w:p>
        </w:tc>
        <w:tc>
          <w:tcPr>
            <w:tcW w:w="920" w:type="dxa"/>
            <w:vAlign w:val="bottom"/>
            <w:tcBorders>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95,768</w:t>
            </w:r>
          </w:p>
        </w:tc>
        <w:tc>
          <w:tcPr>
            <w:tcW w:w="140" w:type="dxa"/>
            <w:vAlign w:val="bottom"/>
            <w:shd w:val="clear" w:color="auto" w:fill="CFF0FC"/>
          </w:tcPr>
          <w:p>
            <w:pPr>
              <w:spacing w:after="0"/>
              <w:rPr>
                <w:sz w:val="14"/>
                <w:szCs w:val="14"/>
                <w:color w:val="auto"/>
              </w:rPr>
            </w:pPr>
          </w:p>
        </w:tc>
        <w:tc>
          <w:tcPr>
            <w:tcW w:w="920" w:type="dxa"/>
            <w:vAlign w:val="bottom"/>
            <w:tcBorders>
              <w:right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227,400</w:t>
            </w:r>
          </w:p>
        </w:tc>
        <w:tc>
          <w:tcPr>
            <w:tcW w:w="140" w:type="dxa"/>
            <w:vAlign w:val="bottom"/>
            <w:shd w:val="clear" w:color="auto" w:fill="CFF0FC"/>
          </w:tcPr>
          <w:p>
            <w:pPr>
              <w:spacing w:after="0"/>
              <w:rPr>
                <w:sz w:val="14"/>
                <w:szCs w:val="14"/>
                <w:color w:val="auto"/>
              </w:rPr>
            </w:pPr>
          </w:p>
        </w:tc>
        <w:tc>
          <w:tcPr>
            <w:tcW w:w="940" w:type="dxa"/>
            <w:vAlign w:val="bottom"/>
            <w:tcBorders>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66,095</w:t>
            </w:r>
          </w:p>
        </w:tc>
        <w:tc>
          <w:tcPr>
            <w:tcW w:w="240" w:type="dxa"/>
            <w:vAlign w:val="bottom"/>
            <w:shd w:val="clear" w:color="auto" w:fill="CFF0FC"/>
          </w:tcPr>
          <w:p>
            <w:pPr>
              <w:spacing w:after="0"/>
              <w:rPr>
                <w:sz w:val="14"/>
                <w:szCs w:val="14"/>
                <w:color w:val="auto"/>
              </w:rPr>
            </w:pPr>
          </w:p>
        </w:tc>
        <w:tc>
          <w:tcPr>
            <w:tcW w:w="820" w:type="dxa"/>
            <w:vAlign w:val="bottom"/>
            <w:tcBorders>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1,606,258</w:t>
            </w:r>
          </w:p>
        </w:tc>
      </w:tr>
      <w:tr>
        <w:trPr>
          <w:trHeight w:val="164"/>
        </w:trPr>
        <w:tc>
          <w:tcPr>
            <w:tcW w:w="1760" w:type="dxa"/>
            <w:vAlign w:val="bottom"/>
            <w:tcBorders>
              <w:left w:val="single" w:sz="8" w:color="auto"/>
              <w:bottom w:val="single" w:sz="8" w:color="CFF0FC"/>
              <w:right w:val="single" w:sz="8" w:color="auto"/>
            </w:tcBorders>
            <w:shd w:val="clear" w:color="auto" w:fill="CFF0FC"/>
          </w:tcPr>
          <w:p>
            <w:pPr>
              <w:ind w:left="160"/>
              <w:spacing w:after="0"/>
              <w:rPr>
                <w:sz w:val="20"/>
                <w:szCs w:val="20"/>
                <w:color w:val="auto"/>
              </w:rPr>
            </w:pPr>
            <w:r>
              <w:rPr>
                <w:rFonts w:ascii="Arial" w:cs="Arial" w:eastAsia="Arial" w:hAnsi="Arial"/>
                <w:sz w:val="11"/>
                <w:szCs w:val="11"/>
                <w:color w:val="auto"/>
              </w:rPr>
              <w:t>Electronic Instruments</w:t>
            </w:r>
          </w:p>
        </w:tc>
        <w:tc>
          <w:tcPr>
            <w:tcW w:w="960" w:type="dxa"/>
            <w:vAlign w:val="bottom"/>
            <w:tcBorders>
              <w:bottom w:val="single" w:sz="8" w:color="CFF0FC"/>
              <w:right w:val="single" w:sz="8" w:color="auto"/>
            </w:tcBorders>
            <w:shd w:val="clear" w:color="auto" w:fill="CFF0FC"/>
          </w:tcPr>
          <w:p>
            <w:pPr>
              <w:ind w:left="360"/>
              <w:spacing w:after="0"/>
              <w:rPr>
                <w:sz w:val="20"/>
                <w:szCs w:val="20"/>
                <w:color w:val="auto"/>
              </w:rPr>
            </w:pPr>
            <w:r>
              <w:rPr>
                <w:rFonts w:ascii="Arial" w:cs="Arial" w:eastAsia="Arial" w:hAnsi="Arial"/>
                <w:sz w:val="11"/>
                <w:szCs w:val="11"/>
                <w:color w:val="auto"/>
              </w:rPr>
              <w:t>2019</w:t>
            </w:r>
          </w:p>
        </w:tc>
        <w:tc>
          <w:tcPr>
            <w:tcW w:w="24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471,700</w:t>
            </w:r>
          </w:p>
        </w:tc>
        <w:tc>
          <w:tcPr>
            <w:tcW w:w="2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91,628</w:t>
            </w:r>
          </w:p>
        </w:tc>
        <w:tc>
          <w:tcPr>
            <w:tcW w:w="2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right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572,763</w:t>
            </w:r>
          </w:p>
        </w:tc>
        <w:tc>
          <w:tcPr>
            <w:tcW w:w="22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CFF0FC"/>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201,931</w:t>
            </w:r>
          </w:p>
        </w:tc>
        <w:tc>
          <w:tcPr>
            <w:tcW w:w="14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216,355</w:t>
            </w:r>
          </w:p>
        </w:tc>
        <w:tc>
          <w:tcPr>
            <w:tcW w:w="14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right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226,600</w:t>
            </w:r>
          </w:p>
        </w:tc>
        <w:tc>
          <w:tcPr>
            <w:tcW w:w="14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CFF0FC"/>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73,016</w:t>
            </w:r>
          </w:p>
        </w:tc>
        <w:tc>
          <w:tcPr>
            <w:tcW w:w="24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1,853,993</w:t>
            </w:r>
          </w:p>
        </w:tc>
      </w:tr>
      <w:tr>
        <w:trPr>
          <w:trHeight w:val="20"/>
        </w:trPr>
        <w:tc>
          <w:tcPr>
            <w:tcW w:w="17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r>
    </w:tbl>
    <w:p>
      <w:pPr>
        <w:spacing w:after="0" w:line="175" w:lineRule="exact"/>
        <w:rPr>
          <w:sz w:val="20"/>
          <w:szCs w:val="20"/>
          <w:color w:val="auto"/>
        </w:rPr>
      </w:pPr>
    </w:p>
    <w:p>
      <w:pPr>
        <w:ind w:left="500" w:right="20" w:hanging="492"/>
        <w:spacing w:after="0" w:line="279" w:lineRule="auto"/>
        <w:tabs>
          <w:tab w:leader="none" w:pos="494"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The amounts shown for stock awards relate to performance- and time-based restricted shares granted under our 2020 Omnibus Incentive Compensation Plan. These amounts are equal to the aggregate grant date fair value, computed in accordance with ASC 718, but without giving effect to estimated forfeitures related to service-based vesting conditions. For information regarding the number of shares subject to 2021 awards, other features of the awards and the grant date fair value of the awards, see the Grants of Plan-Based Awards table on page </w:t>
      </w:r>
      <w:hyperlink w:anchor="page42">
        <w:r>
          <w:rPr>
            <w:rFonts w:ascii="Arial" w:cs="Arial" w:eastAsia="Arial" w:hAnsi="Arial"/>
            <w:sz w:val="17"/>
            <w:szCs w:val="17"/>
            <w:u w:val="single" w:color="auto"/>
            <w:color w:val="0000FF"/>
          </w:rPr>
          <w:t>37</w:t>
        </w:r>
      </w:hyperlink>
      <w:r>
        <w:rPr>
          <w:rFonts w:ascii="Arial" w:cs="Arial" w:eastAsia="Arial" w:hAnsi="Arial"/>
          <w:sz w:val="17"/>
          <w:szCs w:val="17"/>
          <w:color w:val="auto"/>
        </w:rPr>
        <w:t>.</w:t>
      </w:r>
    </w:p>
    <w:p>
      <w:pPr>
        <w:spacing w:after="0" w:line="63" w:lineRule="exact"/>
        <w:rPr>
          <w:rFonts w:ascii="Arial" w:cs="Arial" w:eastAsia="Arial" w:hAnsi="Arial"/>
          <w:sz w:val="17"/>
          <w:szCs w:val="17"/>
          <w:color w:val="auto"/>
        </w:rPr>
      </w:pPr>
    </w:p>
    <w:p>
      <w:pPr>
        <w:ind w:left="500" w:right="80" w:hanging="492"/>
        <w:spacing w:after="0" w:line="275" w:lineRule="auto"/>
        <w:tabs>
          <w:tab w:leader="none" w:pos="494"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The amounts shown for option awards relate to shares granted under our 2020 Omnibus Incentive Compensation Plan. These amounts are equal to the aggregate grant date fair value, computed in accordance with ASC 718, but without giving effect to estimated forfeitures related to service-based vesting conditions. The assumptions used in determining the amounts in this column are set forth in Note 11 to our Consolidated Financial Statements in our Form 10-K filed with the SEC. For information regarding the number of shares subject to 2021 awards, other features of those awards, and the grant date fair value of the awards, see the Grants of Plan-Based Awards table on page </w:t>
      </w:r>
      <w:hyperlink w:anchor="page42">
        <w:r>
          <w:rPr>
            <w:rFonts w:ascii="Arial" w:cs="Arial" w:eastAsia="Arial" w:hAnsi="Arial"/>
            <w:sz w:val="17"/>
            <w:szCs w:val="17"/>
            <w:u w:val="single" w:color="auto"/>
            <w:color w:val="0000FF"/>
          </w:rPr>
          <w:t>37</w:t>
        </w:r>
      </w:hyperlink>
      <w:r>
        <w:rPr>
          <w:rFonts w:ascii="Arial" w:cs="Arial" w:eastAsia="Arial" w:hAnsi="Arial"/>
          <w:sz w:val="17"/>
          <w:szCs w:val="17"/>
          <w:color w:val="auto"/>
        </w:rPr>
        <w:t>.</w:t>
      </w:r>
    </w:p>
    <w:p>
      <w:pPr>
        <w:spacing w:after="0" w:line="68" w:lineRule="exact"/>
        <w:rPr>
          <w:rFonts w:ascii="Arial" w:cs="Arial" w:eastAsia="Arial" w:hAnsi="Arial"/>
          <w:sz w:val="17"/>
          <w:szCs w:val="17"/>
          <w:color w:val="auto"/>
        </w:rPr>
      </w:pPr>
    </w:p>
    <w:p>
      <w:pPr>
        <w:ind w:left="500" w:right="320" w:hanging="492"/>
        <w:spacing w:after="0" w:line="308" w:lineRule="auto"/>
        <w:tabs>
          <w:tab w:leader="none" w:pos="494"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Represents payments under our short-term incentive program based on achievement of company-wide or operating group performance measures. See “Compensation Discussion and Analysis – 2021 Compensation Components – Short-Term Incentive Program.”</w:t>
      </w:r>
    </w:p>
    <w:p>
      <w:pPr>
        <w:spacing w:after="0" w:line="38" w:lineRule="exact"/>
        <w:rPr>
          <w:rFonts w:ascii="Arial" w:cs="Arial" w:eastAsia="Arial" w:hAnsi="Arial"/>
          <w:sz w:val="17"/>
          <w:szCs w:val="17"/>
          <w:color w:val="auto"/>
        </w:rPr>
      </w:pPr>
    </w:p>
    <w:p>
      <w:pPr>
        <w:ind w:left="500" w:right="240" w:hanging="492"/>
        <w:spacing w:after="0" w:line="287" w:lineRule="auto"/>
        <w:tabs>
          <w:tab w:leader="none" w:pos="494"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Includes, for 2021, the aggregate change in actuarial present value of the accumulated benefit under defined benefit plans as follows: Mr. Zapico, $26,400; Mr. Burke, $41,200; Mr. Jones, $36,000; and Mr. Marecic, $47,600. Mr. Hardin is not eligible to participate in a defined-benefit pension. Includes earnings on non-qualified deferred compensation plans to the extent required to be disclosed under SEC regulations, as follows: Mr.</w:t>
      </w:r>
    </w:p>
    <w:p>
      <w:pPr>
        <w:spacing w:after="0" w:line="2"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8"/>
          <w:szCs w:val="18"/>
          <w:color w:val="auto"/>
        </w:rPr>
        <w:t>Zapico, $123,664; Mr. Burke, $126,255; Mr. Jones, $164,901; and Mr. Hardin, $94,707.</w:t>
      </w:r>
    </w:p>
    <w:p>
      <w:pPr>
        <w:spacing w:after="0" w:line="102" w:lineRule="exact"/>
        <w:rPr>
          <w:rFonts w:ascii="Arial" w:cs="Arial" w:eastAsia="Arial" w:hAnsi="Arial"/>
          <w:sz w:val="16"/>
          <w:szCs w:val="16"/>
          <w:color w:val="auto"/>
        </w:rPr>
      </w:pPr>
    </w:p>
    <w:p>
      <w:pPr>
        <w:ind w:left="480" w:hanging="472"/>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Included in All Other Compensation for 2021 are the following items:</w:t>
      </w:r>
    </w:p>
    <w:p>
      <w:pPr>
        <w:spacing w:after="0" w:line="23" w:lineRule="exact"/>
        <w:rPr>
          <w:rFonts w:ascii="Arial" w:cs="Arial" w:eastAsia="Arial" w:hAnsi="Arial"/>
          <w:sz w:val="18"/>
          <w:szCs w:val="18"/>
          <w:color w:val="auto"/>
        </w:rPr>
      </w:pPr>
    </w:p>
    <w:p>
      <w:pPr>
        <w:ind w:left="980" w:right="120" w:hanging="486"/>
        <w:spacing w:after="0" w:line="323" w:lineRule="auto"/>
        <w:tabs>
          <w:tab w:leader="none" w:pos="975" w:val="left"/>
        </w:tabs>
        <w:numPr>
          <w:ilvl w:val="1"/>
          <w:numId w:val="37"/>
        </w:numPr>
        <w:rPr>
          <w:rFonts w:ascii="Arial" w:cs="Arial" w:eastAsia="Arial" w:hAnsi="Arial"/>
          <w:sz w:val="16"/>
          <w:szCs w:val="16"/>
          <w:color w:val="auto"/>
        </w:rPr>
      </w:pPr>
      <w:r>
        <w:rPr>
          <w:rFonts w:ascii="Arial" w:cs="Arial" w:eastAsia="Arial" w:hAnsi="Arial"/>
          <w:sz w:val="16"/>
          <w:szCs w:val="16"/>
          <w:color w:val="auto"/>
        </w:rPr>
        <w:t>Employer contributions under the terms of company-sponsored defined contribution plans, including the Supplemental Executive Retirement Plan, as follows: Mr. Zapico, $581,260; Mr. Burke, $183,176; Mr. Jones, $132,274; Mr. Hardin, $88,880; and Mr. Marecic, $114,764; and,</w:t>
      </w:r>
    </w:p>
    <w:p>
      <w:pPr>
        <w:spacing w:after="0" w:line="30" w:lineRule="exact"/>
        <w:rPr>
          <w:rFonts w:ascii="Arial" w:cs="Arial" w:eastAsia="Arial" w:hAnsi="Arial"/>
          <w:sz w:val="16"/>
          <w:szCs w:val="16"/>
          <w:color w:val="auto"/>
        </w:rPr>
      </w:pPr>
    </w:p>
    <w:p>
      <w:pPr>
        <w:ind w:left="980" w:right="40" w:hanging="486"/>
        <w:spacing w:after="0" w:line="259" w:lineRule="auto"/>
        <w:tabs>
          <w:tab w:leader="none" w:pos="975" w:val="left"/>
        </w:tabs>
        <w:numPr>
          <w:ilvl w:val="1"/>
          <w:numId w:val="37"/>
        </w:numPr>
        <w:rPr>
          <w:rFonts w:ascii="Arial" w:cs="Arial" w:eastAsia="Arial" w:hAnsi="Arial"/>
          <w:sz w:val="18"/>
          <w:szCs w:val="18"/>
          <w:color w:val="auto"/>
        </w:rPr>
      </w:pPr>
      <w:r>
        <w:rPr>
          <w:rFonts w:ascii="Arial" w:cs="Arial" w:eastAsia="Arial" w:hAnsi="Arial"/>
          <w:sz w:val="18"/>
          <w:szCs w:val="18"/>
          <w:color w:val="auto"/>
        </w:rPr>
        <w:t>Perquisites, consisting of car allowances which total $29,394 for Mr. Zapico; $17,421 for Mr. Hardin; $14,895 for Mr. Jones and $13,674 for Mr. Marecic; income tax preparation services which total $1,500 for Mr. Hardin and $500 for Mr. Jones; and executive life insurance which totals $384 for Mr. Zapico; $751 for Mr. Jones; $346 for Mr. Hardin; and $5,582 for Mr. Marecic. The aggregate value of perquisites provided to Mr. Burke is less than $10,000.</w:t>
      </w:r>
    </w:p>
    <w:p>
      <w:pPr>
        <w:spacing w:after="0" w:line="78" w:lineRule="exact"/>
        <w:rPr>
          <w:rFonts w:ascii="Arial" w:cs="Arial" w:eastAsia="Arial" w:hAnsi="Arial"/>
          <w:sz w:val="18"/>
          <w:szCs w:val="18"/>
          <w:color w:val="auto"/>
        </w:rPr>
      </w:pPr>
    </w:p>
    <w:p>
      <w:pPr>
        <w:ind w:left="480" w:hanging="472"/>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Mr. Jones retired effective January 1, 2022.</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6" w:lineRule="exact"/>
        <w:rPr>
          <w:rFonts w:ascii="Arial" w:cs="Arial" w:eastAsia="Arial" w:hAnsi="Arial"/>
          <w:sz w:val="17"/>
          <w:szCs w:val="17"/>
          <w:color w:val="auto"/>
        </w:rPr>
      </w:pPr>
    </w:p>
    <w:p>
      <w:pPr>
        <w:ind w:left="20"/>
        <w:spacing w:after="0"/>
        <w:tabs>
          <w:tab w:leader="none" w:pos="440" w:val="left"/>
        </w:tabs>
        <w:rPr>
          <w:sz w:val="20"/>
          <w:szCs w:val="20"/>
          <w:color w:val="auto"/>
        </w:rPr>
      </w:pPr>
      <w:r>
        <w:rPr>
          <w:rFonts w:ascii="Arial" w:cs="Arial" w:eastAsia="Arial" w:hAnsi="Arial"/>
          <w:sz w:val="18"/>
          <w:szCs w:val="18"/>
          <w:b w:val="1"/>
          <w:bCs w:val="1"/>
          <w:color w:val="auto"/>
        </w:rPr>
        <w:t>36</w:t>
        <w:tab/>
        <w:t>AMETEK, INC. 2022 Proxy Statement</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60"/>
          </w:cols>
          <w:pgMar w:left="320" w:top="1111" w:right="319" w:bottom="1440" w:gutter="0" w:footer="0" w:header="0"/>
        </w:sectPr>
      </w:pPr>
    </w:p>
    <w:bookmarkStart w:id="41" w:name="page42"/>
    <w:bookmarkEnd w:id="41"/>
    <w:p>
      <w:pPr>
        <w:jc w:val="center"/>
        <w:ind w:right="20"/>
        <w:spacing w:after="0"/>
        <w:rPr>
          <w:sz w:val="20"/>
          <w:szCs w:val="20"/>
          <w:color w:val="auto"/>
        </w:rPr>
      </w:pPr>
      <w:r>
        <w:rPr>
          <w:rFonts w:ascii="Arial" w:cs="Arial" w:eastAsia="Arial" w:hAnsi="Arial"/>
          <w:sz w:val="18"/>
          <w:szCs w:val="18"/>
          <w:b w:val="1"/>
          <w:bCs w:val="1"/>
          <w:color w:val="auto"/>
        </w:rPr>
        <w:t>GRANTS OF PLAN-BASED AWARDS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details regarding plan-based awards granted to the named executive officers in 2021.</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351"/>
        </w:trPr>
        <w:tc>
          <w:tcPr>
            <w:tcW w:w="1100" w:type="dxa"/>
            <w:vAlign w:val="bottom"/>
            <w:tcBorders>
              <w:top w:val="single" w:sz="8" w:color="auto"/>
              <w:left w:val="single" w:sz="8" w:color="auto"/>
              <w:right w:val="single" w:sz="8" w:color="auto"/>
            </w:tcBorders>
          </w:tcPr>
          <w:p>
            <w:pPr>
              <w:spacing w:after="0"/>
              <w:rPr>
                <w:sz w:val="24"/>
                <w:szCs w:val="24"/>
                <w:color w:val="auto"/>
              </w:rPr>
            </w:pPr>
          </w:p>
        </w:tc>
        <w:tc>
          <w:tcPr>
            <w:tcW w:w="102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900" w:type="dxa"/>
            <w:vAlign w:val="bottom"/>
            <w:tcBorders>
              <w:top w:val="single" w:sz="8" w:color="auto"/>
              <w:right w:val="single" w:sz="8" w:color="auto"/>
            </w:tcBorders>
          </w:tcPr>
          <w:p>
            <w:pPr>
              <w:spacing w:after="0"/>
              <w:rPr>
                <w:sz w:val="24"/>
                <w:szCs w:val="24"/>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w w:val="99"/>
              </w:rPr>
              <w:t>All Other</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i w:val="1"/>
                <w:iCs w:val="1"/>
                <w:color w:val="auto"/>
                <w:w w:val="98"/>
              </w:rPr>
              <w:t>All Other Option</w:t>
            </w:r>
          </w:p>
        </w:tc>
        <w:tc>
          <w:tcPr>
            <w:tcW w:w="8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i w:val="1"/>
                <w:iCs w:val="1"/>
                <w:color w:val="auto"/>
                <w:w w:val="91"/>
              </w:rPr>
              <w:t>Exercise or</w:t>
            </w:r>
          </w:p>
        </w:tc>
        <w:tc>
          <w:tcPr>
            <w:tcW w:w="9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i w:val="1"/>
                <w:iCs w:val="1"/>
                <w:color w:val="auto"/>
                <w:w w:val="96"/>
              </w:rPr>
              <w:t>Grant Date</w:t>
            </w:r>
          </w:p>
        </w:tc>
        <w:tc>
          <w:tcPr>
            <w:tcW w:w="0" w:type="dxa"/>
            <w:vAlign w:val="bottom"/>
          </w:tcPr>
          <w:p>
            <w:pPr>
              <w:spacing w:after="0"/>
              <w:rPr>
                <w:sz w:val="1"/>
                <w:szCs w:val="1"/>
                <w:color w:val="auto"/>
              </w:rPr>
            </w:pPr>
          </w:p>
        </w:tc>
      </w:tr>
      <w:tr>
        <w:trPr>
          <w:trHeight w:val="135"/>
        </w:trPr>
        <w:tc>
          <w:tcPr>
            <w:tcW w:w="1100" w:type="dxa"/>
            <w:vAlign w:val="bottom"/>
            <w:tcBorders>
              <w:left w:val="single" w:sz="8" w:color="auto"/>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i w:val="1"/>
                <w:iCs w:val="1"/>
                <w:color w:val="auto"/>
                <w:w w:val="91"/>
              </w:rPr>
              <w:t>Stock Awards:</w:t>
            </w:r>
          </w:p>
        </w:tc>
        <w:tc>
          <w:tcPr>
            <w:tcW w:w="1060" w:type="dxa"/>
            <w:vAlign w:val="bottom"/>
            <w:tcBorders>
              <w:right w:val="single" w:sz="8" w:color="auto"/>
            </w:tcBorders>
            <w:vMerge w:val="continue"/>
          </w:tcPr>
          <w:p>
            <w:pPr>
              <w:spacing w:after="0"/>
              <w:rPr>
                <w:sz w:val="11"/>
                <w:szCs w:val="11"/>
                <w:color w:val="auto"/>
              </w:rPr>
            </w:pPr>
          </w:p>
        </w:tc>
        <w:tc>
          <w:tcPr>
            <w:tcW w:w="840" w:type="dxa"/>
            <w:vAlign w:val="bottom"/>
            <w:tcBorders>
              <w:right w:val="single" w:sz="8" w:color="auto"/>
            </w:tcBorders>
            <w:vMerge w:val="continue"/>
          </w:tcPr>
          <w:p>
            <w:pPr>
              <w:spacing w:after="0"/>
              <w:rPr>
                <w:sz w:val="11"/>
                <w:szCs w:val="11"/>
                <w:color w:val="auto"/>
              </w:rPr>
            </w:pPr>
          </w:p>
        </w:tc>
        <w:tc>
          <w:tcPr>
            <w:tcW w:w="9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00" w:type="dxa"/>
            <w:vAlign w:val="bottom"/>
            <w:tcBorders>
              <w:left w:val="single" w:sz="8" w:color="auto"/>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284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4"/>
                <w:szCs w:val="14"/>
                <w:i w:val="1"/>
                <w:iCs w:val="1"/>
                <w:color w:val="auto"/>
                <w:w w:val="92"/>
              </w:rPr>
              <w:t>Estimated Possible Payouts under Non-Equity</w:t>
            </w:r>
          </w:p>
        </w:tc>
        <w:tc>
          <w:tcPr>
            <w:tcW w:w="25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4"/>
                <w:szCs w:val="14"/>
                <w:i w:val="1"/>
                <w:iCs w:val="1"/>
                <w:color w:val="auto"/>
                <w:w w:val="92"/>
              </w:rPr>
              <w:t>Estimated Possible Payouts under Equity</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i w:val="1"/>
                <w:iCs w:val="1"/>
                <w:color w:val="auto"/>
                <w:w w:val="94"/>
              </w:rPr>
              <w:t>Number of</w:t>
            </w: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i w:val="1"/>
                <w:iCs w:val="1"/>
                <w:color w:val="auto"/>
                <w:w w:val="93"/>
              </w:rPr>
              <w:t>Awards: Number</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i w:val="1"/>
                <w:iCs w:val="1"/>
                <w:color w:val="auto"/>
                <w:w w:val="87"/>
              </w:rPr>
              <w:t>Base</w:t>
            </w:r>
          </w:p>
        </w:tc>
        <w:tc>
          <w:tcPr>
            <w:tcW w:w="9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i w:val="1"/>
                <w:iCs w:val="1"/>
                <w:color w:val="auto"/>
                <w:w w:val="95"/>
              </w:rPr>
              <w:t>Fair Value of</w:t>
            </w:r>
          </w:p>
        </w:tc>
        <w:tc>
          <w:tcPr>
            <w:tcW w:w="0" w:type="dxa"/>
            <w:vAlign w:val="bottom"/>
          </w:tcPr>
          <w:p>
            <w:pPr>
              <w:spacing w:after="0"/>
              <w:rPr>
                <w:sz w:val="1"/>
                <w:szCs w:val="1"/>
                <w:color w:val="auto"/>
              </w:rPr>
            </w:pPr>
          </w:p>
        </w:tc>
      </w:tr>
      <w:tr>
        <w:trPr>
          <w:trHeight w:val="54"/>
        </w:trPr>
        <w:tc>
          <w:tcPr>
            <w:tcW w:w="1100" w:type="dxa"/>
            <w:vAlign w:val="bottom"/>
            <w:tcBorders>
              <w:left w:val="single" w:sz="8" w:color="auto"/>
              <w:right w:val="single" w:sz="8" w:color="auto"/>
            </w:tcBorders>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2840" w:type="dxa"/>
            <w:vAlign w:val="bottom"/>
            <w:tcBorders>
              <w:right w:val="single" w:sz="8" w:color="auto"/>
            </w:tcBorders>
            <w:gridSpan w:val="3"/>
            <w:vMerge w:val="continue"/>
          </w:tcPr>
          <w:p>
            <w:pPr>
              <w:spacing w:after="0"/>
              <w:rPr>
                <w:sz w:val="4"/>
                <w:szCs w:val="4"/>
                <w:color w:val="auto"/>
              </w:rPr>
            </w:pPr>
          </w:p>
        </w:tc>
        <w:tc>
          <w:tcPr>
            <w:tcW w:w="2500" w:type="dxa"/>
            <w:vAlign w:val="bottom"/>
            <w:tcBorders>
              <w:right w:val="single" w:sz="8" w:color="auto"/>
            </w:tcBorders>
            <w:gridSpan w:val="3"/>
            <w:vMerge w:val="continue"/>
          </w:tcPr>
          <w:p>
            <w:pPr>
              <w:spacing w:after="0"/>
              <w:rPr>
                <w:sz w:val="4"/>
                <w:szCs w:val="4"/>
                <w:color w:val="auto"/>
              </w:rPr>
            </w:pPr>
          </w:p>
        </w:tc>
        <w:tc>
          <w:tcPr>
            <w:tcW w:w="92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4"/>
                <w:szCs w:val="14"/>
                <w:i w:val="1"/>
                <w:iCs w:val="1"/>
                <w:color w:val="auto"/>
                <w:w w:val="90"/>
              </w:rPr>
              <w:t>Shares of</w:t>
            </w:r>
          </w:p>
        </w:tc>
        <w:tc>
          <w:tcPr>
            <w:tcW w:w="106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4"/>
                <w:szCs w:val="14"/>
                <w:i w:val="1"/>
                <w:iCs w:val="1"/>
                <w:color w:val="auto"/>
                <w:w w:val="90"/>
              </w:rPr>
              <w:t>of Securities</w:t>
            </w: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4"/>
                <w:szCs w:val="14"/>
                <w:i w:val="1"/>
                <w:iCs w:val="1"/>
                <w:color w:val="auto"/>
                <w:w w:val="96"/>
              </w:rPr>
              <w:t>Price of</w:t>
            </w:r>
          </w:p>
        </w:tc>
        <w:tc>
          <w:tcPr>
            <w:tcW w:w="98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4"/>
                <w:szCs w:val="14"/>
                <w:i w:val="1"/>
                <w:iCs w:val="1"/>
                <w:color w:val="auto"/>
                <w:w w:val="89"/>
              </w:rPr>
              <w:t>Stock and</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right w:val="single" w:sz="8" w:color="auto"/>
            </w:tcBorders>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284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4"/>
                <w:szCs w:val="14"/>
                <w:i w:val="1"/>
                <w:iCs w:val="1"/>
                <w:color w:val="auto"/>
                <w:w w:val="94"/>
              </w:rPr>
              <w:t>Incentive Plan Awards (1)</w:t>
            </w:r>
          </w:p>
        </w:tc>
        <w:tc>
          <w:tcPr>
            <w:tcW w:w="25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4"/>
                <w:szCs w:val="14"/>
                <w:i w:val="1"/>
                <w:iCs w:val="1"/>
                <w:color w:val="auto"/>
                <w:w w:val="94"/>
              </w:rPr>
              <w:t>Incentive Plan Awards (2)</w:t>
            </w:r>
          </w:p>
        </w:tc>
        <w:tc>
          <w:tcPr>
            <w:tcW w:w="920" w:type="dxa"/>
            <w:vAlign w:val="bottom"/>
            <w:tcBorders>
              <w:right w:val="single" w:sz="8" w:color="auto"/>
            </w:tcBorders>
            <w:vMerge w:val="continue"/>
          </w:tcPr>
          <w:p>
            <w:pPr>
              <w:spacing w:after="0"/>
              <w:rPr>
                <w:sz w:val="7"/>
                <w:szCs w:val="7"/>
                <w:color w:val="auto"/>
              </w:rPr>
            </w:pPr>
          </w:p>
        </w:tc>
        <w:tc>
          <w:tcPr>
            <w:tcW w:w="1060" w:type="dxa"/>
            <w:vAlign w:val="bottom"/>
            <w:tcBorders>
              <w:right w:val="single" w:sz="8" w:color="auto"/>
            </w:tcBorders>
            <w:vMerge w:val="continue"/>
          </w:tcPr>
          <w:p>
            <w:pPr>
              <w:spacing w:after="0"/>
              <w:rPr>
                <w:sz w:val="7"/>
                <w:szCs w:val="7"/>
                <w:color w:val="auto"/>
              </w:rPr>
            </w:pPr>
          </w:p>
        </w:tc>
        <w:tc>
          <w:tcPr>
            <w:tcW w:w="840" w:type="dxa"/>
            <w:vAlign w:val="bottom"/>
            <w:tcBorders>
              <w:right w:val="single" w:sz="8" w:color="auto"/>
            </w:tcBorders>
            <w:vMerge w:val="continue"/>
          </w:tcPr>
          <w:p>
            <w:pPr>
              <w:spacing w:after="0"/>
              <w:rPr>
                <w:sz w:val="7"/>
                <w:szCs w:val="7"/>
                <w:color w:val="auto"/>
              </w:rPr>
            </w:pPr>
          </w:p>
        </w:tc>
        <w:tc>
          <w:tcPr>
            <w:tcW w:w="9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1100" w:type="dxa"/>
            <w:vAlign w:val="bottom"/>
            <w:tcBorders>
              <w:left w:val="single" w:sz="8" w:color="auto"/>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2840" w:type="dxa"/>
            <w:vAlign w:val="bottom"/>
            <w:tcBorders>
              <w:bottom w:val="single" w:sz="8" w:color="auto"/>
              <w:right w:val="single" w:sz="8" w:color="auto"/>
            </w:tcBorders>
            <w:gridSpan w:val="3"/>
            <w:vMerge w:val="continue"/>
          </w:tcPr>
          <w:p>
            <w:pPr>
              <w:spacing w:after="0"/>
              <w:rPr>
                <w:sz w:val="9"/>
                <w:szCs w:val="9"/>
                <w:color w:val="auto"/>
              </w:rPr>
            </w:pPr>
          </w:p>
        </w:tc>
        <w:tc>
          <w:tcPr>
            <w:tcW w:w="2500" w:type="dxa"/>
            <w:vAlign w:val="bottom"/>
            <w:tcBorders>
              <w:bottom w:val="single" w:sz="8" w:color="auto"/>
              <w:right w:val="single" w:sz="8" w:color="auto"/>
            </w:tcBorders>
            <w:gridSpan w:val="3"/>
            <w:vMerge w:val="continue"/>
          </w:tcPr>
          <w:p>
            <w:pPr>
              <w:spacing w:after="0"/>
              <w:rPr>
                <w:sz w:val="9"/>
                <w:szCs w:val="9"/>
                <w:color w:val="auto"/>
              </w:rPr>
            </w:pPr>
          </w:p>
        </w:tc>
        <w:tc>
          <w:tcPr>
            <w:tcW w:w="92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2"/>
                <w:szCs w:val="12"/>
                <w:i w:val="1"/>
                <w:iCs w:val="1"/>
                <w:color w:val="auto"/>
              </w:rPr>
              <w:t>Stock or Units</w:t>
            </w:r>
          </w:p>
        </w:tc>
        <w:tc>
          <w:tcPr>
            <w:tcW w:w="106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2"/>
                <w:szCs w:val="12"/>
                <w:i w:val="1"/>
                <w:iCs w:val="1"/>
                <w:color w:val="auto"/>
              </w:rPr>
              <w:t>Underlying</w:t>
            </w:r>
          </w:p>
        </w:tc>
        <w:tc>
          <w:tcPr>
            <w:tcW w:w="84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2"/>
                <w:szCs w:val="12"/>
                <w:i w:val="1"/>
                <w:iCs w:val="1"/>
                <w:color w:val="auto"/>
              </w:rPr>
              <w:t>Option</w:t>
            </w:r>
          </w:p>
        </w:tc>
        <w:tc>
          <w:tcPr>
            <w:tcW w:w="98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2"/>
                <w:szCs w:val="12"/>
                <w:i w:val="1"/>
                <w:iCs w:val="1"/>
                <w:color w:val="auto"/>
              </w:rPr>
              <w:t>Option Awards</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ind w:left="380"/>
              <w:spacing w:after="0"/>
              <w:rPr>
                <w:sz w:val="20"/>
                <w:szCs w:val="20"/>
                <w:color w:val="auto"/>
              </w:rPr>
            </w:pPr>
            <w:r>
              <w:rPr>
                <w:rFonts w:ascii="Arial" w:cs="Arial" w:eastAsia="Arial" w:hAnsi="Arial"/>
                <w:sz w:val="14"/>
                <w:szCs w:val="14"/>
                <w:i w:val="1"/>
                <w:iCs w:val="1"/>
                <w:color w:val="auto"/>
              </w:rPr>
              <w:t>Name</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w w:val="96"/>
              </w:rPr>
              <w:t>Grant Date</w:t>
            </w:r>
          </w:p>
        </w:tc>
        <w:tc>
          <w:tcPr>
            <w:tcW w:w="860" w:type="dxa"/>
            <w:vAlign w:val="bottom"/>
            <w:tcBorders>
              <w:bottom w:val="single" w:sz="8" w:color="auto"/>
            </w:tcBorders>
          </w:tcPr>
          <w:p>
            <w:pPr>
              <w:ind w:left="120"/>
              <w:spacing w:after="0"/>
              <w:rPr>
                <w:sz w:val="20"/>
                <w:szCs w:val="20"/>
                <w:color w:val="auto"/>
              </w:rPr>
            </w:pPr>
            <w:r>
              <w:rPr>
                <w:rFonts w:ascii="Arial" w:cs="Arial" w:eastAsia="Arial" w:hAnsi="Arial"/>
                <w:sz w:val="14"/>
                <w:szCs w:val="14"/>
                <w:i w:val="1"/>
                <w:iCs w:val="1"/>
                <w:color w:val="auto"/>
              </w:rPr>
              <w:t>Threshold</w:t>
            </w:r>
          </w:p>
        </w:tc>
        <w:tc>
          <w:tcPr>
            <w:tcW w:w="980" w:type="dxa"/>
            <w:vAlign w:val="bottom"/>
            <w:tcBorders>
              <w:bottom w:val="single" w:sz="8" w:color="auto"/>
            </w:tcBorders>
          </w:tcPr>
          <w:p>
            <w:pPr>
              <w:ind w:left="300"/>
              <w:spacing w:after="0"/>
              <w:rPr>
                <w:sz w:val="20"/>
                <w:szCs w:val="20"/>
                <w:color w:val="auto"/>
              </w:rPr>
            </w:pPr>
            <w:r>
              <w:rPr>
                <w:rFonts w:ascii="Arial" w:cs="Arial" w:eastAsia="Arial" w:hAnsi="Arial"/>
                <w:sz w:val="14"/>
                <w:szCs w:val="14"/>
                <w:i w:val="1"/>
                <w:iCs w:val="1"/>
                <w:color w:val="auto"/>
              </w:rPr>
              <w:t>Target</w:t>
            </w:r>
          </w:p>
        </w:tc>
        <w:tc>
          <w:tcPr>
            <w:tcW w:w="10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4"/>
                <w:szCs w:val="14"/>
                <w:i w:val="1"/>
                <w:iCs w:val="1"/>
                <w:color w:val="auto"/>
              </w:rPr>
              <w:t>Maximum</w:t>
            </w:r>
          </w:p>
        </w:tc>
        <w:tc>
          <w:tcPr>
            <w:tcW w:w="860" w:type="dxa"/>
            <w:vAlign w:val="bottom"/>
            <w:tcBorders>
              <w:bottom w:val="single" w:sz="8" w:color="auto"/>
            </w:tcBorders>
          </w:tcPr>
          <w:p>
            <w:pPr>
              <w:ind w:left="120"/>
              <w:spacing w:after="0"/>
              <w:rPr>
                <w:sz w:val="20"/>
                <w:szCs w:val="20"/>
                <w:color w:val="auto"/>
              </w:rPr>
            </w:pPr>
            <w:r>
              <w:rPr>
                <w:rFonts w:ascii="Arial" w:cs="Arial" w:eastAsia="Arial" w:hAnsi="Arial"/>
                <w:sz w:val="14"/>
                <w:szCs w:val="14"/>
                <w:i w:val="1"/>
                <w:iCs w:val="1"/>
                <w:color w:val="auto"/>
              </w:rPr>
              <w:t>Threshold</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93"/>
              </w:rPr>
              <w:t>Target</w:t>
            </w:r>
          </w:p>
        </w:tc>
        <w:tc>
          <w:tcPr>
            <w:tcW w:w="9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4"/>
                <w:szCs w:val="14"/>
                <w:i w:val="1"/>
                <w:iCs w:val="1"/>
                <w:color w:val="auto"/>
              </w:rPr>
              <w:t>Maximum</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w w:val="93"/>
              </w:rPr>
              <w:t>(3)</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w w:val="95"/>
              </w:rPr>
              <w:t>Options (4)</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w w:val="94"/>
              </w:rPr>
              <w:t>Awards</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w w:val="93"/>
              </w:rPr>
              <w:t>(5)</w:t>
            </w:r>
          </w:p>
        </w:tc>
        <w:tc>
          <w:tcPr>
            <w:tcW w:w="0" w:type="dxa"/>
            <w:vAlign w:val="bottom"/>
          </w:tcPr>
          <w:p>
            <w:pPr>
              <w:spacing w:after="0"/>
              <w:rPr>
                <w:sz w:val="1"/>
                <w:szCs w:val="1"/>
                <w:color w:val="auto"/>
              </w:rPr>
            </w:pPr>
          </w:p>
        </w:tc>
      </w:tr>
      <w:tr>
        <w:trPr>
          <w:trHeight w:val="179"/>
        </w:trPr>
        <w:tc>
          <w:tcPr>
            <w:tcW w:w="1100" w:type="dxa"/>
            <w:vAlign w:val="bottom"/>
            <w:tcBorders>
              <w:left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David A.</w:t>
            </w:r>
          </w:p>
        </w:tc>
        <w:tc>
          <w:tcPr>
            <w:tcW w:w="10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2/10/2021</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$0</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$1,716,000</w:t>
            </w:r>
          </w:p>
        </w:tc>
        <w:tc>
          <w:tcPr>
            <w:tcW w:w="10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$3,432,000</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4"/>
        </w:trPr>
        <w:tc>
          <w:tcPr>
            <w:tcW w:w="110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Zapico</w:t>
            </w:r>
          </w:p>
        </w:tc>
        <w:tc>
          <w:tcPr>
            <w:tcW w:w="10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3/11/2021</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15,230</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30,460</w:t>
            </w:r>
          </w:p>
        </w:tc>
        <w:tc>
          <w:tcPr>
            <w:tcW w:w="9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60,920</w:t>
            </w:r>
          </w:p>
        </w:tc>
        <w:tc>
          <w:tcPr>
            <w:tcW w:w="9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$3,981,122</w:t>
            </w:r>
          </w:p>
        </w:tc>
        <w:tc>
          <w:tcPr>
            <w:tcW w:w="0" w:type="dxa"/>
            <w:vAlign w:val="bottom"/>
          </w:tcPr>
          <w:p>
            <w:pPr>
              <w:spacing w:after="0"/>
              <w:rPr>
                <w:sz w:val="1"/>
                <w:szCs w:val="1"/>
                <w:color w:val="auto"/>
              </w:rPr>
            </w:pPr>
          </w:p>
        </w:tc>
      </w:tr>
      <w:tr>
        <w:trPr>
          <w:trHeight w:val="195"/>
        </w:trPr>
        <w:tc>
          <w:tcPr>
            <w:tcW w:w="1100" w:type="dxa"/>
            <w:vAlign w:val="bottom"/>
            <w:tcBorders>
              <w:left w:val="single" w:sz="8" w:color="auto"/>
              <w:bottom w:val="single" w:sz="8" w:color="auto"/>
              <w:right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3/11/2021</w:t>
            </w:r>
          </w:p>
        </w:tc>
        <w:tc>
          <w:tcPr>
            <w:tcW w:w="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15,230</w:t>
            </w:r>
          </w:p>
        </w:tc>
        <w:tc>
          <w:tcPr>
            <w:tcW w:w="10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61,210</w:t>
            </w:r>
          </w:p>
        </w:tc>
        <w:tc>
          <w:tcPr>
            <w:tcW w:w="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$121.91</w:t>
            </w:r>
          </w:p>
        </w:tc>
        <w:tc>
          <w:tcPr>
            <w:tcW w:w="9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3,425,208</w:t>
            </w:r>
          </w:p>
        </w:tc>
        <w:tc>
          <w:tcPr>
            <w:tcW w:w="0" w:type="dxa"/>
            <w:vAlign w:val="bottom"/>
          </w:tcPr>
          <w:p>
            <w:pPr>
              <w:spacing w:after="0"/>
              <w:rPr>
                <w:sz w:val="1"/>
                <w:szCs w:val="1"/>
                <w:color w:val="auto"/>
              </w:rPr>
            </w:pPr>
          </w:p>
        </w:tc>
      </w:tr>
      <w:tr>
        <w:trPr>
          <w:trHeight w:val="182"/>
        </w:trPr>
        <w:tc>
          <w:tcPr>
            <w:tcW w:w="1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William J.</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2/10/2021</w:t>
            </w:r>
          </w:p>
        </w:tc>
        <w:tc>
          <w:tcPr>
            <w:tcW w:w="860" w:type="dxa"/>
            <w:vAlign w:val="bottom"/>
          </w:tcPr>
          <w:p>
            <w:pPr>
              <w:jc w:val="center"/>
              <w:spacing w:after="0"/>
              <w:rPr>
                <w:sz w:val="20"/>
                <w:szCs w:val="20"/>
                <w:color w:val="auto"/>
              </w:rPr>
            </w:pPr>
            <w:r>
              <w:rPr>
                <w:rFonts w:ascii="Arial" w:cs="Arial" w:eastAsia="Arial" w:hAnsi="Arial"/>
                <w:sz w:val="14"/>
                <w:szCs w:val="14"/>
                <w:color w:val="auto"/>
              </w:rPr>
              <w:t>0</w:t>
            </w:r>
          </w:p>
        </w:tc>
        <w:tc>
          <w:tcPr>
            <w:tcW w:w="980" w:type="dxa"/>
            <w:vAlign w:val="bottom"/>
          </w:tcPr>
          <w:p>
            <w:pPr>
              <w:jc w:val="center"/>
              <w:spacing w:after="0"/>
              <w:rPr>
                <w:sz w:val="20"/>
                <w:szCs w:val="20"/>
                <w:color w:val="auto"/>
              </w:rPr>
            </w:pPr>
            <w:r>
              <w:rPr>
                <w:rFonts w:ascii="Arial" w:cs="Arial" w:eastAsia="Arial" w:hAnsi="Arial"/>
                <w:sz w:val="14"/>
                <w:szCs w:val="14"/>
                <w:color w:val="auto"/>
                <w:w w:val="94"/>
              </w:rPr>
              <w:t>521,640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1,043,280</w:t>
            </w: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4"/>
        </w:trPr>
        <w:tc>
          <w:tcPr>
            <w:tcW w:w="1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Burke</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3/11/2021</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1"/>
              </w:rPr>
              <w:t>4,180</w:t>
            </w:r>
          </w:p>
        </w:tc>
        <w:tc>
          <w:tcPr>
            <w:tcW w:w="740" w:type="dxa"/>
            <w:vAlign w:val="bottom"/>
          </w:tcPr>
          <w:p>
            <w:pPr>
              <w:jc w:val="center"/>
              <w:spacing w:after="0"/>
              <w:rPr>
                <w:sz w:val="20"/>
                <w:szCs w:val="20"/>
                <w:color w:val="auto"/>
              </w:rPr>
            </w:pPr>
            <w:r>
              <w:rPr>
                <w:rFonts w:ascii="Arial" w:cs="Arial" w:eastAsia="Arial" w:hAnsi="Arial"/>
                <w:sz w:val="14"/>
                <w:szCs w:val="14"/>
                <w:color w:val="auto"/>
                <w:w w:val="96"/>
              </w:rPr>
              <w:t>8,360</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16,720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1,092,652</w:t>
            </w:r>
          </w:p>
        </w:tc>
        <w:tc>
          <w:tcPr>
            <w:tcW w:w="0" w:type="dxa"/>
            <w:vAlign w:val="bottom"/>
          </w:tcPr>
          <w:p>
            <w:pPr>
              <w:spacing w:after="0"/>
              <w:rPr>
                <w:sz w:val="1"/>
                <w:szCs w:val="1"/>
                <w:color w:val="auto"/>
              </w:rPr>
            </w:pPr>
          </w:p>
        </w:tc>
      </w:tr>
      <w:tr>
        <w:trPr>
          <w:trHeight w:val="195"/>
        </w:trPr>
        <w:tc>
          <w:tcPr>
            <w:tcW w:w="1100" w:type="dxa"/>
            <w:vAlign w:val="bottom"/>
            <w:tcBorders>
              <w:left w:val="single" w:sz="8" w:color="auto"/>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3/11/2021</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4,180</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16,800</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$121.91</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940,087</w:t>
            </w:r>
          </w:p>
        </w:tc>
        <w:tc>
          <w:tcPr>
            <w:tcW w:w="0" w:type="dxa"/>
            <w:vAlign w:val="bottom"/>
          </w:tcPr>
          <w:p>
            <w:pPr>
              <w:spacing w:after="0"/>
              <w:rPr>
                <w:sz w:val="1"/>
                <w:szCs w:val="1"/>
                <w:color w:val="auto"/>
              </w:rPr>
            </w:pPr>
          </w:p>
        </w:tc>
      </w:tr>
      <w:tr>
        <w:trPr>
          <w:trHeight w:val="182"/>
        </w:trPr>
        <w:tc>
          <w:tcPr>
            <w:tcW w:w="110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John W.</w:t>
            </w:r>
          </w:p>
        </w:tc>
        <w:tc>
          <w:tcPr>
            <w:tcW w:w="10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2/10/2021</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420,210</w:t>
            </w:r>
          </w:p>
        </w:tc>
        <w:tc>
          <w:tcPr>
            <w:tcW w:w="10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840,420</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4"/>
        </w:trPr>
        <w:tc>
          <w:tcPr>
            <w:tcW w:w="110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Hardin</w:t>
            </w:r>
          </w:p>
        </w:tc>
        <w:tc>
          <w:tcPr>
            <w:tcW w:w="10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3/11/2021</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1,760</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3,520</w:t>
            </w:r>
          </w:p>
        </w:tc>
        <w:tc>
          <w:tcPr>
            <w:tcW w:w="9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7,040</w:t>
            </w:r>
          </w:p>
        </w:tc>
        <w:tc>
          <w:tcPr>
            <w:tcW w:w="9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460,064</w:t>
            </w:r>
          </w:p>
        </w:tc>
        <w:tc>
          <w:tcPr>
            <w:tcW w:w="0" w:type="dxa"/>
            <w:vAlign w:val="bottom"/>
          </w:tcPr>
          <w:p>
            <w:pPr>
              <w:spacing w:after="0"/>
              <w:rPr>
                <w:sz w:val="1"/>
                <w:szCs w:val="1"/>
                <w:color w:val="auto"/>
              </w:rPr>
            </w:pPr>
          </w:p>
        </w:tc>
      </w:tr>
      <w:tr>
        <w:trPr>
          <w:trHeight w:val="195"/>
        </w:trPr>
        <w:tc>
          <w:tcPr>
            <w:tcW w:w="1100" w:type="dxa"/>
            <w:vAlign w:val="bottom"/>
            <w:tcBorders>
              <w:left w:val="single" w:sz="8" w:color="auto"/>
              <w:bottom w:val="single" w:sz="8" w:color="auto"/>
              <w:right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3/11/2021</w:t>
            </w:r>
          </w:p>
        </w:tc>
        <w:tc>
          <w:tcPr>
            <w:tcW w:w="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2,640</w:t>
            </w:r>
          </w:p>
        </w:tc>
        <w:tc>
          <w:tcPr>
            <w:tcW w:w="10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10,600</w:t>
            </w:r>
          </w:p>
        </w:tc>
        <w:tc>
          <w:tcPr>
            <w:tcW w:w="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$121.91</w:t>
            </w:r>
          </w:p>
        </w:tc>
        <w:tc>
          <w:tcPr>
            <w:tcW w:w="9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593,470</w:t>
            </w:r>
          </w:p>
        </w:tc>
        <w:tc>
          <w:tcPr>
            <w:tcW w:w="0" w:type="dxa"/>
            <w:vAlign w:val="bottom"/>
          </w:tcPr>
          <w:p>
            <w:pPr>
              <w:spacing w:after="0"/>
              <w:rPr>
                <w:sz w:val="1"/>
                <w:szCs w:val="1"/>
                <w:color w:val="auto"/>
              </w:rPr>
            </w:pPr>
          </w:p>
        </w:tc>
      </w:tr>
      <w:tr>
        <w:trPr>
          <w:trHeight w:val="182"/>
        </w:trPr>
        <w:tc>
          <w:tcPr>
            <w:tcW w:w="1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Timothy N.</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2/10/2021</w:t>
            </w:r>
          </w:p>
        </w:tc>
        <w:tc>
          <w:tcPr>
            <w:tcW w:w="860" w:type="dxa"/>
            <w:vAlign w:val="bottom"/>
          </w:tcPr>
          <w:p>
            <w:pPr>
              <w:jc w:val="center"/>
              <w:spacing w:after="0"/>
              <w:rPr>
                <w:sz w:val="20"/>
                <w:szCs w:val="20"/>
                <w:color w:val="auto"/>
              </w:rPr>
            </w:pPr>
            <w:r>
              <w:rPr>
                <w:rFonts w:ascii="Arial" w:cs="Arial" w:eastAsia="Arial" w:hAnsi="Arial"/>
                <w:sz w:val="14"/>
                <w:szCs w:val="14"/>
                <w:color w:val="auto"/>
              </w:rPr>
              <w:t>0</w:t>
            </w:r>
          </w:p>
        </w:tc>
        <w:tc>
          <w:tcPr>
            <w:tcW w:w="980" w:type="dxa"/>
            <w:vAlign w:val="bottom"/>
          </w:tcPr>
          <w:p>
            <w:pPr>
              <w:jc w:val="center"/>
              <w:spacing w:after="0"/>
              <w:rPr>
                <w:sz w:val="20"/>
                <w:szCs w:val="20"/>
                <w:color w:val="auto"/>
              </w:rPr>
            </w:pPr>
            <w:r>
              <w:rPr>
                <w:rFonts w:ascii="Arial" w:cs="Arial" w:eastAsia="Arial" w:hAnsi="Arial"/>
                <w:sz w:val="14"/>
                <w:szCs w:val="14"/>
                <w:color w:val="auto"/>
                <w:w w:val="94"/>
              </w:rPr>
              <w:t>394,387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788,774</w:t>
            </w: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4"/>
        </w:trPr>
        <w:tc>
          <w:tcPr>
            <w:tcW w:w="1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Jones</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3/11/2021</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1"/>
              </w:rPr>
              <w:t>1,635</w:t>
            </w:r>
          </w:p>
        </w:tc>
        <w:tc>
          <w:tcPr>
            <w:tcW w:w="740" w:type="dxa"/>
            <w:vAlign w:val="bottom"/>
          </w:tcPr>
          <w:p>
            <w:pPr>
              <w:jc w:val="center"/>
              <w:spacing w:after="0"/>
              <w:rPr>
                <w:sz w:val="20"/>
                <w:szCs w:val="20"/>
                <w:color w:val="auto"/>
              </w:rPr>
            </w:pPr>
            <w:r>
              <w:rPr>
                <w:rFonts w:ascii="Arial" w:cs="Arial" w:eastAsia="Arial" w:hAnsi="Arial"/>
                <w:sz w:val="14"/>
                <w:szCs w:val="14"/>
                <w:color w:val="auto"/>
                <w:w w:val="96"/>
              </w:rPr>
              <w:t>3,270</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6,540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427,389</w:t>
            </w:r>
          </w:p>
        </w:tc>
        <w:tc>
          <w:tcPr>
            <w:tcW w:w="0" w:type="dxa"/>
            <w:vAlign w:val="bottom"/>
          </w:tcPr>
          <w:p>
            <w:pPr>
              <w:spacing w:after="0"/>
              <w:rPr>
                <w:sz w:val="1"/>
                <w:szCs w:val="1"/>
                <w:color w:val="auto"/>
              </w:rPr>
            </w:pPr>
          </w:p>
        </w:tc>
      </w:tr>
      <w:tr>
        <w:trPr>
          <w:trHeight w:val="195"/>
        </w:trPr>
        <w:tc>
          <w:tcPr>
            <w:tcW w:w="1100" w:type="dxa"/>
            <w:vAlign w:val="bottom"/>
            <w:tcBorders>
              <w:left w:val="single" w:sz="8" w:color="auto"/>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3/11/2021</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2,450</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9,840</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$121.91</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550,831</w:t>
            </w:r>
          </w:p>
        </w:tc>
        <w:tc>
          <w:tcPr>
            <w:tcW w:w="0" w:type="dxa"/>
            <w:vAlign w:val="bottom"/>
          </w:tcPr>
          <w:p>
            <w:pPr>
              <w:spacing w:after="0"/>
              <w:rPr>
                <w:sz w:val="1"/>
                <w:szCs w:val="1"/>
                <w:color w:val="auto"/>
              </w:rPr>
            </w:pPr>
          </w:p>
        </w:tc>
      </w:tr>
      <w:tr>
        <w:trPr>
          <w:trHeight w:val="182"/>
        </w:trPr>
        <w:tc>
          <w:tcPr>
            <w:tcW w:w="110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Thomas C.</w:t>
            </w:r>
          </w:p>
        </w:tc>
        <w:tc>
          <w:tcPr>
            <w:tcW w:w="10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2/10/2021</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362,250</w:t>
            </w:r>
          </w:p>
        </w:tc>
        <w:tc>
          <w:tcPr>
            <w:tcW w:w="10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724,500</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4"/>
        </w:trPr>
        <w:tc>
          <w:tcPr>
            <w:tcW w:w="110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Marecic</w:t>
            </w:r>
          </w:p>
        </w:tc>
        <w:tc>
          <w:tcPr>
            <w:tcW w:w="10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3/11/2021</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1,575</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3,150</w:t>
            </w:r>
          </w:p>
        </w:tc>
        <w:tc>
          <w:tcPr>
            <w:tcW w:w="9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6,300</w:t>
            </w:r>
          </w:p>
        </w:tc>
        <w:tc>
          <w:tcPr>
            <w:tcW w:w="9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411,705</w:t>
            </w:r>
          </w:p>
        </w:tc>
        <w:tc>
          <w:tcPr>
            <w:tcW w:w="0" w:type="dxa"/>
            <w:vAlign w:val="bottom"/>
          </w:tcPr>
          <w:p>
            <w:pPr>
              <w:spacing w:after="0"/>
              <w:rPr>
                <w:sz w:val="1"/>
                <w:szCs w:val="1"/>
                <w:color w:val="auto"/>
              </w:rPr>
            </w:pPr>
          </w:p>
        </w:tc>
      </w:tr>
      <w:tr>
        <w:trPr>
          <w:trHeight w:val="195"/>
        </w:trPr>
        <w:tc>
          <w:tcPr>
            <w:tcW w:w="1100" w:type="dxa"/>
            <w:vAlign w:val="bottom"/>
            <w:tcBorders>
              <w:left w:val="single" w:sz="8" w:color="auto"/>
              <w:bottom w:val="single" w:sz="8" w:color="auto"/>
              <w:right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3/11/2021</w:t>
            </w:r>
          </w:p>
        </w:tc>
        <w:tc>
          <w:tcPr>
            <w:tcW w:w="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2,360</w:t>
            </w:r>
          </w:p>
        </w:tc>
        <w:tc>
          <w:tcPr>
            <w:tcW w:w="10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9,480</w:t>
            </w:r>
          </w:p>
        </w:tc>
        <w:tc>
          <w:tcPr>
            <w:tcW w:w="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$121.91</w:t>
            </w:r>
          </w:p>
        </w:tc>
        <w:tc>
          <w:tcPr>
            <w:tcW w:w="9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530,634</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500" w:right="20" w:hanging="492"/>
        <w:spacing w:after="0" w:line="257" w:lineRule="auto"/>
        <w:tabs>
          <w:tab w:leader="none" w:pos="494"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These targets were established under our short-term incentive program. See “Compensation Discussion and Analysis – 2021 Compensation Components – Short-Term Incentive Program” for information regarding the criteria applied in determining the amounts payable under the awards. There were no threshold amounts payable under the short-term incentive program. The actual amounts paid with respect to these awards are included in the “Non-Equity Incentive Plan Compensation” column in the Summary Compensation Table on page </w:t>
      </w:r>
      <w:hyperlink w:anchor="page41">
        <w:r>
          <w:rPr>
            <w:rFonts w:ascii="Arial" w:cs="Arial" w:eastAsia="Arial" w:hAnsi="Arial"/>
            <w:sz w:val="18"/>
            <w:szCs w:val="18"/>
            <w:u w:val="single" w:color="auto"/>
            <w:color w:val="0000FF"/>
          </w:rPr>
          <w:t>36</w:t>
        </w:r>
      </w:hyperlink>
      <w:r>
        <w:rPr>
          <w:rFonts w:ascii="Arial" w:cs="Arial" w:eastAsia="Arial" w:hAnsi="Arial"/>
          <w:sz w:val="18"/>
          <w:szCs w:val="18"/>
          <w:color w:val="auto"/>
        </w:rPr>
        <w:t>. Targets reflect the October 1, 2021 salary for each individual, as required by the program.</w:t>
      </w:r>
    </w:p>
    <w:p>
      <w:pPr>
        <w:spacing w:after="0" w:line="79" w:lineRule="exact"/>
        <w:rPr>
          <w:rFonts w:ascii="Arial" w:cs="Arial" w:eastAsia="Arial" w:hAnsi="Arial"/>
          <w:sz w:val="18"/>
          <w:szCs w:val="18"/>
          <w:color w:val="auto"/>
        </w:rPr>
      </w:pPr>
    </w:p>
    <w:p>
      <w:pPr>
        <w:ind w:left="500" w:right="40" w:hanging="492"/>
        <w:spacing w:after="0" w:line="253" w:lineRule="auto"/>
        <w:tabs>
          <w:tab w:leader="none" w:pos="494"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detailed description of the equity incentive plan awards is provided under the Equity-Based Compensation subheading which appears earlier in this document. The awards consist of performance-based restricted stock award units granted under our 2020 Omnibus Incentive Compensation Plan. Units earned will vest within three months following the conclusion of the performance period upon certification of performance results by the Compensation Committee. Award holders who terminate from employment more than one year into the performance period and following the attainment of age fifty-five and at least ten years of service are provisionally vested pending performance certification by the Committee. Recipients who terminate employment due to death or disability, or as a result of and concurrent with a change of control, shall become vested in the target number of units awarded upon certification of performance results by the Compensation Committee. Cash dividends are earned on the units awarded but are not paid until the award vests. Until the award vests, the dividends accrue interest at the 5-year Treasury note rate plus 0.5%, compounded quarterly.</w:t>
      </w:r>
    </w:p>
    <w:p>
      <w:pPr>
        <w:spacing w:after="0" w:line="88" w:lineRule="exact"/>
        <w:rPr>
          <w:rFonts w:ascii="Arial" w:cs="Arial" w:eastAsia="Arial" w:hAnsi="Arial"/>
          <w:sz w:val="18"/>
          <w:szCs w:val="18"/>
          <w:color w:val="auto"/>
        </w:rPr>
      </w:pPr>
    </w:p>
    <w:p>
      <w:pPr>
        <w:ind w:left="500" w:right="80" w:hanging="492"/>
        <w:spacing w:after="0" w:line="287" w:lineRule="auto"/>
        <w:tabs>
          <w:tab w:leader="none" w:pos="494"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stock awards constitute restricted shares granted under our 2020 Omnibus Incentive Compensation Plan. These shares become vested and nonforfeitable on the earliest of: (a) with respect to one-third of the restricted shares awarded (and any dividends with respect thereto) on each of the first, second and third anniversaries of the award date, subject to the recipient’s continuous employment with the company through each such date;</w:t>
      </w:r>
    </w:p>
    <w:p>
      <w:pPr>
        <w:spacing w:after="0" w:line="2" w:lineRule="exact"/>
        <w:rPr>
          <w:rFonts w:ascii="Arial" w:cs="Arial" w:eastAsia="Arial" w:hAnsi="Arial"/>
          <w:sz w:val="16"/>
          <w:szCs w:val="16"/>
          <w:color w:val="auto"/>
        </w:rPr>
      </w:pPr>
    </w:p>
    <w:p>
      <w:pPr>
        <w:ind w:left="500" w:right="160"/>
        <w:spacing w:after="0" w:line="277" w:lineRule="auto"/>
        <w:rPr>
          <w:rFonts w:ascii="Arial" w:cs="Arial" w:eastAsia="Arial" w:hAnsi="Arial"/>
          <w:sz w:val="16"/>
          <w:szCs w:val="16"/>
          <w:color w:val="auto"/>
        </w:rPr>
      </w:pPr>
      <w:r>
        <w:rPr>
          <w:rFonts w:ascii="Arial" w:cs="Arial" w:eastAsia="Arial" w:hAnsi="Arial"/>
          <w:sz w:val="17"/>
          <w:szCs w:val="17"/>
          <w:color w:val="auto"/>
        </w:rPr>
        <w:t>(b) the death or disability of the recipient; (c) the recipient’s termination of employment with the company as a result of and concurrent with a change of control. Cash dividends are earned on the restricted shares but are not paid until the restricted shares vest. Until the restricted stock vests, the dividends accrue interest at the five-year Treasury note rate plus 0.5%, compounded quarterly.</w:t>
      </w:r>
    </w:p>
    <w:p>
      <w:pPr>
        <w:spacing w:after="0" w:line="64" w:lineRule="exact"/>
        <w:rPr>
          <w:rFonts w:ascii="Arial" w:cs="Arial" w:eastAsia="Arial" w:hAnsi="Arial"/>
          <w:sz w:val="16"/>
          <w:szCs w:val="16"/>
          <w:color w:val="auto"/>
        </w:rPr>
      </w:pPr>
    </w:p>
    <w:p>
      <w:pPr>
        <w:ind w:left="500" w:right="180" w:hanging="492"/>
        <w:spacing w:after="0" w:line="259" w:lineRule="auto"/>
        <w:tabs>
          <w:tab w:leader="none" w:pos="49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option awards constitute stock options granted under our 2020 Omnibus Incentive Compensation Plan. Stock options become exercisable as to one-third of the underlying shares on each of the first three anniversaries of the date of grant. Options generally become fully exercisable in the event of: retirement after the completion of at least two full years of employment and the attainment of age sixty-five, the grantee’s death or permanent disability, or termination of employment in connection with a change of control.</w:t>
      </w:r>
    </w:p>
    <w:p>
      <w:pPr>
        <w:spacing w:after="0" w:line="78" w:lineRule="exact"/>
        <w:rPr>
          <w:rFonts w:ascii="Arial" w:cs="Arial" w:eastAsia="Arial" w:hAnsi="Arial"/>
          <w:sz w:val="18"/>
          <w:szCs w:val="18"/>
          <w:color w:val="auto"/>
        </w:rPr>
      </w:pPr>
    </w:p>
    <w:p>
      <w:pPr>
        <w:ind w:left="500" w:right="80" w:hanging="492"/>
        <w:spacing w:after="0" w:line="277" w:lineRule="auto"/>
        <w:tabs>
          <w:tab w:leader="none" w:pos="49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grant date fair value is computed in accordance with ASC 718, but without giving effect to estimated forfeitures related to service-based vesting conditions. The assumptions used in determining the grant date fair value of option</w:t>
      </w:r>
    </w:p>
    <w:p>
      <w:pPr>
        <w:spacing w:after="0" w:line="200" w:lineRule="exact"/>
        <w:rPr>
          <w:sz w:val="20"/>
          <w:szCs w:val="20"/>
          <w:color w:val="auto"/>
        </w:rPr>
      </w:pPr>
    </w:p>
    <w:p>
      <w:pPr>
        <w:spacing w:after="0" w:line="250" w:lineRule="exact"/>
        <w:rPr>
          <w:sz w:val="20"/>
          <w:szCs w:val="20"/>
          <w:color w:val="auto"/>
        </w:rPr>
      </w:pPr>
    </w:p>
    <w:p>
      <w:pPr>
        <w:ind w:left="7780"/>
        <w:spacing w:after="0"/>
        <w:tabs>
          <w:tab w:leader="none" w:pos="11020" w:val="left"/>
        </w:tabs>
        <w:rPr>
          <w:sz w:val="20"/>
          <w:szCs w:val="20"/>
          <w:color w:val="auto"/>
        </w:rPr>
      </w:pPr>
      <w:r>
        <w:rPr>
          <w:rFonts w:ascii="Arial" w:cs="Arial" w:eastAsia="Arial" w:hAnsi="Arial"/>
          <w:sz w:val="18"/>
          <w:szCs w:val="18"/>
          <w:b w:val="1"/>
          <w:bCs w:val="1"/>
          <w:color w:val="auto"/>
        </w:rPr>
        <w:t>AMETEK, INC. 2022 Proxy Statement</w:t>
      </w:r>
      <w:r>
        <w:rPr>
          <w:sz w:val="20"/>
          <w:szCs w:val="20"/>
          <w:color w:val="auto"/>
        </w:rPr>
        <w:tab/>
      </w:r>
      <w:r>
        <w:rPr>
          <w:rFonts w:ascii="Arial" w:cs="Arial" w:eastAsia="Arial" w:hAnsi="Arial"/>
          <w:sz w:val="16"/>
          <w:szCs w:val="16"/>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60"/>
          </w:cols>
          <w:pgMar w:left="320" w:top="1350" w:right="319" w:bottom="1440" w:gutter="0" w:footer="0" w:header="0"/>
        </w:sectPr>
      </w:pPr>
    </w:p>
    <w:bookmarkStart w:id="42" w:name="page43"/>
    <w:bookmarkEnd w:id="42"/>
    <w:p>
      <w:pPr>
        <w:ind w:left="500"/>
        <w:spacing w:after="0"/>
        <w:rPr>
          <w:sz w:val="20"/>
          <w:szCs w:val="20"/>
          <w:color w:val="auto"/>
        </w:rPr>
      </w:pPr>
      <w:r>
        <w:rPr>
          <w:rFonts w:ascii="Arial" w:cs="Arial" w:eastAsia="Arial" w:hAnsi="Arial"/>
          <w:sz w:val="18"/>
          <w:szCs w:val="18"/>
          <w:color w:val="auto"/>
        </w:rPr>
        <w:t>awards in this column are set forth in Note 11 to our Consolidated Financial Statements in our Form 10-K filed with the SEC.</w:t>
      </w: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details regarding outstanding equity awards for the named executive officers at December 31, 2021.</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99"/>
        </w:trPr>
        <w:tc>
          <w:tcPr>
            <w:tcW w:w="940" w:type="dxa"/>
            <w:vAlign w:val="bottom"/>
            <w:tcBorders>
              <w:top w:val="single" w:sz="8" w:color="auto"/>
              <w:left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2180" w:type="dxa"/>
            <w:vAlign w:val="bottom"/>
            <w:tcBorders>
              <w:top w:val="single" w:sz="8" w:color="auto"/>
              <w:bottom w:val="single" w:sz="8" w:color="auto"/>
            </w:tcBorders>
            <w:gridSpan w:val="2"/>
          </w:tcPr>
          <w:p>
            <w:pPr>
              <w:jc w:val="right"/>
              <w:ind w:right="588"/>
              <w:spacing w:after="0"/>
              <w:rPr>
                <w:sz w:val="20"/>
                <w:szCs w:val="20"/>
                <w:color w:val="auto"/>
              </w:rPr>
            </w:pPr>
            <w:r>
              <w:rPr>
                <w:rFonts w:ascii="Arial" w:cs="Arial" w:eastAsia="Arial" w:hAnsi="Arial"/>
                <w:sz w:val="14"/>
                <w:szCs w:val="14"/>
                <w:color w:val="auto"/>
              </w:rPr>
              <w:t>Option Awards (1)</w:t>
            </w: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right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Stock Awards</w:t>
            </w:r>
          </w:p>
        </w:tc>
        <w:tc>
          <w:tcPr>
            <w:tcW w:w="1480" w:type="dxa"/>
            <w:vAlign w:val="bottom"/>
            <w:tcBorders>
              <w:top w:val="single" w:sz="8" w:color="auto"/>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940" w:type="dxa"/>
            <w:vAlign w:val="bottom"/>
            <w:tcBorders>
              <w:left w:val="single" w:sz="8" w:color="auto"/>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i w:val="1"/>
                <w:iCs w:val="1"/>
                <w:color w:val="auto"/>
                <w:w w:val="94"/>
              </w:rPr>
              <w:t>Number of</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i w:val="1"/>
                <w:iCs w:val="1"/>
                <w:color w:val="auto"/>
                <w:w w:val="94"/>
              </w:rPr>
              <w:t>Number of</w:t>
            </w:r>
          </w:p>
        </w:tc>
        <w:tc>
          <w:tcPr>
            <w:tcW w:w="14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i w:val="1"/>
                <w:iCs w:val="1"/>
                <w:color w:val="auto"/>
                <w:w w:val="91"/>
              </w:rPr>
              <w:t>Number of</w:t>
            </w:r>
          </w:p>
        </w:tc>
        <w:tc>
          <w:tcPr>
            <w:tcW w:w="1000" w:type="dxa"/>
            <w:vAlign w:val="bottom"/>
          </w:tcPr>
          <w:p>
            <w:pPr>
              <w:jc w:val="center"/>
              <w:ind w:left="28"/>
              <w:spacing w:after="0" w:line="132" w:lineRule="exact"/>
              <w:rPr>
                <w:sz w:val="20"/>
                <w:szCs w:val="20"/>
                <w:color w:val="auto"/>
              </w:rPr>
            </w:pPr>
            <w:r>
              <w:rPr>
                <w:rFonts w:ascii="Arial" w:cs="Arial" w:eastAsia="Arial" w:hAnsi="Arial"/>
                <w:sz w:val="14"/>
                <w:szCs w:val="14"/>
                <w:i w:val="1"/>
                <w:iCs w:val="1"/>
                <w:color w:val="auto"/>
                <w:w w:val="98"/>
              </w:rPr>
              <w:t>Market</w:t>
            </w:r>
          </w:p>
        </w:tc>
        <w:tc>
          <w:tcPr>
            <w:tcW w:w="14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tcPr>
          <w:p>
            <w:pPr>
              <w:spacing w:after="0"/>
              <w:rPr>
                <w:sz w:val="11"/>
                <w:szCs w:val="11"/>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i w:val="1"/>
                <w:iCs w:val="1"/>
                <w:color w:val="auto"/>
                <w:w w:val="96"/>
              </w:rPr>
              <w:t>Equity Incentive Plan</w:t>
            </w:r>
          </w:p>
        </w:tc>
        <w:tc>
          <w:tcPr>
            <w:tcW w:w="0" w:type="dxa"/>
            <w:vAlign w:val="bottom"/>
          </w:tcPr>
          <w:p>
            <w:pPr>
              <w:spacing w:after="0"/>
              <w:rPr>
                <w:sz w:val="1"/>
                <w:szCs w:val="1"/>
                <w:color w:val="auto"/>
              </w:rPr>
            </w:pP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continue"/>
          </w:tcPr>
          <w:p>
            <w:pPr>
              <w:spacing w:after="0"/>
              <w:rPr>
                <w:sz w:val="11"/>
                <w:szCs w:val="11"/>
                <w:color w:val="auto"/>
              </w:rPr>
            </w:pPr>
          </w:p>
        </w:tc>
        <w:tc>
          <w:tcPr>
            <w:tcW w:w="1160" w:type="dxa"/>
            <w:vAlign w:val="bottom"/>
            <w:tcBorders>
              <w:right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vMerge w:val="continue"/>
          </w:tcPr>
          <w:p>
            <w:pPr>
              <w:spacing w:after="0"/>
              <w:rPr>
                <w:sz w:val="11"/>
                <w:szCs w:val="11"/>
                <w:color w:val="auto"/>
              </w:rPr>
            </w:pPr>
          </w:p>
        </w:tc>
        <w:tc>
          <w:tcPr>
            <w:tcW w:w="1000" w:type="dxa"/>
            <w:vAlign w:val="bottom"/>
          </w:tcPr>
          <w:p>
            <w:pPr>
              <w:jc w:val="center"/>
              <w:ind w:left="28"/>
              <w:spacing w:after="0" w:line="135" w:lineRule="exact"/>
              <w:rPr>
                <w:sz w:val="20"/>
                <w:szCs w:val="20"/>
                <w:color w:val="auto"/>
              </w:rPr>
            </w:pPr>
            <w:r>
              <w:rPr>
                <w:rFonts w:ascii="Arial" w:cs="Arial" w:eastAsia="Arial" w:hAnsi="Arial"/>
                <w:sz w:val="14"/>
                <w:szCs w:val="14"/>
                <w:i w:val="1"/>
                <w:iCs w:val="1"/>
                <w:color w:val="auto"/>
                <w:w w:val="89"/>
              </w:rPr>
              <w:t>Value of</w:t>
            </w:r>
          </w:p>
        </w:tc>
        <w:tc>
          <w:tcPr>
            <w:tcW w:w="14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i w:val="1"/>
                <w:iCs w:val="1"/>
                <w:color w:val="auto"/>
                <w:w w:val="94"/>
              </w:rPr>
              <w:t>Equity Incentive Plan</w:t>
            </w:r>
          </w:p>
        </w:tc>
        <w:tc>
          <w:tcPr>
            <w:tcW w:w="14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i w:val="1"/>
                <w:iCs w:val="1"/>
                <w:color w:val="auto"/>
                <w:w w:val="94"/>
              </w:rPr>
              <w:t>Securities</w:t>
            </w:r>
          </w:p>
        </w:tc>
        <w:tc>
          <w:tcPr>
            <w:tcW w:w="11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i w:val="1"/>
                <w:iCs w:val="1"/>
                <w:color w:val="auto"/>
                <w:w w:val="91"/>
              </w:rPr>
              <w:t>Securities</w:t>
            </w:r>
          </w:p>
        </w:tc>
        <w:tc>
          <w:tcPr>
            <w:tcW w:w="14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i w:val="1"/>
                <w:iCs w:val="1"/>
                <w:color w:val="auto"/>
                <w:w w:val="92"/>
              </w:rPr>
              <w:t>Shares or</w:t>
            </w:r>
          </w:p>
        </w:tc>
        <w:tc>
          <w:tcPr>
            <w:tcW w:w="1000" w:type="dxa"/>
            <w:vAlign w:val="bottom"/>
          </w:tcPr>
          <w:p>
            <w:pPr>
              <w:jc w:val="center"/>
              <w:ind w:left="28"/>
              <w:spacing w:after="0" w:line="135" w:lineRule="exact"/>
              <w:rPr>
                <w:sz w:val="20"/>
                <w:szCs w:val="20"/>
                <w:color w:val="auto"/>
              </w:rPr>
            </w:pPr>
            <w:r>
              <w:rPr>
                <w:rFonts w:ascii="Arial" w:cs="Arial" w:eastAsia="Arial" w:hAnsi="Arial"/>
                <w:sz w:val="14"/>
                <w:szCs w:val="14"/>
                <w:i w:val="1"/>
                <w:iCs w:val="1"/>
                <w:color w:val="auto"/>
                <w:w w:val="88"/>
              </w:rPr>
              <w:t>Shares or</w:t>
            </w:r>
          </w:p>
        </w:tc>
        <w:tc>
          <w:tcPr>
            <w:tcW w:w="14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vMerge w:val="continue"/>
          </w:tcPr>
          <w:p>
            <w:pPr>
              <w:spacing w:after="0"/>
              <w:rPr>
                <w:sz w:val="11"/>
                <w:szCs w:val="11"/>
                <w:color w:val="auto"/>
              </w:rPr>
            </w:pPr>
          </w:p>
        </w:tc>
        <w:tc>
          <w:tcPr>
            <w:tcW w:w="14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i w:val="1"/>
                <w:iCs w:val="1"/>
                <w:color w:val="auto"/>
                <w:w w:val="96"/>
              </w:rPr>
              <w:t>Awards: Market or</w:t>
            </w:r>
          </w:p>
        </w:tc>
        <w:tc>
          <w:tcPr>
            <w:tcW w:w="0" w:type="dxa"/>
            <w:vAlign w:val="bottom"/>
          </w:tcPr>
          <w:p>
            <w:pPr>
              <w:spacing w:after="0"/>
              <w:rPr>
                <w:sz w:val="1"/>
                <w:szCs w:val="1"/>
                <w:color w:val="auto"/>
              </w:rPr>
            </w:pP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i w:val="1"/>
                <w:iCs w:val="1"/>
                <w:color w:val="auto"/>
                <w:w w:val="98"/>
              </w:rPr>
              <w:t>Underlying</w:t>
            </w:r>
          </w:p>
        </w:tc>
        <w:tc>
          <w:tcPr>
            <w:tcW w:w="11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i w:val="1"/>
                <w:iCs w:val="1"/>
                <w:color w:val="auto"/>
                <w:w w:val="98"/>
              </w:rPr>
              <w:t>Underlying</w:t>
            </w:r>
          </w:p>
        </w:tc>
        <w:tc>
          <w:tcPr>
            <w:tcW w:w="140" w:type="dxa"/>
            <w:vAlign w:val="bottom"/>
          </w:tcPr>
          <w:p>
            <w:pPr>
              <w:spacing w:after="0"/>
              <w:rPr>
                <w:sz w:val="11"/>
                <w:szCs w:val="11"/>
                <w:color w:val="auto"/>
              </w:rPr>
            </w:pPr>
          </w:p>
        </w:tc>
        <w:tc>
          <w:tcPr>
            <w:tcW w:w="740" w:type="dxa"/>
            <w:vAlign w:val="bottom"/>
            <w:tcBorders>
              <w:right w:val="single" w:sz="8" w:color="auto"/>
            </w:tcBorders>
            <w:vMerge w:val="restart"/>
          </w:tcPr>
          <w:p>
            <w:pPr>
              <w:jc w:val="center"/>
              <w:ind w:right="108"/>
              <w:spacing w:after="0"/>
              <w:rPr>
                <w:sz w:val="20"/>
                <w:szCs w:val="20"/>
                <w:color w:val="auto"/>
              </w:rPr>
            </w:pPr>
            <w:r>
              <w:rPr>
                <w:rFonts w:ascii="Arial" w:cs="Arial" w:eastAsia="Arial" w:hAnsi="Arial"/>
                <w:sz w:val="14"/>
                <w:szCs w:val="14"/>
                <w:i w:val="1"/>
                <w:iCs w:val="1"/>
                <w:color w:val="auto"/>
                <w:w w:val="96"/>
              </w:rPr>
              <w:t>Option</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i w:val="1"/>
                <w:iCs w:val="1"/>
                <w:color w:val="auto"/>
                <w:w w:val="96"/>
              </w:rPr>
              <w:t>Option</w:t>
            </w:r>
          </w:p>
        </w:tc>
        <w:tc>
          <w:tcPr>
            <w:tcW w:w="11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i w:val="1"/>
                <w:iCs w:val="1"/>
                <w:color w:val="auto"/>
                <w:w w:val="96"/>
              </w:rPr>
              <w:t>Units of</w:t>
            </w:r>
          </w:p>
        </w:tc>
        <w:tc>
          <w:tcPr>
            <w:tcW w:w="1000" w:type="dxa"/>
            <w:vAlign w:val="bottom"/>
          </w:tcPr>
          <w:p>
            <w:pPr>
              <w:jc w:val="center"/>
              <w:ind w:left="28"/>
              <w:spacing w:after="0" w:line="135" w:lineRule="exact"/>
              <w:rPr>
                <w:sz w:val="20"/>
                <w:szCs w:val="20"/>
                <w:color w:val="auto"/>
              </w:rPr>
            </w:pPr>
            <w:r>
              <w:rPr>
                <w:rFonts w:ascii="Arial" w:cs="Arial" w:eastAsia="Arial" w:hAnsi="Arial"/>
                <w:sz w:val="14"/>
                <w:szCs w:val="14"/>
                <w:i w:val="1"/>
                <w:iCs w:val="1"/>
                <w:color w:val="auto"/>
                <w:w w:val="94"/>
              </w:rPr>
              <w:t>Units of Stock</w:t>
            </w:r>
          </w:p>
        </w:tc>
        <w:tc>
          <w:tcPr>
            <w:tcW w:w="14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i w:val="1"/>
                <w:iCs w:val="1"/>
                <w:color w:val="auto"/>
                <w:w w:val="93"/>
              </w:rPr>
              <w:t>Awards: Number of</w:t>
            </w:r>
          </w:p>
        </w:tc>
        <w:tc>
          <w:tcPr>
            <w:tcW w:w="14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i w:val="1"/>
                <w:iCs w:val="1"/>
                <w:color w:val="auto"/>
                <w:w w:val="91"/>
              </w:rPr>
              <w:t>Payout Value of</w:t>
            </w:r>
          </w:p>
        </w:tc>
        <w:tc>
          <w:tcPr>
            <w:tcW w:w="0" w:type="dxa"/>
            <w:vAlign w:val="bottom"/>
          </w:tcPr>
          <w:p>
            <w:pPr>
              <w:spacing w:after="0"/>
              <w:rPr>
                <w:sz w:val="1"/>
                <w:szCs w:val="1"/>
                <w:color w:val="auto"/>
              </w:rPr>
            </w:pP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i w:val="1"/>
                <w:iCs w:val="1"/>
                <w:color w:val="auto"/>
                <w:w w:val="96"/>
              </w:rPr>
              <w:t>Option</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i w:val="1"/>
                <w:iCs w:val="1"/>
                <w:color w:val="auto"/>
                <w:w w:val="89"/>
              </w:rPr>
              <w:t>Unexercised</w:t>
            </w:r>
          </w:p>
        </w:tc>
        <w:tc>
          <w:tcPr>
            <w:tcW w:w="11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i w:val="1"/>
                <w:iCs w:val="1"/>
                <w:color w:val="auto"/>
                <w:w w:val="92"/>
              </w:rPr>
              <w:t>Unexercised</w:t>
            </w:r>
          </w:p>
        </w:tc>
        <w:tc>
          <w:tcPr>
            <w:tcW w:w="140" w:type="dxa"/>
            <w:vAlign w:val="bottom"/>
          </w:tcPr>
          <w:p>
            <w:pPr>
              <w:spacing w:after="0"/>
              <w:rPr>
                <w:sz w:val="11"/>
                <w:szCs w:val="11"/>
                <w:color w:val="auto"/>
              </w:rPr>
            </w:pPr>
          </w:p>
        </w:tc>
        <w:tc>
          <w:tcPr>
            <w:tcW w:w="740" w:type="dxa"/>
            <w:vAlign w:val="bottom"/>
            <w:tcBorders>
              <w:right w:val="single" w:sz="8" w:color="auto"/>
            </w:tcBorders>
            <w:vMerge w:val="continue"/>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11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i w:val="1"/>
                <w:iCs w:val="1"/>
                <w:color w:val="auto"/>
                <w:w w:val="89"/>
              </w:rPr>
              <w:t>Stock That</w:t>
            </w:r>
          </w:p>
        </w:tc>
        <w:tc>
          <w:tcPr>
            <w:tcW w:w="1000" w:type="dxa"/>
            <w:vAlign w:val="bottom"/>
          </w:tcPr>
          <w:p>
            <w:pPr>
              <w:jc w:val="center"/>
              <w:ind w:left="28"/>
              <w:spacing w:after="0" w:line="135" w:lineRule="exact"/>
              <w:rPr>
                <w:sz w:val="20"/>
                <w:szCs w:val="20"/>
                <w:color w:val="auto"/>
              </w:rPr>
            </w:pPr>
            <w:r>
              <w:rPr>
                <w:rFonts w:ascii="Arial" w:cs="Arial" w:eastAsia="Arial" w:hAnsi="Arial"/>
                <w:sz w:val="14"/>
                <w:szCs w:val="14"/>
                <w:i w:val="1"/>
                <w:iCs w:val="1"/>
                <w:color w:val="auto"/>
                <w:w w:val="92"/>
              </w:rPr>
              <w:t>That</w:t>
            </w:r>
          </w:p>
        </w:tc>
        <w:tc>
          <w:tcPr>
            <w:tcW w:w="14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i w:val="1"/>
                <w:iCs w:val="1"/>
                <w:color w:val="auto"/>
                <w:w w:val="92"/>
              </w:rPr>
              <w:t>Unearned Shares, Units</w:t>
            </w:r>
          </w:p>
        </w:tc>
        <w:tc>
          <w:tcPr>
            <w:tcW w:w="14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i w:val="1"/>
                <w:iCs w:val="1"/>
                <w:color w:val="auto"/>
                <w:w w:val="92"/>
              </w:rPr>
              <w:t>Unearned Shares, Units</w:t>
            </w:r>
          </w:p>
        </w:tc>
        <w:tc>
          <w:tcPr>
            <w:tcW w:w="0" w:type="dxa"/>
            <w:vAlign w:val="bottom"/>
          </w:tcPr>
          <w:p>
            <w:pPr>
              <w:spacing w:after="0"/>
              <w:rPr>
                <w:sz w:val="1"/>
                <w:szCs w:val="1"/>
                <w:color w:val="auto"/>
              </w:rPr>
            </w:pPr>
          </w:p>
        </w:tc>
      </w:tr>
      <w:tr>
        <w:trPr>
          <w:trHeight w:val="135"/>
        </w:trPr>
        <w:tc>
          <w:tcPr>
            <w:tcW w:w="9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i w:val="1"/>
                <w:iCs w:val="1"/>
                <w:color w:val="auto"/>
              </w:rPr>
              <w:t>Name</w:t>
            </w:r>
          </w:p>
        </w:tc>
        <w:tc>
          <w:tcPr>
            <w:tcW w:w="1100" w:type="dxa"/>
            <w:vAlign w:val="bottom"/>
            <w:tcBorders>
              <w:right w:val="single" w:sz="8" w:color="auto"/>
            </w:tcBorders>
            <w:vMerge w:val="continue"/>
          </w:tcPr>
          <w:p>
            <w:pPr>
              <w:spacing w:after="0"/>
              <w:rPr>
                <w:sz w:val="11"/>
                <w:szCs w:val="11"/>
                <w:color w:val="auto"/>
              </w:rPr>
            </w:pP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i w:val="1"/>
                <w:iCs w:val="1"/>
                <w:color w:val="auto"/>
                <w:w w:val="95"/>
              </w:rPr>
              <w:t>Options</w:t>
            </w:r>
          </w:p>
        </w:tc>
        <w:tc>
          <w:tcPr>
            <w:tcW w:w="11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i w:val="1"/>
                <w:iCs w:val="1"/>
                <w:color w:val="auto"/>
                <w:w w:val="95"/>
              </w:rPr>
              <w:t>Options</w:t>
            </w:r>
          </w:p>
        </w:tc>
        <w:tc>
          <w:tcPr>
            <w:tcW w:w="140" w:type="dxa"/>
            <w:vAlign w:val="bottom"/>
          </w:tcPr>
          <w:p>
            <w:pPr>
              <w:spacing w:after="0"/>
              <w:rPr>
                <w:sz w:val="11"/>
                <w:szCs w:val="11"/>
                <w:color w:val="auto"/>
              </w:rPr>
            </w:pPr>
          </w:p>
        </w:tc>
        <w:tc>
          <w:tcPr>
            <w:tcW w:w="740" w:type="dxa"/>
            <w:vAlign w:val="bottom"/>
            <w:tcBorders>
              <w:right w:val="single" w:sz="8" w:color="auto"/>
            </w:tcBorders>
          </w:tcPr>
          <w:p>
            <w:pPr>
              <w:jc w:val="center"/>
              <w:ind w:right="88"/>
              <w:spacing w:after="0" w:line="135" w:lineRule="exact"/>
              <w:rPr>
                <w:sz w:val="20"/>
                <w:szCs w:val="20"/>
                <w:color w:val="auto"/>
              </w:rPr>
            </w:pPr>
            <w:r>
              <w:rPr>
                <w:rFonts w:ascii="Arial" w:cs="Arial" w:eastAsia="Arial" w:hAnsi="Arial"/>
                <w:sz w:val="14"/>
                <w:szCs w:val="14"/>
                <w:i w:val="1"/>
                <w:iCs w:val="1"/>
                <w:color w:val="auto"/>
                <w:w w:val="93"/>
              </w:rPr>
              <w:t>Exercise</w:t>
            </w:r>
          </w:p>
        </w:tc>
        <w:tc>
          <w:tcPr>
            <w:tcW w:w="9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i w:val="1"/>
                <w:iCs w:val="1"/>
                <w:color w:val="auto"/>
                <w:w w:val="99"/>
              </w:rPr>
              <w:t>Expiration</w:t>
            </w:r>
          </w:p>
        </w:tc>
        <w:tc>
          <w:tcPr>
            <w:tcW w:w="11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i w:val="1"/>
                <w:iCs w:val="1"/>
                <w:color w:val="auto"/>
                <w:w w:val="95"/>
              </w:rPr>
              <w:t>Have Not</w:t>
            </w:r>
          </w:p>
        </w:tc>
        <w:tc>
          <w:tcPr>
            <w:tcW w:w="1000" w:type="dxa"/>
            <w:vAlign w:val="bottom"/>
          </w:tcPr>
          <w:p>
            <w:pPr>
              <w:jc w:val="center"/>
              <w:ind w:left="28"/>
              <w:spacing w:after="0" w:line="135" w:lineRule="exact"/>
              <w:rPr>
                <w:sz w:val="20"/>
                <w:szCs w:val="20"/>
                <w:color w:val="auto"/>
              </w:rPr>
            </w:pPr>
            <w:r>
              <w:rPr>
                <w:rFonts w:ascii="Arial" w:cs="Arial" w:eastAsia="Arial" w:hAnsi="Arial"/>
                <w:sz w:val="14"/>
                <w:szCs w:val="14"/>
                <w:i w:val="1"/>
                <w:iCs w:val="1"/>
                <w:color w:val="auto"/>
                <w:w w:val="92"/>
              </w:rPr>
              <w:t>Have Not</w:t>
            </w:r>
          </w:p>
        </w:tc>
        <w:tc>
          <w:tcPr>
            <w:tcW w:w="14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i w:val="1"/>
                <w:iCs w:val="1"/>
                <w:color w:val="auto"/>
                <w:w w:val="94"/>
              </w:rPr>
              <w:t>or Other Rights that</w:t>
            </w:r>
          </w:p>
        </w:tc>
        <w:tc>
          <w:tcPr>
            <w:tcW w:w="14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i w:val="1"/>
                <w:iCs w:val="1"/>
                <w:color w:val="auto"/>
                <w:w w:val="96"/>
              </w:rPr>
              <w:t>or Other Rights that</w:t>
            </w:r>
          </w:p>
        </w:tc>
        <w:tc>
          <w:tcPr>
            <w:tcW w:w="0" w:type="dxa"/>
            <w:vAlign w:val="bottom"/>
          </w:tcPr>
          <w:p>
            <w:pPr>
              <w:spacing w:after="0"/>
              <w:rPr>
                <w:sz w:val="1"/>
                <w:szCs w:val="1"/>
                <w:color w:val="auto"/>
              </w:rPr>
            </w:pPr>
          </w:p>
        </w:tc>
      </w:tr>
      <w:tr>
        <w:trPr>
          <w:trHeight w:val="186"/>
        </w:trPr>
        <w:tc>
          <w:tcPr>
            <w:tcW w:w="94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w w:val="96"/>
              </w:rPr>
              <w:t>Grant Date</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w w:val="91"/>
              </w:rPr>
              <w:t>Exercisable</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w w:val="92"/>
              </w:rPr>
              <w:t>Unexercisable</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jc w:val="center"/>
              <w:ind w:right="108"/>
              <w:spacing w:after="0"/>
              <w:rPr>
                <w:sz w:val="20"/>
                <w:szCs w:val="20"/>
                <w:color w:val="auto"/>
              </w:rPr>
            </w:pPr>
            <w:r>
              <w:rPr>
                <w:rFonts w:ascii="Arial" w:cs="Arial" w:eastAsia="Arial" w:hAnsi="Arial"/>
                <w:sz w:val="14"/>
                <w:szCs w:val="14"/>
                <w:i w:val="1"/>
                <w:iCs w:val="1"/>
                <w:color w:val="auto"/>
              </w:rPr>
              <w:t>Price</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w w:val="94"/>
              </w:rPr>
              <w:t>Date</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w w:val="86"/>
              </w:rPr>
              <w:t>Vested (2)</w:t>
            </w:r>
          </w:p>
        </w:tc>
        <w:tc>
          <w:tcPr>
            <w:tcW w:w="100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i w:val="1"/>
                <w:iCs w:val="1"/>
                <w:color w:val="auto"/>
                <w:w w:val="89"/>
              </w:rPr>
              <w:t>Vested (3)</w:t>
            </w:r>
          </w:p>
        </w:tc>
        <w:tc>
          <w:tcPr>
            <w:tcW w:w="14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w w:val="91"/>
              </w:rPr>
              <w:t>Have Not Vested (4)</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w w:val="89"/>
              </w:rPr>
              <w:t>Have Not Vested (3)</w:t>
            </w:r>
          </w:p>
        </w:tc>
        <w:tc>
          <w:tcPr>
            <w:tcW w:w="0" w:type="dxa"/>
            <w:vAlign w:val="bottom"/>
          </w:tcPr>
          <w:p>
            <w:pPr>
              <w:spacing w:after="0"/>
              <w:rPr>
                <w:sz w:val="1"/>
                <w:szCs w:val="1"/>
                <w:color w:val="auto"/>
              </w:rPr>
            </w:pPr>
          </w:p>
        </w:tc>
      </w:tr>
      <w:tr>
        <w:trPr>
          <w:trHeight w:val="179"/>
        </w:trPr>
        <w:tc>
          <w:tcPr>
            <w:tcW w:w="9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David A.</w:t>
            </w:r>
          </w:p>
        </w:tc>
        <w:tc>
          <w:tcPr>
            <w:tcW w:w="11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3/11/2021</w:t>
            </w:r>
          </w:p>
        </w:tc>
        <w:tc>
          <w:tcPr>
            <w:tcW w:w="102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61,210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121.91</w:t>
            </w:r>
          </w:p>
        </w:tc>
        <w:tc>
          <w:tcPr>
            <w:tcW w:w="9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3/11/2031</w:t>
            </w:r>
          </w:p>
        </w:tc>
        <w:tc>
          <w:tcPr>
            <w:tcW w:w="11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15,230</w:t>
            </w:r>
          </w:p>
        </w:tc>
        <w:tc>
          <w:tcPr>
            <w:tcW w:w="100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4"/>
              </w:rPr>
              <w:t>$5,198,011</w:t>
            </w:r>
          </w:p>
        </w:tc>
        <w:tc>
          <w:tcPr>
            <w:tcW w:w="140" w:type="dxa"/>
            <w:vAlign w:val="bottom"/>
            <w:tcBorders>
              <w:right w:val="single" w:sz="8" w:color="auto"/>
            </w:tcBorders>
            <w:shd w:val="clear" w:color="auto" w:fill="CCEEFF"/>
          </w:tcPr>
          <w:p>
            <w:pPr>
              <w:spacing w:after="0"/>
              <w:rPr>
                <w:sz w:val="15"/>
                <w:szCs w:val="15"/>
                <w:color w:val="auto"/>
              </w:rPr>
            </w:pPr>
          </w:p>
        </w:tc>
        <w:tc>
          <w:tcPr>
            <w:tcW w:w="14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30,460</w:t>
            </w:r>
          </w:p>
        </w:tc>
        <w:tc>
          <w:tcPr>
            <w:tcW w:w="14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$19,611,754</w:t>
            </w:r>
          </w:p>
        </w:tc>
        <w:tc>
          <w:tcPr>
            <w:tcW w:w="0" w:type="dxa"/>
            <w:vAlign w:val="bottom"/>
          </w:tcPr>
          <w:p>
            <w:pPr>
              <w:spacing w:after="0"/>
              <w:rPr>
                <w:sz w:val="1"/>
                <w:szCs w:val="1"/>
                <w:color w:val="auto"/>
              </w:rPr>
            </w:pPr>
          </w:p>
        </w:tc>
      </w:tr>
      <w:tr>
        <w:trPr>
          <w:trHeight w:val="184"/>
        </w:trPr>
        <w:tc>
          <w:tcPr>
            <w:tcW w:w="9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Zapico</w:t>
            </w:r>
          </w:p>
        </w:tc>
        <w:tc>
          <w:tcPr>
            <w:tcW w:w="11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3/20/2020</w:t>
            </w:r>
          </w:p>
        </w:tc>
        <w:tc>
          <w:tcPr>
            <w:tcW w:w="102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33,026</w:t>
            </w:r>
          </w:p>
        </w:tc>
        <w:tc>
          <w:tcPr>
            <w:tcW w:w="116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66,054</w:t>
            </w:r>
          </w:p>
        </w:tc>
        <w:tc>
          <w:tcPr>
            <w:tcW w:w="140" w:type="dxa"/>
            <w:vAlign w:val="bottom"/>
            <w:shd w:val="clear" w:color="auto" w:fill="CCEEFF"/>
          </w:tcPr>
          <w:p>
            <w:pPr>
              <w:spacing w:after="0"/>
              <w:rPr>
                <w:sz w:val="15"/>
                <w:szCs w:val="15"/>
                <w:color w:val="auto"/>
              </w:rPr>
            </w:pPr>
          </w:p>
        </w:tc>
        <w:tc>
          <w:tcPr>
            <w:tcW w:w="74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63.37</w:t>
            </w:r>
          </w:p>
        </w:tc>
        <w:tc>
          <w:tcPr>
            <w:tcW w:w="9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3/20/2030</w:t>
            </w:r>
          </w:p>
        </w:tc>
        <w:tc>
          <w:tcPr>
            <w:tcW w:w="11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14,627</w:t>
            </w:r>
          </w:p>
        </w:tc>
        <w:tc>
          <w:tcPr>
            <w:tcW w:w="100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4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43,870</w:t>
            </w:r>
          </w:p>
        </w:tc>
        <w:tc>
          <w:tcPr>
            <w:tcW w:w="148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40" w:type="dxa"/>
            <w:vAlign w:val="bottom"/>
            <w:tcBorders>
              <w:left w:val="single" w:sz="8" w:color="auto"/>
              <w:right w:val="single" w:sz="8" w:color="auto"/>
            </w:tcBorders>
            <w:shd w:val="clear" w:color="auto" w:fill="CCEEFF"/>
          </w:tcPr>
          <w:p>
            <w:pPr>
              <w:spacing w:after="0"/>
              <w:rPr>
                <w:sz w:val="16"/>
                <w:szCs w:val="16"/>
                <w:color w:val="auto"/>
              </w:rPr>
            </w:pPr>
          </w:p>
        </w:tc>
        <w:tc>
          <w:tcPr>
            <w:tcW w:w="11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5/9/2019</w:t>
            </w:r>
          </w:p>
        </w:tc>
        <w:tc>
          <w:tcPr>
            <w:tcW w:w="102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50,480</w:t>
            </w:r>
          </w:p>
        </w:tc>
        <w:tc>
          <w:tcPr>
            <w:tcW w:w="116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25,240</w:t>
            </w:r>
          </w:p>
        </w:tc>
        <w:tc>
          <w:tcPr>
            <w:tcW w:w="140" w:type="dxa"/>
            <w:vAlign w:val="bottom"/>
            <w:shd w:val="clear" w:color="auto" w:fill="CCEEFF"/>
          </w:tcPr>
          <w:p>
            <w:pPr>
              <w:spacing w:after="0"/>
              <w:rPr>
                <w:sz w:val="16"/>
                <w:szCs w:val="16"/>
                <w:color w:val="auto"/>
              </w:rPr>
            </w:pPr>
          </w:p>
        </w:tc>
        <w:tc>
          <w:tcPr>
            <w:tcW w:w="74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85.45</w:t>
            </w:r>
          </w:p>
        </w:tc>
        <w:tc>
          <w:tcPr>
            <w:tcW w:w="9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5/9/2029</w:t>
            </w:r>
          </w:p>
        </w:tc>
        <w:tc>
          <w:tcPr>
            <w:tcW w:w="11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5,494</w:t>
            </w:r>
          </w:p>
        </w:tc>
        <w:tc>
          <w:tcPr>
            <w:tcW w:w="100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4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59,047</w:t>
            </w:r>
          </w:p>
        </w:tc>
        <w:tc>
          <w:tcPr>
            <w:tcW w:w="148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40" w:type="dxa"/>
            <w:vAlign w:val="bottom"/>
            <w:tcBorders>
              <w:left w:val="single" w:sz="8" w:color="auto"/>
              <w:right w:val="single" w:sz="8" w:color="auto"/>
            </w:tcBorders>
            <w:shd w:val="clear" w:color="auto" w:fill="CCEEFF"/>
          </w:tcPr>
          <w:p>
            <w:pPr>
              <w:spacing w:after="0"/>
              <w:rPr>
                <w:sz w:val="16"/>
                <w:szCs w:val="16"/>
                <w:color w:val="auto"/>
              </w:rPr>
            </w:pPr>
          </w:p>
        </w:tc>
        <w:tc>
          <w:tcPr>
            <w:tcW w:w="11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5/8/2018</w:t>
            </w:r>
          </w:p>
        </w:tc>
        <w:tc>
          <w:tcPr>
            <w:tcW w:w="102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103,250</w:t>
            </w:r>
          </w:p>
        </w:tc>
        <w:tc>
          <w:tcPr>
            <w:tcW w:w="116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73.45</w:t>
            </w:r>
          </w:p>
        </w:tc>
        <w:tc>
          <w:tcPr>
            <w:tcW w:w="9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5/8/2028</w:t>
            </w:r>
          </w:p>
        </w:tc>
        <w:tc>
          <w:tcPr>
            <w:tcW w:w="1140" w:type="dxa"/>
            <w:vAlign w:val="bottom"/>
            <w:tcBorders>
              <w:right w:val="single" w:sz="8" w:color="auto"/>
            </w:tcBorders>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440" w:type="dxa"/>
            <w:vAlign w:val="bottom"/>
            <w:tcBorders>
              <w:right w:val="single" w:sz="8" w:color="auto"/>
            </w:tcBorders>
            <w:shd w:val="clear" w:color="auto" w:fill="CCEEFF"/>
          </w:tcPr>
          <w:p>
            <w:pPr>
              <w:spacing w:after="0"/>
              <w:rPr>
                <w:sz w:val="16"/>
                <w:szCs w:val="16"/>
                <w:color w:val="auto"/>
              </w:rPr>
            </w:pPr>
          </w:p>
        </w:tc>
        <w:tc>
          <w:tcPr>
            <w:tcW w:w="148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40" w:type="dxa"/>
            <w:vAlign w:val="bottom"/>
            <w:tcBorders>
              <w:left w:val="single" w:sz="8" w:color="auto"/>
              <w:bottom w:val="single" w:sz="8" w:color="auto"/>
              <w:right w:val="single" w:sz="8" w:color="auto"/>
            </w:tcBorders>
            <w:shd w:val="clear" w:color="auto" w:fill="CCEEFF"/>
          </w:tcPr>
          <w:p>
            <w:pPr>
              <w:spacing w:after="0"/>
              <w:rPr>
                <w:sz w:val="16"/>
                <w:szCs w:val="16"/>
                <w:color w:val="auto"/>
              </w:rPr>
            </w:pPr>
          </w:p>
        </w:tc>
        <w:tc>
          <w:tcPr>
            <w:tcW w:w="11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5/9/2017</w:t>
            </w:r>
          </w:p>
        </w:tc>
        <w:tc>
          <w:tcPr>
            <w:tcW w:w="1020" w:type="dxa"/>
            <w:vAlign w:val="bottom"/>
            <w:tcBorders>
              <w:bottom w:val="single" w:sz="8" w:color="auto"/>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148,270</w:t>
            </w:r>
          </w:p>
        </w:tc>
        <w:tc>
          <w:tcPr>
            <w:tcW w:w="116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60.30</w:t>
            </w:r>
          </w:p>
        </w:tc>
        <w:tc>
          <w:tcPr>
            <w:tcW w:w="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5/9/2024</w:t>
            </w:r>
          </w:p>
        </w:tc>
        <w:tc>
          <w:tcPr>
            <w:tcW w:w="1140" w:type="dxa"/>
            <w:vAlign w:val="bottom"/>
            <w:tcBorders>
              <w:bottom w:val="single" w:sz="8" w:color="auto"/>
              <w:right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right w:val="single" w:sz="8" w:color="auto"/>
            </w:tcBorders>
            <w:shd w:val="clear" w:color="auto" w:fill="CCEEFF"/>
          </w:tcPr>
          <w:p>
            <w:pPr>
              <w:spacing w:after="0"/>
              <w:rPr>
                <w:sz w:val="16"/>
                <w:szCs w:val="16"/>
                <w:color w:val="auto"/>
              </w:rPr>
            </w:pPr>
          </w:p>
        </w:tc>
        <w:tc>
          <w:tcPr>
            <w:tcW w:w="1440" w:type="dxa"/>
            <w:vAlign w:val="bottom"/>
            <w:tcBorders>
              <w:bottom w:val="single" w:sz="8" w:color="auto"/>
              <w:right w:val="single" w:sz="8" w:color="auto"/>
            </w:tcBorders>
            <w:shd w:val="clear" w:color="auto" w:fill="CCEEFF"/>
          </w:tcPr>
          <w:p>
            <w:pPr>
              <w:spacing w:after="0"/>
              <w:rPr>
                <w:sz w:val="16"/>
                <w:szCs w:val="16"/>
                <w:color w:val="auto"/>
              </w:rPr>
            </w:pPr>
          </w:p>
        </w:tc>
        <w:tc>
          <w:tcPr>
            <w:tcW w:w="1480" w:type="dxa"/>
            <w:vAlign w:val="bottom"/>
            <w:tcBorders>
              <w:bottom w:val="single" w:sz="8" w:color="auto"/>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William J.</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3/11/2021</w:t>
            </w:r>
          </w:p>
        </w:tc>
        <w:tc>
          <w:tcPr>
            <w:tcW w:w="102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16,800</w:t>
            </w:r>
          </w:p>
        </w:tc>
        <w:tc>
          <w:tcPr>
            <w:tcW w:w="140" w:type="dxa"/>
            <w:vAlign w:val="bottom"/>
          </w:tcPr>
          <w:p>
            <w:pPr>
              <w:spacing w:after="0"/>
              <w:rPr>
                <w:sz w:val="15"/>
                <w:szCs w:val="15"/>
                <w:color w:val="auto"/>
              </w:rPr>
            </w:pPr>
          </w:p>
        </w:tc>
        <w:tc>
          <w:tcPr>
            <w:tcW w:w="7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121.91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3/11/2031</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4,180</w:t>
            </w:r>
          </w:p>
        </w:tc>
        <w:tc>
          <w:tcPr>
            <w:tcW w:w="1000" w:type="dxa"/>
            <w:vAlign w:val="bottom"/>
          </w:tcPr>
          <w:p>
            <w:pPr>
              <w:jc w:val="center"/>
              <w:ind w:left="28"/>
              <w:spacing w:after="0"/>
              <w:rPr>
                <w:sz w:val="20"/>
                <w:szCs w:val="20"/>
                <w:color w:val="auto"/>
              </w:rPr>
            </w:pPr>
            <w:r>
              <w:rPr>
                <w:rFonts w:ascii="Arial" w:cs="Arial" w:eastAsia="Arial" w:hAnsi="Arial"/>
                <w:sz w:val="14"/>
                <w:szCs w:val="14"/>
                <w:color w:val="auto"/>
                <w:w w:val="93"/>
              </w:rPr>
              <w:t>1,459,666</w:t>
            </w:r>
          </w:p>
        </w:tc>
        <w:tc>
          <w:tcPr>
            <w:tcW w:w="14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8,360</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5,697,653</w:t>
            </w:r>
          </w:p>
        </w:tc>
        <w:tc>
          <w:tcPr>
            <w:tcW w:w="0" w:type="dxa"/>
            <w:vAlign w:val="bottom"/>
          </w:tcPr>
          <w:p>
            <w:pPr>
              <w:spacing w:after="0"/>
              <w:rPr>
                <w:sz w:val="1"/>
                <w:szCs w:val="1"/>
                <w:color w:val="auto"/>
              </w:rPr>
            </w:pPr>
          </w:p>
        </w:tc>
      </w:tr>
      <w:tr>
        <w:trPr>
          <w:trHeight w:val="184"/>
        </w:trPr>
        <w:tc>
          <w:tcPr>
            <w:tcW w:w="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Burke</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3/20/2020</w:t>
            </w:r>
          </w:p>
        </w:tc>
        <w:tc>
          <w:tcPr>
            <w:tcW w:w="102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9,133</w:t>
            </w:r>
          </w:p>
        </w:tc>
        <w:tc>
          <w:tcPr>
            <w:tcW w:w="11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18,267</w:t>
            </w:r>
          </w:p>
        </w:tc>
        <w:tc>
          <w:tcPr>
            <w:tcW w:w="140" w:type="dxa"/>
            <w:vAlign w:val="bottom"/>
          </w:tcPr>
          <w:p>
            <w:pPr>
              <w:spacing w:after="0"/>
              <w:rPr>
                <w:sz w:val="15"/>
                <w:szCs w:val="15"/>
                <w:color w:val="auto"/>
              </w:rPr>
            </w:pPr>
          </w:p>
        </w:tc>
        <w:tc>
          <w:tcPr>
            <w:tcW w:w="7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63.37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3/20/2030</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4,047</w:t>
            </w:r>
          </w:p>
        </w:tc>
        <w:tc>
          <w:tcPr>
            <w:tcW w:w="10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12,140</w:t>
            </w:r>
          </w:p>
        </w:tc>
        <w:tc>
          <w:tcPr>
            <w:tcW w:w="14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40" w:type="dxa"/>
            <w:vAlign w:val="bottom"/>
            <w:tcBorders>
              <w:left w:val="single" w:sz="8" w:color="auto"/>
              <w:right w:val="single" w:sz="8" w:color="auto"/>
            </w:tcBorders>
          </w:tcPr>
          <w:p>
            <w:pPr>
              <w:spacing w:after="0"/>
              <w:rPr>
                <w:sz w:val="16"/>
                <w:szCs w:val="16"/>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5/9/2019</w:t>
            </w:r>
          </w:p>
        </w:tc>
        <w:tc>
          <w:tcPr>
            <w:tcW w:w="102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15,606</w:t>
            </w:r>
          </w:p>
        </w:tc>
        <w:tc>
          <w:tcPr>
            <w:tcW w:w="11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7,804</w:t>
            </w:r>
          </w:p>
        </w:tc>
        <w:tc>
          <w:tcPr>
            <w:tcW w:w="140" w:type="dxa"/>
            <w:vAlign w:val="bottom"/>
          </w:tcPr>
          <w:p>
            <w:pPr>
              <w:spacing w:after="0"/>
              <w:rPr>
                <w:sz w:val="16"/>
                <w:szCs w:val="16"/>
                <w:color w:val="auto"/>
              </w:rPr>
            </w:pPr>
          </w:p>
        </w:tc>
        <w:tc>
          <w:tcPr>
            <w:tcW w:w="7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85.45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5/9/2029</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1,700</w:t>
            </w:r>
          </w:p>
        </w:tc>
        <w:tc>
          <w:tcPr>
            <w:tcW w:w="10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18,249</w:t>
            </w:r>
          </w:p>
        </w:tc>
        <w:tc>
          <w:tcPr>
            <w:tcW w:w="14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40" w:type="dxa"/>
            <w:vAlign w:val="bottom"/>
            <w:tcBorders>
              <w:left w:val="single" w:sz="8" w:color="auto"/>
              <w:right w:val="single" w:sz="8" w:color="auto"/>
            </w:tcBorders>
          </w:tcPr>
          <w:p>
            <w:pPr>
              <w:spacing w:after="0"/>
              <w:rPr>
                <w:sz w:val="16"/>
                <w:szCs w:val="16"/>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5/8/2018</w:t>
            </w:r>
          </w:p>
        </w:tc>
        <w:tc>
          <w:tcPr>
            <w:tcW w:w="102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33,930</w:t>
            </w:r>
          </w:p>
        </w:tc>
        <w:tc>
          <w:tcPr>
            <w:tcW w:w="11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73.45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5/8/2028</w:t>
            </w:r>
          </w:p>
        </w:tc>
        <w:tc>
          <w:tcPr>
            <w:tcW w:w="1140" w:type="dxa"/>
            <w:vAlign w:val="bottom"/>
            <w:tcBorders>
              <w:righ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40" w:type="dxa"/>
            <w:vAlign w:val="bottom"/>
            <w:tcBorders>
              <w:left w:val="single" w:sz="8" w:color="auto"/>
              <w:bottom w:val="single" w:sz="8" w:color="auto"/>
              <w:right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5/9/2017</w:t>
            </w:r>
          </w:p>
        </w:tc>
        <w:tc>
          <w:tcPr>
            <w:tcW w:w="102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49,950</w:t>
            </w:r>
          </w:p>
        </w:tc>
        <w:tc>
          <w:tcPr>
            <w:tcW w:w="11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60.30</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5/9/2024</w:t>
            </w:r>
          </w:p>
        </w:tc>
        <w:tc>
          <w:tcPr>
            <w:tcW w:w="114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14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9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John W.</w:t>
            </w:r>
          </w:p>
        </w:tc>
        <w:tc>
          <w:tcPr>
            <w:tcW w:w="11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3/11/2021</w:t>
            </w:r>
          </w:p>
        </w:tc>
        <w:tc>
          <w:tcPr>
            <w:tcW w:w="102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10,600</w:t>
            </w:r>
          </w:p>
        </w:tc>
        <w:tc>
          <w:tcPr>
            <w:tcW w:w="140" w:type="dxa"/>
            <w:vAlign w:val="bottom"/>
            <w:shd w:val="clear" w:color="auto" w:fill="CCEEFF"/>
          </w:tcPr>
          <w:p>
            <w:pPr>
              <w:spacing w:after="0"/>
              <w:rPr>
                <w:sz w:val="15"/>
                <w:szCs w:val="15"/>
                <w:color w:val="auto"/>
              </w:rPr>
            </w:pPr>
          </w:p>
        </w:tc>
        <w:tc>
          <w:tcPr>
            <w:tcW w:w="74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121.91</w:t>
            </w:r>
          </w:p>
        </w:tc>
        <w:tc>
          <w:tcPr>
            <w:tcW w:w="9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3/11/2031</w:t>
            </w:r>
          </w:p>
        </w:tc>
        <w:tc>
          <w:tcPr>
            <w:tcW w:w="11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2,640</w:t>
            </w:r>
          </w:p>
        </w:tc>
        <w:tc>
          <w:tcPr>
            <w:tcW w:w="100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0"/>
              </w:rPr>
              <w:t>883,857</w:t>
            </w:r>
          </w:p>
        </w:tc>
        <w:tc>
          <w:tcPr>
            <w:tcW w:w="140" w:type="dxa"/>
            <w:vAlign w:val="bottom"/>
            <w:tcBorders>
              <w:right w:val="single" w:sz="8" w:color="auto"/>
            </w:tcBorders>
            <w:shd w:val="clear" w:color="auto" w:fill="CCEEFF"/>
          </w:tcPr>
          <w:p>
            <w:pPr>
              <w:spacing w:after="0"/>
              <w:rPr>
                <w:sz w:val="15"/>
                <w:szCs w:val="15"/>
                <w:color w:val="auto"/>
              </w:rPr>
            </w:pPr>
          </w:p>
        </w:tc>
        <w:tc>
          <w:tcPr>
            <w:tcW w:w="14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3,520</w:t>
            </w:r>
          </w:p>
        </w:tc>
        <w:tc>
          <w:tcPr>
            <w:tcW w:w="14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2,266,033</w:t>
            </w:r>
          </w:p>
        </w:tc>
        <w:tc>
          <w:tcPr>
            <w:tcW w:w="0" w:type="dxa"/>
            <w:vAlign w:val="bottom"/>
          </w:tcPr>
          <w:p>
            <w:pPr>
              <w:spacing w:after="0"/>
              <w:rPr>
                <w:sz w:val="1"/>
                <w:szCs w:val="1"/>
                <w:color w:val="auto"/>
              </w:rPr>
            </w:pPr>
          </w:p>
        </w:tc>
      </w:tr>
      <w:tr>
        <w:trPr>
          <w:trHeight w:val="184"/>
        </w:trPr>
        <w:tc>
          <w:tcPr>
            <w:tcW w:w="9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Hardin</w:t>
            </w:r>
          </w:p>
        </w:tc>
        <w:tc>
          <w:tcPr>
            <w:tcW w:w="11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3/20/2020</w:t>
            </w:r>
          </w:p>
        </w:tc>
        <w:tc>
          <w:tcPr>
            <w:tcW w:w="102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5,356</w:t>
            </w:r>
          </w:p>
        </w:tc>
        <w:tc>
          <w:tcPr>
            <w:tcW w:w="116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10,714</w:t>
            </w:r>
          </w:p>
        </w:tc>
        <w:tc>
          <w:tcPr>
            <w:tcW w:w="140" w:type="dxa"/>
            <w:vAlign w:val="bottom"/>
            <w:shd w:val="clear" w:color="auto" w:fill="CCEEFF"/>
          </w:tcPr>
          <w:p>
            <w:pPr>
              <w:spacing w:after="0"/>
              <w:rPr>
                <w:sz w:val="15"/>
                <w:szCs w:val="15"/>
                <w:color w:val="auto"/>
              </w:rPr>
            </w:pPr>
          </w:p>
        </w:tc>
        <w:tc>
          <w:tcPr>
            <w:tcW w:w="74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63.37</w:t>
            </w:r>
          </w:p>
        </w:tc>
        <w:tc>
          <w:tcPr>
            <w:tcW w:w="9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3/20/2030</w:t>
            </w:r>
          </w:p>
        </w:tc>
        <w:tc>
          <w:tcPr>
            <w:tcW w:w="11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2,374</w:t>
            </w:r>
          </w:p>
        </w:tc>
        <w:tc>
          <w:tcPr>
            <w:tcW w:w="100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4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4,750</w:t>
            </w:r>
          </w:p>
        </w:tc>
        <w:tc>
          <w:tcPr>
            <w:tcW w:w="148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40" w:type="dxa"/>
            <w:vAlign w:val="bottom"/>
            <w:tcBorders>
              <w:left w:val="single" w:sz="8" w:color="auto"/>
              <w:right w:val="single" w:sz="8" w:color="auto"/>
            </w:tcBorders>
            <w:shd w:val="clear" w:color="auto" w:fill="CCEEFF"/>
          </w:tcPr>
          <w:p>
            <w:pPr>
              <w:spacing w:after="0"/>
              <w:rPr>
                <w:sz w:val="16"/>
                <w:szCs w:val="16"/>
                <w:color w:val="auto"/>
              </w:rPr>
            </w:pPr>
          </w:p>
        </w:tc>
        <w:tc>
          <w:tcPr>
            <w:tcW w:w="11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5/9/2019</w:t>
            </w:r>
          </w:p>
        </w:tc>
        <w:tc>
          <w:tcPr>
            <w:tcW w:w="102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9,146</w:t>
            </w:r>
          </w:p>
        </w:tc>
        <w:tc>
          <w:tcPr>
            <w:tcW w:w="116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4,574</w:t>
            </w:r>
          </w:p>
        </w:tc>
        <w:tc>
          <w:tcPr>
            <w:tcW w:w="140" w:type="dxa"/>
            <w:vAlign w:val="bottom"/>
            <w:shd w:val="clear" w:color="auto" w:fill="CCEEFF"/>
          </w:tcPr>
          <w:p>
            <w:pPr>
              <w:spacing w:after="0"/>
              <w:rPr>
                <w:sz w:val="16"/>
                <w:szCs w:val="16"/>
                <w:color w:val="auto"/>
              </w:rPr>
            </w:pPr>
          </w:p>
        </w:tc>
        <w:tc>
          <w:tcPr>
            <w:tcW w:w="74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85.45</w:t>
            </w:r>
          </w:p>
        </w:tc>
        <w:tc>
          <w:tcPr>
            <w:tcW w:w="9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5/9/2029</w:t>
            </w:r>
          </w:p>
        </w:tc>
        <w:tc>
          <w:tcPr>
            <w:tcW w:w="11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997</w:t>
            </w:r>
          </w:p>
        </w:tc>
        <w:tc>
          <w:tcPr>
            <w:tcW w:w="100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4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7,141</w:t>
            </w:r>
          </w:p>
        </w:tc>
        <w:tc>
          <w:tcPr>
            <w:tcW w:w="148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40" w:type="dxa"/>
            <w:vAlign w:val="bottom"/>
            <w:tcBorders>
              <w:left w:val="single" w:sz="8" w:color="auto"/>
              <w:right w:val="single" w:sz="8" w:color="auto"/>
            </w:tcBorders>
            <w:shd w:val="clear" w:color="auto" w:fill="CCEEFF"/>
          </w:tcPr>
          <w:p>
            <w:pPr>
              <w:spacing w:after="0"/>
              <w:rPr>
                <w:sz w:val="16"/>
                <w:szCs w:val="16"/>
                <w:color w:val="auto"/>
              </w:rPr>
            </w:pPr>
          </w:p>
        </w:tc>
        <w:tc>
          <w:tcPr>
            <w:tcW w:w="11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5/8/2018</w:t>
            </w:r>
          </w:p>
        </w:tc>
        <w:tc>
          <w:tcPr>
            <w:tcW w:w="102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19,450</w:t>
            </w:r>
          </w:p>
        </w:tc>
        <w:tc>
          <w:tcPr>
            <w:tcW w:w="116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73.45</w:t>
            </w:r>
          </w:p>
        </w:tc>
        <w:tc>
          <w:tcPr>
            <w:tcW w:w="9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5/8/2028</w:t>
            </w:r>
          </w:p>
        </w:tc>
        <w:tc>
          <w:tcPr>
            <w:tcW w:w="1140" w:type="dxa"/>
            <w:vAlign w:val="bottom"/>
            <w:tcBorders>
              <w:right w:val="single" w:sz="8" w:color="auto"/>
            </w:tcBorders>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440" w:type="dxa"/>
            <w:vAlign w:val="bottom"/>
            <w:tcBorders>
              <w:right w:val="single" w:sz="8" w:color="auto"/>
            </w:tcBorders>
            <w:shd w:val="clear" w:color="auto" w:fill="CCEEFF"/>
          </w:tcPr>
          <w:p>
            <w:pPr>
              <w:spacing w:after="0"/>
              <w:rPr>
                <w:sz w:val="16"/>
                <w:szCs w:val="16"/>
                <w:color w:val="auto"/>
              </w:rPr>
            </w:pPr>
          </w:p>
        </w:tc>
        <w:tc>
          <w:tcPr>
            <w:tcW w:w="148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40" w:type="dxa"/>
            <w:vAlign w:val="bottom"/>
            <w:tcBorders>
              <w:left w:val="single" w:sz="8" w:color="auto"/>
              <w:bottom w:val="single" w:sz="8" w:color="auto"/>
              <w:right w:val="single" w:sz="8" w:color="auto"/>
            </w:tcBorders>
            <w:shd w:val="clear" w:color="auto" w:fill="CCEEFF"/>
          </w:tcPr>
          <w:p>
            <w:pPr>
              <w:spacing w:after="0"/>
              <w:rPr>
                <w:sz w:val="16"/>
                <w:szCs w:val="16"/>
                <w:color w:val="auto"/>
              </w:rPr>
            </w:pPr>
          </w:p>
        </w:tc>
        <w:tc>
          <w:tcPr>
            <w:tcW w:w="11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5/9/2017</w:t>
            </w:r>
          </w:p>
        </w:tc>
        <w:tc>
          <w:tcPr>
            <w:tcW w:w="1020" w:type="dxa"/>
            <w:vAlign w:val="bottom"/>
            <w:tcBorders>
              <w:bottom w:val="single" w:sz="8" w:color="auto"/>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34,170</w:t>
            </w:r>
          </w:p>
        </w:tc>
        <w:tc>
          <w:tcPr>
            <w:tcW w:w="116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60.30</w:t>
            </w:r>
          </w:p>
        </w:tc>
        <w:tc>
          <w:tcPr>
            <w:tcW w:w="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5/9/2024</w:t>
            </w:r>
          </w:p>
        </w:tc>
        <w:tc>
          <w:tcPr>
            <w:tcW w:w="1140" w:type="dxa"/>
            <w:vAlign w:val="bottom"/>
            <w:tcBorders>
              <w:bottom w:val="single" w:sz="8" w:color="auto"/>
              <w:right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right w:val="single" w:sz="8" w:color="auto"/>
            </w:tcBorders>
            <w:shd w:val="clear" w:color="auto" w:fill="CCEEFF"/>
          </w:tcPr>
          <w:p>
            <w:pPr>
              <w:spacing w:after="0"/>
              <w:rPr>
                <w:sz w:val="16"/>
                <w:szCs w:val="16"/>
                <w:color w:val="auto"/>
              </w:rPr>
            </w:pPr>
          </w:p>
        </w:tc>
        <w:tc>
          <w:tcPr>
            <w:tcW w:w="1440" w:type="dxa"/>
            <w:vAlign w:val="bottom"/>
            <w:tcBorders>
              <w:bottom w:val="single" w:sz="8" w:color="auto"/>
              <w:right w:val="single" w:sz="8" w:color="auto"/>
            </w:tcBorders>
            <w:shd w:val="clear" w:color="auto" w:fill="CCEEFF"/>
          </w:tcPr>
          <w:p>
            <w:pPr>
              <w:spacing w:after="0"/>
              <w:rPr>
                <w:sz w:val="16"/>
                <w:szCs w:val="16"/>
                <w:color w:val="auto"/>
              </w:rPr>
            </w:pPr>
          </w:p>
        </w:tc>
        <w:tc>
          <w:tcPr>
            <w:tcW w:w="1480" w:type="dxa"/>
            <w:vAlign w:val="bottom"/>
            <w:tcBorders>
              <w:bottom w:val="single" w:sz="8" w:color="auto"/>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Timothy N.</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3/11/2021</w:t>
            </w:r>
          </w:p>
        </w:tc>
        <w:tc>
          <w:tcPr>
            <w:tcW w:w="102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9,840</w:t>
            </w:r>
          </w:p>
        </w:tc>
        <w:tc>
          <w:tcPr>
            <w:tcW w:w="140" w:type="dxa"/>
            <w:vAlign w:val="bottom"/>
          </w:tcPr>
          <w:p>
            <w:pPr>
              <w:spacing w:after="0"/>
              <w:rPr>
                <w:sz w:val="15"/>
                <w:szCs w:val="15"/>
                <w:color w:val="auto"/>
              </w:rPr>
            </w:pPr>
          </w:p>
        </w:tc>
        <w:tc>
          <w:tcPr>
            <w:tcW w:w="7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121.91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3/11/2031</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2,450</w:t>
            </w:r>
          </w:p>
        </w:tc>
        <w:tc>
          <w:tcPr>
            <w:tcW w:w="1000" w:type="dxa"/>
            <w:vAlign w:val="bottom"/>
          </w:tcPr>
          <w:p>
            <w:pPr>
              <w:jc w:val="center"/>
              <w:ind w:left="28"/>
              <w:spacing w:after="0"/>
              <w:rPr>
                <w:sz w:val="20"/>
                <w:szCs w:val="20"/>
                <w:color w:val="auto"/>
              </w:rPr>
            </w:pPr>
            <w:r>
              <w:rPr>
                <w:rFonts w:ascii="Arial" w:cs="Arial" w:eastAsia="Arial" w:hAnsi="Arial"/>
                <w:sz w:val="14"/>
                <w:szCs w:val="14"/>
                <w:color w:val="auto"/>
                <w:w w:val="90"/>
              </w:rPr>
              <w:t>819,601</w:t>
            </w:r>
          </w:p>
        </w:tc>
        <w:tc>
          <w:tcPr>
            <w:tcW w:w="14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3,270</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2,106,789</w:t>
            </w:r>
          </w:p>
        </w:tc>
        <w:tc>
          <w:tcPr>
            <w:tcW w:w="0" w:type="dxa"/>
            <w:vAlign w:val="bottom"/>
          </w:tcPr>
          <w:p>
            <w:pPr>
              <w:spacing w:after="0"/>
              <w:rPr>
                <w:sz w:val="1"/>
                <w:szCs w:val="1"/>
                <w:color w:val="auto"/>
              </w:rPr>
            </w:pPr>
          </w:p>
        </w:tc>
      </w:tr>
      <w:tr>
        <w:trPr>
          <w:trHeight w:val="184"/>
        </w:trPr>
        <w:tc>
          <w:tcPr>
            <w:tcW w:w="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Jones</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3/20/2020</w:t>
            </w:r>
          </w:p>
        </w:tc>
        <w:tc>
          <w:tcPr>
            <w:tcW w:w="102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9,914</w:t>
            </w:r>
          </w:p>
        </w:tc>
        <w:tc>
          <w:tcPr>
            <w:tcW w:w="140" w:type="dxa"/>
            <w:vAlign w:val="bottom"/>
          </w:tcPr>
          <w:p>
            <w:pPr>
              <w:spacing w:after="0"/>
              <w:rPr>
                <w:sz w:val="15"/>
                <w:szCs w:val="15"/>
                <w:color w:val="auto"/>
              </w:rPr>
            </w:pPr>
          </w:p>
        </w:tc>
        <w:tc>
          <w:tcPr>
            <w:tcW w:w="7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63.37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3/20/2030</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2,194</w:t>
            </w:r>
          </w:p>
        </w:tc>
        <w:tc>
          <w:tcPr>
            <w:tcW w:w="10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4,390</w:t>
            </w:r>
          </w:p>
        </w:tc>
        <w:tc>
          <w:tcPr>
            <w:tcW w:w="14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940" w:type="dxa"/>
            <w:vAlign w:val="bottom"/>
            <w:tcBorders>
              <w:left w:val="single" w:sz="8" w:color="auto"/>
              <w:bottom w:val="single" w:sz="8" w:color="auto"/>
              <w:right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5/9/2019</w:t>
            </w:r>
          </w:p>
        </w:tc>
        <w:tc>
          <w:tcPr>
            <w:tcW w:w="102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8,540</w:t>
            </w:r>
          </w:p>
        </w:tc>
        <w:tc>
          <w:tcPr>
            <w:tcW w:w="11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4,270</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85.45</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5/9/2029</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930</w:t>
            </w:r>
          </w:p>
        </w:tc>
        <w:tc>
          <w:tcPr>
            <w:tcW w:w="1000" w:type="dxa"/>
            <w:vAlign w:val="bottom"/>
            <w:tcBorders>
              <w:bottom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6,668</w:t>
            </w:r>
          </w:p>
        </w:tc>
        <w:tc>
          <w:tcPr>
            <w:tcW w:w="14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9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Thomas C.</w:t>
            </w:r>
          </w:p>
        </w:tc>
        <w:tc>
          <w:tcPr>
            <w:tcW w:w="11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3/11/2021</w:t>
            </w:r>
          </w:p>
        </w:tc>
        <w:tc>
          <w:tcPr>
            <w:tcW w:w="102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9,480</w:t>
            </w:r>
          </w:p>
        </w:tc>
        <w:tc>
          <w:tcPr>
            <w:tcW w:w="140" w:type="dxa"/>
            <w:vAlign w:val="bottom"/>
            <w:shd w:val="clear" w:color="auto" w:fill="CCEEFF"/>
          </w:tcPr>
          <w:p>
            <w:pPr>
              <w:spacing w:after="0"/>
              <w:rPr>
                <w:sz w:val="15"/>
                <w:szCs w:val="15"/>
                <w:color w:val="auto"/>
              </w:rPr>
            </w:pPr>
          </w:p>
        </w:tc>
        <w:tc>
          <w:tcPr>
            <w:tcW w:w="74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121.91</w:t>
            </w:r>
          </w:p>
        </w:tc>
        <w:tc>
          <w:tcPr>
            <w:tcW w:w="9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3/11/2031</w:t>
            </w:r>
          </w:p>
        </w:tc>
        <w:tc>
          <w:tcPr>
            <w:tcW w:w="11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2,360</w:t>
            </w:r>
          </w:p>
        </w:tc>
        <w:tc>
          <w:tcPr>
            <w:tcW w:w="100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0"/>
              </w:rPr>
              <w:t>785,782</w:t>
            </w:r>
          </w:p>
        </w:tc>
        <w:tc>
          <w:tcPr>
            <w:tcW w:w="140" w:type="dxa"/>
            <w:vAlign w:val="bottom"/>
            <w:tcBorders>
              <w:right w:val="single" w:sz="8" w:color="auto"/>
            </w:tcBorders>
            <w:shd w:val="clear" w:color="auto" w:fill="CCEEFF"/>
          </w:tcPr>
          <w:p>
            <w:pPr>
              <w:spacing w:after="0"/>
              <w:rPr>
                <w:sz w:val="15"/>
                <w:szCs w:val="15"/>
                <w:color w:val="auto"/>
              </w:rPr>
            </w:pPr>
          </w:p>
        </w:tc>
        <w:tc>
          <w:tcPr>
            <w:tcW w:w="14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3,150</w:t>
            </w:r>
          </w:p>
        </w:tc>
        <w:tc>
          <w:tcPr>
            <w:tcW w:w="14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2,001,214</w:t>
            </w:r>
          </w:p>
        </w:tc>
        <w:tc>
          <w:tcPr>
            <w:tcW w:w="0" w:type="dxa"/>
            <w:vAlign w:val="bottom"/>
          </w:tcPr>
          <w:p>
            <w:pPr>
              <w:spacing w:after="0"/>
              <w:rPr>
                <w:sz w:val="1"/>
                <w:szCs w:val="1"/>
                <w:color w:val="auto"/>
              </w:rPr>
            </w:pPr>
          </w:p>
        </w:tc>
      </w:tr>
      <w:tr>
        <w:trPr>
          <w:trHeight w:val="184"/>
        </w:trPr>
        <w:tc>
          <w:tcPr>
            <w:tcW w:w="9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Marecic</w:t>
            </w:r>
          </w:p>
        </w:tc>
        <w:tc>
          <w:tcPr>
            <w:tcW w:w="11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3/20/2020</w:t>
            </w:r>
          </w:p>
        </w:tc>
        <w:tc>
          <w:tcPr>
            <w:tcW w:w="102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4,770</w:t>
            </w:r>
          </w:p>
        </w:tc>
        <w:tc>
          <w:tcPr>
            <w:tcW w:w="116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9,540</w:t>
            </w:r>
          </w:p>
        </w:tc>
        <w:tc>
          <w:tcPr>
            <w:tcW w:w="140" w:type="dxa"/>
            <w:vAlign w:val="bottom"/>
            <w:shd w:val="clear" w:color="auto" w:fill="CCEEFF"/>
          </w:tcPr>
          <w:p>
            <w:pPr>
              <w:spacing w:after="0"/>
              <w:rPr>
                <w:sz w:val="15"/>
                <w:szCs w:val="15"/>
                <w:color w:val="auto"/>
              </w:rPr>
            </w:pPr>
          </w:p>
        </w:tc>
        <w:tc>
          <w:tcPr>
            <w:tcW w:w="74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63.37</w:t>
            </w:r>
          </w:p>
        </w:tc>
        <w:tc>
          <w:tcPr>
            <w:tcW w:w="9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3/20/2030</w:t>
            </w:r>
          </w:p>
        </w:tc>
        <w:tc>
          <w:tcPr>
            <w:tcW w:w="11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2,114</w:t>
            </w:r>
          </w:p>
        </w:tc>
        <w:tc>
          <w:tcPr>
            <w:tcW w:w="100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4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4,230</w:t>
            </w:r>
          </w:p>
        </w:tc>
        <w:tc>
          <w:tcPr>
            <w:tcW w:w="148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40" w:type="dxa"/>
            <w:vAlign w:val="bottom"/>
            <w:tcBorders>
              <w:left w:val="single" w:sz="8" w:color="auto"/>
              <w:right w:val="single" w:sz="8" w:color="auto"/>
            </w:tcBorders>
            <w:shd w:val="clear" w:color="auto" w:fill="CCEEFF"/>
          </w:tcPr>
          <w:p>
            <w:pPr>
              <w:spacing w:after="0"/>
              <w:rPr>
                <w:sz w:val="16"/>
                <w:szCs w:val="16"/>
                <w:color w:val="auto"/>
              </w:rPr>
            </w:pPr>
          </w:p>
        </w:tc>
        <w:tc>
          <w:tcPr>
            <w:tcW w:w="11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5/9/2019</w:t>
            </w:r>
          </w:p>
        </w:tc>
        <w:tc>
          <w:tcPr>
            <w:tcW w:w="102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7,986</w:t>
            </w:r>
          </w:p>
        </w:tc>
        <w:tc>
          <w:tcPr>
            <w:tcW w:w="116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3,994</w:t>
            </w:r>
          </w:p>
        </w:tc>
        <w:tc>
          <w:tcPr>
            <w:tcW w:w="140" w:type="dxa"/>
            <w:vAlign w:val="bottom"/>
            <w:shd w:val="clear" w:color="auto" w:fill="CCEEFF"/>
          </w:tcPr>
          <w:p>
            <w:pPr>
              <w:spacing w:after="0"/>
              <w:rPr>
                <w:sz w:val="16"/>
                <w:szCs w:val="16"/>
                <w:color w:val="auto"/>
              </w:rPr>
            </w:pPr>
          </w:p>
        </w:tc>
        <w:tc>
          <w:tcPr>
            <w:tcW w:w="74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85.45</w:t>
            </w:r>
          </w:p>
        </w:tc>
        <w:tc>
          <w:tcPr>
            <w:tcW w:w="9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5/9/2029</w:t>
            </w:r>
          </w:p>
        </w:tc>
        <w:tc>
          <w:tcPr>
            <w:tcW w:w="11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870</w:t>
            </w:r>
          </w:p>
        </w:tc>
        <w:tc>
          <w:tcPr>
            <w:tcW w:w="100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4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6,230</w:t>
            </w:r>
          </w:p>
        </w:tc>
        <w:tc>
          <w:tcPr>
            <w:tcW w:w="148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40" w:type="dxa"/>
            <w:vAlign w:val="bottom"/>
            <w:tcBorders>
              <w:left w:val="single" w:sz="8" w:color="auto"/>
              <w:right w:val="single" w:sz="8" w:color="auto"/>
            </w:tcBorders>
            <w:shd w:val="clear" w:color="auto" w:fill="CCEEFF"/>
          </w:tcPr>
          <w:p>
            <w:pPr>
              <w:spacing w:after="0"/>
              <w:rPr>
                <w:sz w:val="16"/>
                <w:szCs w:val="16"/>
                <w:color w:val="auto"/>
              </w:rPr>
            </w:pPr>
          </w:p>
        </w:tc>
        <w:tc>
          <w:tcPr>
            <w:tcW w:w="11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5/8/2018</w:t>
            </w:r>
          </w:p>
        </w:tc>
        <w:tc>
          <w:tcPr>
            <w:tcW w:w="102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16,210</w:t>
            </w:r>
          </w:p>
        </w:tc>
        <w:tc>
          <w:tcPr>
            <w:tcW w:w="116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73.45</w:t>
            </w:r>
          </w:p>
        </w:tc>
        <w:tc>
          <w:tcPr>
            <w:tcW w:w="9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5/8/2028</w:t>
            </w:r>
          </w:p>
        </w:tc>
        <w:tc>
          <w:tcPr>
            <w:tcW w:w="1140" w:type="dxa"/>
            <w:vAlign w:val="bottom"/>
            <w:tcBorders>
              <w:right w:val="single" w:sz="8" w:color="auto"/>
            </w:tcBorders>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440" w:type="dxa"/>
            <w:vAlign w:val="bottom"/>
            <w:tcBorders>
              <w:right w:val="single" w:sz="8" w:color="auto"/>
            </w:tcBorders>
            <w:shd w:val="clear" w:color="auto" w:fill="CCEEFF"/>
          </w:tcPr>
          <w:p>
            <w:pPr>
              <w:spacing w:after="0"/>
              <w:rPr>
                <w:sz w:val="16"/>
                <w:szCs w:val="16"/>
                <w:color w:val="auto"/>
              </w:rPr>
            </w:pPr>
          </w:p>
        </w:tc>
        <w:tc>
          <w:tcPr>
            <w:tcW w:w="148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40" w:type="dxa"/>
            <w:vAlign w:val="bottom"/>
            <w:tcBorders>
              <w:left w:val="single" w:sz="8" w:color="auto"/>
              <w:bottom w:val="single" w:sz="8" w:color="auto"/>
              <w:right w:val="single" w:sz="8" w:color="auto"/>
            </w:tcBorders>
            <w:shd w:val="clear" w:color="auto" w:fill="CCEEFF"/>
          </w:tcPr>
          <w:p>
            <w:pPr>
              <w:spacing w:after="0"/>
              <w:rPr>
                <w:sz w:val="16"/>
                <w:szCs w:val="16"/>
                <w:color w:val="auto"/>
              </w:rPr>
            </w:pPr>
          </w:p>
        </w:tc>
        <w:tc>
          <w:tcPr>
            <w:tcW w:w="11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5/9/2017</w:t>
            </w:r>
          </w:p>
        </w:tc>
        <w:tc>
          <w:tcPr>
            <w:tcW w:w="1020" w:type="dxa"/>
            <w:vAlign w:val="bottom"/>
            <w:tcBorders>
              <w:bottom w:val="single" w:sz="8" w:color="auto"/>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26,970</w:t>
            </w:r>
          </w:p>
        </w:tc>
        <w:tc>
          <w:tcPr>
            <w:tcW w:w="116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60.30</w:t>
            </w:r>
          </w:p>
        </w:tc>
        <w:tc>
          <w:tcPr>
            <w:tcW w:w="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5/9/2024</w:t>
            </w:r>
          </w:p>
        </w:tc>
        <w:tc>
          <w:tcPr>
            <w:tcW w:w="1140" w:type="dxa"/>
            <w:vAlign w:val="bottom"/>
            <w:tcBorders>
              <w:bottom w:val="single" w:sz="8" w:color="auto"/>
              <w:right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right w:val="single" w:sz="8" w:color="auto"/>
            </w:tcBorders>
            <w:shd w:val="clear" w:color="auto" w:fill="CCEEFF"/>
          </w:tcPr>
          <w:p>
            <w:pPr>
              <w:spacing w:after="0"/>
              <w:rPr>
                <w:sz w:val="16"/>
                <w:szCs w:val="16"/>
                <w:color w:val="auto"/>
              </w:rPr>
            </w:pPr>
          </w:p>
        </w:tc>
        <w:tc>
          <w:tcPr>
            <w:tcW w:w="1440" w:type="dxa"/>
            <w:vAlign w:val="bottom"/>
            <w:tcBorders>
              <w:bottom w:val="single" w:sz="8" w:color="auto"/>
              <w:right w:val="single" w:sz="8" w:color="auto"/>
            </w:tcBorders>
            <w:shd w:val="clear" w:color="auto" w:fill="CCEEFF"/>
          </w:tcPr>
          <w:p>
            <w:pPr>
              <w:spacing w:after="0"/>
              <w:rPr>
                <w:sz w:val="16"/>
                <w:szCs w:val="16"/>
                <w:color w:val="auto"/>
              </w:rPr>
            </w:pPr>
          </w:p>
        </w:tc>
        <w:tc>
          <w:tcPr>
            <w:tcW w:w="1480" w:type="dxa"/>
            <w:vAlign w:val="bottom"/>
            <w:tcBorders>
              <w:bottom w:val="single" w:sz="8" w:color="auto"/>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-2811145</wp:posOffset>
            </wp:positionV>
            <wp:extent cx="254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-2811145</wp:posOffset>
            </wp:positionV>
            <wp:extent cx="254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500" w:right="180" w:hanging="492"/>
        <w:spacing w:after="0" w:line="263" w:lineRule="auto"/>
        <w:tabs>
          <w:tab w:leader="none" w:pos="494"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stock options with grant dates prior to 2018 become exercisable as to 25% of the underlying shares on each of the first four anniversaries of the dates of grant. Stock options granted in 2018 and thereafter become exercisable as to one-third of the underlying shares on each of the first three anniversaries of the grant date.</w:t>
      </w:r>
    </w:p>
    <w:p>
      <w:pPr>
        <w:spacing w:after="0" w:line="75" w:lineRule="exact"/>
        <w:rPr>
          <w:rFonts w:ascii="Arial" w:cs="Arial" w:eastAsia="Arial" w:hAnsi="Arial"/>
          <w:sz w:val="18"/>
          <w:szCs w:val="18"/>
          <w:color w:val="auto"/>
        </w:rPr>
      </w:pPr>
    </w:p>
    <w:p>
      <w:pPr>
        <w:ind w:left="480" w:hanging="472"/>
        <w:spacing w:after="0"/>
        <w:tabs>
          <w:tab w:leader="none" w:pos="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Restricted stock awards vest in three equal installments, one-third on each of the first three anniversaries of the grant date.</w:t>
      </w:r>
    </w:p>
    <w:p>
      <w:pPr>
        <w:spacing w:after="0" w:line="117" w:lineRule="exact"/>
        <w:rPr>
          <w:rFonts w:ascii="Arial" w:cs="Arial" w:eastAsia="Arial" w:hAnsi="Arial"/>
          <w:sz w:val="18"/>
          <w:szCs w:val="18"/>
          <w:color w:val="auto"/>
        </w:rPr>
      </w:pPr>
    </w:p>
    <w:p>
      <w:pPr>
        <w:jc w:val="both"/>
        <w:ind w:left="500" w:right="280" w:hanging="492"/>
        <w:spacing w:after="0" w:line="311" w:lineRule="auto"/>
        <w:tabs>
          <w:tab w:leader="none" w:pos="494"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dollar values are based on the NYSE closing price of our common stock on December 31, 2021 ($147.04). Cash dividends will be earned but will not be paid until the restricted shares vest. The dividends will be payable at the same rate as dividends to holders of our outstanding common stock. Until the restricted stock vests, the dividends accrue interest at the 5-year Treasury note rate plus 0.5%, compounded quarterly.</w:t>
      </w:r>
    </w:p>
    <w:p>
      <w:pPr>
        <w:spacing w:after="0" w:line="40" w:lineRule="exact"/>
        <w:rPr>
          <w:rFonts w:ascii="Arial" w:cs="Arial" w:eastAsia="Arial" w:hAnsi="Arial"/>
          <w:sz w:val="16"/>
          <w:szCs w:val="16"/>
          <w:color w:val="auto"/>
        </w:rPr>
      </w:pPr>
    </w:p>
    <w:p>
      <w:pPr>
        <w:ind w:left="500" w:right="60" w:hanging="492"/>
        <w:spacing w:after="0" w:line="275" w:lineRule="auto"/>
        <w:tabs>
          <w:tab w:leader="none" w:pos="494"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Represents the number of performance-based restricted stock units to be earned upon achievement of target performance under the terms of the 2020 and 2021 awards, and the number of performance-based restricted stock units earned (168.8% of target) under the terms of the 2019 awards as certified by the Compensation Committee in early 2022. The number of units earned vest within three months following the conclusion of the three-year performance period – December 31, 2021 for the 2019 awards, December 31, 2022 for the 2020 awards and December 31, 2023 for the 2021 awards - upon certification of performance results by the Compensation Committee.</w:t>
      </w:r>
    </w:p>
    <w:p>
      <w:pPr>
        <w:spacing w:after="0" w:line="200" w:lineRule="exact"/>
        <w:rPr>
          <w:sz w:val="20"/>
          <w:szCs w:val="20"/>
          <w:color w:val="auto"/>
        </w:rPr>
      </w:pPr>
    </w:p>
    <w:p>
      <w:pPr>
        <w:spacing w:after="0" w:line="256"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b w:val="1"/>
          <w:bCs w:val="1"/>
          <w:color w:val="auto"/>
        </w:rPr>
        <w:t>38</w:t>
        <w:tab/>
        <w:t>AMETEK, INC.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60"/>
          </w:cols>
          <w:pgMar w:left="320" w:top="1043" w:right="319" w:bottom="1440" w:gutter="0" w:footer="0" w:header="0"/>
        </w:sectPr>
      </w:pPr>
    </w:p>
    <w:bookmarkStart w:id="43" w:name="page44"/>
    <w:bookmarkEnd w:id="43"/>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OPTION EXERCISES AND STOCK VESTED</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regarding option exercises and vesting of restricted stock awards for the named executive officers in 2021.</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199"/>
        </w:trPr>
        <w:tc>
          <w:tcPr>
            <w:tcW w:w="2240" w:type="dxa"/>
            <w:vAlign w:val="bottom"/>
            <w:tcBorders>
              <w:top w:val="single" w:sz="8" w:color="auto"/>
              <w:left w:val="single" w:sz="8" w:color="auto"/>
              <w:bottom w:val="single" w:sz="8" w:color="auto"/>
            </w:tcBorders>
          </w:tcPr>
          <w:p>
            <w:pPr>
              <w:spacing w:after="0"/>
              <w:rPr>
                <w:sz w:val="17"/>
                <w:szCs w:val="17"/>
                <w:color w:val="auto"/>
              </w:rPr>
            </w:pPr>
          </w:p>
        </w:tc>
        <w:tc>
          <w:tcPr>
            <w:tcW w:w="2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5"/>
              </w:rPr>
              <w:t>Option Awards</w:t>
            </w:r>
          </w:p>
        </w:tc>
        <w:tc>
          <w:tcPr>
            <w:tcW w:w="2260" w:type="dxa"/>
            <w:vAlign w:val="bottom"/>
            <w:tcBorders>
              <w:top w:val="single" w:sz="8" w:color="auto"/>
              <w:bottom w:val="single" w:sz="8" w:color="auto"/>
              <w:right w:val="single" w:sz="8" w:color="auto"/>
            </w:tcBorders>
          </w:tcPr>
          <w:p>
            <w:pPr>
              <w:spacing w:after="0"/>
              <w:rPr>
                <w:sz w:val="17"/>
                <w:szCs w:val="17"/>
                <w:color w:val="auto"/>
              </w:rPr>
            </w:pPr>
          </w:p>
        </w:tc>
        <w:tc>
          <w:tcPr>
            <w:tcW w:w="1700" w:type="dxa"/>
            <w:vAlign w:val="bottom"/>
            <w:tcBorders>
              <w:top w:val="single" w:sz="8" w:color="auto"/>
              <w:bottom w:val="single" w:sz="8" w:color="auto"/>
            </w:tcBorders>
          </w:tcPr>
          <w:p>
            <w:pPr>
              <w:spacing w:after="0"/>
              <w:rPr>
                <w:sz w:val="17"/>
                <w:szCs w:val="17"/>
                <w:color w:val="auto"/>
              </w:rPr>
            </w:pPr>
          </w:p>
        </w:tc>
        <w:tc>
          <w:tcPr>
            <w:tcW w:w="2780" w:type="dxa"/>
            <w:vAlign w:val="bottom"/>
            <w:tcBorders>
              <w:top w:val="single" w:sz="8" w:color="auto"/>
              <w:bottom w:val="single" w:sz="8" w:color="auto"/>
              <w:right w:val="single" w:sz="8" w:color="auto"/>
            </w:tcBorders>
            <w:gridSpan w:val="2"/>
          </w:tcPr>
          <w:p>
            <w:pPr>
              <w:ind w:left="140"/>
              <w:spacing w:after="0"/>
              <w:rPr>
                <w:sz w:val="20"/>
                <w:szCs w:val="20"/>
                <w:color w:val="auto"/>
              </w:rPr>
            </w:pPr>
            <w:r>
              <w:rPr>
                <w:rFonts w:ascii="Arial" w:cs="Arial" w:eastAsia="Arial" w:hAnsi="Arial"/>
                <w:sz w:val="14"/>
                <w:szCs w:val="14"/>
                <w:i w:val="1"/>
                <w:iCs w:val="1"/>
                <w:color w:val="auto"/>
              </w:rPr>
              <w:t>Stock Awards</w:t>
            </w:r>
          </w:p>
        </w:tc>
      </w:tr>
      <w:tr>
        <w:trPr>
          <w:trHeight w:val="167"/>
        </w:trPr>
        <w:tc>
          <w:tcPr>
            <w:tcW w:w="2240" w:type="dxa"/>
            <w:vAlign w:val="bottom"/>
            <w:tcBorders>
              <w:left w:val="single" w:sz="8" w:color="auto"/>
              <w:right w:val="single" w:sz="8" w:color="auto"/>
            </w:tcBorders>
          </w:tcPr>
          <w:p>
            <w:pPr>
              <w:spacing w:after="0"/>
              <w:rPr>
                <w:sz w:val="14"/>
                <w:szCs w:val="14"/>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4"/>
                <w:szCs w:val="14"/>
                <w:i w:val="1"/>
                <w:iCs w:val="1"/>
                <w:color w:val="auto"/>
                <w:w w:val="91"/>
              </w:rPr>
              <w:t>Number of</w:t>
            </w:r>
          </w:p>
        </w:tc>
        <w:tc>
          <w:tcPr>
            <w:tcW w:w="2260" w:type="dxa"/>
            <w:vAlign w:val="bottom"/>
            <w:tcBorders>
              <w:right w:val="single" w:sz="8" w:color="auto"/>
            </w:tcBorders>
          </w:tcPr>
          <w:p>
            <w:pPr>
              <w:spacing w:after="0"/>
              <w:rPr>
                <w:sz w:val="14"/>
                <w:szCs w:val="14"/>
                <w:color w:val="auto"/>
              </w:rPr>
            </w:pPr>
          </w:p>
        </w:tc>
        <w:tc>
          <w:tcPr>
            <w:tcW w:w="1700" w:type="dxa"/>
            <w:vAlign w:val="bottom"/>
          </w:tcPr>
          <w:p>
            <w:pPr>
              <w:jc w:val="center"/>
              <w:ind w:left="428"/>
              <w:spacing w:after="0"/>
              <w:rPr>
                <w:sz w:val="20"/>
                <w:szCs w:val="20"/>
                <w:color w:val="auto"/>
              </w:rPr>
            </w:pPr>
            <w:r>
              <w:rPr>
                <w:rFonts w:ascii="Arial" w:cs="Arial" w:eastAsia="Arial" w:hAnsi="Arial"/>
                <w:sz w:val="14"/>
                <w:szCs w:val="14"/>
                <w:i w:val="1"/>
                <w:iCs w:val="1"/>
                <w:color w:val="auto"/>
                <w:w w:val="91"/>
              </w:rPr>
              <w:t>Number of</w:t>
            </w:r>
          </w:p>
        </w:tc>
        <w:tc>
          <w:tcPr>
            <w:tcW w:w="540" w:type="dxa"/>
            <w:vAlign w:val="bottom"/>
            <w:tcBorders>
              <w:right w:val="single" w:sz="8" w:color="auto"/>
            </w:tcBorders>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r>
      <w:tr>
        <w:trPr>
          <w:trHeight w:val="162"/>
        </w:trPr>
        <w:tc>
          <w:tcPr>
            <w:tcW w:w="2240" w:type="dxa"/>
            <w:vAlign w:val="bottom"/>
            <w:tcBorders>
              <w:left w:val="single" w:sz="8" w:color="auto"/>
              <w:right w:val="single" w:sz="8" w:color="auto"/>
            </w:tcBorders>
          </w:tcPr>
          <w:p>
            <w:pPr>
              <w:spacing w:after="0"/>
              <w:rPr>
                <w:sz w:val="14"/>
                <w:szCs w:val="14"/>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4"/>
                <w:szCs w:val="14"/>
                <w:i w:val="1"/>
                <w:iCs w:val="1"/>
                <w:color w:val="auto"/>
                <w:w w:val="90"/>
              </w:rPr>
              <w:t>Shares Acquired</w:t>
            </w:r>
          </w:p>
        </w:tc>
        <w:tc>
          <w:tcPr>
            <w:tcW w:w="2260" w:type="dxa"/>
            <w:vAlign w:val="bottom"/>
            <w:tcBorders>
              <w:right w:val="single" w:sz="8" w:color="auto"/>
            </w:tcBorders>
          </w:tcPr>
          <w:p>
            <w:pPr>
              <w:ind w:left="700"/>
              <w:spacing w:after="0"/>
              <w:rPr>
                <w:sz w:val="20"/>
                <w:szCs w:val="20"/>
                <w:color w:val="auto"/>
              </w:rPr>
            </w:pPr>
            <w:r>
              <w:rPr>
                <w:rFonts w:ascii="Arial" w:cs="Arial" w:eastAsia="Arial" w:hAnsi="Arial"/>
                <w:sz w:val="14"/>
                <w:szCs w:val="14"/>
                <w:i w:val="1"/>
                <w:iCs w:val="1"/>
                <w:color w:val="auto"/>
              </w:rPr>
              <w:t>Value Realized</w:t>
            </w:r>
          </w:p>
        </w:tc>
        <w:tc>
          <w:tcPr>
            <w:tcW w:w="1700" w:type="dxa"/>
            <w:vAlign w:val="bottom"/>
          </w:tcPr>
          <w:p>
            <w:pPr>
              <w:jc w:val="center"/>
              <w:ind w:left="428"/>
              <w:spacing w:after="0"/>
              <w:rPr>
                <w:sz w:val="20"/>
                <w:szCs w:val="20"/>
                <w:color w:val="auto"/>
              </w:rPr>
            </w:pPr>
            <w:r>
              <w:rPr>
                <w:rFonts w:ascii="Arial" w:cs="Arial" w:eastAsia="Arial" w:hAnsi="Arial"/>
                <w:sz w:val="14"/>
                <w:szCs w:val="14"/>
                <w:i w:val="1"/>
                <w:iCs w:val="1"/>
                <w:color w:val="auto"/>
                <w:w w:val="92"/>
              </w:rPr>
              <w:t>Shares Acquired</w:t>
            </w:r>
          </w:p>
        </w:tc>
        <w:tc>
          <w:tcPr>
            <w:tcW w:w="540" w:type="dxa"/>
            <w:vAlign w:val="bottom"/>
            <w:tcBorders>
              <w:right w:val="single" w:sz="8" w:color="auto"/>
            </w:tcBorders>
          </w:tcPr>
          <w:p>
            <w:pPr>
              <w:spacing w:after="0"/>
              <w:rPr>
                <w:sz w:val="14"/>
                <w:szCs w:val="14"/>
                <w:color w:val="auto"/>
              </w:rPr>
            </w:pP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4"/>
                <w:szCs w:val="14"/>
                <w:i w:val="1"/>
                <w:iCs w:val="1"/>
                <w:color w:val="auto"/>
                <w:w w:val="89"/>
              </w:rPr>
              <w:t>Value Realized</w:t>
            </w:r>
          </w:p>
        </w:tc>
      </w:tr>
      <w:tr>
        <w:trPr>
          <w:trHeight w:val="202"/>
        </w:trPr>
        <w:tc>
          <w:tcPr>
            <w:tcW w:w="2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w w:val="85"/>
              </w:rPr>
              <w:t>Name</w:t>
            </w: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w w:val="92"/>
              </w:rPr>
              <w:t>on Exercise</w:t>
            </w:r>
          </w:p>
        </w:tc>
        <w:tc>
          <w:tcPr>
            <w:tcW w:w="2260" w:type="dxa"/>
            <w:vAlign w:val="bottom"/>
            <w:tcBorders>
              <w:bottom w:val="single" w:sz="8" w:color="auto"/>
              <w:right w:val="single" w:sz="8" w:color="auto"/>
            </w:tcBorders>
          </w:tcPr>
          <w:p>
            <w:pPr>
              <w:ind w:left="680"/>
              <w:spacing w:after="0"/>
              <w:rPr>
                <w:sz w:val="20"/>
                <w:szCs w:val="20"/>
                <w:color w:val="auto"/>
              </w:rPr>
            </w:pPr>
            <w:r>
              <w:rPr>
                <w:rFonts w:ascii="Arial" w:cs="Arial" w:eastAsia="Arial" w:hAnsi="Arial"/>
                <w:sz w:val="14"/>
                <w:szCs w:val="14"/>
                <w:i w:val="1"/>
                <w:iCs w:val="1"/>
                <w:color w:val="auto"/>
              </w:rPr>
              <w:t>on Exercise (1)</w:t>
            </w:r>
          </w:p>
        </w:tc>
        <w:tc>
          <w:tcPr>
            <w:tcW w:w="170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i w:val="1"/>
                <w:iCs w:val="1"/>
                <w:color w:val="auto"/>
                <w:w w:val="90"/>
              </w:rPr>
              <w:t>on Vesting</w:t>
            </w:r>
          </w:p>
        </w:tc>
        <w:tc>
          <w:tcPr>
            <w:tcW w:w="54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w w:val="92"/>
              </w:rPr>
              <w:t>on Vesting (2)(3)</w:t>
            </w:r>
          </w:p>
        </w:tc>
      </w:tr>
      <w:tr>
        <w:trPr>
          <w:trHeight w:val="185"/>
        </w:trPr>
        <w:tc>
          <w:tcPr>
            <w:tcW w:w="2240" w:type="dxa"/>
            <w:vAlign w:val="bottom"/>
            <w:tcBorders>
              <w:left w:val="single" w:sz="8" w:color="auto"/>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7"/>
              </w:rPr>
              <w:t>David A. Zapico</w:t>
            </w:r>
          </w:p>
        </w:tc>
        <w:tc>
          <w:tcPr>
            <w:tcW w:w="222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0"/>
              </w:rPr>
              <w:t>111,370</w:t>
            </w:r>
          </w:p>
        </w:tc>
        <w:tc>
          <w:tcPr>
            <w:tcW w:w="226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2"/>
              </w:rPr>
              <w:t>$10,280,154</w:t>
            </w:r>
          </w:p>
        </w:tc>
        <w:tc>
          <w:tcPr>
            <w:tcW w:w="1700" w:type="dxa"/>
            <w:vAlign w:val="bottom"/>
            <w:tcBorders>
              <w:bottom w:val="single" w:sz="8" w:color="auto"/>
            </w:tcBorders>
            <w:shd w:val="clear" w:color="auto" w:fill="CFF0FC"/>
          </w:tcPr>
          <w:p>
            <w:pPr>
              <w:jc w:val="center"/>
              <w:ind w:left="428"/>
              <w:spacing w:after="0"/>
              <w:rPr>
                <w:sz w:val="20"/>
                <w:szCs w:val="20"/>
                <w:color w:val="auto"/>
              </w:rPr>
            </w:pPr>
            <w:r>
              <w:rPr>
                <w:rFonts w:ascii="Arial" w:cs="Arial" w:eastAsia="Arial" w:hAnsi="Arial"/>
                <w:sz w:val="14"/>
                <w:szCs w:val="14"/>
                <w:color w:val="auto"/>
                <w:w w:val="93"/>
              </w:rPr>
              <w:t>49,665</w:t>
            </w:r>
          </w:p>
        </w:tc>
        <w:tc>
          <w:tcPr>
            <w:tcW w:w="540" w:type="dxa"/>
            <w:vAlign w:val="bottom"/>
            <w:tcBorders>
              <w:bottom w:val="single" w:sz="8" w:color="auto"/>
              <w:right w:val="single" w:sz="8" w:color="auto"/>
            </w:tcBorders>
            <w:shd w:val="clear" w:color="auto" w:fill="CFF0FC"/>
          </w:tcPr>
          <w:p>
            <w:pPr>
              <w:spacing w:after="0"/>
              <w:rPr>
                <w:sz w:val="16"/>
                <w:szCs w:val="16"/>
                <w:color w:val="auto"/>
              </w:rPr>
            </w:pPr>
          </w:p>
        </w:tc>
        <w:tc>
          <w:tcPr>
            <w:tcW w:w="224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1"/>
              </w:rPr>
              <w:t>$6,218,458</w:t>
            </w:r>
          </w:p>
        </w:tc>
      </w:tr>
      <w:tr>
        <w:trPr>
          <w:trHeight w:val="183"/>
        </w:trPr>
        <w:tc>
          <w:tcPr>
            <w:tcW w:w="2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William J. Burke</w:t>
            </w: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25,180</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2,338,443</w:t>
            </w:r>
          </w:p>
        </w:tc>
        <w:tc>
          <w:tcPr>
            <w:tcW w:w="170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color w:val="auto"/>
                <w:w w:val="93"/>
              </w:rPr>
              <w:t>15,921</w:t>
            </w:r>
          </w:p>
        </w:tc>
        <w:tc>
          <w:tcPr>
            <w:tcW w:w="5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1,992,916</w:t>
            </w:r>
          </w:p>
        </w:tc>
      </w:tr>
      <w:tr>
        <w:trPr>
          <w:trHeight w:val="183"/>
        </w:trPr>
        <w:tc>
          <w:tcPr>
            <w:tcW w:w="2240" w:type="dxa"/>
            <w:vAlign w:val="bottom"/>
            <w:tcBorders>
              <w:left w:val="single" w:sz="8" w:color="auto"/>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3"/>
              </w:rPr>
              <w:t>John W. Hardin</w:t>
            </w:r>
          </w:p>
        </w:tc>
        <w:tc>
          <w:tcPr>
            <w:tcW w:w="222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3"/>
              </w:rPr>
              <w:t>30,750</w:t>
            </w:r>
          </w:p>
        </w:tc>
        <w:tc>
          <w:tcPr>
            <w:tcW w:w="226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3"/>
              </w:rPr>
              <w:t>2,841,482</w:t>
            </w:r>
          </w:p>
        </w:tc>
        <w:tc>
          <w:tcPr>
            <w:tcW w:w="1700" w:type="dxa"/>
            <w:vAlign w:val="bottom"/>
            <w:tcBorders>
              <w:bottom w:val="single" w:sz="8" w:color="auto"/>
            </w:tcBorders>
            <w:shd w:val="clear" w:color="auto" w:fill="CFF0FC"/>
          </w:tcPr>
          <w:p>
            <w:pPr>
              <w:jc w:val="center"/>
              <w:ind w:left="428"/>
              <w:spacing w:after="0"/>
              <w:rPr>
                <w:sz w:val="20"/>
                <w:szCs w:val="20"/>
                <w:color w:val="auto"/>
              </w:rPr>
            </w:pPr>
            <w:r>
              <w:rPr>
                <w:rFonts w:ascii="Arial" w:cs="Arial" w:eastAsia="Arial" w:hAnsi="Arial"/>
                <w:sz w:val="14"/>
                <w:szCs w:val="14"/>
                <w:color w:val="auto"/>
                <w:w w:val="91"/>
              </w:rPr>
              <w:t>9,500</w:t>
            </w:r>
          </w:p>
        </w:tc>
        <w:tc>
          <w:tcPr>
            <w:tcW w:w="540" w:type="dxa"/>
            <w:vAlign w:val="bottom"/>
            <w:tcBorders>
              <w:bottom w:val="single" w:sz="8" w:color="auto"/>
              <w:right w:val="single" w:sz="8" w:color="auto"/>
            </w:tcBorders>
            <w:shd w:val="clear" w:color="auto" w:fill="CFF0FC"/>
          </w:tcPr>
          <w:p>
            <w:pPr>
              <w:spacing w:after="0"/>
              <w:rPr>
                <w:sz w:val="15"/>
                <w:szCs w:val="15"/>
                <w:color w:val="auto"/>
              </w:rPr>
            </w:pPr>
          </w:p>
        </w:tc>
        <w:tc>
          <w:tcPr>
            <w:tcW w:w="224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89"/>
              </w:rPr>
              <w:t>1,188,999</w:t>
            </w:r>
          </w:p>
        </w:tc>
      </w:tr>
      <w:tr>
        <w:trPr>
          <w:trHeight w:val="183"/>
        </w:trPr>
        <w:tc>
          <w:tcPr>
            <w:tcW w:w="2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Timothy N. Jones</w:t>
            </w: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40,936</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2,903,520</w:t>
            </w:r>
          </w:p>
        </w:tc>
        <w:tc>
          <w:tcPr>
            <w:tcW w:w="170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color w:val="auto"/>
                <w:w w:val="91"/>
              </w:rPr>
              <w:t>9,135</w:t>
            </w:r>
          </w:p>
        </w:tc>
        <w:tc>
          <w:tcPr>
            <w:tcW w:w="5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1,143,090</w:t>
            </w:r>
          </w:p>
        </w:tc>
      </w:tr>
      <w:tr>
        <w:trPr>
          <w:trHeight w:val="183"/>
        </w:trPr>
        <w:tc>
          <w:tcPr>
            <w:tcW w:w="2240" w:type="dxa"/>
            <w:vAlign w:val="bottom"/>
            <w:tcBorders>
              <w:left w:val="single" w:sz="8" w:color="auto"/>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3"/>
              </w:rPr>
              <w:t>Thomas C. Marecic</w:t>
            </w:r>
          </w:p>
        </w:tc>
        <w:tc>
          <w:tcPr>
            <w:tcW w:w="222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3"/>
              </w:rPr>
              <w:t>43,550</w:t>
            </w:r>
          </w:p>
        </w:tc>
        <w:tc>
          <w:tcPr>
            <w:tcW w:w="226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3"/>
              </w:rPr>
              <w:t>3,693,393</w:t>
            </w:r>
          </w:p>
        </w:tc>
        <w:tc>
          <w:tcPr>
            <w:tcW w:w="1700" w:type="dxa"/>
            <w:vAlign w:val="bottom"/>
            <w:tcBorders>
              <w:bottom w:val="single" w:sz="8" w:color="auto"/>
            </w:tcBorders>
            <w:shd w:val="clear" w:color="auto" w:fill="CFF0FC"/>
          </w:tcPr>
          <w:p>
            <w:pPr>
              <w:jc w:val="center"/>
              <w:ind w:left="428"/>
              <w:spacing w:after="0"/>
              <w:rPr>
                <w:sz w:val="20"/>
                <w:szCs w:val="20"/>
                <w:color w:val="auto"/>
              </w:rPr>
            </w:pPr>
            <w:r>
              <w:rPr>
                <w:rFonts w:ascii="Arial" w:cs="Arial" w:eastAsia="Arial" w:hAnsi="Arial"/>
                <w:sz w:val="14"/>
                <w:szCs w:val="14"/>
                <w:color w:val="auto"/>
                <w:w w:val="91"/>
              </w:rPr>
              <w:t>7,942</w:t>
            </w:r>
          </w:p>
        </w:tc>
        <w:tc>
          <w:tcPr>
            <w:tcW w:w="540" w:type="dxa"/>
            <w:vAlign w:val="bottom"/>
            <w:tcBorders>
              <w:bottom w:val="single" w:sz="8" w:color="auto"/>
              <w:right w:val="single" w:sz="8" w:color="auto"/>
            </w:tcBorders>
            <w:shd w:val="clear" w:color="auto" w:fill="CFF0FC"/>
          </w:tcPr>
          <w:p>
            <w:pPr>
              <w:spacing w:after="0"/>
              <w:rPr>
                <w:sz w:val="15"/>
                <w:szCs w:val="15"/>
                <w:color w:val="auto"/>
              </w:rPr>
            </w:pPr>
          </w:p>
        </w:tc>
        <w:tc>
          <w:tcPr>
            <w:tcW w:w="224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4"/>
              </w:rPr>
              <w:t>994,415</w:t>
            </w:r>
          </w:p>
        </w:tc>
      </w:tr>
    </w:tbl>
    <w:p>
      <w:pPr>
        <w:spacing w:after="0" w:line="175" w:lineRule="exact"/>
        <w:rPr>
          <w:sz w:val="20"/>
          <w:szCs w:val="20"/>
          <w:color w:val="auto"/>
        </w:rPr>
      </w:pPr>
    </w:p>
    <w:p>
      <w:pPr>
        <w:ind w:left="500" w:right="100" w:hanging="492"/>
        <w:spacing w:after="0" w:line="277" w:lineRule="auto"/>
        <w:tabs>
          <w:tab w:leader="none" w:pos="49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value realized on exercise is equal to the difference between the market price of the shares acquired upon exercise and the option exercise price for the acquired shares.</w:t>
      </w:r>
    </w:p>
    <w:p>
      <w:pPr>
        <w:spacing w:after="0" w:line="62" w:lineRule="exact"/>
        <w:rPr>
          <w:rFonts w:ascii="Arial" w:cs="Arial" w:eastAsia="Arial" w:hAnsi="Arial"/>
          <w:sz w:val="18"/>
          <w:szCs w:val="18"/>
          <w:color w:val="auto"/>
        </w:rPr>
      </w:pPr>
    </w:p>
    <w:p>
      <w:pPr>
        <w:ind w:left="500" w:right="180" w:hanging="492"/>
        <w:spacing w:after="0" w:line="286" w:lineRule="auto"/>
        <w:tabs>
          <w:tab w:leader="none" w:pos="494"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total value realized on vesting is equal to (1) the number of shares acquired on vesting, (2) multiplied by the NYSE closing price per share of our common stock on the vest date, (3) plus the dividends accrued since the date of award, (4) plus the interest accrued on these dividends. Details pertaining to the vesting activity summarized in the table above are presented in the table below.</w:t>
      </w:r>
    </w:p>
    <w:p>
      <w:pPr>
        <w:spacing w:after="0" w:line="79" w:lineRule="exact"/>
        <w:rPr>
          <w:sz w:val="20"/>
          <w:szCs w:val="20"/>
          <w:color w:val="auto"/>
        </w:rPr>
      </w:pPr>
    </w:p>
    <w:tbl>
      <w:tblPr>
        <w:tblLayout w:type="fixed"/>
        <w:tblInd w:w="510" w:type="dxa"/>
        <w:tblCellMar>
          <w:top w:w="0" w:type="dxa"/>
          <w:left w:w="0" w:type="dxa"/>
          <w:bottom w:w="0" w:type="dxa"/>
          <w:right w:w="0" w:type="dxa"/>
        </w:tblCellMar>
      </w:tblPr>
      <w:tr>
        <w:trPr>
          <w:trHeight w:val="223"/>
        </w:trPr>
        <w:tc>
          <w:tcPr>
            <w:tcW w:w="19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w w:val="93"/>
              </w:rPr>
              <w:t>Named Executive Officer(s)</w:t>
            </w:r>
          </w:p>
        </w:tc>
        <w:tc>
          <w:tcPr>
            <w:tcW w:w="2000" w:type="dxa"/>
            <w:vAlign w:val="bottom"/>
            <w:tcBorders>
              <w:top w:val="single" w:sz="8" w:color="auto"/>
              <w:bottom w:val="single" w:sz="8" w:color="auto"/>
              <w:right w:val="single" w:sz="8" w:color="auto"/>
            </w:tcBorders>
          </w:tcPr>
          <w:p>
            <w:pPr>
              <w:ind w:left="660"/>
              <w:spacing w:after="0"/>
              <w:rPr>
                <w:sz w:val="20"/>
                <w:szCs w:val="20"/>
                <w:color w:val="auto"/>
              </w:rPr>
            </w:pPr>
            <w:r>
              <w:rPr>
                <w:rFonts w:ascii="Arial" w:cs="Arial" w:eastAsia="Arial" w:hAnsi="Arial"/>
                <w:sz w:val="14"/>
                <w:szCs w:val="14"/>
                <w:i w:val="1"/>
                <w:iCs w:val="1"/>
                <w:color w:val="auto"/>
              </w:rPr>
              <w:t>Grant Date</w:t>
            </w:r>
          </w:p>
        </w:tc>
        <w:tc>
          <w:tcPr>
            <w:tcW w:w="20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w w:val="88"/>
              </w:rPr>
              <w:t>Award Type</w:t>
            </w:r>
          </w:p>
        </w:tc>
        <w:tc>
          <w:tcPr>
            <w:tcW w:w="2000" w:type="dxa"/>
            <w:vAlign w:val="bottom"/>
            <w:tcBorders>
              <w:top w:val="single" w:sz="8" w:color="auto"/>
              <w:bottom w:val="single" w:sz="8" w:color="auto"/>
              <w:right w:val="single" w:sz="8" w:color="auto"/>
            </w:tcBorders>
          </w:tcPr>
          <w:p>
            <w:pPr>
              <w:ind w:left="720"/>
              <w:spacing w:after="0"/>
              <w:rPr>
                <w:sz w:val="20"/>
                <w:szCs w:val="20"/>
                <w:color w:val="auto"/>
              </w:rPr>
            </w:pPr>
            <w:r>
              <w:rPr>
                <w:rFonts w:ascii="Arial" w:cs="Arial" w:eastAsia="Arial" w:hAnsi="Arial"/>
                <w:sz w:val="14"/>
                <w:szCs w:val="14"/>
                <w:i w:val="1"/>
                <w:iCs w:val="1"/>
                <w:color w:val="auto"/>
              </w:rPr>
              <w:t>Vest Date</w:t>
            </w:r>
          </w:p>
        </w:tc>
        <w:tc>
          <w:tcPr>
            <w:tcW w:w="20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w w:val="95"/>
              </w:rPr>
              <w:t>Fair Market Value</w:t>
            </w:r>
          </w:p>
        </w:tc>
      </w:tr>
      <w:tr>
        <w:trPr>
          <w:trHeight w:val="185"/>
        </w:trPr>
        <w:tc>
          <w:tcPr>
            <w:tcW w:w="1980" w:type="dxa"/>
            <w:vAlign w:val="bottom"/>
            <w:tcBorders>
              <w:left w:val="single" w:sz="8" w:color="auto"/>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rPr>
              <w:t>All</w:t>
            </w:r>
          </w:p>
        </w:tc>
        <w:tc>
          <w:tcPr>
            <w:tcW w:w="200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1"/>
              </w:rPr>
              <w:t>5/9/2017</w:t>
            </w:r>
          </w:p>
        </w:tc>
        <w:tc>
          <w:tcPr>
            <w:tcW w:w="200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7"/>
              </w:rPr>
              <w:t>RSA</w:t>
            </w:r>
          </w:p>
        </w:tc>
        <w:tc>
          <w:tcPr>
            <w:tcW w:w="200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7"/>
              </w:rPr>
              <w:t>1/12/2021*</w:t>
            </w:r>
          </w:p>
        </w:tc>
        <w:tc>
          <w:tcPr>
            <w:tcW w:w="200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0"/>
              </w:rPr>
              <w:t>$124.12</w:t>
            </w:r>
          </w:p>
        </w:tc>
      </w:tr>
      <w:tr>
        <w:trPr>
          <w:trHeight w:val="183"/>
        </w:trPr>
        <w:tc>
          <w:tcPr>
            <w:tcW w:w="1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All</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3/14/2018</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PSU</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2/18/2021</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$118.95</w:t>
            </w:r>
          </w:p>
        </w:tc>
      </w:tr>
      <w:tr>
        <w:trPr>
          <w:trHeight w:val="183"/>
        </w:trPr>
        <w:tc>
          <w:tcPr>
            <w:tcW w:w="1980" w:type="dxa"/>
            <w:vAlign w:val="bottom"/>
            <w:tcBorders>
              <w:left w:val="single" w:sz="8" w:color="auto"/>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rPr>
              <w:t>All</w:t>
            </w:r>
          </w:p>
        </w:tc>
        <w:tc>
          <w:tcPr>
            <w:tcW w:w="200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1"/>
              </w:rPr>
              <w:t>5/9/2018</w:t>
            </w:r>
          </w:p>
        </w:tc>
        <w:tc>
          <w:tcPr>
            <w:tcW w:w="200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7"/>
              </w:rPr>
              <w:t>RSA</w:t>
            </w:r>
          </w:p>
        </w:tc>
        <w:tc>
          <w:tcPr>
            <w:tcW w:w="200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3"/>
              </w:rPr>
              <w:t>5/10/2021</w:t>
            </w:r>
          </w:p>
        </w:tc>
        <w:tc>
          <w:tcPr>
            <w:tcW w:w="200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0"/>
              </w:rPr>
              <w:t>$137.09</w:t>
            </w:r>
          </w:p>
        </w:tc>
      </w:tr>
      <w:tr>
        <w:trPr>
          <w:trHeight w:val="183"/>
        </w:trPr>
        <w:tc>
          <w:tcPr>
            <w:tcW w:w="1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All</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5/9/2019</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RSA</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5/10/2021</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$137.09</w:t>
            </w:r>
          </w:p>
        </w:tc>
      </w:tr>
      <w:tr>
        <w:trPr>
          <w:trHeight w:val="183"/>
        </w:trPr>
        <w:tc>
          <w:tcPr>
            <w:tcW w:w="1980" w:type="dxa"/>
            <w:vAlign w:val="bottom"/>
            <w:tcBorders>
              <w:left w:val="single" w:sz="8" w:color="auto"/>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rPr>
              <w:t>All</w:t>
            </w:r>
          </w:p>
        </w:tc>
        <w:tc>
          <w:tcPr>
            <w:tcW w:w="200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3"/>
              </w:rPr>
              <w:t>3/20/2020</w:t>
            </w:r>
          </w:p>
        </w:tc>
        <w:tc>
          <w:tcPr>
            <w:tcW w:w="200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7"/>
              </w:rPr>
              <w:t>RSA</w:t>
            </w:r>
          </w:p>
        </w:tc>
        <w:tc>
          <w:tcPr>
            <w:tcW w:w="200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3"/>
              </w:rPr>
              <w:t>3/22/2021</w:t>
            </w:r>
          </w:p>
        </w:tc>
        <w:tc>
          <w:tcPr>
            <w:tcW w:w="200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0"/>
              </w:rPr>
              <w:t>$122.89</w:t>
            </w:r>
          </w:p>
        </w:tc>
      </w:tr>
    </w:tbl>
    <w:p>
      <w:pPr>
        <w:spacing w:after="0" w:line="251" w:lineRule="exact"/>
        <w:rPr>
          <w:sz w:val="20"/>
          <w:szCs w:val="20"/>
          <w:color w:val="auto"/>
        </w:rPr>
      </w:pPr>
    </w:p>
    <w:p>
      <w:pPr>
        <w:ind w:left="520" w:right="960"/>
        <w:spacing w:after="0" w:line="224" w:lineRule="auto"/>
        <w:rPr>
          <w:sz w:val="20"/>
          <w:szCs w:val="20"/>
          <w:color w:val="auto"/>
        </w:rPr>
      </w:pPr>
      <w:r>
        <w:rPr>
          <w:rFonts w:ascii="Arial" w:cs="Arial" w:eastAsia="Arial" w:hAnsi="Arial"/>
          <w:sz w:val="14"/>
          <w:szCs w:val="14"/>
          <w:color w:val="auto"/>
        </w:rPr>
        <w:t>*Vesting of the remaining tranche(s) of the restricted stock granted May 9, 2017 was accelerated in accordance with the award terms and conditions. Specifically, the fair market value of Company Stock exceeded 200% (i.e. $120.60) of the closing share price of a share of Company Stock on the Grant Date (i.e. $60.30) on each of five consecutive trading days, January 6-12, 2021, inclusive.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8"/>
          <w:szCs w:val="18"/>
          <w:b w:val="1"/>
          <w:bCs w:val="1"/>
          <w:color w:val="auto"/>
        </w:rPr>
        <w:t>AMETEK, INC. 2022 Proxy Statement</w:t>
      </w:r>
      <w:r>
        <w:rPr>
          <w:sz w:val="20"/>
          <w:szCs w:val="20"/>
          <w:color w:val="auto"/>
        </w:rPr>
        <w:tab/>
      </w:r>
      <w:r>
        <w:rPr>
          <w:rFonts w:ascii="Arial" w:cs="Arial" w:eastAsia="Arial" w:hAnsi="Arial"/>
          <w:sz w:val="16"/>
          <w:szCs w:val="16"/>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18"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PENSION BENEFITS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defined benefit plans in which some or all of our named executive officers participate:</w:t>
      </w:r>
    </w:p>
    <w:p>
      <w:pPr>
        <w:spacing w:after="0" w:line="117" w:lineRule="exact"/>
        <w:rPr>
          <w:sz w:val="20"/>
          <w:szCs w:val="20"/>
          <w:color w:val="auto"/>
        </w:rPr>
      </w:pPr>
    </w:p>
    <w:p>
      <w:pPr>
        <w:ind w:left="1060" w:right="140" w:hanging="566"/>
        <w:spacing w:after="0" w:line="255" w:lineRule="auto"/>
        <w:tabs>
          <w:tab w:leader="none" w:pos="10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Employees’ Retirement Plan – This plan is a qualified defined benefit pension plan that provides retirement benefits to our U.S.-based salaried employees who commenced employment with us prior to January 1, 1997. The plan pays benefits based upon eligible final average plan compensation and years of credited service. Compensation in excess of a specified amount prescribed by the Department of the Treasury ($290,000 for 2021) is not taken into account under the Retirement Plan. Mr. Hardin, who joined us after January 1, 1997, is not eligible to participate in The Employees’ Retirement Plan, and instead is eligible to participate in the Retirement Feature of the AMETEK 401(k) Plan, a defined contribution plan.</w:t>
      </w:r>
    </w:p>
    <w:p>
      <w:pPr>
        <w:spacing w:after="0" w:line="84"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Annual benefits earned under The Employees’ Retirement Plan are computed using the following formula:</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 + B) x C x 1.02</w:t>
      </w:r>
    </w:p>
    <w:p>
      <w:pPr>
        <w:spacing w:after="0" w:line="11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where:</w:t>
      </w:r>
    </w:p>
    <w:p>
      <w:pPr>
        <w:spacing w:after="0" w:line="117" w:lineRule="exact"/>
        <w:rPr>
          <w:sz w:val="20"/>
          <w:szCs w:val="20"/>
          <w:color w:val="auto"/>
        </w:rPr>
      </w:pPr>
    </w:p>
    <w:p>
      <w:pPr>
        <w:ind w:left="1960" w:right="60" w:hanging="494"/>
        <w:spacing w:after="0" w:line="263" w:lineRule="auto"/>
        <w:tabs>
          <w:tab w:leader="none" w:pos="19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 32.0% of eligible compensation not in excess of Social Security covered compensation plus 40.0% of eligible compensation in excess of Social Security covered compensation, times credited service at the normal retirement date (maximum of 15 years) divided by 15;</w:t>
      </w:r>
    </w:p>
    <w:p>
      <w:pPr>
        <w:spacing w:after="0" w:line="75" w:lineRule="exact"/>
        <w:rPr>
          <w:rFonts w:ascii="Arial" w:cs="Arial" w:eastAsia="Arial" w:hAnsi="Arial"/>
          <w:sz w:val="18"/>
          <w:szCs w:val="18"/>
          <w:color w:val="auto"/>
        </w:rPr>
      </w:pPr>
    </w:p>
    <w:p>
      <w:pPr>
        <w:ind w:left="1960" w:right="140" w:hanging="494"/>
        <w:spacing w:after="0" w:line="277" w:lineRule="auto"/>
        <w:tabs>
          <w:tab w:leader="none" w:pos="19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B = 0.5% of eligible plan compensation times credited service at the normal retirement date in excess of 15 years (maximum of ten years); and</w:t>
      </w:r>
    </w:p>
    <w:p>
      <w:pPr>
        <w:spacing w:after="0" w:line="62" w:lineRule="exact"/>
        <w:rPr>
          <w:rFonts w:ascii="Arial" w:cs="Arial" w:eastAsia="Arial" w:hAnsi="Arial"/>
          <w:sz w:val="18"/>
          <w:szCs w:val="18"/>
          <w:color w:val="auto"/>
        </w:rPr>
      </w:pPr>
    </w:p>
    <w:p>
      <w:pPr>
        <w:ind w:left="1940" w:hanging="474"/>
        <w:spacing w:after="0"/>
        <w:tabs>
          <w:tab w:leader="none" w:pos="19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 = current credited service divided by credited service at the normal retirement date.</w:t>
      </w:r>
    </w:p>
    <w:p>
      <w:pPr>
        <w:spacing w:after="0" w:line="117" w:lineRule="exact"/>
        <w:rPr>
          <w:sz w:val="20"/>
          <w:szCs w:val="20"/>
          <w:color w:val="auto"/>
        </w:rPr>
      </w:pPr>
    </w:p>
    <w:p>
      <w:pPr>
        <w:ind w:left="1060" w:right="140"/>
        <w:spacing w:after="0" w:line="311" w:lineRule="auto"/>
        <w:rPr>
          <w:sz w:val="20"/>
          <w:szCs w:val="20"/>
          <w:color w:val="auto"/>
        </w:rPr>
      </w:pPr>
      <w:r>
        <w:rPr>
          <w:rFonts w:ascii="Arial" w:cs="Arial" w:eastAsia="Arial" w:hAnsi="Arial"/>
          <w:sz w:val="16"/>
          <w:szCs w:val="16"/>
          <w:color w:val="auto"/>
        </w:rPr>
        <w:t>Participants may retire as early as age 55 with 10 years of service. Unreduced benefits are available when a participant attains age 65 with 5 years of service. Otherwise, benefits are reduced if pension commencement precedes the attainment of age 65. Pension benefits earned are distributed in the form of a lifetime annuity. Messrs. Zapico, Burke and Marecic are eligible for early retirement under the plan.</w:t>
      </w:r>
    </w:p>
    <w:p>
      <w:pPr>
        <w:spacing w:after="0" w:line="10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provides details regarding the present value of accumulated benefits under the plans described above for the named executive officers in 2021.</w:t>
      </w:r>
    </w:p>
    <w:p>
      <w:pPr>
        <w:spacing w:after="0" w:line="151"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1580" w:type="dxa"/>
            <w:vAlign w:val="bottom"/>
            <w:tcBorders>
              <w:top w:val="single" w:sz="8" w:color="auto"/>
              <w:left w:val="single" w:sz="8" w:color="auto"/>
              <w:right w:val="single" w:sz="8" w:color="auto"/>
            </w:tcBorders>
          </w:tcPr>
          <w:p>
            <w:pPr>
              <w:spacing w:after="0"/>
              <w:rPr>
                <w:sz w:val="13"/>
                <w:szCs w:val="13"/>
                <w:color w:val="auto"/>
              </w:rPr>
            </w:pPr>
          </w:p>
        </w:tc>
        <w:tc>
          <w:tcPr>
            <w:tcW w:w="2780" w:type="dxa"/>
            <w:vAlign w:val="bottom"/>
            <w:tcBorders>
              <w:top w:val="single" w:sz="8" w:color="auto"/>
              <w:right w:val="single" w:sz="8" w:color="auto"/>
            </w:tcBorders>
          </w:tcPr>
          <w:p>
            <w:pPr>
              <w:spacing w:after="0"/>
              <w:rPr>
                <w:sz w:val="13"/>
                <w:szCs w:val="13"/>
                <w:color w:val="auto"/>
              </w:rPr>
            </w:pPr>
          </w:p>
        </w:tc>
        <w:tc>
          <w:tcPr>
            <w:tcW w:w="21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i w:val="1"/>
                <w:iCs w:val="1"/>
                <w:color w:val="auto"/>
                <w:w w:val="90"/>
              </w:rPr>
              <w:t>Number of Years</w:t>
            </w:r>
          </w:p>
        </w:tc>
        <w:tc>
          <w:tcPr>
            <w:tcW w:w="2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9"/>
              </w:rPr>
              <w:t>Present</w:t>
            </w:r>
          </w:p>
        </w:tc>
        <w:tc>
          <w:tcPr>
            <w:tcW w:w="240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1580" w:type="dxa"/>
            <w:vAlign w:val="bottom"/>
            <w:tcBorders>
              <w:left w:val="single" w:sz="8" w:color="auto"/>
              <w:right w:val="single" w:sz="8" w:color="auto"/>
            </w:tcBorders>
          </w:tcPr>
          <w:p>
            <w:pPr>
              <w:spacing w:after="0"/>
              <w:rPr>
                <w:sz w:val="7"/>
                <w:szCs w:val="7"/>
                <w:color w:val="auto"/>
              </w:rPr>
            </w:pPr>
          </w:p>
        </w:tc>
        <w:tc>
          <w:tcPr>
            <w:tcW w:w="2780" w:type="dxa"/>
            <w:vAlign w:val="bottom"/>
            <w:tcBorders>
              <w:right w:val="single" w:sz="8" w:color="auto"/>
            </w:tcBorders>
          </w:tcPr>
          <w:p>
            <w:pPr>
              <w:spacing w:after="0"/>
              <w:rPr>
                <w:sz w:val="7"/>
                <w:szCs w:val="7"/>
                <w:color w:val="auto"/>
              </w:rPr>
            </w:pPr>
          </w:p>
        </w:tc>
        <w:tc>
          <w:tcPr>
            <w:tcW w:w="2100" w:type="dxa"/>
            <w:vAlign w:val="bottom"/>
            <w:tcBorders>
              <w:right w:val="single" w:sz="8" w:color="auto"/>
            </w:tcBorders>
            <w:vMerge w:val="continue"/>
          </w:tcPr>
          <w:p>
            <w:pPr>
              <w:spacing w:after="0"/>
              <w:rPr>
                <w:sz w:val="7"/>
                <w:szCs w:val="7"/>
                <w:color w:val="auto"/>
              </w:rPr>
            </w:pPr>
          </w:p>
        </w:tc>
        <w:tc>
          <w:tcPr>
            <w:tcW w:w="240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i w:val="1"/>
                <w:iCs w:val="1"/>
                <w:color w:val="auto"/>
                <w:w w:val="92"/>
              </w:rPr>
              <w:t>Value of</w:t>
            </w:r>
          </w:p>
        </w:tc>
        <w:tc>
          <w:tcPr>
            <w:tcW w:w="2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1580" w:type="dxa"/>
            <w:vAlign w:val="bottom"/>
            <w:tcBorders>
              <w:left w:val="single" w:sz="8" w:color="auto"/>
              <w:right w:val="single" w:sz="8" w:color="auto"/>
            </w:tcBorders>
          </w:tcPr>
          <w:p>
            <w:pPr>
              <w:spacing w:after="0"/>
              <w:rPr>
                <w:sz w:val="4"/>
                <w:szCs w:val="4"/>
                <w:color w:val="auto"/>
              </w:rPr>
            </w:pPr>
          </w:p>
        </w:tc>
        <w:tc>
          <w:tcPr>
            <w:tcW w:w="2780" w:type="dxa"/>
            <w:vAlign w:val="bottom"/>
            <w:tcBorders>
              <w:right w:val="single" w:sz="8" w:color="auto"/>
            </w:tcBorders>
          </w:tcPr>
          <w:p>
            <w:pPr>
              <w:spacing w:after="0"/>
              <w:rPr>
                <w:sz w:val="4"/>
                <w:szCs w:val="4"/>
                <w:color w:val="auto"/>
              </w:rPr>
            </w:pPr>
          </w:p>
        </w:tc>
        <w:tc>
          <w:tcPr>
            <w:tcW w:w="2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i w:val="1"/>
                <w:iCs w:val="1"/>
                <w:color w:val="auto"/>
                <w:w w:val="91"/>
              </w:rPr>
              <w:t>Credited Service at December 31,</w:t>
            </w:r>
          </w:p>
        </w:tc>
        <w:tc>
          <w:tcPr>
            <w:tcW w:w="2400" w:type="dxa"/>
            <w:vAlign w:val="bottom"/>
            <w:tcBorders>
              <w:right w:val="single" w:sz="8" w:color="auto"/>
            </w:tcBorders>
            <w:vMerge w:val="continue"/>
          </w:tcPr>
          <w:p>
            <w:pPr>
              <w:spacing w:after="0"/>
              <w:rPr>
                <w:sz w:val="4"/>
                <w:szCs w:val="4"/>
                <w:color w:val="auto"/>
              </w:rPr>
            </w:pPr>
          </w:p>
        </w:tc>
        <w:tc>
          <w:tcPr>
            <w:tcW w:w="2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i w:val="1"/>
                <w:iCs w:val="1"/>
                <w:color w:val="auto"/>
                <w:w w:val="94"/>
              </w:rPr>
              <w:t>Payments During</w:t>
            </w:r>
          </w:p>
        </w:tc>
        <w:tc>
          <w:tcPr>
            <w:tcW w:w="0" w:type="dxa"/>
            <w:vAlign w:val="bottom"/>
          </w:tcPr>
          <w:p>
            <w:pPr>
              <w:spacing w:after="0"/>
              <w:rPr>
                <w:sz w:val="1"/>
                <w:szCs w:val="1"/>
                <w:color w:val="auto"/>
              </w:rPr>
            </w:pPr>
          </w:p>
        </w:tc>
      </w:tr>
      <w:tr>
        <w:trPr>
          <w:trHeight w:val="132"/>
        </w:trPr>
        <w:tc>
          <w:tcPr>
            <w:tcW w:w="1580" w:type="dxa"/>
            <w:vAlign w:val="bottom"/>
            <w:tcBorders>
              <w:left w:val="single" w:sz="8" w:color="auto"/>
              <w:right w:val="single" w:sz="8" w:color="auto"/>
            </w:tcBorders>
            <w:vMerge w:val="restart"/>
          </w:tcPr>
          <w:p>
            <w:pPr>
              <w:ind w:left="640"/>
              <w:spacing w:after="0"/>
              <w:rPr>
                <w:sz w:val="20"/>
                <w:szCs w:val="20"/>
                <w:color w:val="auto"/>
              </w:rPr>
            </w:pPr>
            <w:r>
              <w:rPr>
                <w:rFonts w:ascii="Arial" w:cs="Arial" w:eastAsia="Arial" w:hAnsi="Arial"/>
                <w:sz w:val="13"/>
                <w:szCs w:val="13"/>
                <w:i w:val="1"/>
                <w:iCs w:val="1"/>
                <w:color w:val="auto"/>
              </w:rPr>
              <w:t>Name</w:t>
            </w:r>
          </w:p>
        </w:tc>
        <w:tc>
          <w:tcPr>
            <w:tcW w:w="2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i w:val="1"/>
                <w:iCs w:val="1"/>
                <w:color w:val="auto"/>
                <w:w w:val="93"/>
              </w:rPr>
              <w:t>Plan Name</w:t>
            </w:r>
          </w:p>
        </w:tc>
        <w:tc>
          <w:tcPr>
            <w:tcW w:w="2100" w:type="dxa"/>
            <w:vAlign w:val="bottom"/>
            <w:tcBorders>
              <w:right w:val="single" w:sz="8" w:color="auto"/>
            </w:tcBorders>
            <w:vMerge w:val="continue"/>
          </w:tcPr>
          <w:p>
            <w:pPr>
              <w:spacing w:after="0"/>
              <w:rPr>
                <w:sz w:val="11"/>
                <w:szCs w:val="11"/>
                <w:color w:val="auto"/>
              </w:rPr>
            </w:pPr>
          </w:p>
        </w:tc>
        <w:tc>
          <w:tcPr>
            <w:tcW w:w="240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i w:val="1"/>
                <w:iCs w:val="1"/>
                <w:color w:val="auto"/>
                <w:w w:val="93"/>
              </w:rPr>
              <w:t>Accumulated</w:t>
            </w:r>
          </w:p>
        </w:tc>
        <w:tc>
          <w:tcPr>
            <w:tcW w:w="24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5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2780" w:type="dxa"/>
            <w:vAlign w:val="bottom"/>
            <w:tcBorders>
              <w:bottom w:val="single" w:sz="8" w:color="auto"/>
              <w:right w:val="single" w:sz="8" w:color="auto"/>
            </w:tcBorders>
            <w:vMerge w:val="continue"/>
          </w:tcPr>
          <w:p>
            <w:pPr>
              <w:spacing w:after="0"/>
              <w:rPr>
                <w:sz w:val="16"/>
                <w:szCs w:val="16"/>
                <w:color w:val="auto"/>
              </w:rPr>
            </w:pP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w w:val="89"/>
              </w:rPr>
              <w:t>2021</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93"/>
              </w:rPr>
              <w:t>Benefit (1)</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9"/>
              </w:rPr>
              <w:t>2021</w:t>
            </w:r>
          </w:p>
        </w:tc>
        <w:tc>
          <w:tcPr>
            <w:tcW w:w="0" w:type="dxa"/>
            <w:vAlign w:val="bottom"/>
          </w:tcPr>
          <w:p>
            <w:pPr>
              <w:spacing w:after="0"/>
              <w:rPr>
                <w:sz w:val="1"/>
                <w:szCs w:val="1"/>
                <w:color w:val="auto"/>
              </w:rPr>
            </w:pPr>
          </w:p>
        </w:tc>
      </w:tr>
      <w:tr>
        <w:trPr>
          <w:trHeight w:val="179"/>
        </w:trPr>
        <w:tc>
          <w:tcPr>
            <w:tcW w:w="1580" w:type="dxa"/>
            <w:vAlign w:val="bottom"/>
            <w:tcBorders>
              <w:left w:val="single" w:sz="8" w:color="auto"/>
              <w:bottom w:val="single" w:sz="8" w:color="auto"/>
              <w:right w:val="single" w:sz="8" w:color="auto"/>
            </w:tcBorders>
            <w:shd w:val="clear" w:color="auto" w:fill="CFF0FC"/>
          </w:tcPr>
          <w:p>
            <w:pPr>
              <w:ind w:left="40"/>
              <w:spacing w:after="0"/>
              <w:rPr>
                <w:sz w:val="20"/>
                <w:szCs w:val="20"/>
                <w:color w:val="auto"/>
              </w:rPr>
            </w:pPr>
            <w:r>
              <w:rPr>
                <w:rFonts w:ascii="Arial" w:cs="Arial" w:eastAsia="Arial" w:hAnsi="Arial"/>
                <w:sz w:val="13"/>
                <w:szCs w:val="13"/>
                <w:color w:val="auto"/>
              </w:rPr>
              <w:t>David A. Zapico</w:t>
            </w:r>
          </w:p>
        </w:tc>
        <w:tc>
          <w:tcPr>
            <w:tcW w:w="278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3"/>
                <w:szCs w:val="13"/>
                <w:color w:val="auto"/>
                <w:w w:val="94"/>
              </w:rPr>
              <w:t>The Employees’ Retirement Plan</w:t>
            </w:r>
          </w:p>
        </w:tc>
        <w:tc>
          <w:tcPr>
            <w:tcW w:w="210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3"/>
                <w:szCs w:val="13"/>
                <w:color w:val="auto"/>
                <w:w w:val="96"/>
              </w:rPr>
              <w:t>32</w:t>
            </w:r>
          </w:p>
        </w:tc>
        <w:tc>
          <w:tcPr>
            <w:tcW w:w="240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3"/>
                <w:szCs w:val="13"/>
                <w:color w:val="auto"/>
                <w:w w:val="92"/>
              </w:rPr>
              <w:t>$1,133,500</w:t>
            </w:r>
          </w:p>
        </w:tc>
        <w:tc>
          <w:tcPr>
            <w:tcW w:w="240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William J. Burke</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4"/>
              </w:rPr>
              <w:t>The Employees’ Retirement Plan</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35</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3"/>
              </w:rPr>
              <w:t>1,354,300</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580" w:type="dxa"/>
            <w:vAlign w:val="bottom"/>
            <w:tcBorders>
              <w:left w:val="single" w:sz="8" w:color="auto"/>
              <w:bottom w:val="single" w:sz="8" w:color="auto"/>
              <w:right w:val="single" w:sz="8" w:color="auto"/>
            </w:tcBorders>
            <w:shd w:val="clear" w:color="auto" w:fill="CFF0FC"/>
          </w:tcPr>
          <w:p>
            <w:pPr>
              <w:ind w:left="40"/>
              <w:spacing w:after="0"/>
              <w:rPr>
                <w:sz w:val="20"/>
                <w:szCs w:val="20"/>
                <w:color w:val="auto"/>
              </w:rPr>
            </w:pPr>
            <w:r>
              <w:rPr>
                <w:rFonts w:ascii="Arial" w:cs="Arial" w:eastAsia="Arial" w:hAnsi="Arial"/>
                <w:sz w:val="13"/>
                <w:szCs w:val="13"/>
                <w:color w:val="auto"/>
              </w:rPr>
              <w:t>Timothy N. Jones</w:t>
            </w:r>
          </w:p>
        </w:tc>
        <w:tc>
          <w:tcPr>
            <w:tcW w:w="278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3"/>
                <w:szCs w:val="13"/>
                <w:color w:val="auto"/>
                <w:w w:val="94"/>
              </w:rPr>
              <w:t>The Employees’ Retirement Plan</w:t>
            </w:r>
          </w:p>
        </w:tc>
        <w:tc>
          <w:tcPr>
            <w:tcW w:w="210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3"/>
                <w:szCs w:val="13"/>
                <w:color w:val="auto"/>
                <w:w w:val="96"/>
              </w:rPr>
              <w:t>42</w:t>
            </w:r>
          </w:p>
        </w:tc>
        <w:tc>
          <w:tcPr>
            <w:tcW w:w="240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3"/>
                <w:szCs w:val="13"/>
                <w:color w:val="auto"/>
                <w:w w:val="93"/>
              </w:rPr>
              <w:t>1,767,400</w:t>
            </w:r>
          </w:p>
        </w:tc>
        <w:tc>
          <w:tcPr>
            <w:tcW w:w="240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John W. Hardin</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83"/>
        </w:trPr>
        <w:tc>
          <w:tcPr>
            <w:tcW w:w="1580" w:type="dxa"/>
            <w:vAlign w:val="bottom"/>
            <w:tcBorders>
              <w:left w:val="single" w:sz="8" w:color="auto"/>
              <w:bottom w:val="single" w:sz="8" w:color="auto"/>
              <w:right w:val="single" w:sz="8" w:color="auto"/>
            </w:tcBorders>
            <w:shd w:val="clear" w:color="auto" w:fill="CFF0FC"/>
          </w:tcPr>
          <w:p>
            <w:pPr>
              <w:ind w:left="40"/>
              <w:spacing w:after="0"/>
              <w:rPr>
                <w:sz w:val="20"/>
                <w:szCs w:val="20"/>
                <w:color w:val="auto"/>
              </w:rPr>
            </w:pPr>
            <w:r>
              <w:rPr>
                <w:rFonts w:ascii="Arial" w:cs="Arial" w:eastAsia="Arial" w:hAnsi="Arial"/>
                <w:sz w:val="13"/>
                <w:szCs w:val="13"/>
                <w:color w:val="auto"/>
              </w:rPr>
              <w:t>Thomas C. Marecic</w:t>
            </w:r>
          </w:p>
        </w:tc>
        <w:tc>
          <w:tcPr>
            <w:tcW w:w="278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3"/>
                <w:szCs w:val="13"/>
                <w:color w:val="auto"/>
                <w:w w:val="94"/>
              </w:rPr>
              <w:t>The Employees’ Retirement Plan</w:t>
            </w:r>
          </w:p>
        </w:tc>
        <w:tc>
          <w:tcPr>
            <w:tcW w:w="210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3"/>
                <w:szCs w:val="13"/>
                <w:color w:val="auto"/>
                <w:w w:val="96"/>
              </w:rPr>
              <w:t>27</w:t>
            </w:r>
          </w:p>
        </w:tc>
        <w:tc>
          <w:tcPr>
            <w:tcW w:w="240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3"/>
                <w:szCs w:val="13"/>
                <w:color w:val="auto"/>
                <w:w w:val="93"/>
              </w:rPr>
              <w:t>1,286,900</w:t>
            </w:r>
          </w:p>
        </w:tc>
        <w:tc>
          <w:tcPr>
            <w:tcW w:w="240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500" w:right="340" w:hanging="492"/>
        <w:spacing w:after="0" w:line="257" w:lineRule="auto"/>
        <w:tabs>
          <w:tab w:leader="none" w:pos="500" w:val="left"/>
        </w:tabs>
        <w:numPr>
          <w:ilvl w:val="0"/>
          <w:numId w:val="43"/>
        </w:numPr>
        <w:rPr>
          <w:rFonts w:ascii="Arial" w:cs="Arial" w:eastAsia="Arial" w:hAnsi="Arial"/>
          <w:sz w:val="16"/>
          <w:szCs w:val="16"/>
          <w:color w:val="auto"/>
        </w:rPr>
      </w:pPr>
      <w:r>
        <w:rPr>
          <w:rFonts w:ascii="Arial" w:cs="Arial" w:eastAsia="Arial" w:hAnsi="Arial"/>
          <w:sz w:val="18"/>
          <w:szCs w:val="18"/>
          <w:color w:val="auto"/>
        </w:rPr>
        <w:t>The amounts shown in the Pension Benefit Table above are actuarial present values of the benefits accumulated through December 31, 2021. We used the following assumptions in quantifying the present value of the accumulated benefit: discount rate – 3.02%; limitation on eligible annual compensation under the Internal Revenue Code - $290,000; limitation on eligible annual benefits under the Internal Revenue Code - $230,000; retirement age - later of 65 or current age; termination and disability rates - none; PRI-2012 Healthy Retiree with scale MP2021, no collar adjustments; form of payment - single life annuity</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b w:val="1"/>
          <w:bCs w:val="1"/>
          <w:color w:val="auto"/>
        </w:rPr>
        <w:t>40</w:t>
        <w:tab/>
        <w:t>AMETEK, INC.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NON-QUALIFIED DEFERRED COMPENSATION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non-qualified deferred compensation plans in which our named executive officers participate:</w:t>
      </w:r>
    </w:p>
    <w:p>
      <w:pPr>
        <w:spacing w:after="0" w:line="117" w:lineRule="exact"/>
        <w:rPr>
          <w:sz w:val="20"/>
          <w:szCs w:val="20"/>
          <w:color w:val="auto"/>
        </w:rPr>
      </w:pPr>
    </w:p>
    <w:p>
      <w:pPr>
        <w:ind w:left="500" w:hanging="492"/>
        <w:spacing w:after="0" w:line="259" w:lineRule="auto"/>
        <w:tabs>
          <w:tab w:leader="none" w:pos="4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Supplemental Executive Retirement Plan (“SERP”) – This provides benefits for executives to the extent that their compensation cannot be taken into account under our tax-qualified plans because the compensation exceeds limits imposed by the Internal Revenue Code ($290,000 in 2021). Under the SERP, each year we credit to the account of a named executive officer an amount equal to 13% of the named executive officer’s excess compensation.</w:t>
      </w:r>
    </w:p>
    <w:p>
      <w:pPr>
        <w:spacing w:after="0" w:line="78" w:lineRule="exact"/>
        <w:rPr>
          <w:rFonts w:ascii="Arial" w:cs="Arial" w:eastAsia="Arial" w:hAnsi="Arial"/>
          <w:sz w:val="18"/>
          <w:szCs w:val="18"/>
          <w:color w:val="auto"/>
        </w:rPr>
      </w:pPr>
    </w:p>
    <w:p>
      <w:pPr>
        <w:ind w:left="500" w:right="40"/>
        <w:spacing w:after="0" w:line="271" w:lineRule="auto"/>
        <w:rPr>
          <w:rFonts w:ascii="Arial" w:cs="Arial" w:eastAsia="Arial" w:hAnsi="Arial"/>
          <w:sz w:val="18"/>
          <w:szCs w:val="18"/>
          <w:color w:val="auto"/>
        </w:rPr>
      </w:pPr>
      <w:r>
        <w:rPr>
          <w:rFonts w:ascii="Arial" w:cs="Arial" w:eastAsia="Arial" w:hAnsi="Arial"/>
          <w:sz w:val="17"/>
          <w:szCs w:val="17"/>
          <w:color w:val="auto"/>
        </w:rPr>
        <w:t>Named executive officers may notionally invest their SERP contributions in the investment funds offered under the AMETEK 401(k) Plan (which includes the AMETEK Fund, a notional investment in AMETEK, Inc. common stock) designed to mirror those of the AMETEK 401(k) Plan and an interest-bearing account. The interest-bearing account is deemed to earn compound interest at one and one-half percent higher than the 10-year Treasury Note rate. The interest-bearing account is the default investment. Payments of a named executive officer’s account balance in the AMETEK Fund are made in shares of our common stock, while payments from all other investments are paid in cash. The named executive officer may generally elect to have the value of their account distributed following retirement, either in a lump sum or in up to 15 annual installments, or to have the SERP purchase an annuity in his or her name. Payments may commence sooner upon the named executive officer’s earlier separation from service, upon the death of the named executive officer, or upon a change of control.</w:t>
      </w:r>
    </w:p>
    <w:p>
      <w:pPr>
        <w:spacing w:after="0" w:line="70" w:lineRule="exact"/>
        <w:rPr>
          <w:rFonts w:ascii="Arial" w:cs="Arial" w:eastAsia="Arial" w:hAnsi="Arial"/>
          <w:sz w:val="18"/>
          <w:szCs w:val="18"/>
          <w:color w:val="auto"/>
        </w:rPr>
      </w:pPr>
    </w:p>
    <w:p>
      <w:pPr>
        <w:ind w:left="500" w:right="100" w:hanging="492"/>
        <w:spacing w:after="0" w:line="259" w:lineRule="auto"/>
        <w:tabs>
          <w:tab w:leader="none" w:pos="4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Deferred Compensation Plan – This plan provides an opportunity for named executive officers to defer payment of their short-term incentive award to the extent that such award, together with other relevant compensation, exceeds limits imposed by the Internal Revenue Code ($290,000 in 2021). In advance of the year in which the short-term incentive award will be paid, a named executive officer may elect to defer all or part of his or her eligible incentive award into a notional investment.</w:t>
      </w:r>
    </w:p>
    <w:p>
      <w:pPr>
        <w:spacing w:after="0" w:line="78" w:lineRule="exact"/>
        <w:rPr>
          <w:rFonts w:ascii="Arial" w:cs="Arial" w:eastAsia="Arial" w:hAnsi="Arial"/>
          <w:sz w:val="18"/>
          <w:szCs w:val="18"/>
          <w:color w:val="auto"/>
        </w:rPr>
      </w:pPr>
    </w:p>
    <w:p>
      <w:pPr>
        <w:ind w:left="500" w:right="120"/>
        <w:spacing w:after="0" w:line="286" w:lineRule="auto"/>
        <w:rPr>
          <w:rFonts w:ascii="Arial" w:cs="Arial" w:eastAsia="Arial" w:hAnsi="Arial"/>
          <w:sz w:val="18"/>
          <w:szCs w:val="18"/>
          <w:color w:val="auto"/>
        </w:rPr>
      </w:pPr>
      <w:r>
        <w:rPr>
          <w:rFonts w:ascii="Arial" w:cs="Arial" w:eastAsia="Arial" w:hAnsi="Arial"/>
          <w:sz w:val="17"/>
          <w:szCs w:val="17"/>
          <w:color w:val="auto"/>
        </w:rPr>
        <w:t>He or she may notionally invest their Deferred Compensation Plan contributions in the investment funds offered under the AMETEK 401(k) Plan (which includes the AMETEK Fund, a notional investment in AMETEK, Inc. common stock) and an interest-bearing account. The interest-bearing account is deemed to earn compound interest at one and one-half percent higher than the 10-year Treasury Note rate.</w:t>
      </w:r>
    </w:p>
    <w:p>
      <w:pPr>
        <w:spacing w:after="0" w:line="57" w:lineRule="exact"/>
        <w:rPr>
          <w:rFonts w:ascii="Arial" w:cs="Arial" w:eastAsia="Arial" w:hAnsi="Arial"/>
          <w:sz w:val="18"/>
          <w:szCs w:val="18"/>
          <w:color w:val="auto"/>
        </w:rPr>
      </w:pPr>
    </w:p>
    <w:p>
      <w:pPr>
        <w:ind w:left="500" w:right="20"/>
        <w:spacing w:after="0" w:line="255" w:lineRule="auto"/>
        <w:rPr>
          <w:rFonts w:ascii="Arial" w:cs="Arial" w:eastAsia="Arial" w:hAnsi="Arial"/>
          <w:sz w:val="18"/>
          <w:szCs w:val="18"/>
          <w:color w:val="auto"/>
        </w:rPr>
      </w:pPr>
      <w:r>
        <w:rPr>
          <w:rFonts w:ascii="Arial" w:cs="Arial" w:eastAsia="Arial" w:hAnsi="Arial"/>
          <w:sz w:val="18"/>
          <w:szCs w:val="18"/>
          <w:color w:val="auto"/>
        </w:rPr>
        <w:t>A named executive officer generally may elect to have the value of his or her account distributed following retirement, either in a lump sum or in up to fifteen annual installments, or in the form of an in-service distribution, payable either in a lump sum or in up to fifteen annual installments commencing on a date specified by the participant in his or her distribution election. Payments may commence sooner upon the named executive officer’s earlier separation from service, upon the death of the named executive officer, in the event of an unforeseeable financial emergency or upon a change of control. Payments from the notional AMETEK Fund are made in shares of our common stock, while payments from all other investments are paid in cash.</w:t>
      </w:r>
    </w:p>
    <w:p>
      <w:pPr>
        <w:spacing w:after="0" w:line="84" w:lineRule="exact"/>
        <w:rPr>
          <w:rFonts w:ascii="Arial" w:cs="Arial" w:eastAsia="Arial" w:hAnsi="Arial"/>
          <w:sz w:val="18"/>
          <w:szCs w:val="18"/>
          <w:color w:val="auto"/>
        </w:rPr>
      </w:pPr>
    </w:p>
    <w:p>
      <w:pPr>
        <w:ind w:left="500" w:right="80" w:hanging="492"/>
        <w:spacing w:after="0" w:line="272" w:lineRule="auto"/>
        <w:tabs>
          <w:tab w:leader="none" w:pos="495" w:val="left"/>
        </w:tabs>
        <w:numPr>
          <w:ilvl w:val="0"/>
          <w:numId w:val="44"/>
        </w:numPr>
        <w:rPr>
          <w:rFonts w:ascii="Arial" w:cs="Arial" w:eastAsia="Arial" w:hAnsi="Arial"/>
          <w:sz w:val="17"/>
          <w:szCs w:val="17"/>
          <w:color w:val="auto"/>
        </w:rPr>
      </w:pPr>
      <w:r>
        <w:rPr>
          <w:rFonts w:ascii="Arial" w:cs="Arial" w:eastAsia="Arial" w:hAnsi="Arial"/>
          <w:sz w:val="17"/>
          <w:szCs w:val="17"/>
          <w:color w:val="auto"/>
        </w:rPr>
        <w:t>2004 Executive Death Benefit Plan – Under this plan, we provide a retirement benefit to Messrs. Zapico, Burke, Jones and Hardin. The retirement benefit under this plan is designed to provide the lump sum necessary to deliver 20% of the executive’s final projected annual salary paid annually for 10 years, on a present value basis at age 70. However, the actual benefit will vary based on the gains and losses from the underlying investments in a pool of insurance policies that we own covering the lives of the named executive officers, and on death benefits received from these same policies. The maximum salary on which the benefit can be based is $500,000. If before age 65 the covered named executive officer dies while disabled or actively employed, the named executive officer’s beneficiaries will receive monthly payments from the date of his or her death until the named executive officer would have attained age 80.</w:t>
      </w:r>
    </w:p>
    <w:p>
      <w:pPr>
        <w:spacing w:after="0" w:line="200" w:lineRule="exact"/>
        <w:rPr>
          <w:sz w:val="20"/>
          <w:szCs w:val="20"/>
          <w:color w:val="auto"/>
        </w:rPr>
      </w:pPr>
    </w:p>
    <w:p>
      <w:pPr>
        <w:spacing w:after="0" w:line="25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8"/>
          <w:szCs w:val="18"/>
          <w:b w:val="1"/>
          <w:bCs w:val="1"/>
          <w:color w:val="auto"/>
        </w:rPr>
        <w:t>AMETEK, INC. 2022 Proxy Statement</w:t>
      </w:r>
      <w:r>
        <w:rPr>
          <w:sz w:val="20"/>
          <w:szCs w:val="20"/>
          <w:color w:val="auto"/>
        </w:rPr>
        <w:tab/>
      </w:r>
      <w:r>
        <w:rPr>
          <w:rFonts w:ascii="Arial" w:cs="Arial" w:eastAsia="Arial" w:hAnsi="Arial"/>
          <w:sz w:val="16"/>
          <w:szCs w:val="16"/>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20"/>
          </w:cols>
          <w:pgMar w:left="320" w:top="1350"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The following table provides details regarding non-qualified deferred compensation for the named executive officers in 2021</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1880" w:type="dxa"/>
            <w:vAlign w:val="bottom"/>
            <w:tcBorders>
              <w:top w:val="single" w:sz="8" w:color="auto"/>
              <w:left w:val="single" w:sz="8" w:color="auto"/>
              <w:right w:val="single" w:sz="8" w:color="auto"/>
            </w:tcBorders>
          </w:tcPr>
          <w:p>
            <w:pPr>
              <w:spacing w:after="0"/>
              <w:rPr>
                <w:sz w:val="12"/>
                <w:szCs w:val="12"/>
                <w:color w:val="auto"/>
              </w:rPr>
            </w:pPr>
          </w:p>
        </w:tc>
        <w:tc>
          <w:tcPr>
            <w:tcW w:w="188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i w:val="1"/>
                <w:iCs w:val="1"/>
                <w:color w:val="auto"/>
                <w:w w:val="92"/>
              </w:rPr>
              <w:t>Executive</w:t>
            </w:r>
          </w:p>
        </w:tc>
        <w:tc>
          <w:tcPr>
            <w:tcW w:w="188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i w:val="1"/>
                <w:iCs w:val="1"/>
                <w:color w:val="auto"/>
                <w:w w:val="93"/>
              </w:rPr>
              <w:t>Registrant</w:t>
            </w:r>
          </w:p>
        </w:tc>
        <w:tc>
          <w:tcPr>
            <w:tcW w:w="186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i w:val="1"/>
                <w:iCs w:val="1"/>
                <w:color w:val="auto"/>
                <w:w w:val="92"/>
              </w:rPr>
              <w:t>Aggregate</w:t>
            </w:r>
          </w:p>
        </w:tc>
        <w:tc>
          <w:tcPr>
            <w:tcW w:w="188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i w:val="1"/>
                <w:iCs w:val="1"/>
                <w:color w:val="auto"/>
                <w:w w:val="89"/>
              </w:rPr>
              <w:t>Aggregate</w:t>
            </w:r>
          </w:p>
        </w:tc>
        <w:tc>
          <w:tcPr>
            <w:tcW w:w="18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i w:val="1"/>
                <w:iCs w:val="1"/>
                <w:color w:val="auto"/>
                <w:w w:val="93"/>
              </w:rPr>
              <w:t>Aggregate Balance at</w:t>
            </w:r>
          </w:p>
        </w:tc>
        <w:tc>
          <w:tcPr>
            <w:tcW w:w="0" w:type="dxa"/>
            <w:vAlign w:val="bottom"/>
          </w:tcPr>
          <w:p>
            <w:pPr>
              <w:spacing w:after="0"/>
              <w:rPr>
                <w:sz w:val="1"/>
                <w:szCs w:val="1"/>
                <w:color w:val="auto"/>
              </w:rPr>
            </w:pPr>
          </w:p>
        </w:tc>
      </w:tr>
      <w:tr>
        <w:trPr>
          <w:trHeight w:val="135"/>
        </w:trPr>
        <w:tc>
          <w:tcPr>
            <w:tcW w:w="1880" w:type="dxa"/>
            <w:vAlign w:val="bottom"/>
            <w:tcBorders>
              <w:left w:val="single" w:sz="8" w:color="auto"/>
              <w:right w:val="single" w:sz="8" w:color="auto"/>
            </w:tcBorders>
            <w:vMerge w:val="restart"/>
          </w:tcPr>
          <w:p>
            <w:pPr>
              <w:ind w:left="780"/>
              <w:spacing w:after="0"/>
              <w:rPr>
                <w:sz w:val="20"/>
                <w:szCs w:val="20"/>
                <w:color w:val="auto"/>
              </w:rPr>
            </w:pPr>
            <w:r>
              <w:rPr>
                <w:rFonts w:ascii="Arial" w:cs="Arial" w:eastAsia="Arial" w:hAnsi="Arial"/>
                <w:sz w:val="14"/>
                <w:szCs w:val="14"/>
                <w:i w:val="1"/>
                <w:iCs w:val="1"/>
                <w:color w:val="auto"/>
              </w:rPr>
              <w:t>Name</w:t>
            </w:r>
          </w:p>
        </w:tc>
        <w:tc>
          <w:tcPr>
            <w:tcW w:w="1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i w:val="1"/>
                <w:iCs w:val="1"/>
                <w:color w:val="auto"/>
                <w:w w:val="98"/>
              </w:rPr>
              <w:t>Contributions in</w:t>
            </w:r>
          </w:p>
        </w:tc>
        <w:tc>
          <w:tcPr>
            <w:tcW w:w="1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i w:val="1"/>
                <w:iCs w:val="1"/>
                <w:color w:val="auto"/>
                <w:w w:val="98"/>
              </w:rPr>
              <w:t>Contributions in</w:t>
            </w:r>
          </w:p>
        </w:tc>
        <w:tc>
          <w:tcPr>
            <w:tcW w:w="1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i w:val="1"/>
                <w:iCs w:val="1"/>
                <w:color w:val="auto"/>
                <w:w w:val="94"/>
              </w:rPr>
              <w:t>Earnings (Losses) in</w:t>
            </w:r>
          </w:p>
        </w:tc>
        <w:tc>
          <w:tcPr>
            <w:tcW w:w="1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i w:val="1"/>
                <w:iCs w:val="1"/>
                <w:color w:val="auto"/>
                <w:w w:val="97"/>
              </w:rPr>
              <w:t>Withdrawals/</w:t>
            </w:r>
          </w:p>
        </w:tc>
        <w:tc>
          <w:tcPr>
            <w:tcW w:w="18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w w:val="93"/>
              </w:rPr>
              <w:t>Last Fiscal Year</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w w:val="93"/>
              </w:rPr>
              <w:t>Last Fiscal Year (1)</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w w:val="93"/>
              </w:rPr>
              <w:t>Last Fiscal Year (2)</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w w:val="98"/>
              </w:rPr>
              <w:t>Distributions</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w w:val="94"/>
              </w:rPr>
              <w:t>Last Fiscal Year-End (3)</w:t>
            </w:r>
          </w:p>
        </w:tc>
        <w:tc>
          <w:tcPr>
            <w:tcW w:w="0" w:type="dxa"/>
            <w:vAlign w:val="bottom"/>
          </w:tcPr>
          <w:p>
            <w:pPr>
              <w:spacing w:after="0"/>
              <w:rPr>
                <w:sz w:val="1"/>
                <w:szCs w:val="1"/>
                <w:color w:val="auto"/>
              </w:rPr>
            </w:pPr>
          </w:p>
        </w:tc>
      </w:tr>
      <w:tr>
        <w:trPr>
          <w:trHeight w:val="187"/>
        </w:trPr>
        <w:tc>
          <w:tcPr>
            <w:tcW w:w="1880" w:type="dxa"/>
            <w:vAlign w:val="bottom"/>
            <w:tcBorders>
              <w:left w:val="single" w:sz="8" w:color="auto"/>
              <w:right w:val="single" w:sz="8" w:color="auto"/>
            </w:tcBorders>
            <w:shd w:val="clear" w:color="auto" w:fill="CFF0FC"/>
          </w:tcPr>
          <w:p>
            <w:pPr>
              <w:ind w:left="40"/>
              <w:spacing w:after="0"/>
              <w:rPr>
                <w:sz w:val="20"/>
                <w:szCs w:val="20"/>
                <w:color w:val="auto"/>
              </w:rPr>
            </w:pPr>
            <w:r>
              <w:rPr>
                <w:rFonts w:ascii="Arial" w:cs="Arial" w:eastAsia="Arial" w:hAnsi="Arial"/>
                <w:sz w:val="14"/>
                <w:szCs w:val="14"/>
                <w:color w:val="auto"/>
              </w:rPr>
              <w:t>David A.</w:t>
            </w:r>
          </w:p>
        </w:tc>
        <w:tc>
          <w:tcPr>
            <w:tcW w:w="1880" w:type="dxa"/>
            <w:vAlign w:val="bottom"/>
            <w:tcBorders>
              <w:right w:val="single" w:sz="8" w:color="auto"/>
            </w:tcBorders>
            <w:shd w:val="clear" w:color="auto" w:fill="CFF0FC"/>
          </w:tcPr>
          <w:p>
            <w:pPr>
              <w:spacing w:after="0"/>
              <w:rPr>
                <w:sz w:val="16"/>
                <w:szCs w:val="16"/>
                <w:color w:val="auto"/>
              </w:rPr>
            </w:pPr>
          </w:p>
        </w:tc>
        <w:tc>
          <w:tcPr>
            <w:tcW w:w="1880" w:type="dxa"/>
            <w:vAlign w:val="bottom"/>
            <w:tcBorders>
              <w:right w:val="single" w:sz="8" w:color="auto"/>
            </w:tcBorders>
            <w:shd w:val="clear" w:color="auto" w:fill="CFF0FC"/>
          </w:tcPr>
          <w:p>
            <w:pPr>
              <w:spacing w:after="0"/>
              <w:rPr>
                <w:sz w:val="16"/>
                <w:szCs w:val="16"/>
                <w:color w:val="auto"/>
              </w:rPr>
            </w:pPr>
          </w:p>
        </w:tc>
        <w:tc>
          <w:tcPr>
            <w:tcW w:w="1860" w:type="dxa"/>
            <w:vAlign w:val="bottom"/>
            <w:tcBorders>
              <w:right w:val="single" w:sz="8" w:color="auto"/>
            </w:tcBorders>
            <w:shd w:val="clear" w:color="auto" w:fill="CFF0FC"/>
          </w:tcPr>
          <w:p>
            <w:pPr>
              <w:spacing w:after="0"/>
              <w:rPr>
                <w:sz w:val="16"/>
                <w:szCs w:val="16"/>
                <w:color w:val="auto"/>
              </w:rPr>
            </w:pPr>
          </w:p>
        </w:tc>
        <w:tc>
          <w:tcPr>
            <w:tcW w:w="1880" w:type="dxa"/>
            <w:vAlign w:val="bottom"/>
            <w:tcBorders>
              <w:right w:val="single" w:sz="8" w:color="auto"/>
            </w:tcBorders>
            <w:shd w:val="clear" w:color="auto" w:fill="CFF0FC"/>
          </w:tcPr>
          <w:p>
            <w:pPr>
              <w:spacing w:after="0"/>
              <w:rPr>
                <w:sz w:val="16"/>
                <w:szCs w:val="16"/>
                <w:color w:val="auto"/>
              </w:rPr>
            </w:pPr>
          </w:p>
        </w:tc>
        <w:tc>
          <w:tcPr>
            <w:tcW w:w="1880" w:type="dxa"/>
            <w:vAlign w:val="bottom"/>
            <w:tcBorders>
              <w:right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880" w:type="dxa"/>
            <w:vAlign w:val="bottom"/>
            <w:tcBorders>
              <w:left w:val="single" w:sz="8" w:color="auto"/>
              <w:right w:val="single" w:sz="8" w:color="auto"/>
            </w:tcBorders>
            <w:shd w:val="clear" w:color="auto" w:fill="CFF0FC"/>
          </w:tcPr>
          <w:p>
            <w:pPr>
              <w:ind w:left="40"/>
              <w:spacing w:after="0"/>
              <w:rPr>
                <w:sz w:val="20"/>
                <w:szCs w:val="20"/>
                <w:color w:val="auto"/>
              </w:rPr>
            </w:pPr>
            <w:r>
              <w:rPr>
                <w:rFonts w:ascii="Arial" w:cs="Arial" w:eastAsia="Arial" w:hAnsi="Arial"/>
                <w:sz w:val="14"/>
                <w:szCs w:val="14"/>
                <w:color w:val="auto"/>
              </w:rPr>
              <w:t>Zapico</w:t>
            </w:r>
          </w:p>
        </w:tc>
        <w:tc>
          <w:tcPr>
            <w:tcW w:w="188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1"/>
              </w:rPr>
              <w:t>$3,432,000</w:t>
            </w:r>
          </w:p>
        </w:tc>
        <w:tc>
          <w:tcPr>
            <w:tcW w:w="188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2"/>
              </w:rPr>
              <w:t>$580,060</w:t>
            </w:r>
          </w:p>
        </w:tc>
        <w:tc>
          <w:tcPr>
            <w:tcW w:w="186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1"/>
              </w:rPr>
              <w:t>$2,211,544</w:t>
            </w:r>
          </w:p>
        </w:tc>
        <w:tc>
          <w:tcPr>
            <w:tcW w:w="188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9"/>
              </w:rPr>
              <w:t>—</w:t>
            </w:r>
          </w:p>
        </w:tc>
        <w:tc>
          <w:tcPr>
            <w:tcW w:w="188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2"/>
              </w:rPr>
              <w:t>$19,842,901</w:t>
            </w:r>
          </w:p>
        </w:tc>
        <w:tc>
          <w:tcPr>
            <w:tcW w:w="0" w:type="dxa"/>
            <w:vAlign w:val="bottom"/>
          </w:tcPr>
          <w:p>
            <w:pPr>
              <w:spacing w:after="0"/>
              <w:rPr>
                <w:sz w:val="1"/>
                <w:szCs w:val="1"/>
                <w:color w:val="auto"/>
              </w:rPr>
            </w:pPr>
          </w:p>
        </w:tc>
      </w:tr>
      <w:tr>
        <w:trPr>
          <w:trHeight w:val="228"/>
        </w:trPr>
        <w:tc>
          <w:tcPr>
            <w:tcW w:w="1880" w:type="dxa"/>
            <w:vAlign w:val="bottom"/>
            <w:tcBorders>
              <w:left w:val="single" w:sz="8" w:color="auto"/>
              <w:bottom w:val="single" w:sz="8" w:color="auto"/>
              <w:right w:val="single" w:sz="8" w:color="auto"/>
            </w:tcBorders>
            <w:shd w:val="clear" w:color="auto" w:fill="CFF0FC"/>
          </w:tcPr>
          <w:p>
            <w:pPr>
              <w:spacing w:after="0"/>
              <w:rPr>
                <w:sz w:val="19"/>
                <w:szCs w:val="19"/>
                <w:color w:val="auto"/>
              </w:rPr>
            </w:pPr>
          </w:p>
        </w:tc>
        <w:tc>
          <w:tcPr>
            <w:tcW w:w="1880" w:type="dxa"/>
            <w:vAlign w:val="bottom"/>
            <w:tcBorders>
              <w:bottom w:val="single" w:sz="8" w:color="auto"/>
              <w:right w:val="single" w:sz="8" w:color="auto"/>
            </w:tcBorders>
            <w:shd w:val="clear" w:color="auto" w:fill="CFF0FC"/>
          </w:tcPr>
          <w:p>
            <w:pPr>
              <w:spacing w:after="0"/>
              <w:rPr>
                <w:sz w:val="19"/>
                <w:szCs w:val="19"/>
                <w:color w:val="auto"/>
              </w:rPr>
            </w:pPr>
          </w:p>
        </w:tc>
        <w:tc>
          <w:tcPr>
            <w:tcW w:w="1880" w:type="dxa"/>
            <w:vAlign w:val="bottom"/>
            <w:tcBorders>
              <w:bottom w:val="single" w:sz="8" w:color="auto"/>
              <w:right w:val="single" w:sz="8" w:color="auto"/>
            </w:tcBorders>
            <w:shd w:val="clear" w:color="auto" w:fill="CFF0FC"/>
          </w:tcPr>
          <w:p>
            <w:pPr>
              <w:spacing w:after="0"/>
              <w:rPr>
                <w:sz w:val="19"/>
                <w:szCs w:val="19"/>
                <w:color w:val="auto"/>
              </w:rPr>
            </w:pPr>
          </w:p>
        </w:tc>
        <w:tc>
          <w:tcPr>
            <w:tcW w:w="1860" w:type="dxa"/>
            <w:vAlign w:val="bottom"/>
            <w:tcBorders>
              <w:bottom w:val="single" w:sz="8" w:color="auto"/>
              <w:right w:val="single" w:sz="8" w:color="auto"/>
            </w:tcBorders>
            <w:shd w:val="clear" w:color="auto" w:fill="CFF0FC"/>
          </w:tcPr>
          <w:p>
            <w:pPr>
              <w:spacing w:after="0"/>
              <w:rPr>
                <w:sz w:val="19"/>
                <w:szCs w:val="19"/>
                <w:color w:val="auto"/>
              </w:rPr>
            </w:pPr>
          </w:p>
        </w:tc>
        <w:tc>
          <w:tcPr>
            <w:tcW w:w="1880" w:type="dxa"/>
            <w:vAlign w:val="bottom"/>
            <w:tcBorders>
              <w:bottom w:val="single" w:sz="8" w:color="auto"/>
              <w:right w:val="single" w:sz="8" w:color="auto"/>
            </w:tcBorders>
            <w:shd w:val="clear" w:color="auto" w:fill="CFF0FC"/>
          </w:tcPr>
          <w:p>
            <w:pPr>
              <w:spacing w:after="0"/>
              <w:rPr>
                <w:sz w:val="19"/>
                <w:szCs w:val="19"/>
                <w:color w:val="auto"/>
              </w:rPr>
            </w:pPr>
          </w:p>
        </w:tc>
        <w:tc>
          <w:tcPr>
            <w:tcW w:w="1880" w:type="dxa"/>
            <w:vAlign w:val="bottom"/>
            <w:tcBorders>
              <w:bottom w:val="single" w:sz="8" w:color="auto"/>
              <w:right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William J.</w:t>
            </w:r>
          </w:p>
        </w:tc>
        <w:tc>
          <w:tcPr>
            <w:tcW w:w="188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spacing w:after="0"/>
              <w:rPr>
                <w:sz w:val="16"/>
                <w:szCs w:val="16"/>
                <w:color w:val="auto"/>
              </w:rPr>
            </w:pPr>
          </w:p>
        </w:tc>
        <w:tc>
          <w:tcPr>
            <w:tcW w:w="186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Burke</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181,976</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578,845</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4,568,603</w:t>
            </w:r>
          </w:p>
        </w:tc>
        <w:tc>
          <w:tcPr>
            <w:tcW w:w="0" w:type="dxa"/>
            <w:vAlign w:val="bottom"/>
          </w:tcPr>
          <w:p>
            <w:pPr>
              <w:spacing w:after="0"/>
              <w:rPr>
                <w:sz w:val="1"/>
                <w:szCs w:val="1"/>
                <w:color w:val="auto"/>
              </w:rPr>
            </w:pPr>
          </w:p>
        </w:tc>
      </w:tr>
      <w:tr>
        <w:trPr>
          <w:trHeight w:val="228"/>
        </w:trPr>
        <w:tc>
          <w:tcPr>
            <w:tcW w:w="1880" w:type="dxa"/>
            <w:vAlign w:val="bottom"/>
            <w:tcBorders>
              <w:left w:val="single" w:sz="8" w:color="auto"/>
              <w:bottom w:val="single" w:sz="8" w:color="auto"/>
              <w:right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1860" w:type="dxa"/>
            <w:vAlign w:val="bottom"/>
            <w:tcBorders>
              <w:bottom w:val="single" w:sz="8" w:color="auto"/>
              <w:right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880" w:type="dxa"/>
            <w:vAlign w:val="bottom"/>
            <w:tcBorders>
              <w:left w:val="single" w:sz="8" w:color="auto"/>
              <w:right w:val="single" w:sz="8" w:color="auto"/>
            </w:tcBorders>
            <w:shd w:val="clear" w:color="auto" w:fill="CFF0FC"/>
          </w:tcPr>
          <w:p>
            <w:pPr>
              <w:ind w:left="40"/>
              <w:spacing w:after="0"/>
              <w:rPr>
                <w:sz w:val="20"/>
                <w:szCs w:val="20"/>
                <w:color w:val="auto"/>
              </w:rPr>
            </w:pPr>
            <w:r>
              <w:rPr>
                <w:rFonts w:ascii="Arial" w:cs="Arial" w:eastAsia="Arial" w:hAnsi="Arial"/>
                <w:sz w:val="14"/>
                <w:szCs w:val="14"/>
                <w:color w:val="auto"/>
              </w:rPr>
              <w:t>Timothy N.</w:t>
            </w:r>
          </w:p>
        </w:tc>
        <w:tc>
          <w:tcPr>
            <w:tcW w:w="1880" w:type="dxa"/>
            <w:vAlign w:val="bottom"/>
            <w:tcBorders>
              <w:right w:val="single" w:sz="8" w:color="auto"/>
            </w:tcBorders>
            <w:shd w:val="clear" w:color="auto" w:fill="CFF0FC"/>
          </w:tcPr>
          <w:p>
            <w:pPr>
              <w:spacing w:after="0"/>
              <w:rPr>
                <w:sz w:val="16"/>
                <w:szCs w:val="16"/>
                <w:color w:val="auto"/>
              </w:rPr>
            </w:pPr>
          </w:p>
        </w:tc>
        <w:tc>
          <w:tcPr>
            <w:tcW w:w="1880" w:type="dxa"/>
            <w:vAlign w:val="bottom"/>
            <w:tcBorders>
              <w:right w:val="single" w:sz="8" w:color="auto"/>
            </w:tcBorders>
            <w:shd w:val="clear" w:color="auto" w:fill="CFF0FC"/>
          </w:tcPr>
          <w:p>
            <w:pPr>
              <w:spacing w:after="0"/>
              <w:rPr>
                <w:sz w:val="16"/>
                <w:szCs w:val="16"/>
                <w:color w:val="auto"/>
              </w:rPr>
            </w:pPr>
          </w:p>
        </w:tc>
        <w:tc>
          <w:tcPr>
            <w:tcW w:w="1860" w:type="dxa"/>
            <w:vAlign w:val="bottom"/>
            <w:tcBorders>
              <w:right w:val="single" w:sz="8" w:color="auto"/>
            </w:tcBorders>
            <w:shd w:val="clear" w:color="auto" w:fill="CFF0FC"/>
          </w:tcPr>
          <w:p>
            <w:pPr>
              <w:spacing w:after="0"/>
              <w:rPr>
                <w:sz w:val="16"/>
                <w:szCs w:val="16"/>
                <w:color w:val="auto"/>
              </w:rPr>
            </w:pPr>
          </w:p>
        </w:tc>
        <w:tc>
          <w:tcPr>
            <w:tcW w:w="1880" w:type="dxa"/>
            <w:vAlign w:val="bottom"/>
            <w:tcBorders>
              <w:right w:val="single" w:sz="8" w:color="auto"/>
            </w:tcBorders>
            <w:shd w:val="clear" w:color="auto" w:fill="CFF0FC"/>
          </w:tcPr>
          <w:p>
            <w:pPr>
              <w:spacing w:after="0"/>
              <w:rPr>
                <w:sz w:val="16"/>
                <w:szCs w:val="16"/>
                <w:color w:val="auto"/>
              </w:rPr>
            </w:pPr>
          </w:p>
        </w:tc>
        <w:tc>
          <w:tcPr>
            <w:tcW w:w="1880" w:type="dxa"/>
            <w:vAlign w:val="bottom"/>
            <w:tcBorders>
              <w:right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880" w:type="dxa"/>
            <w:vAlign w:val="bottom"/>
            <w:tcBorders>
              <w:left w:val="single" w:sz="8" w:color="auto"/>
              <w:right w:val="single" w:sz="8" w:color="auto"/>
            </w:tcBorders>
            <w:shd w:val="clear" w:color="auto" w:fill="CFF0FC"/>
          </w:tcPr>
          <w:p>
            <w:pPr>
              <w:ind w:left="40"/>
              <w:spacing w:after="0"/>
              <w:rPr>
                <w:sz w:val="20"/>
                <w:szCs w:val="20"/>
                <w:color w:val="auto"/>
              </w:rPr>
            </w:pPr>
            <w:r>
              <w:rPr>
                <w:rFonts w:ascii="Arial" w:cs="Arial" w:eastAsia="Arial" w:hAnsi="Arial"/>
                <w:sz w:val="14"/>
                <w:szCs w:val="14"/>
                <w:color w:val="auto"/>
              </w:rPr>
              <w:t>Jones</w:t>
            </w:r>
          </w:p>
        </w:tc>
        <w:tc>
          <w:tcPr>
            <w:tcW w:w="188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9"/>
              </w:rPr>
              <w:t>—</w:t>
            </w:r>
          </w:p>
        </w:tc>
        <w:tc>
          <w:tcPr>
            <w:tcW w:w="188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4"/>
              </w:rPr>
              <w:t>131,074</w:t>
            </w:r>
          </w:p>
        </w:tc>
        <w:tc>
          <w:tcPr>
            <w:tcW w:w="186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3"/>
              </w:rPr>
              <w:t>1,042,560</w:t>
            </w:r>
          </w:p>
        </w:tc>
        <w:tc>
          <w:tcPr>
            <w:tcW w:w="188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9"/>
              </w:rPr>
              <w:t>—</w:t>
            </w:r>
          </w:p>
        </w:tc>
        <w:tc>
          <w:tcPr>
            <w:tcW w:w="188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3"/>
              </w:rPr>
              <w:t>5,738,735</w:t>
            </w:r>
          </w:p>
        </w:tc>
        <w:tc>
          <w:tcPr>
            <w:tcW w:w="0" w:type="dxa"/>
            <w:vAlign w:val="bottom"/>
          </w:tcPr>
          <w:p>
            <w:pPr>
              <w:spacing w:after="0"/>
              <w:rPr>
                <w:sz w:val="1"/>
                <w:szCs w:val="1"/>
                <w:color w:val="auto"/>
              </w:rPr>
            </w:pPr>
          </w:p>
        </w:tc>
      </w:tr>
      <w:tr>
        <w:trPr>
          <w:trHeight w:val="228"/>
        </w:trPr>
        <w:tc>
          <w:tcPr>
            <w:tcW w:w="1880" w:type="dxa"/>
            <w:vAlign w:val="bottom"/>
            <w:tcBorders>
              <w:left w:val="single" w:sz="8" w:color="auto"/>
              <w:bottom w:val="single" w:sz="8" w:color="auto"/>
              <w:right w:val="single" w:sz="8" w:color="auto"/>
            </w:tcBorders>
            <w:shd w:val="clear" w:color="auto" w:fill="CFF0FC"/>
          </w:tcPr>
          <w:p>
            <w:pPr>
              <w:spacing w:after="0"/>
              <w:rPr>
                <w:sz w:val="19"/>
                <w:szCs w:val="19"/>
                <w:color w:val="auto"/>
              </w:rPr>
            </w:pPr>
          </w:p>
        </w:tc>
        <w:tc>
          <w:tcPr>
            <w:tcW w:w="1880" w:type="dxa"/>
            <w:vAlign w:val="bottom"/>
            <w:tcBorders>
              <w:bottom w:val="single" w:sz="8" w:color="auto"/>
              <w:right w:val="single" w:sz="8" w:color="auto"/>
            </w:tcBorders>
            <w:shd w:val="clear" w:color="auto" w:fill="CFF0FC"/>
          </w:tcPr>
          <w:p>
            <w:pPr>
              <w:spacing w:after="0"/>
              <w:rPr>
                <w:sz w:val="19"/>
                <w:szCs w:val="19"/>
                <w:color w:val="auto"/>
              </w:rPr>
            </w:pPr>
          </w:p>
        </w:tc>
        <w:tc>
          <w:tcPr>
            <w:tcW w:w="1880" w:type="dxa"/>
            <w:vAlign w:val="bottom"/>
            <w:tcBorders>
              <w:bottom w:val="single" w:sz="8" w:color="auto"/>
              <w:right w:val="single" w:sz="8" w:color="auto"/>
            </w:tcBorders>
            <w:shd w:val="clear" w:color="auto" w:fill="CFF0FC"/>
          </w:tcPr>
          <w:p>
            <w:pPr>
              <w:spacing w:after="0"/>
              <w:rPr>
                <w:sz w:val="19"/>
                <w:szCs w:val="19"/>
                <w:color w:val="auto"/>
              </w:rPr>
            </w:pPr>
          </w:p>
        </w:tc>
        <w:tc>
          <w:tcPr>
            <w:tcW w:w="1860" w:type="dxa"/>
            <w:vAlign w:val="bottom"/>
            <w:tcBorders>
              <w:bottom w:val="single" w:sz="8" w:color="auto"/>
              <w:right w:val="single" w:sz="8" w:color="auto"/>
            </w:tcBorders>
            <w:shd w:val="clear" w:color="auto" w:fill="CFF0FC"/>
          </w:tcPr>
          <w:p>
            <w:pPr>
              <w:spacing w:after="0"/>
              <w:rPr>
                <w:sz w:val="19"/>
                <w:szCs w:val="19"/>
                <w:color w:val="auto"/>
              </w:rPr>
            </w:pPr>
          </w:p>
        </w:tc>
        <w:tc>
          <w:tcPr>
            <w:tcW w:w="1880" w:type="dxa"/>
            <w:vAlign w:val="bottom"/>
            <w:tcBorders>
              <w:bottom w:val="single" w:sz="8" w:color="auto"/>
              <w:right w:val="single" w:sz="8" w:color="auto"/>
            </w:tcBorders>
            <w:shd w:val="clear" w:color="auto" w:fill="CFF0FC"/>
          </w:tcPr>
          <w:p>
            <w:pPr>
              <w:spacing w:after="0"/>
              <w:rPr>
                <w:sz w:val="19"/>
                <w:szCs w:val="19"/>
                <w:color w:val="auto"/>
              </w:rPr>
            </w:pPr>
          </w:p>
        </w:tc>
        <w:tc>
          <w:tcPr>
            <w:tcW w:w="1880" w:type="dxa"/>
            <w:vAlign w:val="bottom"/>
            <w:tcBorders>
              <w:bottom w:val="single" w:sz="8" w:color="auto"/>
              <w:right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John W.</w:t>
            </w:r>
          </w:p>
        </w:tc>
        <w:tc>
          <w:tcPr>
            <w:tcW w:w="188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spacing w:after="0"/>
              <w:rPr>
                <w:sz w:val="16"/>
                <w:szCs w:val="16"/>
                <w:color w:val="auto"/>
              </w:rPr>
            </w:pPr>
          </w:p>
        </w:tc>
        <w:tc>
          <w:tcPr>
            <w:tcW w:w="186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Hardin</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64,590</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704,056</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3,917,531</w:t>
            </w:r>
          </w:p>
        </w:tc>
        <w:tc>
          <w:tcPr>
            <w:tcW w:w="0" w:type="dxa"/>
            <w:vAlign w:val="bottom"/>
          </w:tcPr>
          <w:p>
            <w:pPr>
              <w:spacing w:after="0"/>
              <w:rPr>
                <w:sz w:val="1"/>
                <w:szCs w:val="1"/>
                <w:color w:val="auto"/>
              </w:rPr>
            </w:pPr>
          </w:p>
        </w:tc>
      </w:tr>
      <w:tr>
        <w:trPr>
          <w:trHeight w:val="228"/>
        </w:trPr>
        <w:tc>
          <w:tcPr>
            <w:tcW w:w="1880" w:type="dxa"/>
            <w:vAlign w:val="bottom"/>
            <w:tcBorders>
              <w:left w:val="single" w:sz="8" w:color="auto"/>
              <w:bottom w:val="single" w:sz="8" w:color="auto"/>
              <w:right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1860" w:type="dxa"/>
            <w:vAlign w:val="bottom"/>
            <w:tcBorders>
              <w:bottom w:val="single" w:sz="8" w:color="auto"/>
              <w:right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880" w:type="dxa"/>
            <w:vAlign w:val="bottom"/>
            <w:tcBorders>
              <w:left w:val="single" w:sz="8" w:color="auto"/>
              <w:right w:val="single" w:sz="8" w:color="auto"/>
            </w:tcBorders>
            <w:shd w:val="clear" w:color="auto" w:fill="CFF0FC"/>
          </w:tcPr>
          <w:p>
            <w:pPr>
              <w:ind w:left="40"/>
              <w:spacing w:after="0"/>
              <w:rPr>
                <w:sz w:val="20"/>
                <w:szCs w:val="20"/>
                <w:color w:val="auto"/>
              </w:rPr>
            </w:pPr>
            <w:r>
              <w:rPr>
                <w:rFonts w:ascii="Arial" w:cs="Arial" w:eastAsia="Arial" w:hAnsi="Arial"/>
                <w:sz w:val="14"/>
                <w:szCs w:val="14"/>
                <w:color w:val="auto"/>
              </w:rPr>
              <w:t>Thomas C.</w:t>
            </w:r>
          </w:p>
        </w:tc>
        <w:tc>
          <w:tcPr>
            <w:tcW w:w="1880" w:type="dxa"/>
            <w:vAlign w:val="bottom"/>
            <w:tcBorders>
              <w:right w:val="single" w:sz="8" w:color="auto"/>
            </w:tcBorders>
            <w:shd w:val="clear" w:color="auto" w:fill="CFF0FC"/>
          </w:tcPr>
          <w:p>
            <w:pPr>
              <w:spacing w:after="0"/>
              <w:rPr>
                <w:sz w:val="16"/>
                <w:szCs w:val="16"/>
                <w:color w:val="auto"/>
              </w:rPr>
            </w:pPr>
          </w:p>
        </w:tc>
        <w:tc>
          <w:tcPr>
            <w:tcW w:w="1880" w:type="dxa"/>
            <w:vAlign w:val="bottom"/>
            <w:tcBorders>
              <w:right w:val="single" w:sz="8" w:color="auto"/>
            </w:tcBorders>
            <w:shd w:val="clear" w:color="auto" w:fill="CFF0FC"/>
          </w:tcPr>
          <w:p>
            <w:pPr>
              <w:spacing w:after="0"/>
              <w:rPr>
                <w:sz w:val="16"/>
                <w:szCs w:val="16"/>
                <w:color w:val="auto"/>
              </w:rPr>
            </w:pPr>
          </w:p>
        </w:tc>
        <w:tc>
          <w:tcPr>
            <w:tcW w:w="1860" w:type="dxa"/>
            <w:vAlign w:val="bottom"/>
            <w:tcBorders>
              <w:right w:val="single" w:sz="8" w:color="auto"/>
            </w:tcBorders>
            <w:shd w:val="clear" w:color="auto" w:fill="CFF0FC"/>
          </w:tcPr>
          <w:p>
            <w:pPr>
              <w:spacing w:after="0"/>
              <w:rPr>
                <w:sz w:val="16"/>
                <w:szCs w:val="16"/>
                <w:color w:val="auto"/>
              </w:rPr>
            </w:pPr>
          </w:p>
        </w:tc>
        <w:tc>
          <w:tcPr>
            <w:tcW w:w="1880" w:type="dxa"/>
            <w:vAlign w:val="bottom"/>
            <w:tcBorders>
              <w:right w:val="single" w:sz="8" w:color="auto"/>
            </w:tcBorders>
            <w:shd w:val="clear" w:color="auto" w:fill="CFF0FC"/>
          </w:tcPr>
          <w:p>
            <w:pPr>
              <w:spacing w:after="0"/>
              <w:rPr>
                <w:sz w:val="16"/>
                <w:szCs w:val="16"/>
                <w:color w:val="auto"/>
              </w:rPr>
            </w:pPr>
          </w:p>
        </w:tc>
        <w:tc>
          <w:tcPr>
            <w:tcW w:w="1880" w:type="dxa"/>
            <w:vAlign w:val="bottom"/>
            <w:tcBorders>
              <w:right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880" w:type="dxa"/>
            <w:vAlign w:val="bottom"/>
            <w:tcBorders>
              <w:left w:val="single" w:sz="8" w:color="auto"/>
              <w:right w:val="single" w:sz="8" w:color="auto"/>
            </w:tcBorders>
            <w:shd w:val="clear" w:color="auto" w:fill="CFF0FC"/>
          </w:tcPr>
          <w:p>
            <w:pPr>
              <w:ind w:left="40"/>
              <w:spacing w:after="0"/>
              <w:rPr>
                <w:sz w:val="20"/>
                <w:szCs w:val="20"/>
                <w:color w:val="auto"/>
              </w:rPr>
            </w:pPr>
            <w:r>
              <w:rPr>
                <w:rFonts w:ascii="Arial" w:cs="Arial" w:eastAsia="Arial" w:hAnsi="Arial"/>
                <w:sz w:val="14"/>
                <w:szCs w:val="14"/>
                <w:color w:val="auto"/>
              </w:rPr>
              <w:t>Marecic</w:t>
            </w:r>
          </w:p>
        </w:tc>
        <w:tc>
          <w:tcPr>
            <w:tcW w:w="188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9"/>
              </w:rPr>
              <w:t>—</w:t>
            </w:r>
          </w:p>
        </w:tc>
        <w:tc>
          <w:tcPr>
            <w:tcW w:w="188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4"/>
              </w:rPr>
              <w:t>113,564</w:t>
            </w:r>
          </w:p>
        </w:tc>
        <w:tc>
          <w:tcPr>
            <w:tcW w:w="186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0"/>
              </w:rPr>
              <w:t>303,456</w:t>
            </w:r>
          </w:p>
        </w:tc>
        <w:tc>
          <w:tcPr>
            <w:tcW w:w="188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9"/>
              </w:rPr>
              <w:t>—</w:t>
            </w:r>
          </w:p>
        </w:tc>
        <w:tc>
          <w:tcPr>
            <w:tcW w:w="188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3"/>
              </w:rPr>
              <w:t>1,778,478</w:t>
            </w:r>
          </w:p>
        </w:tc>
        <w:tc>
          <w:tcPr>
            <w:tcW w:w="0" w:type="dxa"/>
            <w:vAlign w:val="bottom"/>
          </w:tcPr>
          <w:p>
            <w:pPr>
              <w:spacing w:after="0"/>
              <w:rPr>
                <w:sz w:val="1"/>
                <w:szCs w:val="1"/>
                <w:color w:val="auto"/>
              </w:rPr>
            </w:pPr>
          </w:p>
        </w:tc>
      </w:tr>
      <w:tr>
        <w:trPr>
          <w:trHeight w:val="228"/>
        </w:trPr>
        <w:tc>
          <w:tcPr>
            <w:tcW w:w="1880" w:type="dxa"/>
            <w:vAlign w:val="bottom"/>
            <w:tcBorders>
              <w:left w:val="single" w:sz="8" w:color="auto"/>
              <w:bottom w:val="single" w:sz="8" w:color="auto"/>
              <w:right w:val="single" w:sz="8" w:color="auto"/>
            </w:tcBorders>
            <w:shd w:val="clear" w:color="auto" w:fill="CFF0FC"/>
          </w:tcPr>
          <w:p>
            <w:pPr>
              <w:spacing w:after="0"/>
              <w:rPr>
                <w:sz w:val="19"/>
                <w:szCs w:val="19"/>
                <w:color w:val="auto"/>
              </w:rPr>
            </w:pPr>
          </w:p>
        </w:tc>
        <w:tc>
          <w:tcPr>
            <w:tcW w:w="1880" w:type="dxa"/>
            <w:vAlign w:val="bottom"/>
            <w:tcBorders>
              <w:bottom w:val="single" w:sz="8" w:color="auto"/>
              <w:right w:val="single" w:sz="8" w:color="auto"/>
            </w:tcBorders>
            <w:shd w:val="clear" w:color="auto" w:fill="CFF0FC"/>
          </w:tcPr>
          <w:p>
            <w:pPr>
              <w:spacing w:after="0"/>
              <w:rPr>
                <w:sz w:val="19"/>
                <w:szCs w:val="19"/>
                <w:color w:val="auto"/>
              </w:rPr>
            </w:pPr>
          </w:p>
        </w:tc>
        <w:tc>
          <w:tcPr>
            <w:tcW w:w="1880" w:type="dxa"/>
            <w:vAlign w:val="bottom"/>
            <w:tcBorders>
              <w:bottom w:val="single" w:sz="8" w:color="auto"/>
              <w:right w:val="single" w:sz="8" w:color="auto"/>
            </w:tcBorders>
            <w:shd w:val="clear" w:color="auto" w:fill="CFF0FC"/>
          </w:tcPr>
          <w:p>
            <w:pPr>
              <w:spacing w:after="0"/>
              <w:rPr>
                <w:sz w:val="19"/>
                <w:szCs w:val="19"/>
                <w:color w:val="auto"/>
              </w:rPr>
            </w:pPr>
          </w:p>
        </w:tc>
        <w:tc>
          <w:tcPr>
            <w:tcW w:w="1860" w:type="dxa"/>
            <w:vAlign w:val="bottom"/>
            <w:tcBorders>
              <w:bottom w:val="single" w:sz="8" w:color="auto"/>
              <w:right w:val="single" w:sz="8" w:color="auto"/>
            </w:tcBorders>
            <w:shd w:val="clear" w:color="auto" w:fill="CFF0FC"/>
          </w:tcPr>
          <w:p>
            <w:pPr>
              <w:spacing w:after="0"/>
              <w:rPr>
                <w:sz w:val="19"/>
                <w:szCs w:val="19"/>
                <w:color w:val="auto"/>
              </w:rPr>
            </w:pPr>
          </w:p>
        </w:tc>
        <w:tc>
          <w:tcPr>
            <w:tcW w:w="1880" w:type="dxa"/>
            <w:vAlign w:val="bottom"/>
            <w:tcBorders>
              <w:bottom w:val="single" w:sz="8" w:color="auto"/>
              <w:right w:val="single" w:sz="8" w:color="auto"/>
            </w:tcBorders>
            <w:shd w:val="clear" w:color="auto" w:fill="CFF0FC"/>
          </w:tcPr>
          <w:p>
            <w:pPr>
              <w:spacing w:after="0"/>
              <w:rPr>
                <w:sz w:val="19"/>
                <w:szCs w:val="19"/>
                <w:color w:val="auto"/>
              </w:rPr>
            </w:pPr>
          </w:p>
        </w:tc>
        <w:tc>
          <w:tcPr>
            <w:tcW w:w="1880" w:type="dxa"/>
            <w:vAlign w:val="bottom"/>
            <w:tcBorders>
              <w:bottom w:val="single" w:sz="8" w:color="auto"/>
              <w:right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ind w:left="500" w:right="80" w:hanging="492"/>
        <w:spacing w:after="0" w:line="277" w:lineRule="auto"/>
        <w:tabs>
          <w:tab w:leader="none" w:pos="494"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Includes the following contributions for each named executive officer, which are also reported in the Summary Compensation Table on page </w:t>
      </w:r>
      <w:hyperlink w:anchor="page40">
        <w:r>
          <w:rPr>
            <w:rFonts w:ascii="Arial" w:cs="Arial" w:eastAsia="Arial" w:hAnsi="Arial"/>
            <w:sz w:val="18"/>
            <w:szCs w:val="18"/>
            <w:u w:val="single" w:color="auto"/>
            <w:color w:val="0000FF"/>
          </w:rPr>
          <w:t>36</w:t>
        </w:r>
      </w:hyperlink>
      <w:r>
        <w:rPr>
          <w:rFonts w:ascii="Arial" w:cs="Arial" w:eastAsia="Arial" w:hAnsi="Arial"/>
          <w:sz w:val="18"/>
          <w:szCs w:val="18"/>
          <w:color w:val="auto"/>
        </w:rPr>
        <w:t>: Mr. Zapico, $580,060; Mr. Burke, $181,976; Mr. Jones, $131,074; Mr. Hardin, $64,590; and Mr. Marecic, $113,564.</w:t>
      </w:r>
    </w:p>
    <w:p>
      <w:pPr>
        <w:spacing w:after="0" w:line="62" w:lineRule="exact"/>
        <w:rPr>
          <w:rFonts w:ascii="Arial" w:cs="Arial" w:eastAsia="Arial" w:hAnsi="Arial"/>
          <w:sz w:val="18"/>
          <w:szCs w:val="18"/>
          <w:color w:val="auto"/>
        </w:rPr>
      </w:pPr>
    </w:p>
    <w:p>
      <w:pPr>
        <w:ind w:left="500" w:right="420" w:hanging="492"/>
        <w:spacing w:after="0" w:line="277" w:lineRule="auto"/>
        <w:tabs>
          <w:tab w:leader="none" w:pos="494"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Includes the following earnings for each named executive officer, which are also reported in the Summary Compensation Table on page </w:t>
      </w:r>
      <w:hyperlink w:anchor="page40">
        <w:r>
          <w:rPr>
            <w:rFonts w:ascii="Arial" w:cs="Arial" w:eastAsia="Arial" w:hAnsi="Arial"/>
            <w:sz w:val="18"/>
            <w:szCs w:val="18"/>
            <w:u w:val="single" w:color="auto"/>
            <w:color w:val="0000FF"/>
          </w:rPr>
          <w:t>36</w:t>
        </w:r>
      </w:hyperlink>
      <w:r>
        <w:rPr>
          <w:rFonts w:ascii="Arial" w:cs="Arial" w:eastAsia="Arial" w:hAnsi="Arial"/>
          <w:sz w:val="18"/>
          <w:szCs w:val="18"/>
          <w:color w:val="auto"/>
        </w:rPr>
        <w:t>: Mr. Zapico, $123,664; Mr. Burke, $126,255; Mr. Jones, $164,901; and Mr. Hardin, $94,707.</w:t>
      </w:r>
    </w:p>
    <w:p>
      <w:pPr>
        <w:spacing w:after="0" w:line="62" w:lineRule="exact"/>
        <w:rPr>
          <w:rFonts w:ascii="Arial" w:cs="Arial" w:eastAsia="Arial" w:hAnsi="Arial"/>
          <w:sz w:val="18"/>
          <w:szCs w:val="18"/>
          <w:color w:val="auto"/>
        </w:rPr>
      </w:pPr>
    </w:p>
    <w:p>
      <w:pPr>
        <w:jc w:val="both"/>
        <w:ind w:left="500" w:right="600" w:hanging="492"/>
        <w:spacing w:after="0" w:line="342" w:lineRule="auto"/>
        <w:tabs>
          <w:tab w:leader="none" w:pos="494"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Includes for each named executive officer the following amounts that were reported as compensation in the Summary Compensation Table in previous years: Mr. Zapico, $7,398,314; Mr. Burke, $2,091,619; Mr. Jones, $1,501,522; Mr. Hardin, $1,144,562; and Mr. Marecic, $204,933.</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6" w:lineRule="exact"/>
        <w:rPr>
          <w:rFonts w:ascii="Arial" w:cs="Arial" w:eastAsia="Arial" w:hAnsi="Arial"/>
          <w:sz w:val="18"/>
          <w:szCs w:val="18"/>
          <w:color w:val="auto"/>
        </w:rPr>
      </w:pPr>
    </w:p>
    <w:p>
      <w:pPr>
        <w:ind w:left="20"/>
        <w:spacing w:after="0"/>
        <w:tabs>
          <w:tab w:leader="none" w:pos="440" w:val="left"/>
        </w:tabs>
        <w:rPr>
          <w:sz w:val="20"/>
          <w:szCs w:val="20"/>
          <w:color w:val="auto"/>
        </w:rPr>
      </w:pPr>
      <w:r>
        <w:rPr>
          <w:rFonts w:ascii="Arial" w:cs="Arial" w:eastAsia="Arial" w:hAnsi="Arial"/>
          <w:sz w:val="18"/>
          <w:szCs w:val="18"/>
          <w:b w:val="1"/>
          <w:bCs w:val="1"/>
          <w:color w:val="auto"/>
        </w:rPr>
        <w:t>42</w:t>
        <w:tab/>
        <w:t>AMETEK, INC. 2022 Proxy Statement</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60"/>
          </w:cols>
          <w:pgMar w:left="320" w:top="1111" w:right="31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22"/>
          <w:szCs w:val="22"/>
          <w:b w:val="1"/>
          <w:bCs w:val="1"/>
          <w:color w:val="auto"/>
        </w:rPr>
        <w:t>POTENTIAL PAYMENTS UPON TERMINATION OR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CHANGE OF CONTROL</w:t>
      </w:r>
    </w:p>
    <w:p>
      <w:pPr>
        <w:spacing w:after="0" w:line="16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 this section, we describe payments that may be made to our named executive officers upon several events of termination, including termination in connection with a change of control. The information in this section does not include information relating to the following:</w:t>
      </w:r>
    </w:p>
    <w:p>
      <w:pPr>
        <w:spacing w:after="0" w:line="8" w:lineRule="exact"/>
        <w:rPr>
          <w:sz w:val="20"/>
          <w:szCs w:val="20"/>
          <w:color w:val="auto"/>
        </w:rPr>
      </w:pPr>
    </w:p>
    <w:p>
      <w:pPr>
        <w:ind w:left="480" w:hanging="472"/>
        <w:spacing w:after="0"/>
        <w:tabs>
          <w:tab w:leader="none" w:pos="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distributions under The Employees’ Retirement Plan – see “Pension Benefits” for information regarding this plan,</w:t>
      </w:r>
    </w:p>
    <w:p>
      <w:pPr>
        <w:spacing w:after="0" w:line="63" w:lineRule="exact"/>
        <w:rPr>
          <w:rFonts w:ascii="Arial" w:cs="Arial" w:eastAsia="Arial" w:hAnsi="Arial"/>
          <w:sz w:val="18"/>
          <w:szCs w:val="18"/>
          <w:color w:val="auto"/>
        </w:rPr>
      </w:pPr>
    </w:p>
    <w:p>
      <w:pPr>
        <w:ind w:left="500" w:right="260" w:hanging="492"/>
        <w:spacing w:after="0" w:line="298" w:lineRule="auto"/>
        <w:tabs>
          <w:tab w:leader="none" w:pos="495" w:val="left"/>
        </w:tabs>
        <w:numPr>
          <w:ilvl w:val="0"/>
          <w:numId w:val="46"/>
        </w:numPr>
        <w:rPr>
          <w:rFonts w:ascii="Arial" w:cs="Arial" w:eastAsia="Arial" w:hAnsi="Arial"/>
          <w:sz w:val="17"/>
          <w:szCs w:val="17"/>
          <w:color w:val="auto"/>
        </w:rPr>
      </w:pPr>
      <w:r>
        <w:rPr>
          <w:rFonts w:ascii="Arial" w:cs="Arial" w:eastAsia="Arial" w:hAnsi="Arial"/>
          <w:sz w:val="17"/>
          <w:szCs w:val="17"/>
          <w:color w:val="auto"/>
        </w:rPr>
        <w:t>distributions under the Supplemental Executive Retirement Plan and the Deferred Compensation Plan and distributions, other than death benefits, under the 2004 Executive Death Benefit Plan – see “Nonqualified Deferred Compensation” for information regarding these plans,</w:t>
      </w:r>
    </w:p>
    <w:p>
      <w:pPr>
        <w:ind w:left="500" w:right="100" w:hanging="492"/>
        <w:spacing w:after="0" w:line="277" w:lineRule="auto"/>
        <w:tabs>
          <w:tab w:leader="none" w:pos="495"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payments and benefits provided on a nondiscriminatory basis to salaried employees generally upon termination of employment, including tax-qualified defined contribution plans, and</w:t>
      </w:r>
    </w:p>
    <w:p>
      <w:pPr>
        <w:spacing w:after="0" w:line="8" w:lineRule="exact"/>
        <w:rPr>
          <w:rFonts w:ascii="Arial" w:cs="Arial" w:eastAsia="Arial" w:hAnsi="Arial"/>
          <w:sz w:val="18"/>
          <w:szCs w:val="18"/>
          <w:color w:val="auto"/>
        </w:rPr>
      </w:pPr>
    </w:p>
    <w:p>
      <w:pPr>
        <w:ind w:left="480" w:hanging="472"/>
        <w:spacing w:after="0"/>
        <w:tabs>
          <w:tab w:leader="none" w:pos="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short-term incentive payments that would not be increased due to the termination event.</w:t>
      </w:r>
    </w:p>
    <w:p>
      <w:pPr>
        <w:spacing w:after="0" w:line="185" w:lineRule="exact"/>
        <w:rPr>
          <w:sz w:val="20"/>
          <w:szCs w:val="20"/>
          <w:color w:val="auto"/>
        </w:rPr>
      </w:pPr>
    </w:p>
    <w:p>
      <w:pPr>
        <w:ind w:right="38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following items are reflected in the summary table on page </w:t>
      </w:r>
      <w:hyperlink w:anchor="page50">
        <w:r>
          <w:rPr>
            <w:rFonts w:ascii="Arial" w:cs="Arial" w:eastAsia="Arial" w:hAnsi="Arial"/>
            <w:sz w:val="18"/>
            <w:szCs w:val="18"/>
            <w:u w:val="single" w:color="auto"/>
            <w:color w:val="0000FF"/>
          </w:rPr>
          <w:t>45</w:t>
        </w:r>
      </w:hyperlink>
      <w:r>
        <w:rPr>
          <w:rFonts w:ascii="Arial" w:cs="Arial" w:eastAsia="Arial" w:hAnsi="Arial"/>
          <w:sz w:val="18"/>
          <w:szCs w:val="18"/>
          <w:color w:val="auto"/>
        </w:rPr>
        <w:t>. The payment amounts reflect the payments that would have been due to the named executive officers had the termination or change of control event occurred on December 31, 2021.</w:t>
      </w:r>
    </w:p>
    <w:p>
      <w:pPr>
        <w:spacing w:after="0" w:line="126"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 xml:space="preserve">Change of Control Agreements. </w:t>
      </w:r>
      <w:r>
        <w:rPr>
          <w:rFonts w:ascii="Arial" w:cs="Arial" w:eastAsia="Arial" w:hAnsi="Arial"/>
          <w:sz w:val="17"/>
          <w:szCs w:val="17"/>
          <w:color w:val="auto"/>
        </w:rPr>
        <w:t>Under our change of control agreements with our named executive officers other than Mr. Zapico, in the event that a</w:t>
      </w:r>
      <w:r>
        <w:rPr>
          <w:rFonts w:ascii="Arial" w:cs="Arial" w:eastAsia="Arial" w:hAnsi="Arial"/>
          <w:sz w:val="17"/>
          <w:szCs w:val="17"/>
          <w:b w:val="1"/>
          <w:bCs w:val="1"/>
          <w:color w:val="auto"/>
        </w:rPr>
        <w:t xml:space="preserve"> </w:t>
      </w:r>
      <w:r>
        <w:rPr>
          <w:rFonts w:ascii="Arial" w:cs="Arial" w:eastAsia="Arial" w:hAnsi="Arial"/>
          <w:sz w:val="17"/>
          <w:szCs w:val="17"/>
          <w:color w:val="auto"/>
        </w:rPr>
        <w:t>named executive officer’s employment is terminated by us without cause or by the named executive officer for “good reason” within two years beginning on the effective date of a change of control, the executive officer will receive: (1) 2.99 times the sum of (a) the executive officer’s base salary in effect on the last day of the fiscal year immediately preceding the effective date of the change of control and (b) the greater of the target bonus for the fiscal year in which the change of control occurred or the average of the bonus received for the two previous fiscal years; all cash payments will be paid when permitted under Section 409A of the Code, namely, on the first day of the seventh month following the termination date; and (2) continuation of health benefits until the earliest to occur of Medicare eligibility, coverage under another group health plan without a pre-existing condition limitation, the expiration of ten years, or the executive officer’s death. Payments to executive officers under the change of control agreements will be reduced, if necessary, to prevent them from being subject to the limitation on deductions under Section 280G of the Internal Revenue Code. The Compensation Committee selected the 2.99 times multiple of salary and bonus to reflect competitive market levels for such agreements and the amount payable is subject to limitations designed to minimize the payment of any excise taxes by us.</w:t>
      </w:r>
    </w:p>
    <w:p>
      <w:pPr>
        <w:spacing w:after="0" w:line="15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Generally, a change of control is deemed to occur under the change of control agreements if: (1) any person or more than one person acting as a group acquires ownership of stock which constitutes more than 50 percent of the total fair market value or total voting power of our stock; (2) any person or more than one person acting as a group acquires (during the 12-month period ending on the date of the most recent acquisition) ownership of stock possessing 30 percent or more of the total fair market value or total voting power of our stock; (3) a majority of Board members are replaced during any 12-month period by Directors whose election is not endorsed by a majority of the members of the Board; or (4) any person or more than one person acting as a group acquires assets from us having a total fair market value of not less than 40 percent of the total fair market value of all of our assets immediately prior to the acquisition.</w:t>
      </w:r>
    </w:p>
    <w:p>
      <w:pPr>
        <w:spacing w:after="0" w:line="154"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 termination for “good reason” generally means a termination initiated by the executive officer in the event of: (1) our noncompliance with the change of control agreement; (2) any involuntary reduction in the executive officer’s authority, duties or responsibilities that were in effect immediately prior to the change of control; (3) any involuntary reduction in the executive officer’s total compensation that was in effect immediately prior to the change of control; or (4) any transfer of the executive officer without the executive officer’s consent of more than 50 miles from the executive officer’s principal place of business immediately prior to the change of control other than on a temporary basis (less than 6 months).</w:t>
      </w:r>
    </w:p>
    <w:p>
      <w:pPr>
        <w:spacing w:after="0" w:line="136"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A termination for cause generally would result from misappropriation of funds, substance abuse, conviction of a crime involving moral turpitude, or gross negligence in the performance of duties that has a material adverse effect on our business, operations, assets, properties or financial condition.</w:t>
      </w:r>
    </w:p>
    <w:p>
      <w:pPr>
        <w:spacing w:after="0" w:line="9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Under our change of control agreement with Mr. Zapico, in the event that his employment is terminated by us without cause or by Mr. Zapico for good reason in anticipation of, or following, a change of control, he will receive: (1) a lump sum payment equal to 2.99 times the sum of (a) Mr. Zapico’s base salary for the year prior to the year in which his termination occurs and (b) his targeted bonus for the year in which he is terminated or, if the amount of the targeted bonus is not known, the average of his bonuses for the two years preceding the year in which his termination occurs; all cash payments will be paid when permitted under Section 409A of the Code, namely, on the first day of the seventh month following the termination date; (2) continuation of health benefits until the earliest of (a) the end of the tenth year following the year of the separation from service;</w:t>
      </w:r>
    </w:p>
    <w:p>
      <w:pPr>
        <w:spacing w:after="0" w:line="200" w:lineRule="exact"/>
        <w:rPr>
          <w:sz w:val="20"/>
          <w:szCs w:val="20"/>
          <w:color w:val="auto"/>
        </w:rPr>
      </w:pPr>
    </w:p>
    <w:p>
      <w:pPr>
        <w:spacing w:after="0" w:line="257" w:lineRule="exact"/>
        <w:rPr>
          <w:sz w:val="20"/>
          <w:szCs w:val="20"/>
          <w:color w:val="auto"/>
        </w:rPr>
      </w:pPr>
    </w:p>
    <w:p>
      <w:pPr>
        <w:ind w:left="7780"/>
        <w:spacing w:after="0"/>
        <w:tabs>
          <w:tab w:leader="none" w:pos="11020" w:val="left"/>
        </w:tabs>
        <w:rPr>
          <w:sz w:val="20"/>
          <w:szCs w:val="20"/>
          <w:color w:val="auto"/>
        </w:rPr>
      </w:pPr>
      <w:r>
        <w:rPr>
          <w:rFonts w:ascii="Arial" w:cs="Arial" w:eastAsia="Arial" w:hAnsi="Arial"/>
          <w:sz w:val="18"/>
          <w:szCs w:val="18"/>
          <w:b w:val="1"/>
          <w:bCs w:val="1"/>
          <w:color w:val="auto"/>
        </w:rPr>
        <w:t>AMETEK, INC. 2022 Proxy Statement</w:t>
      </w:r>
      <w:r>
        <w:rPr>
          <w:sz w:val="20"/>
          <w:szCs w:val="20"/>
          <w:color w:val="auto"/>
        </w:rPr>
        <w:tab/>
      </w:r>
      <w:r>
        <w:rPr>
          <w:rFonts w:ascii="Arial" w:cs="Arial" w:eastAsia="Arial" w:hAnsi="Arial"/>
          <w:sz w:val="16"/>
          <w:szCs w:val="16"/>
          <w:b w:val="1"/>
          <w:b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8" w:name="page49"/>
    <w:bookmarkEnd w:id="48"/>
    <w:p>
      <w:pPr>
        <w:ind w:right="140" w:firstLine="8"/>
        <w:spacing w:after="0" w:line="291" w:lineRule="auto"/>
        <w:tabs>
          <w:tab w:leader="none" w:pos="255" w:val="left"/>
        </w:tabs>
        <w:numPr>
          <w:ilvl w:val="0"/>
          <w:numId w:val="47"/>
        </w:numPr>
        <w:rPr>
          <w:rFonts w:ascii="Arial" w:cs="Arial" w:eastAsia="Arial" w:hAnsi="Arial"/>
          <w:sz w:val="16"/>
          <w:szCs w:val="16"/>
          <w:color w:val="auto"/>
        </w:rPr>
      </w:pPr>
      <w:r>
        <w:rPr>
          <w:rFonts w:ascii="Arial" w:cs="Arial" w:eastAsia="Arial" w:hAnsi="Arial"/>
          <w:sz w:val="16"/>
          <w:szCs w:val="16"/>
          <w:color w:val="auto"/>
        </w:rPr>
        <w:t>Medicare eligibility; (c) commencement of new employment where Mr. Zapico can participate in similar plans or programs; or (d) death; (3) continuation of disability insurance and death benefits until the earliest of (a) the end of the second year following the year of the separation from service;</w:t>
      </w:r>
    </w:p>
    <w:p>
      <w:pPr>
        <w:ind w:right="440" w:firstLine="8"/>
        <w:spacing w:after="0" w:line="290" w:lineRule="auto"/>
        <w:tabs>
          <w:tab w:leader="none" w:pos="255" w:val="left"/>
        </w:tabs>
        <w:numPr>
          <w:ilvl w:val="0"/>
          <w:numId w:val="48"/>
        </w:numPr>
        <w:rPr>
          <w:rFonts w:ascii="Arial" w:cs="Arial" w:eastAsia="Arial" w:hAnsi="Arial"/>
          <w:sz w:val="17"/>
          <w:szCs w:val="17"/>
          <w:color w:val="auto"/>
        </w:rPr>
      </w:pPr>
      <w:r>
        <w:rPr>
          <w:rFonts w:ascii="Arial" w:cs="Arial" w:eastAsia="Arial" w:hAnsi="Arial"/>
          <w:sz w:val="17"/>
          <w:szCs w:val="17"/>
          <w:color w:val="auto"/>
        </w:rPr>
        <w:t>commencement of new employment where Mr. Zapico can participate in similar plans or programs; or (c) death; and (4) use of an automobile and reimbursement of reasonable operating expenses, until the second anniversary of his termination or, if earlier, his death.</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In addition, upon a change of control, or upon Mr. Zapico’s termination without cause or resignation for good reason in anticipation of a change of control,</w:t>
      </w:r>
    </w:p>
    <w:p>
      <w:pPr>
        <w:spacing w:after="0" w:line="46" w:lineRule="exact"/>
        <w:rPr>
          <w:sz w:val="20"/>
          <w:szCs w:val="20"/>
          <w:color w:val="auto"/>
        </w:rPr>
      </w:pPr>
    </w:p>
    <w:p>
      <w:pPr>
        <w:ind w:firstLine="8"/>
        <w:spacing w:after="0" w:line="260" w:lineRule="auto"/>
        <w:tabs>
          <w:tab w:leader="none" w:pos="2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of his restricted stock awards and stock options immediately vest; and (2) all stock options, other than incentive stock options, will be exercisable for one year following his termination, or, if earlier, the stated expiration date of the stock option.</w:t>
      </w:r>
    </w:p>
    <w:p>
      <w:pPr>
        <w:spacing w:after="0" w:line="14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Generally, a change of control is deemed to occur under Mr. Zapico’s change of control agreement upon: (1) the acquisition by any person or group of 30 percent or more of our total voting stock; (2) the acquisition by us, any executive benefit plan, or any entity we establish under the plan, acting separately or in combination with each other or with other persons, of 50 percent or more of our voting stock, if after such acquisition our common stock is no longer publicly traded; (3) the death, resignation or removal of our Directors within a two-year period, as a result of which the Directors serving at the beginning of the period and Directors elected with the advance approval of two-thirds of the Directors serving at the beginning of the period constitute less than a majority of the Board; (4) the approval by the stockholders of (a) a merger in which the stockholders no longer own or control at least 50 percent of the value of our outstanding equity or the combined voting power of our then-outstanding voting securities, or (b) a sale or other disposition of all or substantially all of our assets. A termination is deemed to be in anticipation of a change of control if it occurs during the 90 days preceding the change of control and the substantial possibility of a change of control was known to Mr. Zapico and a majority of the Directors.</w:t>
      </w:r>
    </w:p>
    <w:p>
      <w:pPr>
        <w:spacing w:after="0" w:line="12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“Good reason” and “cause” are defined in Mr. Zapico’s agreement in substantially the same manner as in the other executive officers’ change of control agreements.</w:t>
      </w:r>
    </w:p>
    <w:p>
      <w:pPr>
        <w:spacing w:after="0" w:line="143" w:lineRule="exact"/>
        <w:rPr>
          <w:sz w:val="20"/>
          <w:szCs w:val="20"/>
          <w:color w:val="auto"/>
        </w:rPr>
      </w:pPr>
    </w:p>
    <w:p>
      <w:pPr>
        <w:jc w:val="both"/>
        <w:ind w:right="60"/>
        <w:spacing w:after="0" w:line="287" w:lineRule="auto"/>
        <w:rPr>
          <w:sz w:val="20"/>
          <w:szCs w:val="20"/>
          <w:color w:val="auto"/>
        </w:rPr>
      </w:pPr>
      <w:r>
        <w:rPr>
          <w:rFonts w:ascii="Arial" w:cs="Arial" w:eastAsia="Arial" w:hAnsi="Arial"/>
          <w:sz w:val="16"/>
          <w:szCs w:val="16"/>
          <w:color w:val="auto"/>
        </w:rPr>
        <w:t>Payments and other benefits under the change of control agreements would have been in the following amounts if the event requiring payment occurred on December 31, 2021: lump sum payments – Mr. Zapico, $9,077,640; Mr. Burke, $4,015,525; Mr. Jones, $3,228,444; Mr. Hardin, $3,241,609; Mr. Marecic, $2,821,463; continuation of health, disability and death benefits for Mr. Zapico: $171,326; continuation of health benefits for: Mr. Burke, $221,100;</w:t>
      </w:r>
    </w:p>
    <w:p>
      <w:pPr>
        <w:spacing w:after="0" w:line="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Mr. Jones, $39,400; Mr. Hardin, $402,000; Mr. Marecic, $221,100; perquisites – Mr. Zapico, $58,788 (use of an automobile and operating expenses). The benefits Mr. Zapico would receive upon acceleration of his equity grants in connection with a change of control are quantified below under “Vesting Provisions Pertaining to Performance Restricted Stock Units” and “Acceleration of Vesting Provisions Pertaining to Stock Options and Restricted Stock.”</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In addition, Mr. Zapico’s change of control agreement generally provides that in the event his employment is terminated by us without cause or by</w:t>
      </w:r>
    </w:p>
    <w:p>
      <w:pPr>
        <w:spacing w:after="0" w:line="3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Mr. Zapico for good reason, in either case prior to and other than in anticipation of or following a change of control, he would receive the same benefits as he would receive in connection with a change of control, as described above, except: (1) the portion of the lump sum payment based on a multiple of cash compensation would be equal to two times, rather than 2.99 times, cash compensation and (2) the continuation of health benefits could not exceed a maximum of two years from the termination of his employment, rather than ten years.</w:t>
      </w:r>
    </w:p>
    <w:p>
      <w:pPr>
        <w:spacing w:after="0" w:line="152"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Payments and other benefits to Mr. Zapico under this provision would include the following: lump sum payments, $6,072,000; stock option grant vesting acceleration, $8,619,477; restricted stock award vesting acceleration, $5,240,860; health, disability and death benefits, $55,126; and perquisites, $58,788 (use of an automobile and operating expenses).</w:t>
      </w:r>
    </w:p>
    <w:p>
      <w:pPr>
        <w:spacing w:after="0" w:line="153"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b w:val="1"/>
          <w:bCs w:val="1"/>
          <w:color w:val="auto"/>
        </w:rPr>
        <w:t xml:space="preserve">Vesting Provisions Pertaining to Performance Restricted Stock Units. </w:t>
      </w:r>
      <w:r>
        <w:rPr>
          <w:rFonts w:ascii="Arial" w:cs="Arial" w:eastAsia="Arial" w:hAnsi="Arial"/>
          <w:sz w:val="17"/>
          <w:szCs w:val="17"/>
          <w:color w:val="auto"/>
        </w:rPr>
        <w:t>In the event of death or disability of the named executive officer, or the named</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officer’s separation from service with the company as a result of and concurrent with a change of control, the performance restricted stock units shall become vested and nonforfeitable on the vest date in an amount equal to the initial performance restricted stock unit award (i.e. the “target award”). Benefits related to the vesting of the target award in conjunction with death, disability or change of control are as follows: Mr. Zapico, $16,225,640; Mr. Burke, $4,648,247; Mr. Jones, $1,723,478; Mr. Hardin, $1,855,583; and Mr. Marecic, $1,643,252.</w:t>
      </w:r>
    </w:p>
    <w:p>
      <w:pPr>
        <w:spacing w:after="0" w:line="131"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In addition, in the event of the named executive officer’s attainment of at least 55 years of age and at least ten years of service with the company (or any successor or affiliate of the company) at the named executive officer’s termination of employment date occurring on or after December 31, 2021, then the performance restricted stock units shall become vested and nonforfeitable on the vest date, to the extent that the performance goals are achieved. As of December 31, 2021, Messrs. Zapico, Burke, Jones, Hardin and Marecic meet the attained age and service requirements. Benefits related to the vesting of performance restricted stock units, using the same level of performance achievement disclosed in the Outstanding Equity</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b w:val="1"/>
          <w:bCs w:val="1"/>
          <w:color w:val="auto"/>
        </w:rPr>
        <w:t>44</w:t>
        <w:tab/>
        <w:t>AMETEK, INC.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49" w:name="page50"/>
    <w:bookmarkEnd w:id="49"/>
    <w:p>
      <w:pPr>
        <w:spacing w:after="0"/>
        <w:rPr>
          <w:sz w:val="20"/>
          <w:szCs w:val="20"/>
          <w:color w:val="auto"/>
        </w:rPr>
      </w:pPr>
      <w:r>
        <w:rPr>
          <w:rFonts w:ascii="Arial" w:cs="Arial" w:eastAsia="Arial" w:hAnsi="Arial"/>
          <w:sz w:val="16"/>
          <w:szCs w:val="16"/>
          <w:color w:val="auto"/>
        </w:rPr>
        <w:t>Awards at Fiscal Year-End Table, are as follows: Mr. Zapico, $19,811,832; Mr. Burke, $5,756,723; Mr. Jones, $2,128,484; Mr. Hardin, $2,289,347 and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Marecic, $2,021,734.</w:t>
      </w:r>
    </w:p>
    <w:p>
      <w:pPr>
        <w:spacing w:after="0" w:line="180"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b w:val="1"/>
          <w:bCs w:val="1"/>
          <w:color w:val="auto"/>
        </w:rPr>
        <w:t xml:space="preserve">Acceleration of Vesting Provisions Pertaining to Stock Options and Restricted Stock. </w:t>
      </w:r>
      <w:r>
        <w:rPr>
          <w:rFonts w:ascii="Arial" w:cs="Arial" w:eastAsia="Arial" w:hAnsi="Arial"/>
          <w:sz w:val="17"/>
          <w:szCs w:val="17"/>
          <w:color w:val="auto"/>
        </w:rPr>
        <w:t>Under our stock incentive plans, outstanding stock options</w:t>
      </w:r>
      <w:r>
        <w:rPr>
          <w:rFonts w:ascii="Arial" w:cs="Arial" w:eastAsia="Arial" w:hAnsi="Arial"/>
          <w:sz w:val="17"/>
          <w:szCs w:val="17"/>
          <w:b w:val="1"/>
          <w:bCs w:val="1"/>
          <w:color w:val="auto"/>
        </w:rPr>
        <w:t xml:space="preserve"> </w:t>
      </w:r>
      <w:r>
        <w:rPr>
          <w:rFonts w:ascii="Arial" w:cs="Arial" w:eastAsia="Arial" w:hAnsi="Arial"/>
          <w:sz w:val="17"/>
          <w:szCs w:val="17"/>
          <w:color w:val="auto"/>
        </w:rPr>
        <w:t>generally will vest immediately upon the occurrence of any of the following events: (1) the holder’s retirement after age 65, following two years of service with us; (2) the death of the holder; (3) the disability of the holder; or (4) the holder’s termination of employment following a change of control. Benefits relating to accelerated vesting of stock options in connection with termination following a change of control (or, in the case of Mr. Zapico, in anticipation of, or upon a change of control), or upon normal retirement or death or disability are as follows: Mr. Zapico, $8,619,477; Mr. Burke, $2,431,232; Mr. Jones, $1,339,773; Mr. Hardin, $1,444,531; and Mr. Marecic, $1,282,435.</w:t>
      </w:r>
    </w:p>
    <w:p>
      <w:pPr>
        <w:spacing w:after="0" w:line="13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value of the accelerated vesting benefit equals the number of shares as to which the stock options would vest on an accelerated basis upon the occurrence of the specified termination or change of control event, multiplied by the difference between the closing price per share of our common stock on December 31, 2021 and the exercise price per share for the affected options.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Outstanding restricted stock generally will vest immediately upon the occurrence of either of the following events: (1) the holder’s death or disability; or</w:t>
      </w:r>
    </w:p>
    <w:p>
      <w:pPr>
        <w:spacing w:after="0" w:line="46" w:lineRule="exact"/>
        <w:rPr>
          <w:sz w:val="20"/>
          <w:szCs w:val="20"/>
          <w:color w:val="auto"/>
        </w:rPr>
      </w:pPr>
    </w:p>
    <w:p>
      <w:pPr>
        <w:ind w:right="200" w:firstLine="8"/>
        <w:spacing w:after="0" w:line="277" w:lineRule="auto"/>
        <w:tabs>
          <w:tab w:leader="none" w:pos="255"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holder’s termination of employment following a change of control. Benefits relating to accelerated vesting of restricted stock in connection with termination following a change of control (or, in the case of Mr. Zapico, in anticipation of, or upon a change of control), or upon disability or death are as follows: Mr. Zapico, $5,240,860; Mr. Burke, $1,471,849; Mr. Jones, $826,370; Mr. Hardin, $891,155; and Mr. Marecic, $792,252.</w:t>
      </w:r>
    </w:p>
    <w:p>
      <w:pPr>
        <w:spacing w:after="0" w:line="146"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value of the accelerated vesting benefit equals the number of shares of restricted stock that would vest on an accelerated basis on the occurrence of the specified termination or change of control event times the closing price per share of our common stock on December 31, 2021, plus accrued dividends and the interest on the dividend balance.</w:t>
      </w:r>
    </w:p>
    <w:p>
      <w:pPr>
        <w:spacing w:after="0" w:line="14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incentive plans define “change of control” in substantially the same manner as the change of control agreements relating to our executives other than Mr. Zapico.</w:t>
      </w:r>
    </w:p>
    <w:p>
      <w:pPr>
        <w:spacing w:after="0" w:line="126"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Death Benefits. </w:t>
      </w:r>
      <w:r>
        <w:rPr>
          <w:rFonts w:ascii="Arial" w:cs="Arial" w:eastAsia="Arial" w:hAnsi="Arial"/>
          <w:sz w:val="18"/>
          <w:szCs w:val="18"/>
          <w:color w:val="auto"/>
        </w:rPr>
        <w:t>Death benefits are payable to Messrs. Zapico, Burke, Jones and Hardin under our 2004 Executive Death Benefit Plan, as described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“Nonqualified Deferred Compensation.”</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The amount of death benefits payable to each of the named executive officers in the event of his death would have been as follows on December 31,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Mr. Zapico, $1,638,200; Mr. Burke, $1,487,000; Mr. Jones, $1,192,400; and Mr. Hardin, $1,667,700.</w:t>
      </w:r>
    </w:p>
    <w:p>
      <w:pPr>
        <w:spacing w:after="0" w:line="166"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Summary Table. </w:t>
      </w:r>
      <w:r>
        <w:rPr>
          <w:rFonts w:ascii="Arial" w:cs="Arial" w:eastAsia="Arial" w:hAnsi="Arial"/>
          <w:sz w:val="18"/>
          <w:szCs w:val="18"/>
          <w:color w:val="auto"/>
        </w:rPr>
        <w:t>The following table summarizes the amounts payable to each of the named executive officers based on the items described above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each of the events set forth in the table. As used in the table below, “change of control” refers to payment or other benefit events occurring upon a change of control or in connection with a termination related to a change of control, as applicable.</w:t>
      </w:r>
    </w:p>
    <w:p>
      <w:pPr>
        <w:spacing w:after="0" w:line="15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540" w:type="dxa"/>
            <w:vAlign w:val="bottom"/>
            <w:vMerge w:val="restart"/>
          </w:tcPr>
          <w:p>
            <w:pPr>
              <w:ind w:left="580"/>
              <w:spacing w:after="0"/>
              <w:rPr>
                <w:sz w:val="20"/>
                <w:szCs w:val="20"/>
                <w:color w:val="auto"/>
              </w:rPr>
            </w:pPr>
            <w:r>
              <w:rPr>
                <w:rFonts w:ascii="Arial" w:cs="Arial" w:eastAsia="Arial" w:hAnsi="Arial"/>
                <w:sz w:val="14"/>
                <w:szCs w:val="14"/>
                <w:color w:val="auto"/>
              </w:rPr>
              <w:t>Name</w:t>
            </w:r>
          </w:p>
        </w:tc>
        <w:tc>
          <w:tcPr>
            <w:tcW w:w="1360" w:type="dxa"/>
            <w:vAlign w:val="bottom"/>
          </w:tcPr>
          <w:p>
            <w:pPr>
              <w:jc w:val="center"/>
              <w:ind w:left="48"/>
              <w:spacing w:after="0"/>
              <w:rPr>
                <w:sz w:val="20"/>
                <w:szCs w:val="20"/>
                <w:color w:val="auto"/>
              </w:rPr>
            </w:pPr>
            <w:r>
              <w:rPr>
                <w:rFonts w:ascii="Arial" w:cs="Arial" w:eastAsia="Arial" w:hAnsi="Arial"/>
                <w:sz w:val="14"/>
                <w:szCs w:val="14"/>
                <w:color w:val="auto"/>
                <w:w w:val="97"/>
              </w:rPr>
              <w:t>Normal</w:t>
            </w:r>
          </w:p>
        </w:tc>
        <w:tc>
          <w:tcPr>
            <w:tcW w:w="1700" w:type="dxa"/>
            <w:vAlign w:val="bottom"/>
          </w:tcPr>
          <w:p>
            <w:pPr>
              <w:jc w:val="center"/>
              <w:ind w:left="28"/>
              <w:spacing w:after="0"/>
              <w:rPr>
                <w:sz w:val="20"/>
                <w:szCs w:val="20"/>
                <w:color w:val="auto"/>
              </w:rPr>
            </w:pPr>
            <w:r>
              <w:rPr>
                <w:rFonts w:ascii="Arial" w:cs="Arial" w:eastAsia="Arial" w:hAnsi="Arial"/>
                <w:sz w:val="14"/>
                <w:szCs w:val="14"/>
                <w:color w:val="auto"/>
                <w:w w:val="97"/>
              </w:rPr>
              <w:t>Involuntary Not For</w:t>
            </w:r>
          </w:p>
        </w:tc>
        <w:tc>
          <w:tcPr>
            <w:tcW w:w="1460" w:type="dxa"/>
            <w:vAlign w:val="bottom"/>
            <w:vMerge w:val="restart"/>
          </w:tcPr>
          <w:p>
            <w:pPr>
              <w:ind w:left="240"/>
              <w:spacing w:after="0"/>
              <w:rPr>
                <w:sz w:val="20"/>
                <w:szCs w:val="20"/>
                <w:color w:val="auto"/>
              </w:rPr>
            </w:pPr>
            <w:r>
              <w:rPr>
                <w:rFonts w:ascii="Arial" w:cs="Arial" w:eastAsia="Arial" w:hAnsi="Arial"/>
                <w:sz w:val="14"/>
                <w:szCs w:val="14"/>
                <w:color w:val="auto"/>
              </w:rPr>
              <w:t>Early Retirement</w:t>
            </w:r>
          </w:p>
        </w:tc>
        <w:tc>
          <w:tcPr>
            <w:tcW w:w="1640" w:type="dxa"/>
            <w:vAlign w:val="bottom"/>
            <w:vMerge w:val="restart"/>
          </w:tcPr>
          <w:p>
            <w:pPr>
              <w:ind w:left="260"/>
              <w:spacing w:after="0"/>
              <w:rPr>
                <w:sz w:val="20"/>
                <w:szCs w:val="20"/>
                <w:color w:val="auto"/>
              </w:rPr>
            </w:pPr>
            <w:r>
              <w:rPr>
                <w:rFonts w:ascii="Arial" w:cs="Arial" w:eastAsia="Arial" w:hAnsi="Arial"/>
                <w:sz w:val="14"/>
                <w:szCs w:val="14"/>
                <w:color w:val="auto"/>
              </w:rPr>
              <w:t>Change of Control</w:t>
            </w:r>
          </w:p>
        </w:tc>
        <w:tc>
          <w:tcPr>
            <w:tcW w:w="1440" w:type="dxa"/>
            <w:vAlign w:val="bottom"/>
            <w:vMerge w:val="restart"/>
          </w:tcPr>
          <w:p>
            <w:pPr>
              <w:ind w:left="400"/>
              <w:spacing w:after="0"/>
              <w:rPr>
                <w:sz w:val="20"/>
                <w:szCs w:val="20"/>
                <w:color w:val="auto"/>
              </w:rPr>
            </w:pPr>
            <w:r>
              <w:rPr>
                <w:rFonts w:ascii="Arial" w:cs="Arial" w:eastAsia="Arial" w:hAnsi="Arial"/>
                <w:sz w:val="14"/>
                <w:szCs w:val="14"/>
                <w:color w:val="auto"/>
              </w:rPr>
              <w:t>Disability</w:t>
            </w:r>
          </w:p>
        </w:tc>
        <w:tc>
          <w:tcPr>
            <w:tcW w:w="1520" w:type="dxa"/>
            <w:vAlign w:val="bottom"/>
            <w:vMerge w:val="restart"/>
          </w:tcPr>
          <w:p>
            <w:pPr>
              <w:ind w:left="580"/>
              <w:spacing w:after="0"/>
              <w:rPr>
                <w:sz w:val="20"/>
                <w:szCs w:val="20"/>
                <w:color w:val="auto"/>
              </w:rPr>
            </w:pPr>
            <w:r>
              <w:rPr>
                <w:rFonts w:ascii="Arial" w:cs="Arial" w:eastAsia="Arial" w:hAnsi="Arial"/>
                <w:sz w:val="14"/>
                <w:szCs w:val="14"/>
                <w:color w:val="auto"/>
              </w:rPr>
              <w:t>Death</w:t>
            </w:r>
          </w:p>
        </w:tc>
        <w:tc>
          <w:tcPr>
            <w:tcW w:w="0" w:type="dxa"/>
            <w:vAlign w:val="bottom"/>
          </w:tcPr>
          <w:p>
            <w:pPr>
              <w:spacing w:after="0"/>
              <w:rPr>
                <w:sz w:val="1"/>
                <w:szCs w:val="1"/>
                <w:color w:val="auto"/>
              </w:rPr>
            </w:pPr>
          </w:p>
        </w:tc>
      </w:tr>
      <w:tr>
        <w:trPr>
          <w:trHeight w:val="186"/>
        </w:trPr>
        <w:tc>
          <w:tcPr>
            <w:tcW w:w="154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w w:val="93"/>
              </w:rPr>
              <w:t>Retirement</w:t>
            </w:r>
          </w:p>
        </w:tc>
        <w:tc>
          <w:tcPr>
            <w:tcW w:w="170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color w:val="auto"/>
                <w:w w:val="91"/>
              </w:rPr>
              <w:t>Cause Termination</w:t>
            </w:r>
          </w:p>
        </w:tc>
        <w:tc>
          <w:tcPr>
            <w:tcW w:w="1460" w:type="dxa"/>
            <w:vAlign w:val="bottom"/>
            <w:tcBorders>
              <w:bottom w:val="single" w:sz="8" w:color="auto"/>
            </w:tcBorders>
            <w:vMerge w:val="continue"/>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540" w:type="dxa"/>
            <w:vAlign w:val="bottom"/>
            <w:shd w:val="clear" w:color="auto" w:fill="CFF0FC"/>
          </w:tcPr>
          <w:p>
            <w:pPr>
              <w:spacing w:after="0"/>
              <w:rPr>
                <w:sz w:val="20"/>
                <w:szCs w:val="20"/>
                <w:color w:val="auto"/>
              </w:rPr>
            </w:pPr>
            <w:r>
              <w:rPr>
                <w:rFonts w:ascii="Arial" w:cs="Arial" w:eastAsia="Arial" w:hAnsi="Arial"/>
                <w:sz w:val="14"/>
                <w:szCs w:val="14"/>
                <w:color w:val="auto"/>
              </w:rPr>
              <w:t>David A. Zapico</w:t>
            </w:r>
          </w:p>
        </w:tc>
        <w:tc>
          <w:tcPr>
            <w:tcW w:w="1360" w:type="dxa"/>
            <w:vAlign w:val="bottom"/>
            <w:shd w:val="clear" w:color="auto" w:fill="CFF0FC"/>
          </w:tcPr>
          <w:p>
            <w:pPr>
              <w:jc w:val="center"/>
              <w:ind w:left="28"/>
              <w:spacing w:after="0"/>
              <w:rPr>
                <w:sz w:val="20"/>
                <w:szCs w:val="20"/>
                <w:color w:val="auto"/>
              </w:rPr>
            </w:pPr>
            <w:r>
              <w:rPr>
                <w:rFonts w:ascii="Arial" w:cs="Arial" w:eastAsia="Arial" w:hAnsi="Arial"/>
                <w:sz w:val="14"/>
                <w:szCs w:val="14"/>
                <w:color w:val="auto"/>
                <w:w w:val="94"/>
              </w:rPr>
              <w:t>$8,619,477</w:t>
            </w:r>
          </w:p>
        </w:tc>
        <w:tc>
          <w:tcPr>
            <w:tcW w:w="1700" w:type="dxa"/>
            <w:vAlign w:val="bottom"/>
            <w:shd w:val="clear" w:color="auto" w:fill="CFF0FC"/>
          </w:tcPr>
          <w:p>
            <w:pPr>
              <w:jc w:val="center"/>
              <w:ind w:left="28"/>
              <w:spacing w:after="0"/>
              <w:rPr>
                <w:sz w:val="20"/>
                <w:szCs w:val="20"/>
                <w:color w:val="auto"/>
              </w:rPr>
            </w:pPr>
            <w:r>
              <w:rPr>
                <w:rFonts w:ascii="Arial" w:cs="Arial" w:eastAsia="Arial" w:hAnsi="Arial"/>
                <w:sz w:val="14"/>
                <w:szCs w:val="14"/>
                <w:color w:val="auto"/>
                <w:w w:val="92"/>
              </w:rPr>
              <w:t>$20,046,252</w:t>
            </w:r>
          </w:p>
        </w:tc>
        <w:tc>
          <w:tcPr>
            <w:tcW w:w="14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$19,811,832</w:t>
            </w:r>
          </w:p>
        </w:tc>
        <w:tc>
          <w:tcPr>
            <w:tcW w:w="1640" w:type="dxa"/>
            <w:vAlign w:val="bottom"/>
            <w:shd w:val="clear" w:color="auto" w:fill="CFF0FC"/>
          </w:tcPr>
          <w:p>
            <w:pPr>
              <w:jc w:val="center"/>
              <w:ind w:right="8"/>
              <w:spacing w:after="0"/>
              <w:rPr>
                <w:sz w:val="20"/>
                <w:szCs w:val="20"/>
                <w:color w:val="auto"/>
              </w:rPr>
            </w:pPr>
            <w:r>
              <w:rPr>
                <w:rFonts w:ascii="Arial" w:cs="Arial" w:eastAsia="Arial" w:hAnsi="Arial"/>
                <w:sz w:val="14"/>
                <w:szCs w:val="14"/>
                <w:color w:val="auto"/>
                <w:w w:val="92"/>
              </w:rPr>
              <w:t>$39,393,732</w:t>
            </w:r>
          </w:p>
        </w:tc>
        <w:tc>
          <w:tcPr>
            <w:tcW w:w="1440" w:type="dxa"/>
            <w:vAlign w:val="bottom"/>
            <w:shd w:val="clear" w:color="auto" w:fill="CFF0FC"/>
          </w:tcPr>
          <w:p>
            <w:pPr>
              <w:jc w:val="center"/>
              <w:ind w:right="8"/>
              <w:spacing w:after="0"/>
              <w:rPr>
                <w:sz w:val="20"/>
                <w:szCs w:val="20"/>
                <w:color w:val="auto"/>
              </w:rPr>
            </w:pPr>
            <w:r>
              <w:rPr>
                <w:rFonts w:ascii="Arial" w:cs="Arial" w:eastAsia="Arial" w:hAnsi="Arial"/>
                <w:sz w:val="14"/>
                <w:szCs w:val="14"/>
                <w:color w:val="auto"/>
                <w:w w:val="92"/>
              </w:rPr>
              <w:t>$30,085,978</w:t>
            </w:r>
          </w:p>
        </w:tc>
        <w:tc>
          <w:tcPr>
            <w:tcW w:w="15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$31,724,178</w:t>
            </w:r>
          </w:p>
        </w:tc>
        <w:tc>
          <w:tcPr>
            <w:tcW w:w="0" w:type="dxa"/>
            <w:vAlign w:val="bottom"/>
          </w:tcPr>
          <w:p>
            <w:pPr>
              <w:spacing w:after="0"/>
              <w:rPr>
                <w:sz w:val="1"/>
                <w:szCs w:val="1"/>
                <w:color w:val="auto"/>
              </w:rPr>
            </w:pPr>
          </w:p>
        </w:tc>
      </w:tr>
      <w:tr>
        <w:trPr>
          <w:trHeight w:val="186"/>
        </w:trPr>
        <w:tc>
          <w:tcPr>
            <w:tcW w:w="1540" w:type="dxa"/>
            <w:vAlign w:val="bottom"/>
          </w:tcPr>
          <w:p>
            <w:pPr>
              <w:spacing w:after="0"/>
              <w:rPr>
                <w:sz w:val="20"/>
                <w:szCs w:val="20"/>
                <w:color w:val="auto"/>
              </w:rPr>
            </w:pPr>
            <w:r>
              <w:rPr>
                <w:rFonts w:ascii="Arial" w:cs="Arial" w:eastAsia="Arial" w:hAnsi="Arial"/>
                <w:sz w:val="14"/>
                <w:szCs w:val="14"/>
                <w:color w:val="auto"/>
              </w:rPr>
              <w:t>William J. Burke</w:t>
            </w:r>
          </w:p>
        </w:tc>
        <w:tc>
          <w:tcPr>
            <w:tcW w:w="1360" w:type="dxa"/>
            <w:vAlign w:val="bottom"/>
          </w:tcPr>
          <w:p>
            <w:pPr>
              <w:jc w:val="center"/>
              <w:ind w:left="28"/>
              <w:spacing w:after="0"/>
              <w:rPr>
                <w:sz w:val="20"/>
                <w:szCs w:val="20"/>
                <w:color w:val="auto"/>
              </w:rPr>
            </w:pPr>
            <w:r>
              <w:rPr>
                <w:rFonts w:ascii="Arial" w:cs="Arial" w:eastAsia="Arial" w:hAnsi="Arial"/>
                <w:sz w:val="14"/>
                <w:szCs w:val="14"/>
                <w:color w:val="auto"/>
                <w:w w:val="93"/>
              </w:rPr>
              <w:t>2,431,232</w:t>
            </w:r>
          </w:p>
        </w:tc>
        <w:tc>
          <w:tcPr>
            <w:tcW w:w="1700" w:type="dxa"/>
            <w:vAlign w:val="bottom"/>
          </w:tcPr>
          <w:p>
            <w:pPr>
              <w:jc w:val="center"/>
              <w:ind w:left="28"/>
              <w:spacing w:after="0"/>
              <w:rPr>
                <w:sz w:val="20"/>
                <w:szCs w:val="20"/>
                <w:color w:val="auto"/>
              </w:rPr>
            </w:pPr>
            <w:r>
              <w:rPr>
                <w:rFonts w:ascii="Arial" w:cs="Arial" w:eastAsia="Arial" w:hAnsi="Arial"/>
                <w:sz w:val="14"/>
                <w:szCs w:val="14"/>
                <w:color w:val="auto"/>
              </w:rPr>
              <w:t>N/A</w:t>
            </w:r>
          </w:p>
        </w:tc>
        <w:tc>
          <w:tcPr>
            <w:tcW w:w="1460" w:type="dxa"/>
            <w:vAlign w:val="bottom"/>
          </w:tcPr>
          <w:p>
            <w:pPr>
              <w:jc w:val="center"/>
              <w:spacing w:after="0"/>
              <w:rPr>
                <w:sz w:val="20"/>
                <w:szCs w:val="20"/>
                <w:color w:val="auto"/>
              </w:rPr>
            </w:pPr>
            <w:r>
              <w:rPr>
                <w:rFonts w:ascii="Arial" w:cs="Arial" w:eastAsia="Arial" w:hAnsi="Arial"/>
                <w:sz w:val="14"/>
                <w:szCs w:val="14"/>
                <w:color w:val="auto"/>
                <w:w w:val="93"/>
              </w:rPr>
              <w:t>5,756,723</w:t>
            </w:r>
          </w:p>
        </w:tc>
        <w:tc>
          <w:tcPr>
            <w:tcW w:w="1640" w:type="dxa"/>
            <w:vAlign w:val="bottom"/>
          </w:tcPr>
          <w:p>
            <w:pPr>
              <w:jc w:val="center"/>
              <w:spacing w:after="0"/>
              <w:rPr>
                <w:sz w:val="20"/>
                <w:szCs w:val="20"/>
                <w:color w:val="auto"/>
              </w:rPr>
            </w:pPr>
            <w:r>
              <w:rPr>
                <w:rFonts w:ascii="Arial" w:cs="Arial" w:eastAsia="Arial" w:hAnsi="Arial"/>
                <w:sz w:val="14"/>
                <w:szCs w:val="14"/>
                <w:color w:val="auto"/>
                <w:w w:val="94"/>
              </w:rPr>
              <w:t>12,787,953</w:t>
            </w:r>
          </w:p>
        </w:tc>
        <w:tc>
          <w:tcPr>
            <w:tcW w:w="1440" w:type="dxa"/>
            <w:vAlign w:val="bottom"/>
          </w:tcPr>
          <w:p>
            <w:pPr>
              <w:jc w:val="center"/>
              <w:ind w:right="28"/>
              <w:spacing w:after="0"/>
              <w:rPr>
                <w:sz w:val="20"/>
                <w:szCs w:val="20"/>
                <w:color w:val="auto"/>
              </w:rPr>
            </w:pPr>
            <w:r>
              <w:rPr>
                <w:rFonts w:ascii="Arial" w:cs="Arial" w:eastAsia="Arial" w:hAnsi="Arial"/>
                <w:sz w:val="14"/>
                <w:szCs w:val="14"/>
                <w:color w:val="auto"/>
                <w:w w:val="93"/>
              </w:rPr>
              <w:t>8,551,328</w:t>
            </w:r>
          </w:p>
        </w:tc>
        <w:tc>
          <w:tcPr>
            <w:tcW w:w="1520" w:type="dxa"/>
            <w:vAlign w:val="bottom"/>
          </w:tcPr>
          <w:p>
            <w:pPr>
              <w:jc w:val="center"/>
              <w:spacing w:after="0"/>
              <w:rPr>
                <w:sz w:val="20"/>
                <w:szCs w:val="20"/>
                <w:color w:val="auto"/>
              </w:rPr>
            </w:pPr>
            <w:r>
              <w:rPr>
                <w:rFonts w:ascii="Arial" w:cs="Arial" w:eastAsia="Arial" w:hAnsi="Arial"/>
                <w:sz w:val="14"/>
                <w:szCs w:val="14"/>
                <w:color w:val="auto"/>
                <w:w w:val="91"/>
              </w:rPr>
              <w:t>10,038,328</w:t>
            </w:r>
          </w:p>
        </w:tc>
        <w:tc>
          <w:tcPr>
            <w:tcW w:w="0" w:type="dxa"/>
            <w:vAlign w:val="bottom"/>
          </w:tcPr>
          <w:p>
            <w:pPr>
              <w:spacing w:after="0"/>
              <w:rPr>
                <w:sz w:val="1"/>
                <w:szCs w:val="1"/>
                <w:color w:val="auto"/>
              </w:rPr>
            </w:pPr>
          </w:p>
        </w:tc>
      </w:tr>
      <w:tr>
        <w:trPr>
          <w:trHeight w:val="192"/>
        </w:trPr>
        <w:tc>
          <w:tcPr>
            <w:tcW w:w="1540" w:type="dxa"/>
            <w:vAlign w:val="bottom"/>
            <w:shd w:val="clear" w:color="auto" w:fill="CFF0FC"/>
          </w:tcPr>
          <w:p>
            <w:pPr>
              <w:spacing w:after="0"/>
              <w:rPr>
                <w:sz w:val="20"/>
                <w:szCs w:val="20"/>
                <w:color w:val="auto"/>
              </w:rPr>
            </w:pPr>
            <w:r>
              <w:rPr>
                <w:rFonts w:ascii="Arial" w:cs="Arial" w:eastAsia="Arial" w:hAnsi="Arial"/>
                <w:sz w:val="14"/>
                <w:szCs w:val="14"/>
                <w:color w:val="auto"/>
              </w:rPr>
              <w:t>Timothy N. Jones</w:t>
            </w:r>
          </w:p>
        </w:tc>
        <w:tc>
          <w:tcPr>
            <w:tcW w:w="1360" w:type="dxa"/>
            <w:vAlign w:val="bottom"/>
            <w:shd w:val="clear" w:color="auto" w:fill="CFF0FC"/>
          </w:tcPr>
          <w:p>
            <w:pPr>
              <w:jc w:val="center"/>
              <w:ind w:left="28"/>
              <w:spacing w:after="0"/>
              <w:rPr>
                <w:sz w:val="20"/>
                <w:szCs w:val="20"/>
                <w:color w:val="auto"/>
              </w:rPr>
            </w:pPr>
            <w:r>
              <w:rPr>
                <w:rFonts w:ascii="Arial" w:cs="Arial" w:eastAsia="Arial" w:hAnsi="Arial"/>
                <w:sz w:val="14"/>
                <w:szCs w:val="14"/>
                <w:color w:val="auto"/>
                <w:w w:val="93"/>
              </w:rPr>
              <w:t>1,339,773</w:t>
            </w:r>
          </w:p>
        </w:tc>
        <w:tc>
          <w:tcPr>
            <w:tcW w:w="1700" w:type="dxa"/>
            <w:vAlign w:val="bottom"/>
            <w:shd w:val="clear" w:color="auto" w:fill="CFF0FC"/>
          </w:tcPr>
          <w:p>
            <w:pPr>
              <w:jc w:val="center"/>
              <w:ind w:left="28"/>
              <w:spacing w:after="0"/>
              <w:rPr>
                <w:sz w:val="20"/>
                <w:szCs w:val="20"/>
                <w:color w:val="auto"/>
              </w:rPr>
            </w:pPr>
            <w:r>
              <w:rPr>
                <w:rFonts w:ascii="Arial" w:cs="Arial" w:eastAsia="Arial" w:hAnsi="Arial"/>
                <w:sz w:val="14"/>
                <w:szCs w:val="14"/>
                <w:color w:val="auto"/>
              </w:rPr>
              <w:t>N/A</w:t>
            </w:r>
          </w:p>
        </w:tc>
        <w:tc>
          <w:tcPr>
            <w:tcW w:w="14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2,128,484</w:t>
            </w:r>
          </w:p>
        </w:tc>
        <w:tc>
          <w:tcPr>
            <w:tcW w:w="16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7,157,465</w:t>
            </w:r>
          </w:p>
        </w:tc>
        <w:tc>
          <w:tcPr>
            <w:tcW w:w="1440" w:type="dxa"/>
            <w:vAlign w:val="bottom"/>
            <w:shd w:val="clear" w:color="auto" w:fill="CFF0FC"/>
          </w:tcPr>
          <w:p>
            <w:pPr>
              <w:jc w:val="center"/>
              <w:ind w:right="28"/>
              <w:spacing w:after="0"/>
              <w:rPr>
                <w:sz w:val="20"/>
                <w:szCs w:val="20"/>
                <w:color w:val="auto"/>
              </w:rPr>
            </w:pPr>
            <w:r>
              <w:rPr>
                <w:rFonts w:ascii="Arial" w:cs="Arial" w:eastAsia="Arial" w:hAnsi="Arial"/>
                <w:sz w:val="14"/>
                <w:szCs w:val="14"/>
                <w:color w:val="auto"/>
                <w:w w:val="93"/>
              </w:rPr>
              <w:t>3,889,621</w:t>
            </w:r>
          </w:p>
        </w:tc>
        <w:tc>
          <w:tcPr>
            <w:tcW w:w="15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9"/>
              </w:rPr>
              <w:t>5,082,021</w:t>
            </w:r>
          </w:p>
        </w:tc>
        <w:tc>
          <w:tcPr>
            <w:tcW w:w="0" w:type="dxa"/>
            <w:vAlign w:val="bottom"/>
          </w:tcPr>
          <w:p>
            <w:pPr>
              <w:spacing w:after="0"/>
              <w:rPr>
                <w:sz w:val="1"/>
                <w:szCs w:val="1"/>
                <w:color w:val="auto"/>
              </w:rPr>
            </w:pPr>
          </w:p>
        </w:tc>
      </w:tr>
      <w:tr>
        <w:trPr>
          <w:trHeight w:val="186"/>
        </w:trPr>
        <w:tc>
          <w:tcPr>
            <w:tcW w:w="1540" w:type="dxa"/>
            <w:vAlign w:val="bottom"/>
          </w:tcPr>
          <w:p>
            <w:pPr>
              <w:spacing w:after="0"/>
              <w:rPr>
                <w:sz w:val="20"/>
                <w:szCs w:val="20"/>
                <w:color w:val="auto"/>
              </w:rPr>
            </w:pPr>
            <w:r>
              <w:rPr>
                <w:rFonts w:ascii="Arial" w:cs="Arial" w:eastAsia="Arial" w:hAnsi="Arial"/>
                <w:sz w:val="14"/>
                <w:szCs w:val="14"/>
                <w:color w:val="auto"/>
              </w:rPr>
              <w:t>John W. Hardin</w:t>
            </w:r>
          </w:p>
        </w:tc>
        <w:tc>
          <w:tcPr>
            <w:tcW w:w="1360" w:type="dxa"/>
            <w:vAlign w:val="bottom"/>
          </w:tcPr>
          <w:p>
            <w:pPr>
              <w:jc w:val="center"/>
              <w:ind w:left="28"/>
              <w:spacing w:after="0"/>
              <w:rPr>
                <w:sz w:val="20"/>
                <w:szCs w:val="20"/>
                <w:color w:val="auto"/>
              </w:rPr>
            </w:pPr>
            <w:r>
              <w:rPr>
                <w:rFonts w:ascii="Arial" w:cs="Arial" w:eastAsia="Arial" w:hAnsi="Arial"/>
                <w:sz w:val="14"/>
                <w:szCs w:val="14"/>
                <w:color w:val="auto"/>
                <w:w w:val="93"/>
              </w:rPr>
              <w:t>1,444,531</w:t>
            </w:r>
          </w:p>
        </w:tc>
        <w:tc>
          <w:tcPr>
            <w:tcW w:w="1700" w:type="dxa"/>
            <w:vAlign w:val="bottom"/>
          </w:tcPr>
          <w:p>
            <w:pPr>
              <w:jc w:val="center"/>
              <w:ind w:left="28"/>
              <w:spacing w:after="0"/>
              <w:rPr>
                <w:sz w:val="20"/>
                <w:szCs w:val="20"/>
                <w:color w:val="auto"/>
              </w:rPr>
            </w:pPr>
            <w:r>
              <w:rPr>
                <w:rFonts w:ascii="Arial" w:cs="Arial" w:eastAsia="Arial" w:hAnsi="Arial"/>
                <w:sz w:val="14"/>
                <w:szCs w:val="14"/>
                <w:color w:val="auto"/>
              </w:rPr>
              <w:t>N/A</w:t>
            </w:r>
          </w:p>
        </w:tc>
        <w:tc>
          <w:tcPr>
            <w:tcW w:w="1460" w:type="dxa"/>
            <w:vAlign w:val="bottom"/>
          </w:tcPr>
          <w:p>
            <w:pPr>
              <w:jc w:val="center"/>
              <w:spacing w:after="0"/>
              <w:rPr>
                <w:sz w:val="20"/>
                <w:szCs w:val="20"/>
                <w:color w:val="auto"/>
              </w:rPr>
            </w:pPr>
            <w:r>
              <w:rPr>
                <w:rFonts w:ascii="Arial" w:cs="Arial" w:eastAsia="Arial" w:hAnsi="Arial"/>
                <w:sz w:val="14"/>
                <w:szCs w:val="14"/>
                <w:color w:val="auto"/>
                <w:w w:val="93"/>
              </w:rPr>
              <w:t>2,289,347</w:t>
            </w:r>
          </w:p>
        </w:tc>
        <w:tc>
          <w:tcPr>
            <w:tcW w:w="1640" w:type="dxa"/>
            <w:vAlign w:val="bottom"/>
          </w:tcPr>
          <w:p>
            <w:pPr>
              <w:jc w:val="center"/>
              <w:spacing w:after="0"/>
              <w:rPr>
                <w:sz w:val="20"/>
                <w:szCs w:val="20"/>
                <w:color w:val="auto"/>
              </w:rPr>
            </w:pPr>
            <w:r>
              <w:rPr>
                <w:rFonts w:ascii="Arial" w:cs="Arial" w:eastAsia="Arial" w:hAnsi="Arial"/>
                <w:sz w:val="14"/>
                <w:szCs w:val="14"/>
                <w:color w:val="auto"/>
                <w:w w:val="93"/>
              </w:rPr>
              <w:t>7,834,877</w:t>
            </w:r>
          </w:p>
        </w:tc>
        <w:tc>
          <w:tcPr>
            <w:tcW w:w="1440" w:type="dxa"/>
            <w:vAlign w:val="bottom"/>
          </w:tcPr>
          <w:p>
            <w:pPr>
              <w:jc w:val="center"/>
              <w:ind w:right="28"/>
              <w:spacing w:after="0"/>
              <w:rPr>
                <w:sz w:val="20"/>
                <w:szCs w:val="20"/>
                <w:color w:val="auto"/>
              </w:rPr>
            </w:pPr>
            <w:r>
              <w:rPr>
                <w:rFonts w:ascii="Arial" w:cs="Arial" w:eastAsia="Arial" w:hAnsi="Arial"/>
                <w:sz w:val="14"/>
                <w:szCs w:val="14"/>
                <w:color w:val="auto"/>
                <w:w w:val="93"/>
              </w:rPr>
              <w:t>4,191,269</w:t>
            </w:r>
          </w:p>
        </w:tc>
        <w:tc>
          <w:tcPr>
            <w:tcW w:w="1520" w:type="dxa"/>
            <w:vAlign w:val="bottom"/>
          </w:tcPr>
          <w:p>
            <w:pPr>
              <w:jc w:val="center"/>
              <w:spacing w:after="0"/>
              <w:rPr>
                <w:sz w:val="20"/>
                <w:szCs w:val="20"/>
                <w:color w:val="auto"/>
              </w:rPr>
            </w:pPr>
            <w:r>
              <w:rPr>
                <w:rFonts w:ascii="Arial" w:cs="Arial" w:eastAsia="Arial" w:hAnsi="Arial"/>
                <w:sz w:val="14"/>
                <w:szCs w:val="14"/>
                <w:color w:val="auto"/>
                <w:w w:val="89"/>
              </w:rPr>
              <w:t>5,858,969</w:t>
            </w:r>
          </w:p>
        </w:tc>
        <w:tc>
          <w:tcPr>
            <w:tcW w:w="0" w:type="dxa"/>
            <w:vAlign w:val="bottom"/>
          </w:tcPr>
          <w:p>
            <w:pPr>
              <w:spacing w:after="0"/>
              <w:rPr>
                <w:sz w:val="1"/>
                <w:szCs w:val="1"/>
                <w:color w:val="auto"/>
              </w:rPr>
            </w:pPr>
          </w:p>
        </w:tc>
      </w:tr>
      <w:tr>
        <w:trPr>
          <w:trHeight w:val="192"/>
        </w:trPr>
        <w:tc>
          <w:tcPr>
            <w:tcW w:w="1540" w:type="dxa"/>
            <w:vAlign w:val="bottom"/>
            <w:shd w:val="clear" w:color="auto" w:fill="CFF0FC"/>
          </w:tcPr>
          <w:p>
            <w:pPr>
              <w:spacing w:after="0"/>
              <w:rPr>
                <w:sz w:val="20"/>
                <w:szCs w:val="20"/>
                <w:color w:val="auto"/>
              </w:rPr>
            </w:pPr>
            <w:r>
              <w:rPr>
                <w:rFonts w:ascii="Arial" w:cs="Arial" w:eastAsia="Arial" w:hAnsi="Arial"/>
                <w:sz w:val="14"/>
                <w:szCs w:val="14"/>
                <w:color w:val="auto"/>
              </w:rPr>
              <w:t>Thomas C. Marecic</w:t>
            </w:r>
          </w:p>
        </w:tc>
        <w:tc>
          <w:tcPr>
            <w:tcW w:w="1360" w:type="dxa"/>
            <w:vAlign w:val="bottom"/>
            <w:shd w:val="clear" w:color="auto" w:fill="CFF0FC"/>
          </w:tcPr>
          <w:p>
            <w:pPr>
              <w:jc w:val="center"/>
              <w:ind w:left="28"/>
              <w:spacing w:after="0"/>
              <w:rPr>
                <w:sz w:val="20"/>
                <w:szCs w:val="20"/>
                <w:color w:val="auto"/>
              </w:rPr>
            </w:pPr>
            <w:r>
              <w:rPr>
                <w:rFonts w:ascii="Arial" w:cs="Arial" w:eastAsia="Arial" w:hAnsi="Arial"/>
                <w:sz w:val="14"/>
                <w:szCs w:val="14"/>
                <w:color w:val="auto"/>
                <w:w w:val="93"/>
              </w:rPr>
              <w:t>1,282,435</w:t>
            </w:r>
          </w:p>
        </w:tc>
        <w:tc>
          <w:tcPr>
            <w:tcW w:w="1700" w:type="dxa"/>
            <w:vAlign w:val="bottom"/>
            <w:shd w:val="clear" w:color="auto" w:fill="CFF0FC"/>
          </w:tcPr>
          <w:p>
            <w:pPr>
              <w:jc w:val="center"/>
              <w:ind w:left="28"/>
              <w:spacing w:after="0"/>
              <w:rPr>
                <w:sz w:val="20"/>
                <w:szCs w:val="20"/>
                <w:color w:val="auto"/>
              </w:rPr>
            </w:pPr>
            <w:r>
              <w:rPr>
                <w:rFonts w:ascii="Arial" w:cs="Arial" w:eastAsia="Arial" w:hAnsi="Arial"/>
                <w:sz w:val="14"/>
                <w:szCs w:val="14"/>
                <w:color w:val="auto"/>
              </w:rPr>
              <w:t>N/A</w:t>
            </w:r>
          </w:p>
        </w:tc>
        <w:tc>
          <w:tcPr>
            <w:tcW w:w="14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2,021,734</w:t>
            </w:r>
          </w:p>
        </w:tc>
        <w:tc>
          <w:tcPr>
            <w:tcW w:w="16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6,760,501</w:t>
            </w:r>
          </w:p>
        </w:tc>
        <w:tc>
          <w:tcPr>
            <w:tcW w:w="1440" w:type="dxa"/>
            <w:vAlign w:val="bottom"/>
            <w:shd w:val="clear" w:color="auto" w:fill="CFF0FC"/>
          </w:tcPr>
          <w:p>
            <w:pPr>
              <w:jc w:val="center"/>
              <w:ind w:right="28"/>
              <w:spacing w:after="0"/>
              <w:rPr>
                <w:sz w:val="20"/>
                <w:szCs w:val="20"/>
                <w:color w:val="auto"/>
              </w:rPr>
            </w:pPr>
            <w:r>
              <w:rPr>
                <w:rFonts w:ascii="Arial" w:cs="Arial" w:eastAsia="Arial" w:hAnsi="Arial"/>
                <w:sz w:val="14"/>
                <w:szCs w:val="14"/>
                <w:color w:val="auto"/>
                <w:w w:val="93"/>
              </w:rPr>
              <w:t>3,717,939</w:t>
            </w:r>
          </w:p>
        </w:tc>
        <w:tc>
          <w:tcPr>
            <w:tcW w:w="15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9"/>
              </w:rPr>
              <w:t>3,717,939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780"/>
        <w:spacing w:after="0"/>
        <w:tabs>
          <w:tab w:leader="none" w:pos="11020" w:val="left"/>
        </w:tabs>
        <w:rPr>
          <w:sz w:val="20"/>
          <w:szCs w:val="20"/>
          <w:color w:val="auto"/>
        </w:rPr>
      </w:pPr>
      <w:r>
        <w:rPr>
          <w:rFonts w:ascii="Arial" w:cs="Arial" w:eastAsia="Arial" w:hAnsi="Arial"/>
          <w:sz w:val="18"/>
          <w:szCs w:val="18"/>
          <w:b w:val="1"/>
          <w:bCs w:val="1"/>
          <w:color w:val="auto"/>
        </w:rPr>
        <w:t>AMETEK, INC. 2022 Proxy Statement</w:t>
      </w:r>
      <w:r>
        <w:rPr>
          <w:sz w:val="20"/>
          <w:szCs w:val="20"/>
          <w:color w:val="auto"/>
        </w:rPr>
        <w:tab/>
      </w:r>
      <w:r>
        <w:rPr>
          <w:rFonts w:ascii="Arial" w:cs="Arial" w:eastAsia="Arial" w:hAnsi="Arial"/>
          <w:sz w:val="16"/>
          <w:szCs w:val="16"/>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0" w:name="page51"/>
    <w:bookmarkEnd w:id="50"/>
    <w:p>
      <w:pPr>
        <w:jc w:val="center"/>
        <w:ind w:right="20"/>
        <w:spacing w:after="0"/>
        <w:rPr>
          <w:sz w:val="20"/>
          <w:szCs w:val="20"/>
          <w:color w:val="auto"/>
        </w:rPr>
      </w:pPr>
      <w:r>
        <w:rPr>
          <w:rFonts w:ascii="Arial" w:cs="Arial" w:eastAsia="Arial" w:hAnsi="Arial"/>
          <w:sz w:val="22"/>
          <w:szCs w:val="22"/>
          <w:b w:val="1"/>
          <w:bCs w:val="1"/>
          <w:color w:val="auto"/>
        </w:rPr>
        <w:t>STOCK OWNERSHIP OF</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EXECUTIVE OFFICERS AND DIRECTORS</w:t>
      </w:r>
    </w:p>
    <w:p>
      <w:pPr>
        <w:spacing w:after="0" w:line="168" w:lineRule="exact"/>
        <w:rPr>
          <w:sz w:val="20"/>
          <w:szCs w:val="20"/>
          <w:color w:val="auto"/>
        </w:rPr>
      </w:pPr>
    </w:p>
    <w:p>
      <w:pPr>
        <w:jc w:val="both"/>
        <w:ind w:right="44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The Compensation Committee of the Board approved stock ownership guidelines for all executive officers, and reviews stock ownership on an annual basis. See “Compensation Discussion and Analysis – Stock Ownership Guidelines” on page </w:t>
      </w:r>
      <w:hyperlink w:anchor="page38">
        <w:r>
          <w:rPr>
            <w:rFonts w:ascii="Arial" w:cs="Arial" w:eastAsia="Arial" w:hAnsi="Arial"/>
            <w:sz w:val="18"/>
            <w:szCs w:val="18"/>
            <w:u w:val="single" w:color="auto"/>
            <w:color w:val="0000FF"/>
          </w:rPr>
          <w:t>33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 discussion of stock ownership guidelines for our named executive officers.</w:t>
      </w:r>
    </w:p>
    <w:p>
      <w:pPr>
        <w:spacing w:after="0" w:line="14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Board established stock ownership guidelines for non-employee Directors in order to more closely link their interests with those of stockholders. Under the guidelines, each non-employee Director is expected to own, by the end of a five-year period, shares of our common stock having a value equal to at least five times the Director’s annual cash retainer.</w:t>
      </w:r>
    </w:p>
    <w:p>
      <w:pPr>
        <w:spacing w:after="0" w:line="14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following table shows the number of shares of common stock that the Directors and all executive officers as a group beneficially owned, and the number of deemed shares held for the account of the executive officers under the SERP, all as of January 9, 2022.</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2680" w:type="dxa"/>
            <w:vAlign w:val="bottom"/>
            <w:tcBorders>
              <w:top w:val="single" w:sz="8" w:color="auto"/>
              <w:left w:val="single" w:sz="8" w:color="auto"/>
              <w:right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28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92"/>
              </w:rPr>
              <w:t>Number of Shares and</w:t>
            </w:r>
          </w:p>
        </w:tc>
        <w:tc>
          <w:tcPr>
            <w:tcW w:w="1420" w:type="dxa"/>
            <w:vAlign w:val="bottom"/>
            <w:tcBorders>
              <w:top w:val="single" w:sz="8" w:color="auto"/>
            </w:tcBorders>
          </w:tcPr>
          <w:p>
            <w:pPr>
              <w:spacing w:after="0"/>
              <w:rPr>
                <w:sz w:val="15"/>
                <w:szCs w:val="15"/>
                <w:color w:val="auto"/>
              </w:rPr>
            </w:pPr>
          </w:p>
        </w:tc>
        <w:tc>
          <w:tcPr>
            <w:tcW w:w="144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680" w:type="dxa"/>
            <w:vAlign w:val="bottom"/>
            <w:tcBorders>
              <w:left w:val="single" w:sz="8" w:color="auto"/>
              <w:right w:val="single" w:sz="8" w:color="auto"/>
            </w:tcBorders>
          </w:tcPr>
          <w:p>
            <w:pPr>
              <w:spacing w:after="0"/>
              <w:rPr>
                <w:sz w:val="15"/>
                <w:szCs w:val="15"/>
                <w:color w:val="auto"/>
              </w:rPr>
            </w:pPr>
          </w:p>
        </w:tc>
        <w:tc>
          <w:tcPr>
            <w:tcW w:w="1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60" w:type="dxa"/>
            <w:vAlign w:val="bottom"/>
            <w:gridSpan w:val="2"/>
          </w:tcPr>
          <w:p>
            <w:pPr>
              <w:jc w:val="center"/>
              <w:spacing w:after="0"/>
              <w:rPr>
                <w:sz w:val="20"/>
                <w:szCs w:val="20"/>
                <w:color w:val="auto"/>
              </w:rPr>
            </w:pPr>
            <w:r>
              <w:rPr>
                <w:rFonts w:ascii="Arial" w:cs="Arial" w:eastAsia="Arial" w:hAnsi="Arial"/>
                <w:sz w:val="14"/>
                <w:szCs w:val="14"/>
                <w:color w:val="auto"/>
                <w:w w:val="95"/>
              </w:rPr>
              <w:t>Nature of Ownership (1)</w:t>
            </w:r>
          </w:p>
        </w:tc>
        <w:tc>
          <w:tcPr>
            <w:tcW w:w="1420" w:type="dxa"/>
            <w:vAlign w:val="bottom"/>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68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680" w:type="dxa"/>
            <w:vAlign w:val="bottom"/>
            <w:tcBorders>
              <w:left w:val="single" w:sz="8" w:color="auto"/>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62"/>
        </w:trPr>
        <w:tc>
          <w:tcPr>
            <w:tcW w:w="2680" w:type="dxa"/>
            <w:vAlign w:val="bottom"/>
            <w:tcBorders>
              <w:left w:val="single" w:sz="8" w:color="auto"/>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Beneficial,</w:t>
            </w:r>
          </w:p>
        </w:tc>
        <w:tc>
          <w:tcPr>
            <w:tcW w:w="0" w:type="dxa"/>
            <w:vAlign w:val="bottom"/>
          </w:tcPr>
          <w:p>
            <w:pPr>
              <w:spacing w:after="0"/>
              <w:rPr>
                <w:sz w:val="1"/>
                <w:szCs w:val="1"/>
                <w:color w:val="auto"/>
              </w:rPr>
            </w:pPr>
          </w:p>
        </w:tc>
      </w:tr>
      <w:tr>
        <w:trPr>
          <w:trHeight w:val="162"/>
        </w:trPr>
        <w:tc>
          <w:tcPr>
            <w:tcW w:w="2680" w:type="dxa"/>
            <w:vAlign w:val="bottom"/>
            <w:tcBorders>
              <w:left w:val="single" w:sz="8" w:color="auto"/>
              <w:right w:val="single" w:sz="8" w:color="auto"/>
            </w:tcBorders>
          </w:tcPr>
          <w:p>
            <w:pPr>
              <w:spacing w:after="0"/>
              <w:rPr>
                <w:sz w:val="14"/>
                <w:szCs w:val="14"/>
                <w:color w:val="auto"/>
              </w:rPr>
            </w:pP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Outstanding</w:t>
            </w:r>
          </w:p>
        </w:tc>
        <w:tc>
          <w:tcPr>
            <w:tcW w:w="144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SERP and</w:t>
            </w:r>
          </w:p>
        </w:tc>
        <w:tc>
          <w:tcPr>
            <w:tcW w:w="0" w:type="dxa"/>
            <w:vAlign w:val="bottom"/>
          </w:tcPr>
          <w:p>
            <w:pPr>
              <w:spacing w:after="0"/>
              <w:rPr>
                <w:sz w:val="1"/>
                <w:szCs w:val="1"/>
                <w:color w:val="auto"/>
              </w:rPr>
            </w:pPr>
          </w:p>
        </w:tc>
      </w:tr>
      <w:tr>
        <w:trPr>
          <w:trHeight w:val="162"/>
        </w:trPr>
        <w:tc>
          <w:tcPr>
            <w:tcW w:w="2680" w:type="dxa"/>
            <w:vAlign w:val="bottom"/>
            <w:tcBorders>
              <w:left w:val="single" w:sz="8" w:color="auto"/>
              <w:right w:val="single" w:sz="8" w:color="auto"/>
            </w:tcBorders>
          </w:tcPr>
          <w:p>
            <w:pPr>
              <w:spacing w:after="0"/>
              <w:rPr>
                <w:sz w:val="14"/>
                <w:szCs w:val="14"/>
                <w:color w:val="auto"/>
              </w:rPr>
            </w:pP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5"/>
              </w:rPr>
              <w:t>Shares</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Right to</w:t>
            </w:r>
          </w:p>
        </w:tc>
        <w:tc>
          <w:tcPr>
            <w:tcW w:w="142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SERP and</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Deferred</w:t>
            </w:r>
          </w:p>
        </w:tc>
        <w:tc>
          <w:tcPr>
            <w:tcW w:w="0" w:type="dxa"/>
            <w:vAlign w:val="bottom"/>
          </w:tcPr>
          <w:p>
            <w:pPr>
              <w:spacing w:after="0"/>
              <w:rPr>
                <w:sz w:val="1"/>
                <w:szCs w:val="1"/>
                <w:color w:val="auto"/>
              </w:rPr>
            </w:pPr>
          </w:p>
        </w:tc>
      </w:tr>
      <w:tr>
        <w:trPr>
          <w:trHeight w:val="162"/>
        </w:trPr>
        <w:tc>
          <w:tcPr>
            <w:tcW w:w="2680" w:type="dxa"/>
            <w:vAlign w:val="bottom"/>
            <w:tcBorders>
              <w:left w:val="single" w:sz="8" w:color="auto"/>
              <w:right w:val="single" w:sz="8" w:color="auto"/>
            </w:tcBorders>
          </w:tcPr>
          <w:p>
            <w:pPr>
              <w:spacing w:after="0"/>
              <w:rPr>
                <w:sz w:val="14"/>
                <w:szCs w:val="14"/>
                <w:color w:val="auto"/>
              </w:rPr>
            </w:pP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Beneficially</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Acquire</w:t>
            </w:r>
          </w:p>
        </w:tc>
        <w:tc>
          <w:tcPr>
            <w:tcW w:w="142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6"/>
              </w:rPr>
              <w:t>Percent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Deferred</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Compensation</w:t>
            </w:r>
          </w:p>
        </w:tc>
        <w:tc>
          <w:tcPr>
            <w:tcW w:w="0" w:type="dxa"/>
            <w:vAlign w:val="bottom"/>
          </w:tcPr>
          <w:p>
            <w:pPr>
              <w:spacing w:after="0"/>
              <w:rPr>
                <w:sz w:val="1"/>
                <w:szCs w:val="1"/>
                <w:color w:val="auto"/>
              </w:rPr>
            </w:pPr>
          </w:p>
        </w:tc>
      </w:tr>
      <w:tr>
        <w:trPr>
          <w:trHeight w:val="202"/>
        </w:trPr>
        <w:tc>
          <w:tcPr>
            <w:tcW w:w="2680" w:type="dxa"/>
            <w:vAlign w:val="bottom"/>
            <w:tcBorders>
              <w:left w:val="single" w:sz="8" w:color="auto"/>
              <w:bottom w:val="single" w:sz="8" w:color="auto"/>
              <w:right w:val="single" w:sz="8" w:color="auto"/>
            </w:tcBorders>
          </w:tcPr>
          <w:p>
            <w:pPr>
              <w:ind w:left="1160"/>
              <w:spacing w:after="0"/>
              <w:rPr>
                <w:sz w:val="20"/>
                <w:szCs w:val="20"/>
                <w:color w:val="auto"/>
              </w:rPr>
            </w:pPr>
            <w:r>
              <w:rPr>
                <w:rFonts w:ascii="Arial" w:cs="Arial" w:eastAsia="Arial" w:hAnsi="Arial"/>
                <w:sz w:val="14"/>
                <w:szCs w:val="14"/>
                <w:color w:val="auto"/>
              </w:rPr>
              <w:t>Name</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Owned</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w:t>
            </w:r>
          </w:p>
        </w:tc>
        <w:tc>
          <w:tcPr>
            <w:tcW w:w="1420" w:type="dxa"/>
            <w:vAlign w:val="bottom"/>
            <w:tcBorders>
              <w:bottom w:val="single" w:sz="8" w:color="auto"/>
              <w:right w:val="single" w:sz="8" w:color="auto"/>
            </w:tcBorders>
          </w:tcPr>
          <w:p>
            <w:pPr>
              <w:jc w:val="right"/>
              <w:ind w:right="493"/>
              <w:spacing w:after="0"/>
              <w:rPr>
                <w:sz w:val="20"/>
                <w:szCs w:val="20"/>
                <w:color w:val="auto"/>
              </w:rPr>
            </w:pPr>
            <w:r>
              <w:rPr>
                <w:rFonts w:ascii="Arial" w:cs="Arial" w:eastAsia="Arial" w:hAnsi="Arial"/>
                <w:sz w:val="14"/>
                <w:szCs w:val="14"/>
                <w:color w:val="auto"/>
              </w:rPr>
              <w:t>Total</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of Class</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Compensation</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Ownership</w:t>
            </w:r>
          </w:p>
        </w:tc>
        <w:tc>
          <w:tcPr>
            <w:tcW w:w="0" w:type="dxa"/>
            <w:vAlign w:val="bottom"/>
          </w:tcPr>
          <w:p>
            <w:pPr>
              <w:spacing w:after="0"/>
              <w:rPr>
                <w:sz w:val="1"/>
                <w:szCs w:val="1"/>
                <w:color w:val="auto"/>
              </w:rPr>
            </w:pPr>
          </w:p>
        </w:tc>
      </w:tr>
      <w:tr>
        <w:trPr>
          <w:trHeight w:val="229"/>
        </w:trPr>
        <w:tc>
          <w:tcPr>
            <w:tcW w:w="2680" w:type="dxa"/>
            <w:vAlign w:val="bottom"/>
            <w:tcBorders>
              <w:left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Thomas A. Amato</w:t>
            </w:r>
          </w:p>
        </w:tc>
        <w:tc>
          <w:tcPr>
            <w:tcW w:w="1420" w:type="dxa"/>
            <w:vAlign w:val="bottom"/>
            <w:tcBorders>
              <w:right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8,895</w:t>
            </w:r>
          </w:p>
        </w:tc>
        <w:tc>
          <w:tcPr>
            <w:tcW w:w="1440" w:type="dxa"/>
            <w:vAlign w:val="bottom"/>
            <w:tcBorders>
              <w:right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8,895</w:t>
            </w:r>
          </w:p>
        </w:tc>
        <w:tc>
          <w:tcPr>
            <w:tcW w:w="14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8,895</w:t>
            </w:r>
          </w:p>
        </w:tc>
        <w:tc>
          <w:tcPr>
            <w:tcW w:w="0" w:type="dxa"/>
            <w:vAlign w:val="bottom"/>
          </w:tcPr>
          <w:p>
            <w:pPr>
              <w:spacing w:after="0"/>
              <w:rPr>
                <w:sz w:val="1"/>
                <w:szCs w:val="1"/>
                <w:color w:val="auto"/>
              </w:rPr>
            </w:pPr>
          </w:p>
        </w:tc>
      </w:tr>
      <w:tr>
        <w:trPr>
          <w:trHeight w:val="229"/>
        </w:trPr>
        <w:tc>
          <w:tcPr>
            <w:tcW w:w="26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William J. Burke</w:t>
            </w:r>
          </w:p>
        </w:tc>
        <w:tc>
          <w:tcPr>
            <w:tcW w:w="1420" w:type="dxa"/>
            <w:vAlign w:val="bottom"/>
            <w:tcBorders>
              <w:right w:val="single" w:sz="8" w:color="auto"/>
            </w:tcBorders>
          </w:tcPr>
          <w:p>
            <w:pPr>
              <w:jc w:val="right"/>
              <w:ind w:right="154"/>
              <w:spacing w:after="0"/>
              <w:rPr>
                <w:sz w:val="20"/>
                <w:szCs w:val="20"/>
                <w:color w:val="auto"/>
              </w:rPr>
            </w:pPr>
            <w:r>
              <w:rPr>
                <w:rFonts w:ascii="Arial" w:cs="Arial" w:eastAsia="Arial" w:hAnsi="Arial"/>
                <w:sz w:val="18"/>
                <w:szCs w:val="18"/>
                <w:color w:val="auto"/>
              </w:rPr>
              <w:t>76,733</w:t>
            </w:r>
          </w:p>
        </w:tc>
        <w:tc>
          <w:tcPr>
            <w:tcW w:w="1440" w:type="dxa"/>
            <w:vAlign w:val="bottom"/>
            <w:tcBorders>
              <w:right w:val="single" w:sz="8" w:color="auto"/>
            </w:tcBorders>
          </w:tcPr>
          <w:p>
            <w:pPr>
              <w:jc w:val="right"/>
              <w:ind w:right="173"/>
              <w:spacing w:after="0"/>
              <w:rPr>
                <w:sz w:val="20"/>
                <w:szCs w:val="20"/>
                <w:color w:val="auto"/>
              </w:rPr>
            </w:pPr>
            <w:r>
              <w:rPr>
                <w:rFonts w:ascii="Arial" w:cs="Arial" w:eastAsia="Arial" w:hAnsi="Arial"/>
                <w:sz w:val="18"/>
                <w:szCs w:val="18"/>
                <w:color w:val="auto"/>
              </w:rPr>
              <w:t>108,619</w:t>
            </w:r>
          </w:p>
        </w:tc>
        <w:tc>
          <w:tcPr>
            <w:tcW w:w="1420" w:type="dxa"/>
            <w:vAlign w:val="bottom"/>
            <w:tcBorders>
              <w:right w:val="single" w:sz="8" w:color="auto"/>
            </w:tcBorders>
          </w:tcPr>
          <w:p>
            <w:pPr>
              <w:jc w:val="right"/>
              <w:ind w:right="153"/>
              <w:spacing w:after="0"/>
              <w:rPr>
                <w:sz w:val="20"/>
                <w:szCs w:val="20"/>
                <w:color w:val="auto"/>
              </w:rPr>
            </w:pPr>
            <w:r>
              <w:rPr>
                <w:rFonts w:ascii="Arial" w:cs="Arial" w:eastAsia="Arial" w:hAnsi="Arial"/>
                <w:sz w:val="18"/>
                <w:szCs w:val="18"/>
                <w:color w:val="auto"/>
              </w:rPr>
              <w:t>185,352</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auto"/>
            </w:tcBorders>
          </w:tcPr>
          <w:p>
            <w:pPr>
              <w:jc w:val="right"/>
              <w:ind w:right="153"/>
              <w:spacing w:after="0"/>
              <w:rPr>
                <w:sz w:val="20"/>
                <w:szCs w:val="20"/>
                <w:color w:val="auto"/>
              </w:rPr>
            </w:pPr>
            <w:r>
              <w:rPr>
                <w:rFonts w:ascii="Arial" w:cs="Arial" w:eastAsia="Arial" w:hAnsi="Arial"/>
                <w:sz w:val="18"/>
                <w:szCs w:val="18"/>
                <w:color w:val="auto"/>
              </w:rPr>
              <w:t>15,563</w:t>
            </w:r>
          </w:p>
        </w:tc>
        <w:tc>
          <w:tcPr>
            <w:tcW w:w="1440" w:type="dxa"/>
            <w:vAlign w:val="bottom"/>
            <w:tcBorders>
              <w:right w:val="single" w:sz="8" w:color="auto"/>
            </w:tcBorders>
          </w:tcPr>
          <w:p>
            <w:pPr>
              <w:jc w:val="right"/>
              <w:ind w:right="175"/>
              <w:spacing w:after="0"/>
              <w:rPr>
                <w:sz w:val="20"/>
                <w:szCs w:val="20"/>
                <w:color w:val="auto"/>
              </w:rPr>
            </w:pPr>
            <w:r>
              <w:rPr>
                <w:rFonts w:ascii="Arial" w:cs="Arial" w:eastAsia="Arial" w:hAnsi="Arial"/>
                <w:sz w:val="18"/>
                <w:szCs w:val="18"/>
                <w:color w:val="auto"/>
              </w:rPr>
              <w:t>200,915</w:t>
            </w:r>
          </w:p>
        </w:tc>
        <w:tc>
          <w:tcPr>
            <w:tcW w:w="0" w:type="dxa"/>
            <w:vAlign w:val="bottom"/>
          </w:tcPr>
          <w:p>
            <w:pPr>
              <w:spacing w:after="0"/>
              <w:rPr>
                <w:sz w:val="1"/>
                <w:szCs w:val="1"/>
                <w:color w:val="auto"/>
              </w:rPr>
            </w:pPr>
          </w:p>
        </w:tc>
      </w:tr>
      <w:tr>
        <w:trPr>
          <w:trHeight w:val="230"/>
        </w:trPr>
        <w:tc>
          <w:tcPr>
            <w:tcW w:w="2680" w:type="dxa"/>
            <w:vAlign w:val="bottom"/>
            <w:tcBorders>
              <w:left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Tod E. Carpenter</w:t>
            </w:r>
          </w:p>
        </w:tc>
        <w:tc>
          <w:tcPr>
            <w:tcW w:w="1420" w:type="dxa"/>
            <w:vAlign w:val="bottom"/>
            <w:tcBorders>
              <w:right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4,980</w:t>
            </w:r>
          </w:p>
        </w:tc>
        <w:tc>
          <w:tcPr>
            <w:tcW w:w="1440" w:type="dxa"/>
            <w:vAlign w:val="bottom"/>
            <w:tcBorders>
              <w:right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4,980</w:t>
            </w:r>
          </w:p>
        </w:tc>
        <w:tc>
          <w:tcPr>
            <w:tcW w:w="14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4,980</w:t>
            </w:r>
          </w:p>
        </w:tc>
        <w:tc>
          <w:tcPr>
            <w:tcW w:w="0" w:type="dxa"/>
            <w:vAlign w:val="bottom"/>
          </w:tcPr>
          <w:p>
            <w:pPr>
              <w:spacing w:after="0"/>
              <w:rPr>
                <w:sz w:val="1"/>
                <w:szCs w:val="1"/>
                <w:color w:val="auto"/>
              </w:rPr>
            </w:pPr>
          </w:p>
        </w:tc>
      </w:tr>
      <w:tr>
        <w:trPr>
          <w:trHeight w:val="229"/>
        </w:trPr>
        <w:tc>
          <w:tcPr>
            <w:tcW w:w="26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Ruby R. Chandy</w:t>
            </w:r>
          </w:p>
        </w:tc>
        <w:tc>
          <w:tcPr>
            <w:tcW w:w="1420" w:type="dxa"/>
            <w:vAlign w:val="bottom"/>
            <w:tcBorders>
              <w:right w:val="single" w:sz="8" w:color="auto"/>
            </w:tcBorders>
          </w:tcPr>
          <w:p>
            <w:pPr>
              <w:jc w:val="right"/>
              <w:ind w:right="154"/>
              <w:spacing w:after="0"/>
              <w:rPr>
                <w:sz w:val="20"/>
                <w:szCs w:val="20"/>
                <w:color w:val="auto"/>
              </w:rPr>
            </w:pPr>
            <w:r>
              <w:rPr>
                <w:rFonts w:ascii="Arial" w:cs="Arial" w:eastAsia="Arial" w:hAnsi="Arial"/>
                <w:sz w:val="18"/>
                <w:szCs w:val="18"/>
                <w:color w:val="auto"/>
              </w:rPr>
              <w:t>24,884</w:t>
            </w:r>
          </w:p>
        </w:tc>
        <w:tc>
          <w:tcPr>
            <w:tcW w:w="1440" w:type="dxa"/>
            <w:vAlign w:val="bottom"/>
            <w:tcBorders>
              <w:right w:val="single" w:sz="8" w:color="auto"/>
            </w:tcBorders>
          </w:tcPr>
          <w:p>
            <w:pPr>
              <w:jc w:val="right"/>
              <w:ind w:right="173"/>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auto"/>
            </w:tcBorders>
          </w:tcPr>
          <w:p>
            <w:pPr>
              <w:jc w:val="right"/>
              <w:ind w:right="153"/>
              <w:spacing w:after="0"/>
              <w:rPr>
                <w:sz w:val="20"/>
                <w:szCs w:val="20"/>
                <w:color w:val="auto"/>
              </w:rPr>
            </w:pPr>
            <w:r>
              <w:rPr>
                <w:rFonts w:ascii="Arial" w:cs="Arial" w:eastAsia="Arial" w:hAnsi="Arial"/>
                <w:sz w:val="18"/>
                <w:szCs w:val="18"/>
                <w:color w:val="auto"/>
              </w:rPr>
              <w:t>24,884</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auto"/>
            </w:tcBorders>
          </w:tcPr>
          <w:p>
            <w:pPr>
              <w:jc w:val="right"/>
              <w:ind w:right="153"/>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auto"/>
            </w:tcBorders>
          </w:tcPr>
          <w:p>
            <w:pPr>
              <w:jc w:val="right"/>
              <w:ind w:right="175"/>
              <w:spacing w:after="0"/>
              <w:rPr>
                <w:sz w:val="20"/>
                <w:szCs w:val="20"/>
                <w:color w:val="auto"/>
              </w:rPr>
            </w:pPr>
            <w:r>
              <w:rPr>
                <w:rFonts w:ascii="Arial" w:cs="Arial" w:eastAsia="Arial" w:hAnsi="Arial"/>
                <w:sz w:val="18"/>
                <w:szCs w:val="18"/>
                <w:color w:val="auto"/>
              </w:rPr>
              <w:t>24,884</w:t>
            </w:r>
          </w:p>
        </w:tc>
        <w:tc>
          <w:tcPr>
            <w:tcW w:w="0" w:type="dxa"/>
            <w:vAlign w:val="bottom"/>
          </w:tcPr>
          <w:p>
            <w:pPr>
              <w:spacing w:after="0"/>
              <w:rPr>
                <w:sz w:val="1"/>
                <w:szCs w:val="1"/>
                <w:color w:val="auto"/>
              </w:rPr>
            </w:pPr>
          </w:p>
        </w:tc>
      </w:tr>
      <w:tr>
        <w:trPr>
          <w:trHeight w:val="230"/>
        </w:trPr>
        <w:tc>
          <w:tcPr>
            <w:tcW w:w="2680" w:type="dxa"/>
            <w:vAlign w:val="bottom"/>
            <w:tcBorders>
              <w:left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Anthony J. Conti</w:t>
            </w:r>
          </w:p>
        </w:tc>
        <w:tc>
          <w:tcPr>
            <w:tcW w:w="1420" w:type="dxa"/>
            <w:vAlign w:val="bottom"/>
            <w:tcBorders>
              <w:right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24,798</w:t>
            </w:r>
          </w:p>
        </w:tc>
        <w:tc>
          <w:tcPr>
            <w:tcW w:w="1440" w:type="dxa"/>
            <w:vAlign w:val="bottom"/>
            <w:tcBorders>
              <w:right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10,600</w:t>
            </w:r>
          </w:p>
        </w:tc>
        <w:tc>
          <w:tcPr>
            <w:tcW w:w="1420" w:type="dxa"/>
            <w:vAlign w:val="bottom"/>
            <w:tcBorders>
              <w:right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35,398</w:t>
            </w:r>
          </w:p>
        </w:tc>
        <w:tc>
          <w:tcPr>
            <w:tcW w:w="14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35,398</w:t>
            </w:r>
          </w:p>
        </w:tc>
        <w:tc>
          <w:tcPr>
            <w:tcW w:w="0" w:type="dxa"/>
            <w:vAlign w:val="bottom"/>
          </w:tcPr>
          <w:p>
            <w:pPr>
              <w:spacing w:after="0"/>
              <w:rPr>
                <w:sz w:val="1"/>
                <w:szCs w:val="1"/>
                <w:color w:val="auto"/>
              </w:rPr>
            </w:pPr>
          </w:p>
        </w:tc>
      </w:tr>
      <w:tr>
        <w:trPr>
          <w:trHeight w:val="229"/>
        </w:trPr>
        <w:tc>
          <w:tcPr>
            <w:tcW w:w="26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John W. Hardin</w:t>
            </w:r>
          </w:p>
        </w:tc>
        <w:tc>
          <w:tcPr>
            <w:tcW w:w="1420" w:type="dxa"/>
            <w:vAlign w:val="bottom"/>
            <w:tcBorders>
              <w:right w:val="single" w:sz="8" w:color="auto"/>
            </w:tcBorders>
          </w:tcPr>
          <w:p>
            <w:pPr>
              <w:jc w:val="right"/>
              <w:ind w:right="154"/>
              <w:spacing w:after="0"/>
              <w:rPr>
                <w:sz w:val="20"/>
                <w:szCs w:val="20"/>
                <w:color w:val="auto"/>
              </w:rPr>
            </w:pPr>
            <w:r>
              <w:rPr>
                <w:rFonts w:ascii="Arial" w:cs="Arial" w:eastAsia="Arial" w:hAnsi="Arial"/>
                <w:sz w:val="18"/>
                <w:szCs w:val="18"/>
                <w:color w:val="auto"/>
              </w:rPr>
              <w:t>55,161</w:t>
            </w:r>
          </w:p>
        </w:tc>
        <w:tc>
          <w:tcPr>
            <w:tcW w:w="1440" w:type="dxa"/>
            <w:vAlign w:val="bottom"/>
            <w:tcBorders>
              <w:right w:val="single" w:sz="8" w:color="auto"/>
            </w:tcBorders>
          </w:tcPr>
          <w:p>
            <w:pPr>
              <w:jc w:val="right"/>
              <w:ind w:right="173"/>
              <w:spacing w:after="0"/>
              <w:rPr>
                <w:sz w:val="20"/>
                <w:szCs w:val="20"/>
                <w:color w:val="auto"/>
              </w:rPr>
            </w:pPr>
            <w:r>
              <w:rPr>
                <w:rFonts w:ascii="Arial" w:cs="Arial" w:eastAsia="Arial" w:hAnsi="Arial"/>
                <w:sz w:val="18"/>
                <w:szCs w:val="18"/>
                <w:color w:val="auto"/>
              </w:rPr>
              <w:t>68,122</w:t>
            </w:r>
          </w:p>
        </w:tc>
        <w:tc>
          <w:tcPr>
            <w:tcW w:w="1420" w:type="dxa"/>
            <w:vAlign w:val="bottom"/>
            <w:tcBorders>
              <w:right w:val="single" w:sz="8" w:color="auto"/>
            </w:tcBorders>
          </w:tcPr>
          <w:p>
            <w:pPr>
              <w:jc w:val="right"/>
              <w:ind w:right="153"/>
              <w:spacing w:after="0"/>
              <w:rPr>
                <w:sz w:val="20"/>
                <w:szCs w:val="20"/>
                <w:color w:val="auto"/>
              </w:rPr>
            </w:pPr>
            <w:r>
              <w:rPr>
                <w:rFonts w:ascii="Arial" w:cs="Arial" w:eastAsia="Arial" w:hAnsi="Arial"/>
                <w:sz w:val="18"/>
                <w:szCs w:val="18"/>
                <w:color w:val="auto"/>
              </w:rPr>
              <w:t>123,283</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auto"/>
            </w:tcBorders>
          </w:tcPr>
          <w:p>
            <w:pPr>
              <w:jc w:val="right"/>
              <w:ind w:right="153"/>
              <w:spacing w:after="0"/>
              <w:rPr>
                <w:sz w:val="20"/>
                <w:szCs w:val="20"/>
                <w:color w:val="auto"/>
              </w:rPr>
            </w:pPr>
            <w:r>
              <w:rPr>
                <w:rFonts w:ascii="Arial" w:cs="Arial" w:eastAsia="Arial" w:hAnsi="Arial"/>
                <w:sz w:val="18"/>
                <w:szCs w:val="18"/>
                <w:color w:val="auto"/>
              </w:rPr>
              <w:t>22,549</w:t>
            </w:r>
          </w:p>
        </w:tc>
        <w:tc>
          <w:tcPr>
            <w:tcW w:w="1440" w:type="dxa"/>
            <w:vAlign w:val="bottom"/>
            <w:tcBorders>
              <w:right w:val="single" w:sz="8" w:color="auto"/>
            </w:tcBorders>
          </w:tcPr>
          <w:p>
            <w:pPr>
              <w:jc w:val="right"/>
              <w:ind w:right="175"/>
              <w:spacing w:after="0"/>
              <w:rPr>
                <w:sz w:val="20"/>
                <w:szCs w:val="20"/>
                <w:color w:val="auto"/>
              </w:rPr>
            </w:pPr>
            <w:r>
              <w:rPr>
                <w:rFonts w:ascii="Arial" w:cs="Arial" w:eastAsia="Arial" w:hAnsi="Arial"/>
                <w:sz w:val="18"/>
                <w:szCs w:val="18"/>
                <w:color w:val="auto"/>
              </w:rPr>
              <w:t>145,832</w:t>
            </w:r>
          </w:p>
        </w:tc>
        <w:tc>
          <w:tcPr>
            <w:tcW w:w="0" w:type="dxa"/>
            <w:vAlign w:val="bottom"/>
          </w:tcPr>
          <w:p>
            <w:pPr>
              <w:spacing w:after="0"/>
              <w:rPr>
                <w:sz w:val="1"/>
                <w:szCs w:val="1"/>
                <w:color w:val="auto"/>
              </w:rPr>
            </w:pPr>
          </w:p>
        </w:tc>
      </w:tr>
      <w:tr>
        <w:trPr>
          <w:trHeight w:val="230"/>
        </w:trPr>
        <w:tc>
          <w:tcPr>
            <w:tcW w:w="2680" w:type="dxa"/>
            <w:vAlign w:val="bottom"/>
            <w:tcBorders>
              <w:left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Timothy N. Jones (3)</w:t>
            </w:r>
          </w:p>
        </w:tc>
        <w:tc>
          <w:tcPr>
            <w:tcW w:w="1420" w:type="dxa"/>
            <w:vAlign w:val="bottom"/>
            <w:tcBorders>
              <w:right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35,574</w:t>
            </w:r>
          </w:p>
        </w:tc>
        <w:tc>
          <w:tcPr>
            <w:tcW w:w="1440" w:type="dxa"/>
            <w:vAlign w:val="bottom"/>
            <w:tcBorders>
              <w:right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8,540</w:t>
            </w:r>
          </w:p>
        </w:tc>
        <w:tc>
          <w:tcPr>
            <w:tcW w:w="1420" w:type="dxa"/>
            <w:vAlign w:val="bottom"/>
            <w:tcBorders>
              <w:right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44,114</w:t>
            </w:r>
          </w:p>
        </w:tc>
        <w:tc>
          <w:tcPr>
            <w:tcW w:w="14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32,729</w:t>
            </w:r>
          </w:p>
        </w:tc>
        <w:tc>
          <w:tcPr>
            <w:tcW w:w="1440" w:type="dxa"/>
            <w:vAlign w:val="bottom"/>
            <w:tcBorders>
              <w:right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76,843</w:t>
            </w:r>
          </w:p>
        </w:tc>
        <w:tc>
          <w:tcPr>
            <w:tcW w:w="0" w:type="dxa"/>
            <w:vAlign w:val="bottom"/>
          </w:tcPr>
          <w:p>
            <w:pPr>
              <w:spacing w:after="0"/>
              <w:rPr>
                <w:sz w:val="1"/>
                <w:szCs w:val="1"/>
                <w:color w:val="auto"/>
              </w:rPr>
            </w:pPr>
          </w:p>
        </w:tc>
      </w:tr>
      <w:tr>
        <w:trPr>
          <w:trHeight w:val="230"/>
        </w:trPr>
        <w:tc>
          <w:tcPr>
            <w:tcW w:w="26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Steven W. Kohlhagen</w:t>
            </w:r>
          </w:p>
        </w:tc>
        <w:tc>
          <w:tcPr>
            <w:tcW w:w="1420" w:type="dxa"/>
            <w:vAlign w:val="bottom"/>
            <w:tcBorders>
              <w:right w:val="single" w:sz="8" w:color="auto"/>
            </w:tcBorders>
          </w:tcPr>
          <w:p>
            <w:pPr>
              <w:jc w:val="right"/>
              <w:ind w:right="154"/>
              <w:spacing w:after="0"/>
              <w:rPr>
                <w:sz w:val="20"/>
                <w:szCs w:val="20"/>
                <w:color w:val="auto"/>
              </w:rPr>
            </w:pPr>
            <w:r>
              <w:rPr>
                <w:rFonts w:ascii="Arial" w:cs="Arial" w:eastAsia="Arial" w:hAnsi="Arial"/>
                <w:sz w:val="18"/>
                <w:szCs w:val="18"/>
                <w:color w:val="auto"/>
              </w:rPr>
              <w:t>53,674</w:t>
            </w:r>
          </w:p>
        </w:tc>
        <w:tc>
          <w:tcPr>
            <w:tcW w:w="1440" w:type="dxa"/>
            <w:vAlign w:val="bottom"/>
            <w:tcBorders>
              <w:right w:val="single" w:sz="8" w:color="auto"/>
            </w:tcBorders>
          </w:tcPr>
          <w:p>
            <w:pPr>
              <w:jc w:val="right"/>
              <w:ind w:right="173"/>
              <w:spacing w:after="0"/>
              <w:rPr>
                <w:sz w:val="20"/>
                <w:szCs w:val="20"/>
                <w:color w:val="auto"/>
              </w:rPr>
            </w:pPr>
            <w:r>
              <w:rPr>
                <w:rFonts w:ascii="Arial" w:cs="Arial" w:eastAsia="Arial" w:hAnsi="Arial"/>
                <w:sz w:val="18"/>
                <w:szCs w:val="18"/>
                <w:color w:val="auto"/>
              </w:rPr>
              <w:t>5,440</w:t>
            </w:r>
          </w:p>
        </w:tc>
        <w:tc>
          <w:tcPr>
            <w:tcW w:w="1420" w:type="dxa"/>
            <w:vAlign w:val="bottom"/>
            <w:tcBorders>
              <w:right w:val="single" w:sz="8" w:color="auto"/>
            </w:tcBorders>
          </w:tcPr>
          <w:p>
            <w:pPr>
              <w:jc w:val="right"/>
              <w:ind w:right="153"/>
              <w:spacing w:after="0"/>
              <w:rPr>
                <w:sz w:val="20"/>
                <w:szCs w:val="20"/>
                <w:color w:val="auto"/>
              </w:rPr>
            </w:pPr>
            <w:r>
              <w:rPr>
                <w:rFonts w:ascii="Arial" w:cs="Arial" w:eastAsia="Arial" w:hAnsi="Arial"/>
                <w:sz w:val="18"/>
                <w:szCs w:val="18"/>
                <w:color w:val="auto"/>
              </w:rPr>
              <w:t>59,114</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auto"/>
            </w:tcBorders>
          </w:tcPr>
          <w:p>
            <w:pPr>
              <w:jc w:val="right"/>
              <w:ind w:right="153"/>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auto"/>
            </w:tcBorders>
          </w:tcPr>
          <w:p>
            <w:pPr>
              <w:jc w:val="right"/>
              <w:ind w:right="175"/>
              <w:spacing w:after="0"/>
              <w:rPr>
                <w:sz w:val="20"/>
                <w:szCs w:val="20"/>
                <w:color w:val="auto"/>
              </w:rPr>
            </w:pPr>
            <w:r>
              <w:rPr>
                <w:rFonts w:ascii="Arial" w:cs="Arial" w:eastAsia="Arial" w:hAnsi="Arial"/>
                <w:sz w:val="18"/>
                <w:szCs w:val="18"/>
                <w:color w:val="auto"/>
              </w:rPr>
              <w:t>59,114</w:t>
            </w:r>
          </w:p>
        </w:tc>
        <w:tc>
          <w:tcPr>
            <w:tcW w:w="0" w:type="dxa"/>
            <w:vAlign w:val="bottom"/>
          </w:tcPr>
          <w:p>
            <w:pPr>
              <w:spacing w:after="0"/>
              <w:rPr>
                <w:sz w:val="1"/>
                <w:szCs w:val="1"/>
                <w:color w:val="auto"/>
              </w:rPr>
            </w:pPr>
          </w:p>
        </w:tc>
      </w:tr>
      <w:tr>
        <w:trPr>
          <w:trHeight w:val="230"/>
        </w:trPr>
        <w:tc>
          <w:tcPr>
            <w:tcW w:w="2680" w:type="dxa"/>
            <w:vAlign w:val="bottom"/>
            <w:tcBorders>
              <w:left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Thomas C. Marecic</w:t>
            </w:r>
          </w:p>
        </w:tc>
        <w:tc>
          <w:tcPr>
            <w:tcW w:w="1420" w:type="dxa"/>
            <w:vAlign w:val="bottom"/>
            <w:tcBorders>
              <w:right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29,467</w:t>
            </w:r>
          </w:p>
        </w:tc>
        <w:tc>
          <w:tcPr>
            <w:tcW w:w="1440" w:type="dxa"/>
            <w:vAlign w:val="bottom"/>
            <w:tcBorders>
              <w:right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55,936</w:t>
            </w:r>
          </w:p>
        </w:tc>
        <w:tc>
          <w:tcPr>
            <w:tcW w:w="1420" w:type="dxa"/>
            <w:vAlign w:val="bottom"/>
            <w:tcBorders>
              <w:right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85,403</w:t>
            </w:r>
          </w:p>
        </w:tc>
        <w:tc>
          <w:tcPr>
            <w:tcW w:w="14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11,322</w:t>
            </w:r>
          </w:p>
        </w:tc>
        <w:tc>
          <w:tcPr>
            <w:tcW w:w="1440" w:type="dxa"/>
            <w:vAlign w:val="bottom"/>
            <w:tcBorders>
              <w:right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96,725</w:t>
            </w:r>
          </w:p>
        </w:tc>
        <w:tc>
          <w:tcPr>
            <w:tcW w:w="0" w:type="dxa"/>
            <w:vAlign w:val="bottom"/>
          </w:tcPr>
          <w:p>
            <w:pPr>
              <w:spacing w:after="0"/>
              <w:rPr>
                <w:sz w:val="1"/>
                <w:szCs w:val="1"/>
                <w:color w:val="auto"/>
              </w:rPr>
            </w:pPr>
          </w:p>
        </w:tc>
      </w:tr>
      <w:tr>
        <w:trPr>
          <w:trHeight w:val="229"/>
        </w:trPr>
        <w:tc>
          <w:tcPr>
            <w:tcW w:w="26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Gretchen W. McClain (4)</w:t>
            </w:r>
          </w:p>
        </w:tc>
        <w:tc>
          <w:tcPr>
            <w:tcW w:w="1420" w:type="dxa"/>
            <w:vAlign w:val="bottom"/>
            <w:tcBorders>
              <w:right w:val="single" w:sz="8" w:color="auto"/>
            </w:tcBorders>
          </w:tcPr>
          <w:p>
            <w:pPr>
              <w:jc w:val="right"/>
              <w:ind w:right="154"/>
              <w:spacing w:after="0"/>
              <w:rPr>
                <w:sz w:val="20"/>
                <w:szCs w:val="20"/>
                <w:color w:val="auto"/>
              </w:rPr>
            </w:pPr>
            <w:r>
              <w:rPr>
                <w:rFonts w:ascii="Arial" w:cs="Arial" w:eastAsia="Arial" w:hAnsi="Arial"/>
                <w:sz w:val="18"/>
                <w:szCs w:val="18"/>
                <w:color w:val="auto"/>
              </w:rPr>
              <w:t>13,367</w:t>
            </w:r>
          </w:p>
        </w:tc>
        <w:tc>
          <w:tcPr>
            <w:tcW w:w="1440" w:type="dxa"/>
            <w:vAlign w:val="bottom"/>
            <w:tcBorders>
              <w:right w:val="single" w:sz="8" w:color="auto"/>
            </w:tcBorders>
          </w:tcPr>
          <w:p>
            <w:pPr>
              <w:jc w:val="right"/>
              <w:ind w:right="173"/>
              <w:spacing w:after="0"/>
              <w:rPr>
                <w:sz w:val="20"/>
                <w:szCs w:val="20"/>
                <w:color w:val="auto"/>
              </w:rPr>
            </w:pPr>
            <w:r>
              <w:rPr>
                <w:rFonts w:ascii="Arial" w:cs="Arial" w:eastAsia="Arial" w:hAnsi="Arial"/>
                <w:sz w:val="18"/>
                <w:szCs w:val="18"/>
                <w:color w:val="auto"/>
              </w:rPr>
              <w:t>2,720</w:t>
            </w:r>
          </w:p>
        </w:tc>
        <w:tc>
          <w:tcPr>
            <w:tcW w:w="1420" w:type="dxa"/>
            <w:vAlign w:val="bottom"/>
            <w:tcBorders>
              <w:right w:val="single" w:sz="8" w:color="auto"/>
            </w:tcBorders>
          </w:tcPr>
          <w:p>
            <w:pPr>
              <w:jc w:val="right"/>
              <w:ind w:right="153"/>
              <w:spacing w:after="0"/>
              <w:rPr>
                <w:sz w:val="20"/>
                <w:szCs w:val="20"/>
                <w:color w:val="auto"/>
              </w:rPr>
            </w:pPr>
            <w:r>
              <w:rPr>
                <w:rFonts w:ascii="Arial" w:cs="Arial" w:eastAsia="Arial" w:hAnsi="Arial"/>
                <w:sz w:val="18"/>
                <w:szCs w:val="18"/>
                <w:color w:val="auto"/>
              </w:rPr>
              <w:t>16,087</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auto"/>
            </w:tcBorders>
          </w:tcPr>
          <w:p>
            <w:pPr>
              <w:jc w:val="right"/>
              <w:ind w:right="153"/>
              <w:spacing w:after="0"/>
              <w:rPr>
                <w:sz w:val="20"/>
                <w:szCs w:val="20"/>
                <w:color w:val="auto"/>
              </w:rPr>
            </w:pPr>
            <w:r>
              <w:rPr>
                <w:rFonts w:ascii="Arial" w:cs="Arial" w:eastAsia="Arial" w:hAnsi="Arial"/>
                <w:sz w:val="18"/>
                <w:szCs w:val="18"/>
                <w:color w:val="auto"/>
              </w:rPr>
              <w:t>1,529</w:t>
            </w:r>
          </w:p>
        </w:tc>
        <w:tc>
          <w:tcPr>
            <w:tcW w:w="1440" w:type="dxa"/>
            <w:vAlign w:val="bottom"/>
            <w:tcBorders>
              <w:right w:val="single" w:sz="8" w:color="auto"/>
            </w:tcBorders>
          </w:tcPr>
          <w:p>
            <w:pPr>
              <w:jc w:val="right"/>
              <w:ind w:right="175"/>
              <w:spacing w:after="0"/>
              <w:rPr>
                <w:sz w:val="20"/>
                <w:szCs w:val="20"/>
                <w:color w:val="auto"/>
              </w:rPr>
            </w:pPr>
            <w:r>
              <w:rPr>
                <w:rFonts w:ascii="Arial" w:cs="Arial" w:eastAsia="Arial" w:hAnsi="Arial"/>
                <w:sz w:val="18"/>
                <w:szCs w:val="18"/>
                <w:color w:val="auto"/>
              </w:rPr>
              <w:t>17,616</w:t>
            </w:r>
          </w:p>
        </w:tc>
        <w:tc>
          <w:tcPr>
            <w:tcW w:w="0" w:type="dxa"/>
            <w:vAlign w:val="bottom"/>
          </w:tcPr>
          <w:p>
            <w:pPr>
              <w:spacing w:after="0"/>
              <w:rPr>
                <w:sz w:val="1"/>
                <w:szCs w:val="1"/>
                <w:color w:val="auto"/>
              </w:rPr>
            </w:pPr>
          </w:p>
        </w:tc>
      </w:tr>
      <w:tr>
        <w:trPr>
          <w:trHeight w:val="230"/>
        </w:trPr>
        <w:tc>
          <w:tcPr>
            <w:tcW w:w="2680" w:type="dxa"/>
            <w:vAlign w:val="bottom"/>
            <w:tcBorders>
              <w:left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Karleen M. Oberton</w:t>
            </w:r>
          </w:p>
        </w:tc>
        <w:tc>
          <w:tcPr>
            <w:tcW w:w="1420" w:type="dxa"/>
            <w:vAlign w:val="bottom"/>
            <w:tcBorders>
              <w:right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1,390</w:t>
            </w:r>
          </w:p>
        </w:tc>
        <w:tc>
          <w:tcPr>
            <w:tcW w:w="1440" w:type="dxa"/>
            <w:vAlign w:val="bottom"/>
            <w:tcBorders>
              <w:right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1,390</w:t>
            </w:r>
          </w:p>
        </w:tc>
        <w:tc>
          <w:tcPr>
            <w:tcW w:w="14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30"/>
        </w:trPr>
        <w:tc>
          <w:tcPr>
            <w:tcW w:w="26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Dean Seavers</w:t>
            </w:r>
          </w:p>
        </w:tc>
        <w:tc>
          <w:tcPr>
            <w:tcW w:w="1420" w:type="dxa"/>
            <w:vAlign w:val="bottom"/>
            <w:tcBorders>
              <w:right w:val="single" w:sz="8" w:color="auto"/>
            </w:tcBorders>
          </w:tcPr>
          <w:p>
            <w:pPr>
              <w:jc w:val="right"/>
              <w:ind w:right="154"/>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auto"/>
            </w:tcBorders>
          </w:tcPr>
          <w:p>
            <w:pPr>
              <w:jc w:val="right"/>
              <w:ind w:right="173"/>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auto"/>
            </w:tcBorders>
          </w:tcPr>
          <w:p>
            <w:pPr>
              <w:jc w:val="right"/>
              <w:ind w:right="153"/>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auto"/>
            </w:tcBorders>
          </w:tcPr>
          <w:p>
            <w:pPr>
              <w:jc w:val="right"/>
              <w:ind w:right="153"/>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auto"/>
            </w:tcBorders>
          </w:tcPr>
          <w:p>
            <w:pPr>
              <w:jc w:val="right"/>
              <w:ind w:right="1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80" w:type="dxa"/>
            <w:vAlign w:val="bottom"/>
            <w:tcBorders>
              <w:left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Elizabeth R. Varet (5)</w:t>
            </w:r>
          </w:p>
        </w:tc>
        <w:tc>
          <w:tcPr>
            <w:tcW w:w="1420" w:type="dxa"/>
            <w:vAlign w:val="bottom"/>
            <w:tcBorders>
              <w:right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220,945</w:t>
            </w:r>
          </w:p>
        </w:tc>
        <w:tc>
          <w:tcPr>
            <w:tcW w:w="1440" w:type="dxa"/>
            <w:vAlign w:val="bottom"/>
            <w:tcBorders>
              <w:right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220,945</w:t>
            </w:r>
          </w:p>
        </w:tc>
        <w:tc>
          <w:tcPr>
            <w:tcW w:w="14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220,945</w:t>
            </w:r>
          </w:p>
        </w:tc>
        <w:tc>
          <w:tcPr>
            <w:tcW w:w="0" w:type="dxa"/>
            <w:vAlign w:val="bottom"/>
          </w:tcPr>
          <w:p>
            <w:pPr>
              <w:spacing w:after="0"/>
              <w:rPr>
                <w:sz w:val="1"/>
                <w:szCs w:val="1"/>
                <w:color w:val="auto"/>
              </w:rPr>
            </w:pPr>
          </w:p>
        </w:tc>
      </w:tr>
      <w:tr>
        <w:trPr>
          <w:trHeight w:val="229"/>
        </w:trPr>
        <w:tc>
          <w:tcPr>
            <w:tcW w:w="26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Dennis K. Williams (6)</w:t>
            </w:r>
          </w:p>
        </w:tc>
        <w:tc>
          <w:tcPr>
            <w:tcW w:w="1420" w:type="dxa"/>
            <w:vAlign w:val="bottom"/>
            <w:tcBorders>
              <w:right w:val="single" w:sz="8" w:color="auto"/>
            </w:tcBorders>
          </w:tcPr>
          <w:p>
            <w:pPr>
              <w:jc w:val="right"/>
              <w:ind w:right="154"/>
              <w:spacing w:after="0"/>
              <w:rPr>
                <w:sz w:val="20"/>
                <w:szCs w:val="20"/>
                <w:color w:val="auto"/>
              </w:rPr>
            </w:pPr>
            <w:r>
              <w:rPr>
                <w:rFonts w:ascii="Arial" w:cs="Arial" w:eastAsia="Arial" w:hAnsi="Arial"/>
                <w:sz w:val="18"/>
                <w:szCs w:val="18"/>
                <w:color w:val="auto"/>
              </w:rPr>
              <w:t>30,457</w:t>
            </w:r>
          </w:p>
        </w:tc>
        <w:tc>
          <w:tcPr>
            <w:tcW w:w="1440" w:type="dxa"/>
            <w:vAlign w:val="bottom"/>
            <w:tcBorders>
              <w:right w:val="single" w:sz="8" w:color="auto"/>
            </w:tcBorders>
          </w:tcPr>
          <w:p>
            <w:pPr>
              <w:jc w:val="right"/>
              <w:ind w:right="173"/>
              <w:spacing w:after="0"/>
              <w:rPr>
                <w:sz w:val="20"/>
                <w:szCs w:val="20"/>
                <w:color w:val="auto"/>
              </w:rPr>
            </w:pPr>
            <w:r>
              <w:rPr>
                <w:rFonts w:ascii="Arial" w:cs="Arial" w:eastAsia="Arial" w:hAnsi="Arial"/>
                <w:sz w:val="18"/>
                <w:szCs w:val="18"/>
                <w:color w:val="auto"/>
              </w:rPr>
              <w:t>5,440</w:t>
            </w:r>
          </w:p>
        </w:tc>
        <w:tc>
          <w:tcPr>
            <w:tcW w:w="1420" w:type="dxa"/>
            <w:vAlign w:val="bottom"/>
            <w:tcBorders>
              <w:right w:val="single" w:sz="8" w:color="auto"/>
            </w:tcBorders>
          </w:tcPr>
          <w:p>
            <w:pPr>
              <w:jc w:val="right"/>
              <w:ind w:right="153"/>
              <w:spacing w:after="0"/>
              <w:rPr>
                <w:sz w:val="20"/>
                <w:szCs w:val="20"/>
                <w:color w:val="auto"/>
              </w:rPr>
            </w:pPr>
            <w:r>
              <w:rPr>
                <w:rFonts w:ascii="Arial" w:cs="Arial" w:eastAsia="Arial" w:hAnsi="Arial"/>
                <w:sz w:val="18"/>
                <w:szCs w:val="18"/>
                <w:color w:val="auto"/>
              </w:rPr>
              <w:t>35,897</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auto"/>
            </w:tcBorders>
          </w:tcPr>
          <w:p>
            <w:pPr>
              <w:jc w:val="right"/>
              <w:ind w:right="153"/>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auto"/>
            </w:tcBorders>
          </w:tcPr>
          <w:p>
            <w:pPr>
              <w:jc w:val="right"/>
              <w:ind w:right="175"/>
              <w:spacing w:after="0"/>
              <w:rPr>
                <w:sz w:val="20"/>
                <w:szCs w:val="20"/>
                <w:color w:val="auto"/>
              </w:rPr>
            </w:pPr>
            <w:r>
              <w:rPr>
                <w:rFonts w:ascii="Arial" w:cs="Arial" w:eastAsia="Arial" w:hAnsi="Arial"/>
                <w:sz w:val="18"/>
                <w:szCs w:val="18"/>
                <w:color w:val="auto"/>
              </w:rPr>
              <w:t>35,897</w:t>
            </w:r>
          </w:p>
        </w:tc>
        <w:tc>
          <w:tcPr>
            <w:tcW w:w="0" w:type="dxa"/>
            <w:vAlign w:val="bottom"/>
          </w:tcPr>
          <w:p>
            <w:pPr>
              <w:spacing w:after="0"/>
              <w:rPr>
                <w:sz w:val="1"/>
                <w:szCs w:val="1"/>
                <w:color w:val="auto"/>
              </w:rPr>
            </w:pPr>
          </w:p>
        </w:tc>
      </w:tr>
      <w:tr>
        <w:trPr>
          <w:trHeight w:val="230"/>
        </w:trPr>
        <w:tc>
          <w:tcPr>
            <w:tcW w:w="268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David A. Zapico</w:t>
            </w:r>
          </w:p>
        </w:tc>
        <w:tc>
          <w:tcPr>
            <w:tcW w:w="1420" w:type="dxa"/>
            <w:vAlign w:val="bottom"/>
            <w:tcBorders>
              <w:bottom w:val="single" w:sz="8" w:color="auto"/>
              <w:right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209,417</w:t>
            </w:r>
          </w:p>
        </w:tc>
        <w:tc>
          <w:tcPr>
            <w:tcW w:w="1440" w:type="dxa"/>
            <w:vAlign w:val="bottom"/>
            <w:tcBorders>
              <w:bottom w:val="single" w:sz="8" w:color="auto"/>
              <w:right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335,026</w:t>
            </w:r>
          </w:p>
        </w:tc>
        <w:tc>
          <w:tcPr>
            <w:tcW w:w="1420" w:type="dxa"/>
            <w:vAlign w:val="bottom"/>
            <w:tcBorders>
              <w:bottom w:val="single" w:sz="8" w:color="auto"/>
              <w:right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544,443</w:t>
            </w:r>
          </w:p>
        </w:tc>
        <w:tc>
          <w:tcPr>
            <w:tcW w:w="14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right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74,292</w:t>
            </w:r>
          </w:p>
        </w:tc>
        <w:tc>
          <w:tcPr>
            <w:tcW w:w="1440" w:type="dxa"/>
            <w:vAlign w:val="bottom"/>
            <w:tcBorders>
              <w:bottom w:val="single" w:sz="8" w:color="auto"/>
              <w:right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618,735</w:t>
            </w:r>
          </w:p>
        </w:tc>
        <w:tc>
          <w:tcPr>
            <w:tcW w:w="0" w:type="dxa"/>
            <w:vAlign w:val="bottom"/>
          </w:tcPr>
          <w:p>
            <w:pPr>
              <w:spacing w:after="0"/>
              <w:rPr>
                <w:sz w:val="1"/>
                <w:szCs w:val="1"/>
                <w:color w:val="auto"/>
              </w:rPr>
            </w:pPr>
          </w:p>
        </w:tc>
      </w:tr>
      <w:tr>
        <w:trPr>
          <w:trHeight w:val="209"/>
        </w:trPr>
        <w:tc>
          <w:tcPr>
            <w:tcW w:w="26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Directors and executive</w:t>
            </w:r>
          </w:p>
        </w:tc>
        <w:tc>
          <w:tcPr>
            <w:tcW w:w="142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680" w:type="dxa"/>
            <w:vAlign w:val="bottom"/>
            <w:tcBorders>
              <w:left w:val="single" w:sz="8" w:color="auto"/>
              <w:right w:val="single" w:sz="8" w:color="auto"/>
            </w:tcBorders>
          </w:tcPr>
          <w:p>
            <w:pPr>
              <w:ind w:left="160"/>
              <w:spacing w:after="0" w:line="176" w:lineRule="exact"/>
              <w:rPr>
                <w:sz w:val="20"/>
                <w:szCs w:val="20"/>
                <w:color w:val="auto"/>
              </w:rPr>
            </w:pPr>
            <w:r>
              <w:rPr>
                <w:rFonts w:ascii="Arial" w:cs="Arial" w:eastAsia="Arial" w:hAnsi="Arial"/>
                <w:sz w:val="18"/>
                <w:szCs w:val="18"/>
                <w:color w:val="auto"/>
              </w:rPr>
              <w:t>officers as a group</w:t>
            </w:r>
          </w:p>
        </w:tc>
        <w:tc>
          <w:tcPr>
            <w:tcW w:w="1420" w:type="dxa"/>
            <w:vAlign w:val="bottom"/>
            <w:tcBorders>
              <w:right w:val="single" w:sz="8" w:color="auto"/>
            </w:tcBorders>
            <w:vMerge w:val="restart"/>
          </w:tcPr>
          <w:p>
            <w:pPr>
              <w:jc w:val="right"/>
              <w:ind w:right="154"/>
              <w:spacing w:after="0"/>
              <w:rPr>
                <w:sz w:val="20"/>
                <w:szCs w:val="20"/>
                <w:color w:val="auto"/>
              </w:rPr>
            </w:pPr>
            <w:r>
              <w:rPr>
                <w:rFonts w:ascii="Arial" w:cs="Arial" w:eastAsia="Arial" w:hAnsi="Arial"/>
                <w:sz w:val="18"/>
                <w:szCs w:val="18"/>
                <w:color w:val="auto"/>
              </w:rPr>
              <w:t>927,506</w:t>
            </w:r>
          </w:p>
        </w:tc>
        <w:tc>
          <w:tcPr>
            <w:tcW w:w="1440" w:type="dxa"/>
            <w:vAlign w:val="bottom"/>
            <w:tcBorders>
              <w:right w:val="single" w:sz="8" w:color="auto"/>
            </w:tcBorders>
            <w:vMerge w:val="restart"/>
          </w:tcPr>
          <w:p>
            <w:pPr>
              <w:jc w:val="right"/>
              <w:ind w:right="173"/>
              <w:spacing w:after="0"/>
              <w:rPr>
                <w:sz w:val="20"/>
                <w:szCs w:val="20"/>
                <w:color w:val="auto"/>
              </w:rPr>
            </w:pPr>
            <w:r>
              <w:rPr>
                <w:rFonts w:ascii="Arial" w:cs="Arial" w:eastAsia="Arial" w:hAnsi="Arial"/>
                <w:sz w:val="18"/>
                <w:szCs w:val="18"/>
                <w:color w:val="auto"/>
              </w:rPr>
              <w:t>727,449</w:t>
            </w:r>
          </w:p>
        </w:tc>
        <w:tc>
          <w:tcPr>
            <w:tcW w:w="1420" w:type="dxa"/>
            <w:vAlign w:val="bottom"/>
            <w:tcBorders>
              <w:right w:val="single" w:sz="8" w:color="auto"/>
            </w:tcBorders>
            <w:vMerge w:val="restart"/>
          </w:tcPr>
          <w:p>
            <w:pPr>
              <w:jc w:val="right"/>
              <w:ind w:right="193"/>
              <w:spacing w:after="0"/>
              <w:rPr>
                <w:sz w:val="20"/>
                <w:szCs w:val="20"/>
                <w:color w:val="auto"/>
              </w:rPr>
            </w:pPr>
            <w:r>
              <w:rPr>
                <w:rFonts w:ascii="Arial" w:cs="Arial" w:eastAsia="Arial" w:hAnsi="Arial"/>
                <w:sz w:val="18"/>
                <w:szCs w:val="18"/>
                <w:color w:val="auto"/>
              </w:rPr>
              <w:t>1,654,955</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auto"/>
            </w:tcBorders>
            <w:vMerge w:val="restart"/>
          </w:tcPr>
          <w:p>
            <w:pPr>
              <w:jc w:val="right"/>
              <w:ind w:right="153"/>
              <w:spacing w:after="0"/>
              <w:rPr>
                <w:sz w:val="20"/>
                <w:szCs w:val="20"/>
                <w:color w:val="auto"/>
              </w:rPr>
            </w:pPr>
            <w:r>
              <w:rPr>
                <w:rFonts w:ascii="Arial" w:cs="Arial" w:eastAsia="Arial" w:hAnsi="Arial"/>
                <w:sz w:val="18"/>
                <w:szCs w:val="18"/>
                <w:color w:val="auto"/>
              </w:rPr>
              <w:t>173,773</w:t>
            </w:r>
          </w:p>
        </w:tc>
        <w:tc>
          <w:tcPr>
            <w:tcW w:w="1440" w:type="dxa"/>
            <w:vAlign w:val="bottom"/>
            <w:tcBorders>
              <w:right w:val="single" w:sz="8" w:color="auto"/>
            </w:tcBorders>
            <w:vMerge w:val="restart"/>
          </w:tcPr>
          <w:p>
            <w:pPr>
              <w:jc w:val="right"/>
              <w:ind w:right="175"/>
              <w:spacing w:after="0"/>
              <w:rPr>
                <w:sz w:val="20"/>
                <w:szCs w:val="20"/>
                <w:color w:val="auto"/>
              </w:rPr>
            </w:pPr>
            <w:r>
              <w:rPr>
                <w:rFonts w:ascii="Arial" w:cs="Arial" w:eastAsia="Arial" w:hAnsi="Arial"/>
                <w:sz w:val="18"/>
                <w:szCs w:val="18"/>
                <w:color w:val="auto"/>
              </w:rPr>
              <w:t>1,828,728</w:t>
            </w:r>
          </w:p>
        </w:tc>
        <w:tc>
          <w:tcPr>
            <w:tcW w:w="0" w:type="dxa"/>
            <w:vAlign w:val="bottom"/>
          </w:tcPr>
          <w:p>
            <w:pPr>
              <w:spacing w:after="0"/>
              <w:rPr>
                <w:sz w:val="1"/>
                <w:szCs w:val="1"/>
                <w:color w:val="auto"/>
              </w:rPr>
            </w:pPr>
          </w:p>
        </w:tc>
      </w:tr>
      <w:tr>
        <w:trPr>
          <w:trHeight w:val="122"/>
        </w:trPr>
        <w:tc>
          <w:tcPr>
            <w:tcW w:w="2680" w:type="dxa"/>
            <w:vAlign w:val="bottom"/>
            <w:tcBorders>
              <w:left w:val="single" w:sz="8" w:color="auto"/>
              <w:right w:val="single" w:sz="8" w:color="auto"/>
            </w:tcBorders>
            <w:vMerge w:val="restart"/>
          </w:tcPr>
          <w:p>
            <w:pPr>
              <w:ind w:left="160"/>
              <w:spacing w:after="0" w:line="176" w:lineRule="exact"/>
              <w:rPr>
                <w:sz w:val="20"/>
                <w:szCs w:val="20"/>
                <w:color w:val="auto"/>
              </w:rPr>
            </w:pPr>
            <w:r>
              <w:rPr>
                <w:rFonts w:ascii="Arial" w:cs="Arial" w:eastAsia="Arial" w:hAnsi="Arial"/>
                <w:sz w:val="18"/>
                <w:szCs w:val="18"/>
                <w:color w:val="auto"/>
              </w:rPr>
              <w:t>(20 persons) including</w:t>
            </w:r>
          </w:p>
        </w:tc>
        <w:tc>
          <w:tcPr>
            <w:tcW w:w="1420" w:type="dxa"/>
            <w:vAlign w:val="bottom"/>
            <w:tcBorders>
              <w:right w:val="single" w:sz="8" w:color="auto"/>
            </w:tcBorders>
            <w:vMerge w:val="continue"/>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680" w:type="dxa"/>
            <w:vAlign w:val="bottom"/>
            <w:tcBorders>
              <w:left w:val="single" w:sz="8" w:color="auto"/>
              <w:right w:val="single" w:sz="8" w:color="auto"/>
            </w:tcBorders>
            <w:vMerge w:val="continue"/>
          </w:tcPr>
          <w:p>
            <w:pPr>
              <w:spacing w:after="0"/>
              <w:rPr>
                <w:sz w:val="4"/>
                <w:szCs w:val="4"/>
                <w:color w:val="auto"/>
              </w:rPr>
            </w:pPr>
          </w:p>
        </w:tc>
        <w:tc>
          <w:tcPr>
            <w:tcW w:w="142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tcPr>
          <w:p>
            <w:pPr>
              <w:spacing w:after="0"/>
              <w:rPr>
                <w:sz w:val="4"/>
                <w:szCs w:val="4"/>
                <w:color w:val="auto"/>
              </w:rPr>
            </w:pPr>
          </w:p>
        </w:tc>
        <w:tc>
          <w:tcPr>
            <w:tcW w:w="142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tcPr>
          <w:p>
            <w:pPr>
              <w:spacing w:after="0"/>
              <w:rPr>
                <w:sz w:val="4"/>
                <w:szCs w:val="4"/>
                <w:color w:val="auto"/>
              </w:rPr>
            </w:pPr>
          </w:p>
        </w:tc>
        <w:tc>
          <w:tcPr>
            <w:tcW w:w="142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individuals named above</w:t>
            </w:r>
          </w:p>
        </w:tc>
        <w:tc>
          <w:tcPr>
            <w:tcW w:w="142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80" w:hanging="172"/>
        <w:spacing w:after="0"/>
        <w:tabs>
          <w:tab w:leader="none" w:pos="180" w:val="left"/>
        </w:tabs>
        <w:numPr>
          <w:ilvl w:val="0"/>
          <w:numId w:val="51"/>
        </w:numPr>
        <w:rPr>
          <w:rFonts w:ascii="Arial" w:cs="Arial" w:eastAsia="Arial" w:hAnsi="Arial"/>
          <w:sz w:val="22"/>
          <w:szCs w:val="22"/>
          <w:color w:val="auto"/>
        </w:rPr>
      </w:pPr>
      <w:r>
        <w:rPr>
          <w:rFonts w:ascii="Arial" w:cs="Arial" w:eastAsia="Arial" w:hAnsi="Arial"/>
          <w:sz w:val="18"/>
          <w:szCs w:val="18"/>
          <w:color w:val="auto"/>
        </w:rPr>
        <w:t>Represents less than 1% of the outstanding shares of our common stock.</w:t>
      </w:r>
    </w:p>
    <w:p>
      <w:pPr>
        <w:spacing w:after="0" w:line="94" w:lineRule="exact"/>
        <w:rPr>
          <w:sz w:val="20"/>
          <w:szCs w:val="20"/>
          <w:color w:val="auto"/>
        </w:rPr>
      </w:pPr>
    </w:p>
    <w:p>
      <w:pPr>
        <w:ind w:left="500" w:right="40" w:hanging="492"/>
        <w:spacing w:after="0" w:line="263" w:lineRule="auto"/>
        <w:tabs>
          <w:tab w:leader="none" w:pos="494"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Under Rule 13d-3 of the Securities Exchange Act of 1934, as amended, beneficial ownership of a security consists of sole or shared voting power (including the power to vote or direct the vote) and/or sole or shared investment power (including the power to dispose or direct the disposition) with respect to the security through any contract, arrangement, understanding, relationship or otherwise.</w:t>
      </w:r>
    </w:p>
    <w:p>
      <w:pPr>
        <w:spacing w:after="0" w:line="81" w:lineRule="exact"/>
        <w:rPr>
          <w:rFonts w:ascii="Arial" w:cs="Arial" w:eastAsia="Arial" w:hAnsi="Arial"/>
          <w:sz w:val="18"/>
          <w:szCs w:val="18"/>
          <w:color w:val="auto"/>
        </w:rPr>
      </w:pPr>
    </w:p>
    <w:p>
      <w:pPr>
        <w:ind w:left="480" w:hanging="472"/>
        <w:spacing w:after="0"/>
        <w:tabs>
          <w:tab w:leader="none" w:pos="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Shares the Director or executive officer has a right to acquire through stock option exercises at or within 60 days after January 9, 2022</w:t>
      </w:r>
      <w:r>
        <w:rPr>
          <w:rFonts w:ascii="Arial" w:cs="Arial" w:eastAsia="Arial" w:hAnsi="Arial"/>
          <w:sz w:val="21"/>
          <w:szCs w:val="21"/>
          <w:color w:val="auto"/>
        </w:rPr>
        <w:t>.</w:t>
      </w:r>
    </w:p>
    <w:p>
      <w:pPr>
        <w:spacing w:after="0" w:line="116" w:lineRule="exact"/>
        <w:rPr>
          <w:rFonts w:ascii="Arial" w:cs="Arial" w:eastAsia="Arial" w:hAnsi="Arial"/>
          <w:sz w:val="18"/>
          <w:szCs w:val="18"/>
          <w:color w:val="auto"/>
        </w:rPr>
      </w:pPr>
    </w:p>
    <w:p>
      <w:pPr>
        <w:ind w:left="480" w:hanging="472"/>
        <w:spacing w:after="0"/>
        <w:tabs>
          <w:tab w:leader="none" w:pos="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Mr. Jones retired from his position of President, Electromechanical Group, as of December 31, 2021.</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1,529 stock units under the AMETEK, Inc. Directors’ Deferred Compensation Plan.</w:t>
      </w:r>
    </w:p>
    <w:p>
      <w:pPr>
        <w:spacing w:after="0" w:line="200" w:lineRule="exact"/>
        <w:rPr>
          <w:sz w:val="20"/>
          <w:szCs w:val="20"/>
          <w:color w:val="auto"/>
        </w:rPr>
      </w:pPr>
    </w:p>
    <w:p>
      <w:pPr>
        <w:spacing w:after="0" w:line="318"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b w:val="1"/>
          <w:bCs w:val="1"/>
          <w:color w:val="auto"/>
        </w:rPr>
        <w:t>46</w:t>
        <w:tab/>
        <w:t>AMETEK, INC.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60"/>
          </w:cols>
          <w:pgMar w:left="320" w:top="1111" w:right="319" w:bottom="1440" w:gutter="0" w:footer="0" w:header="0"/>
        </w:sectPr>
      </w:pPr>
    </w:p>
    <w:bookmarkStart w:id="51" w:name="page52"/>
    <w:bookmarkEnd w:id="51"/>
    <w:p>
      <w:pPr>
        <w:ind w:left="492" w:right="380" w:hanging="492"/>
        <w:spacing w:after="0" w:line="277" w:lineRule="auto"/>
        <w:tabs>
          <w:tab w:leader="none" w:pos="486" w:val="left"/>
        </w:tabs>
        <w:numPr>
          <w:ilvl w:val="0"/>
          <w:numId w:val="53"/>
        </w:numPr>
        <w:rPr>
          <w:rFonts w:ascii="Arial" w:cs="Arial" w:eastAsia="Arial" w:hAnsi="Arial"/>
          <w:sz w:val="18"/>
          <w:szCs w:val="18"/>
          <w:color w:val="auto"/>
        </w:rPr>
      </w:pPr>
      <w:r>
        <w:rPr>
          <w:rFonts w:ascii="Arial" w:cs="Arial" w:eastAsia="Arial" w:hAnsi="Arial"/>
          <w:sz w:val="18"/>
          <w:szCs w:val="18"/>
          <w:color w:val="auto"/>
        </w:rPr>
        <w:t>Ms. Varet retired from the Board on May 6, 2021. Based solely on Ms.Varet’s last Form 4 filed with the SEC January 15, 2021. Includes 43,500 shares, owned by the estate of Ms. Varet’s husband, as to which Ms. Varet disclaims any beneficial ownership.</w:t>
      </w:r>
    </w:p>
    <w:p>
      <w:pPr>
        <w:spacing w:after="0" w:line="62" w:lineRule="exact"/>
        <w:rPr>
          <w:rFonts w:ascii="Arial" w:cs="Arial" w:eastAsia="Arial" w:hAnsi="Arial"/>
          <w:sz w:val="18"/>
          <w:szCs w:val="18"/>
          <w:color w:val="auto"/>
        </w:rPr>
      </w:pPr>
    </w:p>
    <w:p>
      <w:pPr>
        <w:ind w:left="472" w:hanging="472"/>
        <w:spacing w:after="0"/>
        <w:tabs>
          <w:tab w:leader="none" w:pos="472" w:val="left"/>
        </w:tabs>
        <w:numPr>
          <w:ilvl w:val="0"/>
          <w:numId w:val="53"/>
        </w:numPr>
        <w:rPr>
          <w:rFonts w:ascii="Arial" w:cs="Arial" w:eastAsia="Arial" w:hAnsi="Arial"/>
          <w:sz w:val="17"/>
          <w:szCs w:val="17"/>
          <w:color w:val="auto"/>
        </w:rPr>
      </w:pPr>
      <w:r>
        <w:rPr>
          <w:rFonts w:ascii="Arial" w:cs="Arial" w:eastAsia="Arial" w:hAnsi="Arial"/>
          <w:sz w:val="17"/>
          <w:szCs w:val="17"/>
          <w:color w:val="auto"/>
        </w:rPr>
        <w:t>Mr. Williams retired from the Board on May 6, 2021. Based solely on Mr. Williams’ last Form 4 filed with the SEC on November 10, 2020.</w:t>
      </w:r>
    </w:p>
    <w:p>
      <w:pPr>
        <w:spacing w:after="0" w:line="200" w:lineRule="exact"/>
        <w:rPr>
          <w:sz w:val="20"/>
          <w:szCs w:val="20"/>
          <w:color w:val="auto"/>
        </w:rPr>
      </w:pPr>
    </w:p>
    <w:p>
      <w:pPr>
        <w:spacing w:after="0" w:line="31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8"/>
          <w:szCs w:val="18"/>
          <w:b w:val="1"/>
          <w:bCs w:val="1"/>
          <w:color w:val="auto"/>
        </w:rPr>
        <w:t>AMETEK, INC. 2022 Proxy Statement</w:t>
      </w:r>
      <w:r>
        <w:rPr>
          <w:sz w:val="20"/>
          <w:szCs w:val="20"/>
          <w:color w:val="auto"/>
        </w:rPr>
        <w:tab/>
      </w:r>
      <w:r>
        <w:rPr>
          <w:rFonts w:ascii="Arial" w:cs="Arial" w:eastAsia="Arial" w:hAnsi="Arial"/>
          <w:sz w:val="16"/>
          <w:szCs w:val="16"/>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7132320"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12"/>
          </w:cols>
          <w:pgMar w:left="328" w:top="1043" w:right="359" w:bottom="1440" w:gutter="0" w:footer="0" w:header="0"/>
        </w:sectPr>
      </w:pPr>
    </w:p>
    <w:bookmarkStart w:id="52" w:name="page53"/>
    <w:bookmarkEnd w:id="52"/>
    <w:p>
      <w:pPr>
        <w:jc w:val="center"/>
        <w:ind w:right="20"/>
        <w:spacing w:after="0"/>
        <w:rPr>
          <w:sz w:val="20"/>
          <w:szCs w:val="20"/>
          <w:color w:val="auto"/>
        </w:rPr>
      </w:pPr>
      <w:r>
        <w:rPr>
          <w:rFonts w:ascii="Arial" w:cs="Arial" w:eastAsia="Arial" w:hAnsi="Arial"/>
          <w:sz w:val="22"/>
          <w:szCs w:val="22"/>
          <w:b w:val="1"/>
          <w:bCs w:val="1"/>
          <w:color w:val="auto"/>
        </w:rPr>
        <w:t>BENEFICIAL OWNERSHIP OF PRINCIPAL STOCKHOLDERS</w:t>
      </w:r>
    </w:p>
    <w:p>
      <w:pPr>
        <w:spacing w:after="0" w:line="19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table provides information regarding the only entities known to us to be beneficial owners of more than five percent of the outstanding shares of our common stock as of March 10, 2022.</w:t>
      </w:r>
    </w:p>
    <w:p>
      <w:pPr>
        <w:spacing w:after="0" w:line="151"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3760" w:type="dxa"/>
            <w:vAlign w:val="bottom"/>
            <w:tcBorders>
              <w:top w:val="single" w:sz="8" w:color="auto"/>
              <w:left w:val="single" w:sz="8" w:color="auto"/>
              <w:right w:val="single" w:sz="8" w:color="auto"/>
            </w:tcBorders>
            <w:shd w:val="clear" w:color="auto" w:fill="CCEEFF"/>
          </w:tcPr>
          <w:p>
            <w:pPr>
              <w:ind w:left="1260"/>
              <w:spacing w:after="0"/>
              <w:rPr>
                <w:sz w:val="20"/>
                <w:szCs w:val="20"/>
                <w:color w:val="auto"/>
              </w:rPr>
            </w:pPr>
            <w:r>
              <w:rPr>
                <w:rFonts w:ascii="Arial" w:cs="Arial" w:eastAsia="Arial" w:hAnsi="Arial"/>
                <w:sz w:val="14"/>
                <w:szCs w:val="14"/>
                <w:color w:val="auto"/>
              </w:rPr>
              <w:t>Name and Address of</w:t>
            </w:r>
          </w:p>
        </w:tc>
        <w:tc>
          <w:tcPr>
            <w:tcW w:w="3740" w:type="dxa"/>
            <w:vAlign w:val="bottom"/>
            <w:tcBorders>
              <w:top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Number of Shares</w:t>
            </w:r>
          </w:p>
        </w:tc>
        <w:tc>
          <w:tcPr>
            <w:tcW w:w="3760" w:type="dxa"/>
            <w:vAlign w:val="bottom"/>
            <w:tcBorders>
              <w:top w:val="single" w:sz="8" w:color="auto"/>
              <w:right w:val="single" w:sz="8" w:color="auto"/>
            </w:tcBorders>
            <w:vMerge w:val="restart"/>
            <w:shd w:val="clear" w:color="auto" w:fill="CCEEFF"/>
          </w:tcPr>
          <w:p>
            <w:pPr>
              <w:ind w:left="1400"/>
              <w:spacing w:after="0"/>
              <w:rPr>
                <w:sz w:val="20"/>
                <w:szCs w:val="20"/>
                <w:color w:val="auto"/>
              </w:rPr>
            </w:pPr>
            <w:r>
              <w:rPr>
                <w:rFonts w:ascii="Arial" w:cs="Arial" w:eastAsia="Arial" w:hAnsi="Arial"/>
                <w:sz w:val="14"/>
                <w:szCs w:val="14"/>
                <w:color w:val="auto"/>
              </w:rPr>
              <w:t>Percent of Class</w:t>
            </w:r>
          </w:p>
        </w:tc>
        <w:tc>
          <w:tcPr>
            <w:tcW w:w="0" w:type="dxa"/>
            <w:vAlign w:val="bottom"/>
          </w:tcPr>
          <w:p>
            <w:pPr>
              <w:spacing w:after="0"/>
              <w:rPr>
                <w:sz w:val="1"/>
                <w:szCs w:val="1"/>
                <w:color w:val="auto"/>
              </w:rPr>
            </w:pPr>
          </w:p>
        </w:tc>
      </w:tr>
      <w:tr>
        <w:trPr>
          <w:trHeight w:val="101"/>
        </w:trPr>
        <w:tc>
          <w:tcPr>
            <w:tcW w:w="3760" w:type="dxa"/>
            <w:vAlign w:val="bottom"/>
            <w:tcBorders>
              <w:left w:val="single" w:sz="8" w:color="auto"/>
              <w:right w:val="single" w:sz="8" w:color="auto"/>
            </w:tcBorders>
            <w:vMerge w:val="restart"/>
            <w:shd w:val="clear" w:color="auto" w:fill="CCEEFF"/>
          </w:tcPr>
          <w:p>
            <w:pPr>
              <w:ind w:left="1360"/>
              <w:spacing w:after="0"/>
              <w:rPr>
                <w:sz w:val="20"/>
                <w:szCs w:val="20"/>
                <w:color w:val="auto"/>
              </w:rPr>
            </w:pPr>
            <w:r>
              <w:rPr>
                <w:rFonts w:ascii="Arial" w:cs="Arial" w:eastAsia="Arial" w:hAnsi="Arial"/>
                <w:sz w:val="14"/>
                <w:szCs w:val="14"/>
                <w:color w:val="auto"/>
              </w:rPr>
              <w:t>Beneficial Owner</w:t>
            </w:r>
          </w:p>
        </w:tc>
        <w:tc>
          <w:tcPr>
            <w:tcW w:w="3740" w:type="dxa"/>
            <w:vAlign w:val="bottom"/>
            <w:tcBorders>
              <w:right w:val="single" w:sz="8" w:color="auto"/>
            </w:tcBorders>
            <w:vMerge w:val="continue"/>
            <w:shd w:val="clear" w:color="auto" w:fill="CCEEFF"/>
          </w:tcPr>
          <w:p>
            <w:pPr>
              <w:spacing w:after="0"/>
              <w:rPr>
                <w:sz w:val="8"/>
                <w:szCs w:val="8"/>
                <w:color w:val="auto"/>
              </w:rPr>
            </w:pPr>
          </w:p>
        </w:tc>
        <w:tc>
          <w:tcPr>
            <w:tcW w:w="376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3760" w:type="dxa"/>
            <w:vAlign w:val="bottom"/>
            <w:tcBorders>
              <w:left w:val="single" w:sz="8" w:color="auto"/>
              <w:bottom w:val="single" w:sz="8" w:color="CCEEFF"/>
              <w:right w:val="single" w:sz="8" w:color="auto"/>
            </w:tcBorders>
            <w:vMerge w:val="continue"/>
            <w:shd w:val="clear" w:color="auto" w:fill="CCEEFF"/>
          </w:tcPr>
          <w:p>
            <w:pPr>
              <w:spacing w:after="0"/>
              <w:rPr>
                <w:sz w:val="9"/>
                <w:szCs w:val="9"/>
                <w:color w:val="auto"/>
              </w:rPr>
            </w:pPr>
          </w:p>
        </w:tc>
        <w:tc>
          <w:tcPr>
            <w:tcW w:w="3740" w:type="dxa"/>
            <w:vAlign w:val="bottom"/>
            <w:tcBorders>
              <w:bottom w:val="single" w:sz="8" w:color="CCEEFF"/>
              <w:right w:val="single" w:sz="8" w:color="auto"/>
            </w:tcBorders>
            <w:shd w:val="clear" w:color="auto" w:fill="CCEEFF"/>
          </w:tcPr>
          <w:p>
            <w:pPr>
              <w:spacing w:after="0"/>
              <w:rPr>
                <w:sz w:val="9"/>
                <w:szCs w:val="9"/>
                <w:color w:val="auto"/>
              </w:rPr>
            </w:pPr>
          </w:p>
        </w:tc>
        <w:tc>
          <w:tcPr>
            <w:tcW w:w="3760" w:type="dxa"/>
            <w:vAlign w:val="bottom"/>
            <w:tcBorders>
              <w:bottom w:val="single" w:sz="8" w:color="CCEEFF"/>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37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The Vanguard Group, Inc. (1)</w:t>
            </w:r>
          </w:p>
        </w:tc>
        <w:tc>
          <w:tcPr>
            <w:tcW w:w="3740" w:type="dxa"/>
            <w:vAlign w:val="bottom"/>
            <w:tcBorders>
              <w:top w:val="single" w:sz="8" w:color="auto"/>
              <w:right w:val="single" w:sz="8" w:color="auto"/>
            </w:tcBorders>
          </w:tcPr>
          <w:p>
            <w:pPr>
              <w:spacing w:after="0"/>
              <w:rPr>
                <w:sz w:val="14"/>
                <w:szCs w:val="14"/>
                <w:color w:val="auto"/>
              </w:rPr>
            </w:pPr>
          </w:p>
        </w:tc>
        <w:tc>
          <w:tcPr>
            <w:tcW w:w="376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100 Vanguard Boulevard</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24,144,640</w:t>
            </w:r>
          </w:p>
        </w:tc>
        <w:tc>
          <w:tcPr>
            <w:tcW w:w="3760" w:type="dxa"/>
            <w:vAlign w:val="bottom"/>
            <w:tcBorders>
              <w:right w:val="single" w:sz="8" w:color="auto"/>
            </w:tcBorders>
          </w:tcPr>
          <w:p>
            <w:pPr>
              <w:jc w:val="right"/>
              <w:ind w:right="1628"/>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82"/>
        </w:trPr>
        <w:tc>
          <w:tcPr>
            <w:tcW w:w="3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Malvern, PA 19355</w:t>
            </w: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376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BlackRock, Inc. (2)</w:t>
            </w:r>
          </w:p>
        </w:tc>
        <w:tc>
          <w:tcPr>
            <w:tcW w:w="3740" w:type="dxa"/>
            <w:vAlign w:val="bottom"/>
            <w:tcBorders>
              <w:right w:val="single" w:sz="8" w:color="auto"/>
            </w:tcBorders>
            <w:shd w:val="clear" w:color="auto" w:fill="CCEEFF"/>
          </w:tcPr>
          <w:p>
            <w:pPr>
              <w:spacing w:after="0"/>
              <w:rPr>
                <w:sz w:val="14"/>
                <w:szCs w:val="14"/>
                <w:color w:val="auto"/>
              </w:rPr>
            </w:pPr>
          </w:p>
        </w:tc>
        <w:tc>
          <w:tcPr>
            <w:tcW w:w="376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6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55 East 52nd Street</w:t>
            </w:r>
          </w:p>
        </w:tc>
        <w:tc>
          <w:tcPr>
            <w:tcW w:w="37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15,279,416</w:t>
            </w:r>
          </w:p>
        </w:tc>
        <w:tc>
          <w:tcPr>
            <w:tcW w:w="3760" w:type="dxa"/>
            <w:vAlign w:val="bottom"/>
            <w:tcBorders>
              <w:right w:val="single" w:sz="8" w:color="auto"/>
            </w:tcBorders>
            <w:shd w:val="clear" w:color="auto" w:fill="CCEEFF"/>
          </w:tcPr>
          <w:p>
            <w:pPr>
              <w:jc w:val="right"/>
              <w:ind w:right="1668"/>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88"/>
        </w:trPr>
        <w:tc>
          <w:tcPr>
            <w:tcW w:w="37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New York, NY 10055</w:t>
            </w:r>
          </w:p>
        </w:tc>
        <w:tc>
          <w:tcPr>
            <w:tcW w:w="3740" w:type="dxa"/>
            <w:vAlign w:val="bottom"/>
            <w:tcBorders>
              <w:bottom w:val="single" w:sz="8" w:color="CCEEFF"/>
              <w:right w:val="single" w:sz="8" w:color="auto"/>
            </w:tcBorders>
            <w:shd w:val="clear" w:color="auto" w:fill="CCEEFF"/>
          </w:tcPr>
          <w:p>
            <w:pPr>
              <w:spacing w:after="0"/>
              <w:rPr>
                <w:sz w:val="16"/>
                <w:szCs w:val="16"/>
                <w:color w:val="auto"/>
              </w:rPr>
            </w:pPr>
          </w:p>
        </w:tc>
        <w:tc>
          <w:tcPr>
            <w:tcW w:w="3760" w:type="dxa"/>
            <w:vAlign w:val="bottom"/>
            <w:tcBorders>
              <w:bottom w:val="single" w:sz="8" w:color="CCEEFF"/>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740" w:type="dxa"/>
            <w:vAlign w:val="bottom"/>
            <w:tcBorders>
              <w:right w:val="single" w:sz="8" w:color="auto"/>
            </w:tcBorders>
            <w:shd w:val="clear" w:color="auto" w:fill="000000"/>
          </w:tcPr>
          <w:p>
            <w:pPr>
              <w:spacing w:after="0" w:line="20" w:lineRule="exact"/>
              <w:rPr>
                <w:sz w:val="1"/>
                <w:szCs w:val="1"/>
                <w:color w:val="auto"/>
              </w:rPr>
            </w:pPr>
          </w:p>
        </w:tc>
        <w:tc>
          <w:tcPr>
            <w:tcW w:w="376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500" w:right="100" w:hanging="492"/>
        <w:spacing w:after="0" w:line="263" w:lineRule="auto"/>
        <w:tabs>
          <w:tab w:leader="none" w:pos="494"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Schedule 13G/A filed on February 9, 2022, as of December 31, 2021 The Vanguard Group, Inc. beneficially owned 24,144,640 shares of our common stock, with shared voting power over 352,162 shares, sole dispositive power over 23,240,859 shares and shared dispositive power over 903,781 shares.</w:t>
      </w:r>
    </w:p>
    <w:p>
      <w:pPr>
        <w:spacing w:after="0" w:line="75" w:lineRule="exact"/>
        <w:rPr>
          <w:rFonts w:ascii="Arial" w:cs="Arial" w:eastAsia="Arial" w:hAnsi="Arial"/>
          <w:sz w:val="18"/>
          <w:szCs w:val="18"/>
          <w:color w:val="auto"/>
        </w:rPr>
      </w:pPr>
    </w:p>
    <w:p>
      <w:pPr>
        <w:ind w:left="500" w:right="640" w:hanging="492"/>
        <w:spacing w:after="0" w:line="277" w:lineRule="auto"/>
        <w:tabs>
          <w:tab w:leader="none" w:pos="494"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Schedule 13G/A filed on February 1, 2022, as of December 31, 2021 BlackRock, Inc. beneficially owned 15,279,416 shares of our common stock, with sole voting power over 13,274,093 shares and sole dispositive power over all the shares.</w:t>
      </w:r>
    </w:p>
    <w:p>
      <w:pPr>
        <w:spacing w:after="0" w:line="200" w:lineRule="exact"/>
        <w:rPr>
          <w:sz w:val="20"/>
          <w:szCs w:val="20"/>
          <w:color w:val="auto"/>
        </w:rPr>
      </w:pPr>
    </w:p>
    <w:p>
      <w:pPr>
        <w:spacing w:after="0" w:line="213" w:lineRule="exact"/>
        <w:rPr>
          <w:sz w:val="20"/>
          <w:szCs w:val="20"/>
          <w:color w:val="auto"/>
        </w:rPr>
      </w:pPr>
    </w:p>
    <w:p>
      <w:pPr>
        <w:ind w:left="78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auto"/>
        </w:rPr>
        <w:t>CEO PAY RATIO</w:t>
      </w:r>
    </w:p>
    <w:p>
      <w:pPr>
        <w:spacing w:after="0" w:line="192"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Pursuant to Item 402(u) of Regulation S-K and Section 953(b) of the Dodd-Frank Act, presented below is the ratio of annual total compensation of our CEO to the annual total compensation of our median employee (excluding our CEO). The ratio presented below is a reasonable estimate calculated in a manner consistent with Item 402(u).</w:t>
      </w:r>
    </w:p>
    <w:p>
      <w:pPr>
        <w:spacing w:after="0" w:line="14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median employee used as the basis for comparison in 2021 is the same median employee selected in 2020. We used annual base pay, the one pay element all AMETEK employees receive, as the consistently applied compensation measure to identify the median employee. The median employee was selected from all employees, other than our CEO, employed by AMETEK on October 1, 2020. We included all employees, whether employed on a full-time, part-time or seasonal basis. We did not make any assumptions, adjustments or estimates with respect to annual base salary. We did not include independent contractors or leased workers in our determination.</w:t>
      </w:r>
    </w:p>
    <w:p>
      <w:pPr>
        <w:spacing w:after="0" w:line="147" w:lineRule="exact"/>
        <w:rPr>
          <w:sz w:val="20"/>
          <w:szCs w:val="20"/>
          <w:color w:val="auto"/>
        </w:rPr>
      </w:pPr>
    </w:p>
    <w:p>
      <w:pPr>
        <w:jc w:val="both"/>
        <w:ind w:right="260"/>
        <w:spacing w:after="0" w:line="263" w:lineRule="auto"/>
        <w:rPr>
          <w:rFonts w:ascii="Arial" w:cs="Arial" w:eastAsia="Arial" w:hAnsi="Arial"/>
          <w:sz w:val="18"/>
          <w:szCs w:val="18"/>
          <w:color w:val="0000FF"/>
        </w:rPr>
      </w:pPr>
      <w:r>
        <w:rPr>
          <w:rFonts w:ascii="Arial" w:cs="Arial" w:eastAsia="Arial" w:hAnsi="Arial"/>
          <w:sz w:val="18"/>
          <w:szCs w:val="18"/>
          <w:color w:val="auto"/>
        </w:rPr>
        <w:t xml:space="preserve">After identifying the median employee based on annual base pay, we calculated annual total compensation for such employee as determined under Item 402 of Regulation S-K, the same methodology we use for our named executive officers as set forth in the Summary Compensation Table – 2021 on page </w:t>
      </w:r>
      <w:hyperlink w:anchor="page41">
        <w:r>
          <w:rPr>
            <w:rFonts w:ascii="Arial" w:cs="Arial" w:eastAsia="Arial" w:hAnsi="Arial"/>
            <w:sz w:val="18"/>
            <w:szCs w:val="18"/>
            <w:u w:val="single" w:color="auto"/>
            <w:color w:val="0000FF"/>
          </w:rPr>
          <w:t>36</w:t>
        </w:r>
      </w:hyperlink>
      <w:r>
        <w:rPr>
          <w:rFonts w:ascii="Arial" w:cs="Arial" w:eastAsia="Arial" w:hAnsi="Arial"/>
          <w:sz w:val="18"/>
          <w:szCs w:val="18"/>
          <w:color w:val="000000"/>
        </w:rPr>
        <w:t>.</w:t>
      </w:r>
    </w:p>
    <w:p>
      <w:pPr>
        <w:spacing w:after="0" w:line="1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2021 annual total compensation for our CEO was $12,919,431. The 2021 annual total compensation for our median employee, including overtime, was $68,238. The ratio of our CEO’s annual total compensation to our median employee’s total compensation for 2021 is 189 to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b w:val="1"/>
          <w:bCs w:val="1"/>
          <w:color w:val="auto"/>
        </w:rPr>
        <w:t>48</w:t>
        <w:tab/>
        <w:t>AMETEK, INC.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60"/>
          </w:cols>
          <w:pgMar w:left="320" w:top="1111" w:right="31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22"/>
          <w:szCs w:val="22"/>
          <w:b w:val="1"/>
          <w:bCs w:val="1"/>
          <w:color w:val="auto"/>
        </w:rPr>
        <w:t>OTHER BUSINESS</w:t>
      </w:r>
    </w:p>
    <w:p>
      <w:pPr>
        <w:spacing w:after="0" w:line="1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are not aware of any other matters that will be presented at the Annual Meeting. If other matters are properly introduced, the individuals named on the enclosed proxy card will vote the shares it represents in accordance with their judgment.</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57785</wp:posOffset>
            </wp:positionV>
            <wp:extent cx="1405890" cy="4629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0589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Robert S. Feit</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Senior Vice President, General Counsel and Corporate Secretary</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March 14, 2022</w:t>
      </w:r>
    </w:p>
    <w:p>
      <w:pPr>
        <w:spacing w:after="0" w:line="239" w:lineRule="exact"/>
        <w:rPr>
          <w:sz w:val="20"/>
          <w:szCs w:val="20"/>
          <w:color w:val="auto"/>
        </w:rPr>
      </w:pPr>
    </w:p>
    <w:p>
      <w:pPr>
        <w:ind w:left="86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________________________________________________________________________________________________________</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MULTIPLE STOCKHOLDERS SHARING THE SAME ADDRESS</w:t>
      </w:r>
    </w:p>
    <w:p>
      <w:pPr>
        <w:spacing w:after="0" w:line="17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Registered and street-name stockholders who reside at a single address receive only one copy of our proxy statement and other related materials at that address unless a stockholder provides contrary instructions. This practice is known as “householding” and is designed to reduce duplicate printing and postage costs. However, if a stockholder wishes in the future to receive a separate copy of our proxy statement and other related materials, he or she may contact Broadridge Financial Solutions at 1-866-540-7095, or in writing at Broadridge Financial Solutions, 51 Mercedes Way, Edgewood, NY 11717. Stockholders can request householding if they receive multiple copies of the proxy statement by contacting Broadridge Financial Solutions at the address above.</w:t>
      </w:r>
    </w:p>
    <w:p>
      <w:pPr>
        <w:spacing w:after="0" w:line="200" w:lineRule="exact"/>
        <w:rPr>
          <w:sz w:val="20"/>
          <w:szCs w:val="20"/>
          <w:color w:val="auto"/>
        </w:rPr>
      </w:pPr>
    </w:p>
    <w:p>
      <w:pPr>
        <w:spacing w:after="0" w:line="285"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8"/>
          <w:szCs w:val="18"/>
          <w:b w:val="1"/>
          <w:bCs w:val="1"/>
          <w:color w:val="auto"/>
        </w:rPr>
        <w:t>AMETEK, INC. 2022 Proxy Statement</w:t>
      </w:r>
      <w:r>
        <w:rPr>
          <w:sz w:val="20"/>
          <w:szCs w:val="20"/>
          <w:color w:val="auto"/>
        </w:rPr>
        <w:tab/>
      </w:r>
      <w:r>
        <w:rPr>
          <w:rFonts w:ascii="Arial" w:cs="Arial" w:eastAsia="Arial" w:hAnsi="Arial"/>
          <w:sz w:val="16"/>
          <w:szCs w:val="16"/>
          <w:b w:val="1"/>
          <w:b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294005</wp:posOffset>
            </wp:positionH>
            <wp:positionV relativeFrom="page">
              <wp:posOffset>243205</wp:posOffset>
            </wp:positionV>
            <wp:extent cx="6969125" cy="90525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6969125"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603250</wp:posOffset>
            </wp:positionV>
            <wp:extent cx="5863590" cy="75520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52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603250</wp:posOffset>
            </wp:positionV>
            <wp:extent cx="5863590" cy="75863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863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o"/>
      <w:numFmt w:val="bullet"/>
      <w:start w:val="1"/>
    </w:lvl>
  </w:abstractNum>
  <w:abstractNum w:abstractNumId="1">
    <w:nsid w:val="2CA88611"/>
    <w:multiLevelType w:val="hybridMultilevel"/>
    <w:lvl w:ilvl="0">
      <w:lvlJc w:val="left"/>
      <w:lvlText w:val="x"/>
      <w:numFmt w:val="bullet"/>
      <w:start w:val="1"/>
    </w:lvl>
  </w:abstractNum>
  <w:abstractNum w:abstractNumId="2">
    <w:nsid w:val="836C40E"/>
    <w:multiLevelType w:val="hybridMultilevel"/>
    <w:lvl w:ilvl="0">
      <w:lvlJc w:val="left"/>
      <w:lvlText w:val="o"/>
      <w:numFmt w:val="bullet"/>
      <w:start w:val="1"/>
    </w:lvl>
  </w:abstractNum>
  <w:abstractNum w:abstractNumId="3">
    <w:nsid w:val="2901D82"/>
    <w:multiLevelType w:val="hybridMultilevel"/>
    <w:lvl w:ilvl="0">
      <w:lvlJc w:val="left"/>
      <w:lvlText w:val="x"/>
      <w:numFmt w:val="bullet"/>
      <w:start w:val="1"/>
    </w:lvl>
  </w:abstractNum>
  <w:abstractNum w:abstractNumId="4">
    <w:nsid w:val="3A95F874"/>
    <w:multiLevelType w:val="hybridMultilevel"/>
    <w:lvl w:ilvl="0">
      <w:lvlJc w:val="left"/>
      <w:lvlText w:val="o"/>
      <w:numFmt w:val="bullet"/>
      <w:start w:val="1"/>
    </w:lvl>
    <w:lvl w:ilvl="1">
      <w:lvlJc w:val="left"/>
      <w:lvlText w:val="(%2)"/>
      <w:numFmt w:val="decimal"/>
      <w:start w:val="1"/>
    </w:lvl>
  </w:abstractNum>
  <w:abstractNum w:abstractNumId="5">
    <w:nsid w:val="8138641"/>
    <w:multiLevelType w:val="hybridMultilevel"/>
    <w:lvl w:ilvl="0">
      <w:lvlJc w:val="left"/>
      <w:lvlText w:val="o"/>
      <w:numFmt w:val="bullet"/>
      <w:start w:val="1"/>
    </w:lvl>
  </w:abstractNum>
  <w:abstractNum w:abstractNumId="6">
    <w:nsid w:val="1E7FF521"/>
    <w:multiLevelType w:val="hybridMultilevel"/>
    <w:lvl w:ilvl="0">
      <w:lvlJc w:val="left"/>
      <w:lvlText w:val="o"/>
      <w:numFmt w:val="bullet"/>
      <w:start w:val="1"/>
    </w:lvl>
    <w:lvl w:ilvl="1">
      <w:lvlJc w:val="left"/>
      <w:lvlText w:val="(%2)"/>
      <w:numFmt w:val="decimal"/>
      <w:start w:val="1"/>
    </w:lvl>
  </w:abstractNum>
  <w:abstractNum w:abstractNumId="7">
    <w:nsid w:val="7C3DBD3D"/>
    <w:multiLevelType w:val="hybridMultilevel"/>
    <w:lvl w:ilvl="0">
      <w:lvlJc w:val="left"/>
      <w:lvlText w:val="%1."/>
      <w:numFmt w:val="decimal"/>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2"/>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4"/>
      <w:numFmt w:val="bullet"/>
      <w:start w:val="1"/>
    </w:lvl>
  </w:abstractNum>
  <w:abstractNum w:abstractNumId="14">
    <w:nsid w:val="419AC241"/>
    <w:multiLevelType w:val="hybridMultilevel"/>
    <w:lvl w:ilvl="0">
      <w:lvlJc w:val="left"/>
      <w:lvlText w:val="6"/>
      <w:numFmt w:val="bullet"/>
      <w:start w:val="1"/>
    </w:lvl>
  </w:abstractNum>
  <w:abstractNum w:abstractNumId="15">
    <w:nsid w:val="5577F8E1"/>
    <w:multiLevelType w:val="hybridMultilevel"/>
    <w:lvl w:ilvl="0">
      <w:lvlJc w:val="left"/>
      <w:lvlText w:val="•"/>
      <w:numFmt w:val="bullet"/>
      <w:start w:val="1"/>
    </w:lvl>
    <w:lvl w:ilvl="1">
      <w:lvlJc w:val="left"/>
      <w:lvlText w:val="◦"/>
      <w:numFmt w:val="bullet"/>
      <w:start w:val="1"/>
    </w:lvl>
  </w:abstractNum>
  <w:abstractNum w:abstractNumId="16">
    <w:nsid w:val="440BADFC"/>
    <w:multiLevelType w:val="hybridMultilevel"/>
    <w:lvl w:ilvl="0">
      <w:lvlJc w:val="left"/>
      <w:lvlText w:val="(%1)"/>
      <w:numFmt w:val="lowerRoman"/>
      <w:start w:val="2"/>
    </w:lvl>
  </w:abstractNum>
  <w:abstractNum w:abstractNumId="17">
    <w:nsid w:val="5072367"/>
    <w:multiLevelType w:val="hybridMultilevel"/>
    <w:lvl w:ilvl="0">
      <w:lvlJc w:val="left"/>
      <w:lvlText w:val="8"/>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lvl w:ilvl="1">
      <w:lvlJc w:val="left"/>
      <w:lvlText w:val="◦"/>
      <w:numFmt w:val="bullet"/>
      <w:start w:val="1"/>
    </w:lvl>
  </w:abstractNum>
  <w:abstractNum w:abstractNumId="24">
    <w:nsid w:val="51EAD36B"/>
    <w:multiLevelType w:val="hybridMultilevel"/>
    <w:lvl w:ilvl="0">
      <w:lvlJc w:val="left"/>
      <w:lvlText w:val="(%1)"/>
      <w:numFmt w:val="decimal"/>
      <w:start w:val="1"/>
    </w:lvl>
  </w:abstractNum>
  <w:abstractNum w:abstractNumId="25">
    <w:nsid w:val="2D517796"/>
    <w:multiLevelType w:val="hybridMultilevel"/>
    <w:lvl w:ilvl="0">
      <w:lvlJc w:val="left"/>
      <w:lvlText w:val="(%1)"/>
      <w:numFmt w:val="decimal"/>
      <w:start w:val="3"/>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1)"/>
      <w:numFmt w:val="decimal"/>
      <w:start w:val="1"/>
    </w:lvl>
    <w:lvl w:ilvl="1">
      <w:lvlJc w:val="left"/>
      <w:lvlText w:val="•"/>
      <w:numFmt w:val="bullet"/>
      <w:start w:val="1"/>
    </w:lvl>
  </w:abstractNum>
  <w:abstractNum w:abstractNumId="37">
    <w:nsid w:val="4B588F54"/>
    <w:multiLevelType w:val="hybridMultilevel"/>
    <w:lvl w:ilvl="0">
      <w:lvlJc w:val="left"/>
      <w:lvlText w:val="(%1)"/>
      <w:numFmt w:val="decimal"/>
      <w:start w:val="1"/>
    </w:lvl>
  </w:abstractNum>
  <w:abstractNum w:abstractNumId="38">
    <w:nsid w:val="542289EC"/>
    <w:multiLevelType w:val="hybridMultilevel"/>
    <w:lvl w:ilvl="0">
      <w:lvlJc w:val="left"/>
      <w:lvlText w:val="(%1)"/>
      <w:numFmt w:val="decimal"/>
      <w:start w:val="1"/>
    </w:lvl>
  </w:abstractNum>
  <w:abstractNum w:abstractNumId="39">
    <w:nsid w:val="6DE91B18"/>
    <w:multiLevelType w:val="hybridMultilevel"/>
    <w:lvl w:ilvl="0">
      <w:lvlJc w:val="left"/>
      <w:lvlText w:val="(%1)"/>
      <w:numFmt w:val="decimal"/>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1)"/>
      <w:numFmt w:val="decimal"/>
      <w:start w:val="1"/>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1)"/>
      <w:numFmt w:val="decimal"/>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1)"/>
      <w:numFmt w:val="lowerLetter"/>
      <w:start w:val="2"/>
    </w:lvl>
  </w:abstractNum>
  <w:abstractNum w:abstractNumId="47">
    <w:nsid w:val="1BA026FA"/>
    <w:multiLevelType w:val="hybridMultilevel"/>
    <w:lvl w:ilvl="0">
      <w:lvlJc w:val="left"/>
      <w:lvlText w:val="(%1)"/>
      <w:numFmt w:val="lowerLetter"/>
      <w:start w:val="2"/>
    </w:lvl>
  </w:abstractNum>
  <w:abstractNum w:abstractNumId="48">
    <w:nsid w:val="79A1DEAA"/>
    <w:multiLevelType w:val="hybridMultilevel"/>
    <w:lvl w:ilvl="0">
      <w:lvlJc w:val="left"/>
      <w:lvlText w:val="(%1)"/>
      <w:numFmt w:val="decimal"/>
      <w:start w:val="1"/>
    </w:lvl>
  </w:abstractNum>
  <w:abstractNum w:abstractNumId="49">
    <w:nsid w:val="75C6C33A"/>
    <w:multiLevelType w:val="hybridMultilevel"/>
    <w:lvl w:ilvl="0">
      <w:lvlJc w:val="left"/>
      <w:lvlText w:val="(%1)"/>
      <w:numFmt w:val="decimal"/>
      <w:start w:val="2"/>
    </w:lvl>
  </w:abstractNum>
  <w:abstractNum w:abstractNumId="50">
    <w:nsid w:val="12E685FB"/>
    <w:multiLevelType w:val="hybridMultilevel"/>
    <w:lvl w:ilvl="0">
      <w:lvlJc w:val="left"/>
      <w:lvlText w:val="*"/>
      <w:numFmt w:val="bullet"/>
      <w:start w:val="1"/>
    </w:lvl>
  </w:abstractNum>
  <w:abstractNum w:abstractNumId="51">
    <w:nsid w:val="70C6A529"/>
    <w:multiLevelType w:val="hybridMultilevel"/>
    <w:lvl w:ilvl="0">
      <w:lvlJc w:val="left"/>
      <w:lvlText w:val="(%1)"/>
      <w:numFmt w:val="decimal"/>
      <w:start w:val="1"/>
    </w:lvl>
  </w:abstractNum>
  <w:abstractNum w:abstractNumId="52">
    <w:nsid w:val="520EEDD1"/>
    <w:multiLevelType w:val="hybridMultilevel"/>
    <w:lvl w:ilvl="0">
      <w:lvlJc w:val="left"/>
      <w:lvlText w:val="(%1)"/>
      <w:numFmt w:val="decimal"/>
      <w:start w:val="5"/>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2022-03-14T09:11:35Z</dcterms:created>
  <dcterms:modified xsi:type="dcterms:W3CDTF">2022-03-14T09:11:35Z</dcterms:modified>
</cp:coreProperties>
</file>