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460375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486410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83"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10-Q</w:t>
      </w:r>
    </w:p>
    <w:p>
      <w:pPr>
        <w:spacing w:after="0" w:line="45"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9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49" w:lineRule="exact"/>
        <w:rPr>
          <w:sz w:val="24"/>
          <w:szCs w:val="24"/>
          <w:color w:val="auto"/>
        </w:rPr>
      </w:pPr>
    </w:p>
    <w:p>
      <w:pPr>
        <w:ind w:left="560" w:hanging="534"/>
        <w:spacing w:after="0"/>
        <w:tabs>
          <w:tab w:leader="none" w:pos="560" w:val="left"/>
        </w:tabs>
        <w:numPr>
          <w:ilvl w:val="0"/>
          <w:numId w:val="1"/>
        </w:numPr>
        <w:rPr>
          <w:rFonts w:ascii="MS PGothic" w:cs="MS PGothic" w:eastAsia="MS PGothic" w:hAnsi="MS PGothic"/>
          <w:sz w:val="27"/>
          <w:szCs w:val="27"/>
          <w:color w:val="auto"/>
        </w:rPr>
      </w:pPr>
      <w:r>
        <w:rPr>
          <w:rFonts w:ascii="Arial" w:cs="Arial" w:eastAsia="Arial" w:hAnsi="Arial"/>
          <w:sz w:val="20"/>
          <w:szCs w:val="20"/>
          <w:b w:val="1"/>
          <w:bCs w:val="1"/>
          <w:color w:val="auto"/>
        </w:rPr>
        <w:t>QUARTERLY</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62" w:lineRule="exact"/>
        <w:rPr>
          <w:sz w:val="24"/>
          <w:szCs w:val="24"/>
          <w:color w:val="auto"/>
        </w:rPr>
      </w:pPr>
    </w:p>
    <w:p>
      <w:pPr>
        <w:ind w:left="560" w:hanging="534"/>
        <w:spacing w:after="0"/>
        <w:tabs>
          <w:tab w:leader="none" w:pos="560" w:val="left"/>
        </w:tabs>
        <w:numPr>
          <w:ilvl w:val="0"/>
          <w:numId w:val="2"/>
        </w:numPr>
        <w:rPr>
          <w:rFonts w:ascii="MS PGothic" w:cs="MS PGothic" w:eastAsia="MS PGothic" w:hAnsi="MS PGothic"/>
          <w:sz w:val="23"/>
          <w:szCs w:val="23"/>
          <w:color w:val="auto"/>
        </w:rPr>
      </w:pPr>
      <w:r>
        <w:rPr>
          <w:rFonts w:ascii="Arial" w:cs="Arial" w:eastAsia="Arial" w:hAnsi="Arial"/>
          <w:sz w:val="20"/>
          <w:szCs w:val="20"/>
          <w:b w:val="1"/>
          <w:bCs w:val="1"/>
          <w:color w:val="auto"/>
        </w:rPr>
        <w:t>TRANSITION</w:t>
      </w:r>
      <w:r>
        <w:rPr>
          <w:rFonts w:ascii="Arial" w:cs="Arial" w:eastAsia="Arial" w:hAnsi="Arial"/>
          <w:sz w:val="39"/>
          <w:szCs w:val="39"/>
          <w:b w:val="1"/>
          <w:bCs w:val="1"/>
          <w:color w:val="auto"/>
          <w:vertAlign w:val="subscript"/>
        </w:rPr>
        <w:t>1934</w:t>
      </w:r>
      <w:r>
        <w:rPr>
          <w:rFonts w:ascii="Arial" w:cs="Arial" w:eastAsia="Arial" w:hAnsi="Arial"/>
          <w:sz w:val="20"/>
          <w:szCs w:val="20"/>
          <w:b w:val="1"/>
          <w:bCs w:val="1"/>
          <w:color w:val="auto"/>
        </w:rPr>
        <w:t xml:space="preserve"> REPORT PURSUANT TO SECTION 13 OR 15(d) OF THE SECURITIES EXCHANGE ACT OF</w:t>
      </w:r>
    </w:p>
    <w:p>
      <w:pPr>
        <w:spacing w:after="0" w:line="214" w:lineRule="exact"/>
        <w:rPr>
          <w:sz w:val="24"/>
          <w:szCs w:val="24"/>
          <w:color w:val="auto"/>
        </w:rPr>
      </w:pPr>
    </w:p>
    <w:p>
      <w:pPr>
        <w:ind w:left="3440"/>
        <w:spacing w:after="0"/>
        <w:tabs>
          <w:tab w:leader="none" w:pos="67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1-12981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0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AMETEK,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Delaware</w:t>
      </w:r>
    </w:p>
    <w:p>
      <w:pPr>
        <w:spacing w:after="0" w:line="2" w:lineRule="exact"/>
        <w:rPr>
          <w:sz w:val="24"/>
          <w:szCs w:val="24"/>
          <w:color w:val="auto"/>
        </w:rPr>
      </w:pPr>
    </w:p>
    <w:p>
      <w:pPr>
        <w:ind w:left="4720"/>
        <w:spacing w:after="0"/>
        <w:rPr>
          <w:sz w:val="20"/>
          <w:szCs w:val="20"/>
          <w:color w:val="auto"/>
        </w:rPr>
      </w:pPr>
      <w:r>
        <w:rPr>
          <w:rFonts w:ascii="Arial" w:cs="Arial" w:eastAsia="Arial" w:hAnsi="Arial"/>
          <w:sz w:val="14"/>
          <w:szCs w:val="14"/>
          <w:b w:val="1"/>
          <w:bCs w:val="1"/>
          <w:color w:val="auto"/>
        </w:rPr>
        <w:t>(State or other jurisdiction of</w:t>
      </w:r>
    </w:p>
    <w:p>
      <w:pPr>
        <w:spacing w:after="0" w:line="1" w:lineRule="exact"/>
        <w:rPr>
          <w:sz w:val="24"/>
          <w:szCs w:val="24"/>
          <w:color w:val="auto"/>
        </w:rPr>
      </w:pPr>
    </w:p>
    <w:p>
      <w:pPr>
        <w:ind w:left="4680"/>
        <w:spacing w:after="0"/>
        <w:rPr>
          <w:sz w:val="20"/>
          <w:szCs w:val="20"/>
          <w:color w:val="auto"/>
        </w:rPr>
      </w:pPr>
      <w:r>
        <w:rPr>
          <w:rFonts w:ascii="Arial" w:cs="Arial" w:eastAsia="Arial" w:hAnsi="Arial"/>
          <w:sz w:val="14"/>
          <w:szCs w:val="14"/>
          <w:b w:val="1"/>
          <w:bCs w:val="1"/>
          <w:color w:val="auto"/>
        </w:rPr>
        <w:t>incorporation or organization)</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1100 Cassatt Road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Berwyn, Pennsylvania</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14-1682544</w:t>
      </w:r>
    </w:p>
    <w:p>
      <w:pPr>
        <w:spacing w:after="0" w:line="1" w:lineRule="exact"/>
        <w:rPr>
          <w:sz w:val="24"/>
          <w:szCs w:val="24"/>
          <w:color w:val="auto"/>
        </w:rPr>
      </w:pPr>
    </w:p>
    <w:p>
      <w:pPr>
        <w:ind w:left="5100"/>
        <w:spacing w:after="0"/>
        <w:rPr>
          <w:sz w:val="20"/>
          <w:szCs w:val="20"/>
          <w:color w:val="auto"/>
        </w:rPr>
      </w:pPr>
      <w:r>
        <w:rPr>
          <w:rFonts w:ascii="Arial" w:cs="Arial" w:eastAsia="Arial" w:hAnsi="Arial"/>
          <w:sz w:val="14"/>
          <w:szCs w:val="14"/>
          <w:b w:val="1"/>
          <w:bCs w:val="1"/>
          <w:color w:val="auto"/>
        </w:rPr>
        <w:t>(I.R.S. Employer</w:t>
      </w:r>
    </w:p>
    <w:p>
      <w:pPr>
        <w:spacing w:after="0" w:line="1" w:lineRule="exact"/>
        <w:rPr>
          <w:sz w:val="24"/>
          <w:szCs w:val="24"/>
          <w:color w:val="auto"/>
        </w:rPr>
      </w:pPr>
    </w:p>
    <w:p>
      <w:pPr>
        <w:ind w:left="5060"/>
        <w:spacing w:after="0"/>
        <w:rPr>
          <w:sz w:val="20"/>
          <w:szCs w:val="20"/>
          <w:color w:val="auto"/>
        </w:rPr>
      </w:pPr>
      <w:r>
        <w:rPr>
          <w:rFonts w:ascii="Arial" w:cs="Arial" w:eastAsia="Arial" w:hAnsi="Arial"/>
          <w:sz w:val="14"/>
          <w:szCs w:val="14"/>
          <w:b w:val="1"/>
          <w:bCs w:val="1"/>
          <w:color w:val="auto"/>
        </w:rPr>
        <w:t>Identification No.)</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19312-1177</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(Zip Code)</w:t>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(610) 647-2121</w:t>
      </w:r>
    </w:p>
    <w:p>
      <w:pPr>
        <w:spacing w:after="0" w:line="117"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21"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780" w:type="dxa"/>
            <w:vAlign w:val="bottom"/>
          </w:tcPr>
          <w:p>
            <w:pPr>
              <w:ind w:left="280"/>
              <w:spacing w:after="0" w:line="181" w:lineRule="exact"/>
              <w:rPr>
                <w:sz w:val="20"/>
                <w:szCs w:val="20"/>
                <w:color w:val="auto"/>
              </w:rPr>
            </w:pPr>
            <w:r>
              <w:rPr>
                <w:rFonts w:ascii="MS PGothic" w:cs="MS PGothic" w:eastAsia="MS PGothic" w:hAnsi="MS PGothic"/>
                <w:sz w:val="18"/>
                <w:szCs w:val="18"/>
                <w:color w:val="auto"/>
              </w:rPr>
              <w:t>☒</w:t>
            </w:r>
          </w:p>
        </w:tc>
        <w:tc>
          <w:tcPr>
            <w:tcW w:w="3440" w:type="dxa"/>
            <w:vAlign w:val="bottom"/>
          </w:tcPr>
          <w:p>
            <w:pPr>
              <w:ind w:left="940"/>
              <w:spacing w:after="0"/>
              <w:rPr>
                <w:sz w:val="20"/>
                <w:szCs w:val="20"/>
                <w:color w:val="auto"/>
              </w:rPr>
            </w:pPr>
            <w:r>
              <w:rPr>
                <w:rFonts w:ascii="Arial" w:cs="Arial" w:eastAsia="Arial" w:hAnsi="Arial"/>
                <w:sz w:val="18"/>
                <w:szCs w:val="18"/>
                <w:color w:val="auto"/>
              </w:rPr>
              <w:t>Accelerated filer</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4780" w:type="dxa"/>
            <w:vAlign w:val="bottom"/>
          </w:tcPr>
          <w:p>
            <w:pPr>
              <w:ind w:left="2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440" w:type="dxa"/>
            <w:vAlign w:val="bottom"/>
          </w:tcPr>
          <w:p>
            <w:pPr>
              <w:ind w:left="940"/>
              <w:spacing w:after="0"/>
              <w:rPr>
                <w:sz w:val="20"/>
                <w:szCs w:val="20"/>
                <w:color w:val="auto"/>
              </w:rPr>
            </w:pPr>
            <w:r>
              <w:rPr>
                <w:rFonts w:ascii="Arial" w:cs="Arial" w:eastAsia="Arial" w:hAnsi="Arial"/>
                <w:sz w:val="18"/>
                <w:szCs w:val="18"/>
                <w:color w:val="auto"/>
              </w:rPr>
              <w:t>Smaller reporting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190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40" w:type="dxa"/>
            <w:vAlign w:val="bottom"/>
          </w:tcPr>
          <w:p>
            <w:pPr>
              <w:ind w:left="940"/>
              <w:spacing w:after="0"/>
              <w:rPr>
                <w:sz w:val="20"/>
                <w:szCs w:val="20"/>
                <w:color w:val="auto"/>
              </w:rPr>
            </w:pPr>
            <w:r>
              <w:rPr>
                <w:rFonts w:ascii="Arial" w:cs="Arial" w:eastAsia="Arial" w:hAnsi="Arial"/>
                <w:sz w:val="18"/>
                <w:szCs w:val="18"/>
                <w:color w:val="auto"/>
              </w:rPr>
              <w:t>Emerging growth company</w:t>
            </w:r>
          </w:p>
        </w:tc>
        <w:tc>
          <w:tcPr>
            <w:tcW w:w="680" w:type="dxa"/>
            <w:vAlign w:val="bottom"/>
          </w:tcPr>
          <w:p>
            <w:pPr>
              <w:ind w:left="5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74" w:lineRule="exact"/>
        <w:rPr>
          <w:sz w:val="24"/>
          <w:szCs w:val="24"/>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146"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_________________________</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ectPr>
          <w:pgSz w:w="11900" w:h="16838" w:orient="portrait"/>
          <w:cols w:equalWidth="0" w:num="1">
            <w:col w:w="11240"/>
          </w:cols>
          <w:pgMar w:left="320" w:top="233" w:right="339" w:bottom="285"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85"/>
        </w:trPr>
        <w:tc>
          <w:tcPr>
            <w:tcW w:w="376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89"/>
              </w:rPr>
              <w:t>Title of each class</w:t>
            </w: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Trading</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8"/>
        </w:trPr>
        <w:tc>
          <w:tcPr>
            <w:tcW w:w="3760" w:type="dxa"/>
            <w:vAlign w:val="bottom"/>
            <w:gridSpan w:val="2"/>
            <w:vMerge w:val="continue"/>
          </w:tcPr>
          <w:p>
            <w:pPr>
              <w:spacing w:after="0"/>
              <w:rPr>
                <w:sz w:val="16"/>
                <w:szCs w:val="16"/>
                <w:color w:val="auto"/>
              </w:rPr>
            </w:pPr>
          </w:p>
        </w:tc>
        <w:tc>
          <w:tcPr>
            <w:tcW w:w="37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Symbol(s)</w:t>
            </w: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9"/>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w:t>
            </w:r>
          </w:p>
        </w:tc>
        <w:tc>
          <w:tcPr>
            <w:tcW w:w="100" w:type="dxa"/>
            <w:vAlign w:val="bottom"/>
          </w:tcPr>
          <w:p>
            <w:pPr>
              <w:spacing w:after="0"/>
              <w:rPr>
                <w:sz w:val="19"/>
                <w:szCs w:val="19"/>
                <w:color w:val="auto"/>
              </w:rPr>
            </w:pPr>
          </w:p>
        </w:tc>
        <w:tc>
          <w:tcPr>
            <w:tcW w:w="36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AME</w:t>
            </w: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The number of shares of the registrant’s common stock outstanding as of the latest practicable date was: Common Stock, $0.01 Par Value, outstanding at April 30, 2021 was 230,919,176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74295</wp:posOffset>
            </wp:positionV>
            <wp:extent cx="7115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100330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560" w:type="dxa"/>
            <w:vAlign w:val="bottom"/>
            <w:gridSpan w:val="2"/>
          </w:tcPr>
          <w:p>
            <w:pPr>
              <w:ind w:left="600"/>
              <w:spacing w:after="0"/>
              <w:rPr>
                <w:sz w:val="20"/>
                <w:szCs w:val="20"/>
                <w:color w:val="auto"/>
              </w:rPr>
            </w:pPr>
            <w:r>
              <w:rPr>
                <w:rFonts w:ascii="Arial" w:cs="Arial" w:eastAsia="Arial" w:hAnsi="Arial"/>
                <w:sz w:val="14"/>
                <w:szCs w:val="14"/>
                <w:b w:val="1"/>
                <w:bCs w:val="1"/>
                <w:color w:val="auto"/>
              </w:rPr>
              <w:t>Page</w:t>
            </w:r>
          </w:p>
        </w:tc>
      </w:tr>
      <w:tr>
        <w:trPr>
          <w:trHeight w:val="270"/>
        </w:trPr>
        <w:tc>
          <w:tcPr>
            <w:tcW w:w="20" w:type="dxa"/>
            <w:vAlign w:val="bottom"/>
          </w:tcPr>
          <w:p>
            <w:pPr>
              <w:spacing w:after="0"/>
              <w:rPr>
                <w:sz w:val="23"/>
                <w:szCs w:val="23"/>
                <w:color w:val="auto"/>
              </w:rPr>
            </w:pPr>
          </w:p>
        </w:tc>
        <w:tc>
          <w:tcPr>
            <w:tcW w:w="9660" w:type="dxa"/>
            <w:vAlign w:val="bottom"/>
            <w:gridSpan w:val="18"/>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 FINANCIAL INFORMATION</w:t>
              </w:r>
            </w:hyperlink>
          </w:p>
        </w:tc>
        <w:tc>
          <w:tcPr>
            <w:tcW w:w="152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2600" w:type="dxa"/>
            <w:vAlign w:val="bottom"/>
            <w:tcBorders>
              <w:top w:val="single" w:sz="8" w:color="0000FF"/>
            </w:tcBorders>
            <w:gridSpan w:val="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1.Financial Statements</w:t>
              </w:r>
            </w:hyperlink>
          </w:p>
        </w:tc>
        <w:tc>
          <w:tcPr>
            <w:tcW w:w="6600" w:type="dxa"/>
            <w:vAlign w:val="bottom"/>
            <w:gridSpan w:val="9"/>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360" w:type="dxa"/>
            <w:vAlign w:val="bottom"/>
            <w:tcBorders>
              <w:bottom w:val="single" w:sz="8" w:color="0000FF"/>
            </w:tcBorders>
            <w:gridSpan w:val="11"/>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Consolidated Statement of Income for the three months ended March 31, </w:t>
              </w:r>
            </w:hyperlink>
            <w:r>
              <w:rPr>
                <w:rFonts w:ascii="Arial" w:cs="Arial" w:eastAsia="Arial" w:hAnsi="Arial"/>
                <w:sz w:val="18"/>
                <w:szCs w:val="18"/>
                <w:color w:val="0000FF"/>
                <w:w w:val="89"/>
              </w:rPr>
              <w:t xml:space="preserve">2021 </w:t>
            </w:r>
            <w:hyperlink w:anchor="page4">
              <w:r>
                <w:rPr>
                  <w:rFonts w:ascii="Arial" w:cs="Arial" w:eastAsia="Arial" w:hAnsi="Arial"/>
                  <w:sz w:val="18"/>
                  <w:szCs w:val="18"/>
                  <w:color w:val="0000FF"/>
                  <w:w w:val="89"/>
                </w:rPr>
                <w:t xml:space="preserve">and </w:t>
              </w:r>
            </w:hyperlink>
            <w:r>
              <w:rPr>
                <w:rFonts w:ascii="Arial" w:cs="Arial" w:eastAsia="Arial" w:hAnsi="Arial"/>
                <w:sz w:val="18"/>
                <w:szCs w:val="18"/>
                <w:color w:val="0000FF"/>
                <w:w w:val="89"/>
              </w:rPr>
              <w:t>2020</w:t>
            </w:r>
          </w:p>
        </w:tc>
        <w:tc>
          <w:tcPr>
            <w:tcW w:w="2640" w:type="dxa"/>
            <w:vAlign w:val="bottom"/>
            <w:gridSpan w:val="5"/>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c>
          <w:tcPr>
            <w:tcW w:w="4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380" w:type="dxa"/>
            <w:vAlign w:val="bottom"/>
            <w:tcBorders>
              <w:bottom w:val="single" w:sz="8" w:color="0000FF"/>
            </w:tcBorders>
            <w:gridSpan w:val="15"/>
          </w:tcPr>
          <w:p>
            <w:pPr>
              <w:spacing w:after="0"/>
              <w:rPr>
                <w:rFonts w:ascii="Arial" w:cs="Arial" w:eastAsia="Arial" w:hAnsi="Arial"/>
                <w:sz w:val="18"/>
                <w:szCs w:val="18"/>
                <w:color w:val="0000FF"/>
                <w:w w:val="89"/>
              </w:rPr>
            </w:pPr>
            <w:hyperlink w:anchor="page4">
              <w:r>
                <w:rPr>
                  <w:rFonts w:ascii="Arial" w:cs="Arial" w:eastAsia="Arial" w:hAnsi="Arial"/>
                  <w:sz w:val="18"/>
                  <w:szCs w:val="18"/>
                  <w:color w:val="0000FF"/>
                  <w:w w:val="89"/>
                </w:rPr>
                <w:t xml:space="preserve">Condensed Consolidated Statement of Comprehensive Income for the three months ended March 31, 2021 and </w:t>
              </w:r>
            </w:hyperlink>
            <w:r>
              <w:rPr>
                <w:rFonts w:ascii="Arial" w:cs="Arial" w:eastAsia="Arial" w:hAnsi="Arial"/>
                <w:sz w:val="18"/>
                <w:szCs w:val="18"/>
                <w:color w:val="0000FF"/>
                <w:w w:val="89"/>
              </w:rPr>
              <w:t>2020</w:t>
            </w:r>
          </w:p>
        </w:tc>
        <w:tc>
          <w:tcPr>
            <w:tcW w:w="620" w:type="dxa"/>
            <w:vAlign w:val="bottom"/>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c>
          <w:tcPr>
            <w:tcW w:w="4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0" w:type="dxa"/>
            <w:vAlign w:val="bottom"/>
            <w:gridSpan w:val="16"/>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 xml:space="preserve">Consolidated Balance Sheet at March 31, 2021 and December 31, </w:t>
              </w:r>
            </w:hyperlink>
            <w:r>
              <w:rPr>
                <w:rFonts w:ascii="Arial" w:cs="Arial" w:eastAsia="Arial" w:hAnsi="Arial"/>
                <w:sz w:val="18"/>
                <w:szCs w:val="18"/>
                <w:color w:val="0000FF"/>
              </w:rPr>
              <w:t>2020</w:t>
            </w:r>
          </w:p>
        </w:tc>
        <w:tc>
          <w:tcPr>
            <w:tcW w:w="152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0" w:type="dxa"/>
            <w:vAlign w:val="bottom"/>
            <w:gridSpan w:val="16"/>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Consolidated Statement of Stockholders’ Equity for the three months ended March 31, 2021 and </w:t>
              </w:r>
            </w:hyperlink>
            <w:r>
              <w:rPr>
                <w:rFonts w:ascii="Arial" w:cs="Arial" w:eastAsia="Arial" w:hAnsi="Arial"/>
                <w:sz w:val="18"/>
                <w:szCs w:val="18"/>
                <w:color w:val="0000FF"/>
              </w:rPr>
              <w:t>2020</w:t>
            </w:r>
          </w:p>
        </w:tc>
        <w:tc>
          <w:tcPr>
            <w:tcW w:w="1520" w:type="dxa"/>
            <w:vAlign w:val="bottom"/>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2120" w:type="dxa"/>
            <w:vAlign w:val="bottom"/>
            <w:gridSpan w:val="3"/>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 of Cash Flows for the three months ended March 31, 2021 and </w:t>
              </w:r>
            </w:hyperlink>
            <w:r>
              <w:rPr>
                <w:rFonts w:ascii="Arial" w:cs="Arial" w:eastAsia="Arial" w:hAnsi="Arial"/>
                <w:sz w:val="18"/>
                <w:szCs w:val="18"/>
                <w:color w:val="0000FF"/>
              </w:rPr>
              <w:t>2020</w:t>
            </w:r>
          </w:p>
        </w:tc>
        <w:tc>
          <w:tcPr>
            <w:tcW w:w="152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8</w:t>
              </w:r>
            </w:hyperlink>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500" w:type="dxa"/>
            <w:vAlign w:val="bottom"/>
            <w:tcBorders>
              <w:top w:val="single" w:sz="8" w:color="0000FF"/>
            </w:tcBorders>
            <w:gridSpan w:val="14"/>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Notes to Consolidated Financial Statements</w:t>
              </w:r>
            </w:hyperlink>
          </w:p>
        </w:tc>
        <w:tc>
          <w:tcPr>
            <w:tcW w:w="1500" w:type="dxa"/>
            <w:vAlign w:val="bottom"/>
            <w:gridSpan w:val="2"/>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9</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120" w:type="dxa"/>
            <w:vAlign w:val="bottom"/>
            <w:gridSpan w:val="3"/>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960" w:type="dxa"/>
            <w:vAlign w:val="bottom"/>
            <w:tcBorders>
              <w:bottom w:val="single" w:sz="8" w:color="0000FF"/>
            </w:tcBorders>
            <w:gridSpan w:val="13"/>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2.Management’s Discussion and Analysis of Financial Condition and Results of Operations</w:t>
              </w:r>
            </w:hyperlink>
          </w:p>
        </w:tc>
        <w:tc>
          <w:tcPr>
            <w:tcW w:w="2240" w:type="dxa"/>
            <w:vAlign w:val="bottom"/>
            <w:gridSpan w:val="4"/>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20">
              <w:r>
                <w:rPr>
                  <w:rFonts w:ascii="Arial" w:cs="Arial" w:eastAsia="Arial" w:hAnsi="Arial"/>
                  <w:sz w:val="18"/>
                  <w:szCs w:val="18"/>
                  <w:color w:val="auto"/>
                </w:rPr>
                <w:t>21</w:t>
              </w:r>
            </w:hyperlink>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80" w:type="dxa"/>
            <w:vAlign w:val="bottom"/>
            <w:tcBorders>
              <w:bottom w:val="single" w:sz="8" w:color="0000FF"/>
            </w:tcBorders>
            <w:gridSpan w:val="6"/>
          </w:tcPr>
          <w:p>
            <w:pPr>
              <w:spacing w:after="0"/>
              <w:rPr>
                <w:rFonts w:ascii="Arial" w:cs="Arial" w:eastAsia="Arial" w:hAnsi="Arial"/>
                <w:sz w:val="18"/>
                <w:szCs w:val="18"/>
                <w:color w:val="0000FF"/>
                <w:w w:val="88"/>
              </w:rPr>
            </w:pPr>
            <w:hyperlink w:anchor="page24">
              <w:r>
                <w:rPr>
                  <w:rFonts w:ascii="Arial" w:cs="Arial" w:eastAsia="Arial" w:hAnsi="Arial"/>
                  <w:sz w:val="18"/>
                  <w:szCs w:val="18"/>
                  <w:color w:val="0000FF"/>
                  <w:w w:val="88"/>
                </w:rPr>
                <w:t>Item 4.Controls and Procedures</w:t>
              </w:r>
            </w:hyperlink>
          </w:p>
        </w:tc>
        <w:tc>
          <w:tcPr>
            <w:tcW w:w="6920" w:type="dxa"/>
            <w:vAlign w:val="bottom"/>
            <w:gridSpan w:val="11"/>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24">
              <w:r>
                <w:rPr>
                  <w:rFonts w:ascii="Arial" w:cs="Arial" w:eastAsia="Arial" w:hAnsi="Arial"/>
                  <w:sz w:val="18"/>
                  <w:szCs w:val="18"/>
                  <w:color w:val="auto"/>
                </w:rPr>
                <w:t>24</w:t>
              </w:r>
            </w:hyperlink>
          </w:p>
        </w:tc>
        <w:tc>
          <w:tcPr>
            <w:tcW w:w="40" w:type="dxa"/>
            <w:vAlign w:val="bottom"/>
          </w:tcPr>
          <w:p>
            <w:pPr>
              <w:spacing w:after="0"/>
              <w:rPr>
                <w:sz w:val="18"/>
                <w:szCs w:val="18"/>
                <w:color w:val="auto"/>
              </w:rPr>
            </w:pPr>
          </w:p>
        </w:tc>
      </w:tr>
      <w:tr>
        <w:trPr>
          <w:trHeight w:val="304"/>
        </w:trPr>
        <w:tc>
          <w:tcPr>
            <w:tcW w:w="2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b w:val="1"/>
                <w:bCs w:val="1"/>
                <w:color w:val="0000FF"/>
              </w:rPr>
            </w:pPr>
            <w:hyperlink w:anchor="page24">
              <w:r>
                <w:rPr>
                  <w:rFonts w:ascii="Arial" w:cs="Arial" w:eastAsia="Arial" w:hAnsi="Arial"/>
                  <w:sz w:val="18"/>
                  <w:szCs w:val="18"/>
                  <w:b w:val="1"/>
                  <w:bCs w:val="1"/>
                  <w:color w:val="0000FF"/>
                </w:rPr>
                <w:t>PART II. OTHER INFORMATION</w:t>
              </w:r>
            </w:hyperlink>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04"/>
        </w:trPr>
        <w:tc>
          <w:tcPr>
            <w:tcW w:w="20" w:type="dxa"/>
            <w:vAlign w:val="bottom"/>
          </w:tcPr>
          <w:p>
            <w:pPr>
              <w:spacing w:after="0"/>
              <w:rPr>
                <w:sz w:val="24"/>
                <w:szCs w:val="24"/>
                <w:color w:val="auto"/>
              </w:rPr>
            </w:pPr>
          </w:p>
        </w:tc>
        <w:tc>
          <w:tcPr>
            <w:tcW w:w="460" w:type="dxa"/>
            <w:vAlign w:val="bottom"/>
            <w:tcBorders>
              <w:top w:val="single" w:sz="8" w:color="0000FF"/>
            </w:tcBorders>
          </w:tcPr>
          <w:p>
            <w:pPr>
              <w:spacing w:after="0"/>
              <w:rPr>
                <w:sz w:val="24"/>
                <w:szCs w:val="24"/>
                <w:color w:val="auto"/>
              </w:rPr>
            </w:pPr>
          </w:p>
        </w:tc>
        <w:tc>
          <w:tcPr>
            <w:tcW w:w="1540" w:type="dxa"/>
            <w:vAlign w:val="bottom"/>
            <w:tcBorders>
              <w:top w:val="single" w:sz="8" w:color="0000FF"/>
              <w:bottom w:val="single" w:sz="8" w:color="0000FF"/>
            </w:tcBorders>
            <w:gridSpan w:val="4"/>
          </w:tcPr>
          <w:p>
            <w:pPr>
              <w:spacing w:after="0"/>
              <w:rPr>
                <w:rFonts w:ascii="Arial" w:cs="Arial" w:eastAsia="Arial" w:hAnsi="Arial"/>
                <w:sz w:val="18"/>
                <w:szCs w:val="18"/>
                <w:color w:val="0000FF"/>
                <w:w w:val="90"/>
              </w:rPr>
            </w:pPr>
            <w:hyperlink w:anchor="page25">
              <w:r>
                <w:rPr>
                  <w:rFonts w:ascii="Arial" w:cs="Arial" w:eastAsia="Arial" w:hAnsi="Arial"/>
                  <w:sz w:val="18"/>
                  <w:szCs w:val="18"/>
                  <w:color w:val="0000FF"/>
                  <w:w w:val="90"/>
                </w:rPr>
                <w:t>Item 1A.Risk Factors</w:t>
              </w:r>
            </w:hyperlink>
          </w:p>
        </w:tc>
        <w:tc>
          <w:tcPr>
            <w:tcW w:w="760" w:type="dxa"/>
            <w:vAlign w:val="bottom"/>
            <w:tcBorders>
              <w:top w:val="single" w:sz="8" w:color="0000FF"/>
            </w:tcBorders>
            <w:gridSpan w:val="3"/>
          </w:tcPr>
          <w:p>
            <w:pPr>
              <w:spacing w:after="0"/>
              <w:rPr>
                <w:sz w:val="24"/>
                <w:szCs w:val="24"/>
                <w:color w:val="auto"/>
              </w:rPr>
            </w:pPr>
          </w:p>
        </w:tc>
        <w:tc>
          <w:tcPr>
            <w:tcW w:w="6900" w:type="dxa"/>
            <w:vAlign w:val="bottom"/>
            <w:gridSpan w:val="10"/>
          </w:tcPr>
          <w:p>
            <w:pPr>
              <w:spacing w:after="0"/>
              <w:rPr>
                <w:sz w:val="24"/>
                <w:szCs w:val="24"/>
                <w:color w:val="auto"/>
              </w:rPr>
            </w:pPr>
          </w:p>
        </w:tc>
        <w:tc>
          <w:tcPr>
            <w:tcW w:w="15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4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0" w:type="dxa"/>
            <w:vAlign w:val="bottom"/>
            <w:gridSpan w:val="17"/>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2.Unregistered Sales of Equity Securities and Use of Proceeds</w:t>
              </w:r>
            </w:hyperlink>
          </w:p>
        </w:tc>
        <w:tc>
          <w:tcPr>
            <w:tcW w:w="15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25</w:t>
              </w:r>
            </w:hyperlink>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40" w:type="dxa"/>
            <w:vAlign w:val="bottom"/>
            <w:tcBorders>
              <w:top w:val="single" w:sz="8" w:color="0000FF"/>
            </w:tcBorders>
            <w:gridSpan w:val="10"/>
          </w:tcPr>
          <w:p>
            <w:pPr>
              <w:spacing w:after="0"/>
              <w:rPr>
                <w:rFonts w:ascii="Arial" w:cs="Arial" w:eastAsia="Arial" w:hAnsi="Arial"/>
                <w:sz w:val="18"/>
                <w:szCs w:val="18"/>
                <w:color w:val="0000FF"/>
              </w:rPr>
            </w:pPr>
            <w:hyperlink w:anchor="page25">
              <w:r>
                <w:rPr>
                  <w:rFonts w:ascii="Arial" w:cs="Arial" w:eastAsia="Arial" w:hAnsi="Arial"/>
                  <w:sz w:val="18"/>
                  <w:szCs w:val="18"/>
                  <w:color w:val="0000FF"/>
                </w:rPr>
                <w:t>Item 6.Exhibits</w:t>
              </w:r>
            </w:hyperlink>
          </w:p>
        </w:tc>
        <w:tc>
          <w:tcPr>
            <w:tcW w:w="4360" w:type="dxa"/>
            <w:vAlign w:val="bottom"/>
            <w:gridSpan w:val="7"/>
          </w:tcPr>
          <w:p>
            <w:pPr>
              <w:spacing w:after="0"/>
              <w:rPr>
                <w:sz w:val="18"/>
                <w:szCs w:val="18"/>
                <w:color w:val="auto"/>
              </w:rPr>
            </w:pPr>
          </w:p>
        </w:tc>
        <w:tc>
          <w:tcPr>
            <w:tcW w:w="1520" w:type="dxa"/>
            <w:vAlign w:val="bottom"/>
          </w:tcPr>
          <w:p>
            <w:pPr>
              <w:jc w:val="right"/>
              <w:spacing w:after="0"/>
              <w:rPr>
                <w:rFonts w:ascii="Arial" w:cs="Arial" w:eastAsia="Arial" w:hAnsi="Arial"/>
                <w:sz w:val="18"/>
                <w:szCs w:val="18"/>
                <w:color w:val="auto"/>
              </w:rPr>
            </w:pPr>
            <w:hyperlink w:anchor="page25">
              <w:r>
                <w:rPr>
                  <w:rFonts w:ascii="Arial" w:cs="Arial" w:eastAsia="Arial" w:hAnsi="Arial"/>
                  <w:sz w:val="18"/>
                  <w:szCs w:val="18"/>
                  <w:color w:val="auto"/>
                </w:rPr>
                <w:t>26</w:t>
              </w:r>
            </w:hyperlink>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8100" w:type="dxa"/>
            <w:vAlign w:val="bottom"/>
            <w:gridSpan w:val="14"/>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9660" w:type="dxa"/>
            <w:vAlign w:val="bottom"/>
            <w:gridSpan w:val="18"/>
          </w:tcPr>
          <w:p>
            <w:pPr>
              <w:spacing w:after="0"/>
              <w:rPr>
                <w:rFonts w:ascii="Arial" w:cs="Arial" w:eastAsia="Arial" w:hAnsi="Arial"/>
                <w:sz w:val="18"/>
                <w:szCs w:val="18"/>
                <w:b w:val="1"/>
                <w:bCs w:val="1"/>
                <w:color w:val="0000FF"/>
              </w:rPr>
            </w:pPr>
            <w:hyperlink w:anchor="page26">
              <w:r>
                <w:rPr>
                  <w:rFonts w:ascii="Arial" w:cs="Arial" w:eastAsia="Arial" w:hAnsi="Arial"/>
                  <w:sz w:val="18"/>
                  <w:szCs w:val="18"/>
                  <w:b w:val="1"/>
                  <w:bCs w:val="1"/>
                  <w:color w:val="0000FF"/>
                </w:rPr>
                <w:t>SIGNATURES</w:t>
              </w:r>
            </w:hyperlink>
          </w:p>
        </w:tc>
        <w:tc>
          <w:tcPr>
            <w:tcW w:w="1520" w:type="dxa"/>
            <w:vAlign w:val="bottom"/>
          </w:tcPr>
          <w:p>
            <w:pPr>
              <w:jc w:val="right"/>
              <w:spacing w:after="0"/>
              <w:rPr>
                <w:rFonts w:ascii="Arial" w:cs="Arial" w:eastAsia="Arial" w:hAnsi="Arial"/>
                <w:sz w:val="18"/>
                <w:szCs w:val="18"/>
                <w:color w:val="auto"/>
              </w:rPr>
            </w:pPr>
            <w:hyperlink w:anchor="page26">
              <w:r>
                <w:rPr>
                  <w:rFonts w:ascii="Arial" w:cs="Arial" w:eastAsia="Arial" w:hAnsi="Arial"/>
                  <w:sz w:val="18"/>
                  <w:szCs w:val="18"/>
                  <w:color w:val="auto"/>
                </w:rPr>
                <w:t>27</w:t>
              </w:r>
            </w:hyperlink>
          </w:p>
        </w:tc>
        <w:tc>
          <w:tcPr>
            <w:tcW w:w="40" w:type="dxa"/>
            <w:vAlign w:val="bottom"/>
          </w:tcPr>
          <w:p>
            <w:pPr>
              <w:spacing w:after="0"/>
              <w:rPr>
                <w:sz w:val="24"/>
                <w:szCs w:val="24"/>
                <w:color w:val="auto"/>
              </w:rPr>
            </w:pPr>
          </w:p>
        </w:tc>
      </w:tr>
      <w:tr>
        <w:trPr>
          <w:trHeight w:val="871"/>
        </w:trPr>
        <w:tc>
          <w:tcPr>
            <w:tcW w:w="20" w:type="dxa"/>
            <w:vAlign w:val="bottom"/>
          </w:tcPr>
          <w:p>
            <w:pPr>
              <w:spacing w:after="0"/>
              <w:rPr>
                <w:sz w:val="24"/>
                <w:szCs w:val="24"/>
                <w:color w:val="auto"/>
              </w:rPr>
            </w:pPr>
          </w:p>
        </w:tc>
        <w:tc>
          <w:tcPr>
            <w:tcW w:w="1160" w:type="dxa"/>
            <w:vAlign w:val="bottom"/>
            <w:tcBorders>
              <w:top w:val="single" w:sz="8" w:color="0000FF"/>
            </w:tcBorders>
            <w:gridSpan w:val="3"/>
          </w:tcPr>
          <w:p>
            <w:pPr>
              <w:spacing w:after="0"/>
              <w:rPr>
                <w:sz w:val="24"/>
                <w:szCs w:val="24"/>
                <w:color w:val="auto"/>
              </w:rPr>
            </w:pPr>
          </w:p>
        </w:tc>
        <w:tc>
          <w:tcPr>
            <w:tcW w:w="4640" w:type="dxa"/>
            <w:vAlign w:val="bottom"/>
            <w:gridSpan w:val="9"/>
          </w:tcPr>
          <w:p>
            <w:pPr>
              <w:jc w:val="right"/>
              <w:ind w:right="160"/>
              <w:spacing w:after="0"/>
              <w:rPr>
                <w:sz w:val="20"/>
                <w:szCs w:val="20"/>
                <w:color w:val="auto"/>
              </w:rPr>
            </w:pPr>
            <w:r>
              <w:rPr>
                <w:rFonts w:ascii="Arial" w:cs="Arial" w:eastAsia="Arial" w:hAnsi="Arial"/>
                <w:sz w:val="18"/>
                <w:szCs w:val="18"/>
                <w:color w:val="auto"/>
              </w:rPr>
              <w:t>2</w:t>
            </w: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50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Borders>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1,215,742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1,202,218</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789,392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824,647</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133,005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145,531</w:t>
            </w:r>
          </w:p>
        </w:tc>
        <w:tc>
          <w:tcPr>
            <w:tcW w:w="0" w:type="dxa"/>
            <w:vAlign w:val="bottom"/>
          </w:tcPr>
          <w:p>
            <w:pPr>
              <w:spacing w:after="0"/>
              <w:rPr>
                <w:sz w:val="1"/>
                <w:szCs w:val="1"/>
                <w:color w:val="auto"/>
              </w:rPr>
            </w:pPr>
          </w:p>
        </w:tc>
      </w:tr>
      <w:tr>
        <w:trPr>
          <w:trHeight w:val="22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922,397</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970,178</w:t>
            </w:r>
          </w:p>
        </w:tc>
        <w:tc>
          <w:tcPr>
            <w:tcW w:w="0" w:type="dxa"/>
            <w:vAlign w:val="bottom"/>
          </w:tcPr>
          <w:p>
            <w:pPr>
              <w:spacing w:after="0"/>
              <w:rPr>
                <w:sz w:val="1"/>
                <w:szCs w:val="1"/>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293,345</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232,040</w:t>
            </w:r>
          </w:p>
        </w:tc>
        <w:tc>
          <w:tcPr>
            <w:tcW w:w="0" w:type="dxa"/>
            <w:vAlign w:val="bottom"/>
          </w:tcPr>
          <w:p>
            <w:pPr>
              <w:spacing w:after="0"/>
              <w:rPr>
                <w:sz w:val="1"/>
                <w:szCs w:val="1"/>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(18,947)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(22,741)</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141,776</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272,456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351,075</w:t>
            </w:r>
          </w:p>
        </w:tc>
        <w:tc>
          <w:tcPr>
            <w:tcW w:w="0" w:type="dxa"/>
            <w:vAlign w:val="bottom"/>
          </w:tcPr>
          <w:p>
            <w:pPr>
              <w:spacing w:after="0"/>
              <w:rPr>
                <w:sz w:val="1"/>
                <w:szCs w:val="1"/>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53,223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70,459</w:t>
            </w:r>
          </w:p>
        </w:tc>
        <w:tc>
          <w:tcPr>
            <w:tcW w:w="0" w:type="dxa"/>
            <w:vAlign w:val="bottom"/>
          </w:tcPr>
          <w:p>
            <w:pPr>
              <w:spacing w:after="0"/>
              <w:rPr>
                <w:sz w:val="1"/>
                <w:szCs w:val="1"/>
                <w:color w:val="auto"/>
              </w:rPr>
            </w:pP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219,233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280,616</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0.94</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Weighted average common shares outstanding:</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Basic shares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230,435</w:t>
            </w:r>
          </w:p>
        </w:tc>
        <w:tc>
          <w:tcPr>
            <w:tcW w:w="12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228,962</w:t>
            </w:r>
          </w:p>
        </w:tc>
        <w:tc>
          <w:tcPr>
            <w:tcW w:w="0" w:type="dxa"/>
            <w:vAlign w:val="bottom"/>
          </w:tcPr>
          <w:p>
            <w:pPr>
              <w:spacing w:after="0"/>
              <w:rPr>
                <w:sz w:val="1"/>
                <w:szCs w:val="1"/>
                <w:color w:val="auto"/>
              </w:rPr>
            </w:pP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808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 shares</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232,296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230,872</w:t>
            </w:r>
          </w:p>
        </w:tc>
        <w:tc>
          <w:tcPr>
            <w:tcW w:w="0" w:type="dxa"/>
            <w:vAlign w:val="bottom"/>
          </w:tcPr>
          <w:p>
            <w:pPr>
              <w:spacing w:after="0"/>
              <w:rPr>
                <w:sz w:val="1"/>
                <w:szCs w:val="1"/>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80" w:type="dxa"/>
            <w:vAlign w:val="bottom"/>
          </w:tcPr>
          <w:p>
            <w:pPr>
              <w:ind w:left="20"/>
              <w:spacing w:after="0" w:line="203" w:lineRule="exact"/>
              <w:rPr>
                <w:sz w:val="20"/>
                <w:szCs w:val="20"/>
                <w:color w:val="auto"/>
              </w:rPr>
            </w:pPr>
            <w:r>
              <w:rPr>
                <w:rFonts w:ascii="Arial" w:cs="Arial" w:eastAsia="Arial" w:hAnsi="Arial"/>
                <w:sz w:val="18"/>
                <w:szCs w:val="18"/>
                <w:color w:val="auto"/>
              </w:rPr>
              <w:t>Dividends declared and paid per share</w:t>
            </w: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0.20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0.18</w:t>
            </w:r>
          </w:p>
        </w:tc>
        <w:tc>
          <w:tcPr>
            <w:tcW w:w="0" w:type="dxa"/>
            <w:vAlign w:val="bottom"/>
          </w:tcPr>
          <w:p>
            <w:pPr>
              <w:spacing w:after="0"/>
              <w:rPr>
                <w:sz w:val="1"/>
                <w:szCs w:val="1"/>
                <w:color w:val="auto"/>
              </w:rPr>
            </w:pP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 of Comprehensive Income</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jc w:val="center"/>
        <w:ind w:left="8680"/>
        <w:spacing w:after="0"/>
        <w:rPr>
          <w:sz w:val="20"/>
          <w:szCs w:val="20"/>
          <w:color w:val="auto"/>
        </w:rPr>
      </w:pPr>
      <w:r>
        <w:rPr>
          <w:rFonts w:ascii="Arial" w:cs="Arial" w:eastAsia="Arial" w:hAnsi="Arial"/>
          <w:sz w:val="14"/>
          <w:szCs w:val="14"/>
          <w:b w:val="1"/>
          <w:bCs w:val="1"/>
          <w:color w:val="auto"/>
        </w:rPr>
        <w:t>Three Months Ended</w:t>
      </w:r>
    </w:p>
    <w:p>
      <w:pPr>
        <w:jc w:val="center"/>
        <w:ind w:left="8680"/>
        <w:spacing w:after="0"/>
        <w:rPr>
          <w:sz w:val="20"/>
          <w:szCs w:val="20"/>
          <w:color w:val="auto"/>
        </w:rPr>
      </w:pPr>
      <w:r>
        <w:rPr>
          <w:rFonts w:ascii="Arial" w:cs="Arial" w:eastAsia="Arial" w:hAnsi="Arial"/>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13335</wp:posOffset>
            </wp:positionV>
            <wp:extent cx="1602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6" w:lineRule="exact"/>
        <w:rPr>
          <w:sz w:val="20"/>
          <w:szCs w:val="20"/>
          <w:color w:val="auto"/>
        </w:rPr>
      </w:pPr>
    </w:p>
    <w:p>
      <w:pPr>
        <w:ind w:left="9200"/>
        <w:spacing w:after="0"/>
        <w:tabs>
          <w:tab w:leader="none" w:pos="104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32" w:lineRule="exact"/>
        <w:rPr>
          <w:sz w:val="20"/>
          <w:szCs w:val="20"/>
          <w:color w:val="auto"/>
        </w:rPr>
      </w:pPr>
    </w:p>
    <w:p>
      <w:pPr>
        <w:ind w:left="20"/>
        <w:spacing w:after="0"/>
        <w:tabs>
          <w:tab w:leader="none" w:pos="8720" w:val="left"/>
          <w:tab w:leader="none" w:pos="9280" w:val="left"/>
          <w:tab w:leader="none" w:pos="10060" w:val="left"/>
          <w:tab w:leader="none" w:pos="10560" w:val="left"/>
        </w:tabs>
        <w:rPr>
          <w:sz w:val="20"/>
          <w:szCs w:val="20"/>
          <w:color w:val="auto"/>
        </w:rPr>
      </w:pPr>
      <w:r>
        <w:rPr>
          <w:rFonts w:ascii="Arial" w:cs="Arial" w:eastAsia="Arial" w:hAnsi="Arial"/>
          <w:sz w:val="18"/>
          <w:szCs w:val="18"/>
          <w:b w:val="1"/>
          <w:bCs w:val="1"/>
          <w:color w:val="auto"/>
        </w:rPr>
        <w:t>Total comprehensive income</w:t>
      </w:r>
      <w:r>
        <w:rPr>
          <w:sz w:val="20"/>
          <w:szCs w:val="20"/>
          <w:color w:val="auto"/>
        </w:rPr>
        <w:tab/>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210,826</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238,017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9"/>
              </w:rPr>
              <w:t>March 31,</w:t>
            </w:r>
          </w:p>
        </w:tc>
        <w:tc>
          <w:tcPr>
            <w:tcW w:w="220" w:type="dxa"/>
            <w:vAlign w:val="bottom"/>
          </w:tcPr>
          <w:p>
            <w:pPr>
              <w:spacing w:after="0"/>
              <w:rPr>
                <w:sz w:val="14"/>
                <w:szCs w:val="14"/>
                <w:color w:val="auto"/>
              </w:rPr>
            </w:pPr>
          </w:p>
        </w:tc>
        <w:tc>
          <w:tcPr>
            <w:tcW w:w="1300" w:type="dxa"/>
            <w:vAlign w:val="bottom"/>
          </w:tcPr>
          <w:p>
            <w:pPr>
              <w:jc w:val="right"/>
              <w:ind w:right="251"/>
              <w:spacing w:after="0"/>
              <w:rPr>
                <w:sz w:val="20"/>
                <w:szCs w:val="20"/>
                <w:color w:val="auto"/>
              </w:rPr>
            </w:pPr>
            <w:r>
              <w:rPr>
                <w:rFonts w:ascii="Arial" w:cs="Arial" w:eastAsia="Arial" w:hAnsi="Arial"/>
                <w:sz w:val="14"/>
                <w:szCs w:val="14"/>
                <w:b w:val="1"/>
                <w:bCs w:val="1"/>
                <w:color w:val="auto"/>
              </w:rPr>
              <w:t>December 31,</w:t>
            </w:r>
          </w:p>
        </w:tc>
      </w:tr>
      <w:tr>
        <w:trPr>
          <w:trHeight w:val="188"/>
        </w:trPr>
        <w:tc>
          <w:tcPr>
            <w:tcW w:w="80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72"/>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183"/>
        </w:trPr>
        <w:tc>
          <w:tcPr>
            <w:tcW w:w="8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jc w:val="center"/>
              <w:ind w:right="152"/>
              <w:spacing w:after="0"/>
              <w:rPr>
                <w:sz w:val="20"/>
                <w:szCs w:val="20"/>
                <w:color w:val="auto"/>
              </w:rPr>
            </w:pPr>
            <w:r>
              <w:rPr>
                <w:rFonts w:ascii="Arial" w:cs="Arial" w:eastAsia="Arial" w:hAnsi="Arial"/>
                <w:sz w:val="14"/>
                <w:szCs w:val="14"/>
                <w:b w:val="1"/>
                <w:bCs w:val="1"/>
                <w:color w:val="auto"/>
                <w:w w:val="95"/>
              </w:rPr>
              <w:t>(Unaudited)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1,123,660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1,212,822</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678,467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597,472</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Inventories,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604,321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559,171</w:t>
            </w:r>
          </w:p>
        </w:tc>
      </w:tr>
      <w:tr>
        <w:trPr>
          <w:trHeight w:val="229"/>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current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167,045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153,005</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current assets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2,573,493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2,522,470</w:t>
            </w: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549,313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526,530</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166,675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167,233</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4,292,402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4,224,906</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2,700,848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2,623,719</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and other assets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297,152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292,625</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10,579,883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10,357,483</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Short-term borrowings and current portion of long-term debt, net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94,670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132,284</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397,075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360,370</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Customer advanced payments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236,299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194,633</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61,917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38,896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liabilities and other</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348,502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349,732</w:t>
            </w:r>
          </w:p>
        </w:tc>
      </w:tr>
      <w:tr>
        <w:trPr>
          <w:trHeight w:val="223"/>
        </w:trPr>
        <w:tc>
          <w:tcPr>
            <w:tcW w:w="8040" w:type="dxa"/>
            <w:vAlign w:val="bottom"/>
          </w:tcPr>
          <w:p>
            <w:pPr>
              <w:ind w:left="680"/>
              <w:spacing w:after="0"/>
              <w:rPr>
                <w:sz w:val="20"/>
                <w:szCs w:val="20"/>
                <w:color w:val="auto"/>
              </w:rPr>
            </w:pPr>
            <w:r>
              <w:rPr>
                <w:rFonts w:ascii="Arial" w:cs="Arial" w:eastAsia="Arial" w:hAnsi="Arial"/>
                <w:sz w:val="18"/>
                <w:szCs w:val="18"/>
                <w:color w:val="auto"/>
              </w:rPr>
              <w:t>Total current liabilities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1,138,463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1,075,915</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2,256,910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2,281,441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544,926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533,478</w:t>
            </w: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518,836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517,303</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4,459,135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4,408,137</w:t>
            </w:r>
          </w:p>
        </w:tc>
      </w:tr>
      <w:tr>
        <w:trPr>
          <w:trHeight w:val="20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Common stock</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2,678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2,676</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Capital in excess of par value</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928,412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921,752</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Retained earnings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7,267,856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7,094,656</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other comprehensive loss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(512,875)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(504,468)</w:t>
            </w: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Treasury stock</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(1,565,323)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(1,565,270)</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stockholders’ equity</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6,120,748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5,949,346</w:t>
            </w:r>
          </w:p>
        </w:tc>
      </w:tr>
      <w:tr>
        <w:trPr>
          <w:trHeight w:val="223"/>
        </w:trPr>
        <w:tc>
          <w:tcPr>
            <w:tcW w:w="8040" w:type="dxa"/>
            <w:vAlign w:val="bottom"/>
          </w:tcPr>
          <w:p>
            <w:pPr>
              <w:ind w:left="680"/>
              <w:spacing w:after="0"/>
              <w:rPr>
                <w:sz w:val="20"/>
                <w:szCs w:val="20"/>
                <w:color w:val="auto"/>
              </w:rPr>
            </w:pPr>
            <w:r>
              <w:rPr>
                <w:rFonts w:ascii="Arial" w:cs="Arial" w:eastAsia="Arial" w:hAnsi="Arial"/>
                <w:sz w:val="18"/>
                <w:szCs w:val="18"/>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10,579,883</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10,357,483</w:t>
            </w:r>
          </w:p>
        </w:tc>
      </w:tr>
      <w:tr>
        <w:trPr>
          <w:trHeight w:val="21"/>
        </w:trPr>
        <w:tc>
          <w:tcPr>
            <w:tcW w:w="8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4"/>
                <w:szCs w:val="14"/>
                <w:b w:val="1"/>
                <w:bCs w:val="1"/>
                <w:color w:val="auto"/>
                <w:w w:val="96"/>
              </w:rPr>
              <w:t>Three months ended March 31,</w:t>
            </w:r>
          </w:p>
        </w:tc>
        <w:tc>
          <w:tcPr>
            <w:tcW w:w="0" w:type="dxa"/>
            <w:vAlign w:val="bottom"/>
          </w:tcPr>
          <w:p>
            <w:pPr>
              <w:spacing w:after="0"/>
              <w:rPr>
                <w:sz w:val="1"/>
                <w:szCs w:val="1"/>
                <w:color w:val="auto"/>
              </w:rPr>
            </w:pPr>
          </w:p>
        </w:tc>
      </w:tr>
      <w:tr>
        <w:trPr>
          <w:trHeight w:val="187"/>
        </w:trPr>
        <w:tc>
          <w:tcPr>
            <w:tcW w:w="8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1"/>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stock</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8"/>
                <w:szCs w:val="18"/>
                <w:color w:val="auto"/>
              </w:rPr>
              <w:t>Preferred stock, $0.01 par value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872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Common stock, $0.01 par value</w:t>
            </w:r>
          </w:p>
        </w:tc>
        <w:tc>
          <w:tcPr>
            <w:tcW w:w="2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2,662</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Shares issued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2,664</w:t>
            </w:r>
          </w:p>
        </w:tc>
        <w:tc>
          <w:tcPr>
            <w:tcW w:w="0" w:type="dxa"/>
            <w:vAlign w:val="bottom"/>
          </w:tcPr>
          <w:p>
            <w:pPr>
              <w:spacing w:after="0"/>
              <w:rPr>
                <w:sz w:val="1"/>
                <w:szCs w:val="1"/>
                <w:color w:val="auto"/>
              </w:rPr>
            </w:pPr>
          </w:p>
        </w:tc>
      </w:tr>
      <w:tr>
        <w:trPr>
          <w:trHeight w:val="209"/>
        </w:trPr>
        <w:tc>
          <w:tcPr>
            <w:tcW w:w="8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Capital in excess of par value</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921,752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832,821</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(2,914)</w:t>
            </w:r>
          </w:p>
        </w:tc>
        <w:tc>
          <w:tcPr>
            <w:tcW w:w="0" w:type="dxa"/>
            <w:vAlign w:val="bottom"/>
          </w:tcPr>
          <w:p>
            <w:pPr>
              <w:spacing w:after="0"/>
              <w:rPr>
                <w:sz w:val="1"/>
                <w:szCs w:val="1"/>
                <w:color w:val="auto"/>
              </w:rPr>
            </w:pPr>
          </w:p>
        </w:tc>
      </w:tr>
      <w:tr>
        <w:trPr>
          <w:trHeight w:val="229"/>
        </w:trPr>
        <w:tc>
          <w:tcPr>
            <w:tcW w:w="87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11,440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928,412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837,755</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Retained earnings</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7,094,656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6,387,612</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219,233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280,616</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(41,165)</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8"/>
                <w:szCs w:val="18"/>
                <w:color w:val="auto"/>
              </w:rPr>
              <w:t>Adoption of ASU 2016-13</w:t>
            </w:r>
          </w:p>
        </w:tc>
        <w:tc>
          <w:tcPr>
            <w:tcW w:w="20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720" w:type="dxa"/>
            <w:vAlign w:val="bottom"/>
          </w:tcPr>
          <w:p>
            <w:pPr>
              <w:ind w:left="68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7,267,856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6,626,703</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 income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translation:</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(250,748)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(286,248)</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Translation adjustments</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(21,500)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(67,089)</w:t>
            </w:r>
          </w:p>
        </w:tc>
        <w:tc>
          <w:tcPr>
            <w:tcW w:w="0" w:type="dxa"/>
            <w:vAlign w:val="bottom"/>
          </w:tcPr>
          <w:p>
            <w:pPr>
              <w:spacing w:after="0"/>
              <w:rPr>
                <w:sz w:val="1"/>
                <w:szCs w:val="1"/>
                <w:color w:val="auto"/>
              </w:rPr>
            </w:pPr>
          </w:p>
        </w:tc>
      </w:tr>
      <w:tr>
        <w:trPr>
          <w:trHeight w:val="230"/>
        </w:trPr>
        <w:tc>
          <w:tcPr>
            <w:tcW w:w="8720" w:type="dxa"/>
            <w:vAlign w:val="bottom"/>
          </w:tcPr>
          <w:p>
            <w:pPr>
              <w:ind w:left="680"/>
              <w:spacing w:after="0"/>
              <w:rPr>
                <w:sz w:val="20"/>
                <w:szCs w:val="20"/>
                <w:color w:val="auto"/>
              </w:rPr>
            </w:pPr>
            <w:r>
              <w:rPr>
                <w:rFonts w:ascii="Arial" w:cs="Arial" w:eastAsia="Arial" w:hAnsi="Arial"/>
                <w:sz w:val="18"/>
                <w:szCs w:val="18"/>
                <w:color w:val="auto"/>
              </w:rPr>
              <w:t>Change in long-term intercompany notes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(6,895)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(5,501)</w:t>
            </w:r>
          </w:p>
        </w:tc>
        <w:tc>
          <w:tcPr>
            <w:tcW w:w="0" w:type="dxa"/>
            <w:vAlign w:val="bottom"/>
          </w:tcPr>
          <w:p>
            <w:pPr>
              <w:spacing w:after="0"/>
              <w:rPr>
                <w:sz w:val="1"/>
                <w:szCs w:val="1"/>
                <w:color w:val="auto"/>
              </w:rPr>
            </w:pPr>
          </w:p>
        </w:tc>
      </w:tr>
      <w:tr>
        <w:trPr>
          <w:trHeight w:val="175"/>
        </w:trPr>
        <w:tc>
          <w:tcPr>
            <w:tcW w:w="87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3"/>
              </w:rPr>
              <w:t>Net investment hedge instruments gain, net of tax of $(5,938) and $(9,117) for the quarter ended March 31,</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18,358</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28,308</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2021 and 2020,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(260,785)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(330,530)</w:t>
            </w:r>
          </w:p>
        </w:tc>
        <w:tc>
          <w:tcPr>
            <w:tcW w:w="0" w:type="dxa"/>
            <w:vAlign w:val="bottom"/>
          </w:tcPr>
          <w:p>
            <w:pPr>
              <w:spacing w:after="0"/>
              <w:rPr>
                <w:sz w:val="1"/>
                <w:szCs w:val="1"/>
                <w:color w:val="auto"/>
              </w:rPr>
            </w:pPr>
          </w:p>
        </w:tc>
      </w:tr>
      <w:tr>
        <w:trPr>
          <w:trHeight w:val="21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Defined benefit pension plans:</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720" w:type="dxa"/>
            <w:vAlign w:val="bottom"/>
          </w:tcPr>
          <w:p>
            <w:pPr>
              <w:ind w:left="68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(253,720)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(246,891)</w:t>
            </w:r>
          </w:p>
        </w:tc>
        <w:tc>
          <w:tcPr>
            <w:tcW w:w="0" w:type="dxa"/>
            <w:vAlign w:val="bottom"/>
          </w:tcPr>
          <w:p>
            <w:pPr>
              <w:spacing w:after="0"/>
              <w:rPr>
                <w:sz w:val="1"/>
                <w:szCs w:val="1"/>
                <w:color w:val="auto"/>
              </w:rPr>
            </w:pPr>
          </w:p>
        </w:tc>
      </w:tr>
      <w:tr>
        <w:trPr>
          <w:trHeight w:val="176"/>
        </w:trPr>
        <w:tc>
          <w:tcPr>
            <w:tcW w:w="8720" w:type="dxa"/>
            <w:vAlign w:val="bottom"/>
            <w:shd w:val="clear" w:color="auto" w:fill="CCEEFF"/>
          </w:tcPr>
          <w:p>
            <w:pPr>
              <w:ind w:left="680"/>
              <w:spacing w:after="0" w:line="176" w:lineRule="exact"/>
              <w:rPr>
                <w:sz w:val="20"/>
                <w:szCs w:val="20"/>
                <w:color w:val="auto"/>
              </w:rPr>
            </w:pPr>
            <w:r>
              <w:rPr>
                <w:rFonts w:ascii="Arial" w:cs="Arial" w:eastAsia="Arial" w:hAnsi="Arial"/>
                <w:sz w:val="18"/>
                <w:szCs w:val="18"/>
                <w:color w:val="auto"/>
                <w:w w:val="94"/>
              </w:rPr>
              <w:t>Amortization of net actuarial loss and other, net of tax of $(527) and $(531) for the quarter ended March 31,</w:t>
            </w:r>
          </w:p>
        </w:tc>
        <w:tc>
          <w:tcPr>
            <w:tcW w:w="20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1,630</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1,683</w:t>
            </w:r>
          </w:p>
        </w:tc>
        <w:tc>
          <w:tcPr>
            <w:tcW w:w="0" w:type="dxa"/>
            <w:vAlign w:val="bottom"/>
          </w:tcPr>
          <w:p>
            <w:pPr>
              <w:spacing w:after="0"/>
              <w:rPr>
                <w:sz w:val="1"/>
                <w:szCs w:val="1"/>
                <w:color w:val="auto"/>
              </w:rPr>
            </w:pPr>
          </w:p>
        </w:tc>
      </w:tr>
      <w:tr>
        <w:trPr>
          <w:trHeight w:val="229"/>
        </w:trPr>
        <w:tc>
          <w:tcPr>
            <w:tcW w:w="87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2021 and 2020, respectively</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(252,090)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(245,208)</w:t>
            </w:r>
          </w:p>
        </w:tc>
        <w:tc>
          <w:tcPr>
            <w:tcW w:w="0" w:type="dxa"/>
            <w:vAlign w:val="bottom"/>
          </w:tcPr>
          <w:p>
            <w:pPr>
              <w:spacing w:after="0"/>
              <w:rPr>
                <w:sz w:val="1"/>
                <w:szCs w:val="1"/>
                <w:color w:val="auto"/>
              </w:rPr>
            </w:pPr>
          </w:p>
        </w:tc>
      </w:tr>
      <w:tr>
        <w:trPr>
          <w:trHeight w:val="223"/>
        </w:trPr>
        <w:tc>
          <w:tcPr>
            <w:tcW w:w="8720" w:type="dxa"/>
            <w:vAlign w:val="bottom"/>
            <w:shd w:val="clear" w:color="auto" w:fill="CCEEFF"/>
          </w:tcPr>
          <w:p>
            <w:pPr>
              <w:ind w:left="1440"/>
              <w:spacing w:after="0"/>
              <w:rPr>
                <w:sz w:val="20"/>
                <w:szCs w:val="20"/>
                <w:color w:val="auto"/>
              </w:rPr>
            </w:pPr>
            <w:r>
              <w:rPr>
                <w:rFonts w:ascii="Arial" w:cs="Arial" w:eastAsia="Arial" w:hAnsi="Arial"/>
                <w:sz w:val="18"/>
                <w:szCs w:val="18"/>
                <w:color w:val="auto"/>
              </w:rPr>
              <w:t>Accumulated other comprehensive loss at the end of the period</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(512,875)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(575,738)</w:t>
            </w:r>
          </w:p>
        </w:tc>
        <w:tc>
          <w:tcPr>
            <w:tcW w:w="0" w:type="dxa"/>
            <w:vAlign w:val="bottom"/>
          </w:tcPr>
          <w:p>
            <w:pPr>
              <w:spacing w:after="0"/>
              <w:rPr>
                <w:sz w:val="1"/>
                <w:szCs w:val="1"/>
                <w:color w:val="auto"/>
              </w:rPr>
            </w:pPr>
          </w:p>
        </w:tc>
      </w:tr>
      <w:tr>
        <w:trPr>
          <w:trHeight w:val="209"/>
        </w:trPr>
        <w:tc>
          <w:tcPr>
            <w:tcW w:w="8720" w:type="dxa"/>
            <w:vAlign w:val="bottom"/>
          </w:tcPr>
          <w:p>
            <w:pPr>
              <w:ind w:left="20"/>
              <w:spacing w:after="0"/>
              <w:rPr>
                <w:sz w:val="20"/>
                <w:szCs w:val="20"/>
                <w:color w:val="auto"/>
              </w:rPr>
            </w:pPr>
            <w:r>
              <w:rPr>
                <w:rFonts w:ascii="Arial" w:cs="Arial" w:eastAsia="Arial" w:hAnsi="Arial"/>
                <w:sz w:val="18"/>
                <w:szCs w:val="18"/>
                <w:b w:val="1"/>
                <w:bCs w:val="1"/>
                <w:color w:val="auto"/>
              </w:rPr>
              <w:t>Treasury stock</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Balance at the beginning of the period</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(1,565,270)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(1,574,464)</w:t>
            </w:r>
          </w:p>
        </w:tc>
        <w:tc>
          <w:tcPr>
            <w:tcW w:w="0" w:type="dxa"/>
            <w:vAlign w:val="bottom"/>
          </w:tcPr>
          <w:p>
            <w:pPr>
              <w:spacing w:after="0"/>
              <w:rPr>
                <w:sz w:val="1"/>
                <w:szCs w:val="1"/>
                <w:color w:val="auto"/>
              </w:rPr>
            </w:pPr>
          </w:p>
        </w:tc>
      </w:tr>
      <w:tr>
        <w:trPr>
          <w:trHeight w:val="230"/>
        </w:trPr>
        <w:tc>
          <w:tcPr>
            <w:tcW w:w="8720" w:type="dxa"/>
            <w:vAlign w:val="bottom"/>
          </w:tcPr>
          <w:p>
            <w:pPr>
              <w:ind w:left="360"/>
              <w:spacing w:after="0"/>
              <w:rPr>
                <w:sz w:val="20"/>
                <w:szCs w:val="20"/>
                <w:color w:val="auto"/>
              </w:rPr>
            </w:pPr>
            <w:r>
              <w:rPr>
                <w:rFonts w:ascii="Arial" w:cs="Arial" w:eastAsia="Arial" w:hAnsi="Arial"/>
                <w:sz w:val="18"/>
                <w:szCs w:val="18"/>
                <w:color w:val="auto"/>
              </w:rPr>
              <w:t>Issuance of common stock under employee stock plans</w:t>
            </w:r>
          </w:p>
        </w:tc>
        <w:tc>
          <w:tcPr>
            <w:tcW w:w="2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7,944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9,184</w:t>
            </w:r>
          </w:p>
        </w:tc>
        <w:tc>
          <w:tcPr>
            <w:tcW w:w="0" w:type="dxa"/>
            <w:vAlign w:val="bottom"/>
          </w:tcPr>
          <w:p>
            <w:pPr>
              <w:spacing w:after="0"/>
              <w:rPr>
                <w:sz w:val="1"/>
                <w:szCs w:val="1"/>
                <w:color w:val="auto"/>
              </w:rPr>
            </w:pPr>
          </w:p>
        </w:tc>
      </w:tr>
      <w:tr>
        <w:trPr>
          <w:trHeight w:val="230"/>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treasury stock</w:t>
            </w: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872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Balance at the end of the period</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(1,565,323)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(1,565,381)</w:t>
            </w:r>
          </w:p>
        </w:tc>
        <w:tc>
          <w:tcPr>
            <w:tcW w:w="0" w:type="dxa"/>
            <w:vAlign w:val="bottom"/>
          </w:tcPr>
          <w:p>
            <w:pPr>
              <w:spacing w:after="0"/>
              <w:rPr>
                <w:sz w:val="1"/>
                <w:szCs w:val="1"/>
                <w:color w:val="auto"/>
              </w:rPr>
            </w:pPr>
          </w:p>
        </w:tc>
      </w:tr>
      <w:tr>
        <w:trPr>
          <w:trHeight w:val="248"/>
        </w:trPr>
        <w:tc>
          <w:tcPr>
            <w:tcW w:w="8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6,120,748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5,326,003</w:t>
            </w:r>
          </w:p>
        </w:tc>
        <w:tc>
          <w:tcPr>
            <w:tcW w:w="0" w:type="dxa"/>
            <w:vAlign w:val="bottom"/>
          </w:tcPr>
          <w:p>
            <w:pPr>
              <w:spacing w:after="0"/>
              <w:rPr>
                <w:sz w:val="1"/>
                <w:szCs w:val="1"/>
                <w:color w:val="auto"/>
              </w:rPr>
            </w:pPr>
          </w:p>
        </w:tc>
      </w:tr>
      <w:tr>
        <w:trPr>
          <w:trHeight w:val="20"/>
        </w:trPr>
        <w:tc>
          <w:tcPr>
            <w:tcW w:w="8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 of Cash Flows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 March 31,</w:t>
            </w:r>
          </w:p>
        </w:tc>
      </w:tr>
      <w:tr>
        <w:trPr>
          <w:trHeight w:val="187"/>
        </w:trPr>
        <w:tc>
          <w:tcPr>
            <w:tcW w:w="80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2020</w:t>
            </w:r>
          </w:p>
        </w:tc>
      </w:tr>
      <w:tr>
        <w:trPr>
          <w:trHeight w:val="21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provided by (used for):</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income</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219,233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280,616</w:t>
            </w:r>
          </w:p>
        </w:tc>
      </w:tr>
      <w:tr>
        <w:trPr>
          <w:trHeight w:val="230"/>
        </w:trPr>
        <w:tc>
          <w:tcPr>
            <w:tcW w:w="8040" w:type="dxa"/>
            <w:vAlign w:val="bottom"/>
          </w:tcPr>
          <w:p>
            <w:pPr>
              <w:ind w:left="680"/>
              <w:spacing w:after="0"/>
              <w:rPr>
                <w:sz w:val="20"/>
                <w:szCs w:val="20"/>
                <w:color w:val="auto"/>
              </w:rPr>
            </w:pPr>
            <w:r>
              <w:rPr>
                <w:rFonts w:ascii="Arial" w:cs="Arial" w:eastAsia="Arial" w:hAnsi="Arial"/>
                <w:sz w:val="18"/>
                <w:szCs w:val="18"/>
                <w:color w:val="auto"/>
              </w:rPr>
              <w:t>Adjustments to reconcile net income to total operating activities:</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Depreciation and amortization</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64,617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66,067</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Deferred income taxes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8,095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(4,042)</w:t>
            </w:r>
          </w:p>
        </w:tc>
      </w:tr>
      <w:tr>
        <w:trPr>
          <w:trHeight w:val="23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Share-based compensation expense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11,440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7,848</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Gain on sale of business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(141,020)</w:t>
            </w:r>
          </w:p>
        </w:tc>
      </w:tr>
      <w:tr>
        <w:trPr>
          <w:trHeight w:val="230"/>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Gain on sale of facilities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(4,592)</w:t>
            </w:r>
          </w:p>
        </w:tc>
      </w:tr>
      <w:tr>
        <w:trPr>
          <w:trHeight w:val="229"/>
        </w:trPr>
        <w:tc>
          <w:tcPr>
            <w:tcW w:w="8040" w:type="dxa"/>
            <w:vAlign w:val="bottom"/>
          </w:tcPr>
          <w:p>
            <w:pPr>
              <w:ind w:left="1120"/>
              <w:spacing w:after="0"/>
              <w:rPr>
                <w:sz w:val="20"/>
                <w:szCs w:val="20"/>
                <w:color w:val="auto"/>
              </w:rPr>
            </w:pPr>
            <w:r>
              <w:rPr>
                <w:rFonts w:ascii="Arial" w:cs="Arial" w:eastAsia="Arial" w:hAnsi="Arial"/>
                <w:sz w:val="18"/>
                <w:szCs w:val="18"/>
                <w:color w:val="auto"/>
              </w:rPr>
              <w:t>Net change in assets and liabilities, net of acquisitions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(13,275)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71,199</w:t>
            </w:r>
          </w:p>
        </w:tc>
      </w:tr>
      <w:tr>
        <w:trPr>
          <w:trHeight w:val="229"/>
        </w:trPr>
        <w:tc>
          <w:tcPr>
            <w:tcW w:w="804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Pension contributions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(2,038)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w:t>
            </w:r>
          </w:p>
        </w:tc>
      </w:tr>
      <w:tr>
        <w:trPr>
          <w:trHeight w:val="230"/>
        </w:trPr>
        <w:tc>
          <w:tcPr>
            <w:tcW w:w="8040" w:type="dxa"/>
            <w:vAlign w:val="bottom"/>
            <w:tcBorders>
              <w:bottom w:val="single" w:sz="8" w:color="CCEEFF"/>
            </w:tcBorders>
          </w:tcPr>
          <w:p>
            <w:pPr>
              <w:ind w:left="112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(3,665)</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(3,819)</w:t>
            </w:r>
          </w:p>
        </w:tc>
      </w:tr>
      <w:tr>
        <w:trPr>
          <w:trHeight w:val="223"/>
        </w:trPr>
        <w:tc>
          <w:tcPr>
            <w:tcW w:w="804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operating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284,407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270,752</w:t>
            </w:r>
          </w:p>
        </w:tc>
      </w:tr>
      <w:tr>
        <w:trPr>
          <w:trHeight w:val="21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(16,931)</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Purchases of businesses, net of cash acquired</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(263,948)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(116,605)</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sale of business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245,311</w:t>
            </w: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sale of facilities</w:t>
            </w:r>
          </w:p>
        </w:tc>
        <w:tc>
          <w:tcPr>
            <w:tcW w:w="36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5,463</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investing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(284,502)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115,557</w:t>
            </w:r>
          </w:p>
        </w:tc>
      </w:tr>
      <w:tr>
        <w:trPr>
          <w:trHeight w:val="21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Net change in short-term borrowings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(32,950)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22,251</w:t>
            </w: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long-term borrowings</w:t>
            </w: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(7,997)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dividends paid</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(46,033)</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(41,165)</w:t>
            </w:r>
          </w:p>
        </w:tc>
      </w:tr>
      <w:tr>
        <w:trPr>
          <w:trHeight w:val="230"/>
        </w:trPr>
        <w:tc>
          <w:tcPr>
            <w:tcW w:w="8040" w:type="dxa"/>
            <w:vAlign w:val="bottom"/>
          </w:tcPr>
          <w:p>
            <w:pPr>
              <w:ind w:left="360"/>
              <w:spacing w:after="0"/>
              <w:rPr>
                <w:sz w:val="20"/>
                <w:szCs w:val="20"/>
                <w:color w:val="auto"/>
              </w:rPr>
            </w:pPr>
            <w:r>
              <w:rPr>
                <w:rFonts w:ascii="Arial" w:cs="Arial" w:eastAsia="Arial" w:hAnsi="Arial"/>
                <w:sz w:val="18"/>
                <w:szCs w:val="18"/>
                <w:color w:val="auto"/>
              </w:rPr>
              <w:t>Proceeds from stock option exercises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6,925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6,977</w:t>
            </w:r>
          </w:p>
        </w:tc>
      </w:tr>
      <w:tr>
        <w:trPr>
          <w:trHeight w:val="230"/>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r>
      <w:tr>
        <w:trPr>
          <w:trHeight w:val="223"/>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financing activities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(84,006)</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486,649</w:t>
            </w: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(12,606)</w:t>
            </w:r>
          </w:p>
        </w:tc>
      </w:tr>
      <w:tr>
        <w:trPr>
          <w:trHeight w:val="223"/>
        </w:trPr>
        <w:tc>
          <w:tcPr>
            <w:tcW w:w="8040" w:type="dxa"/>
            <w:vAlign w:val="bottom"/>
          </w:tcPr>
          <w:p>
            <w:pPr>
              <w:ind w:left="20"/>
              <w:spacing w:after="0"/>
              <w:rPr>
                <w:sz w:val="20"/>
                <w:szCs w:val="20"/>
                <w:color w:val="auto"/>
              </w:rPr>
            </w:pPr>
            <w:r>
              <w:rPr>
                <w:rFonts w:ascii="Arial" w:cs="Arial" w:eastAsia="Arial" w:hAnsi="Arial"/>
                <w:sz w:val="18"/>
                <w:szCs w:val="18"/>
                <w:color w:val="auto"/>
              </w:rPr>
              <w:t>Increase in cash and cash equivalents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(89,162)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860,352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804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Beginning of period</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1,212,822</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393,030</w:t>
            </w:r>
          </w:p>
        </w:tc>
      </w:tr>
      <w:tr>
        <w:trPr>
          <w:trHeight w:val="248"/>
        </w:trPr>
        <w:tc>
          <w:tcPr>
            <w:tcW w:w="80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End of period</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1,123,660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1,253,382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5"/>
          <w:szCs w:val="15"/>
          <w:b w:val="1"/>
          <w:bCs w:val="1"/>
          <w:color w:val="auto"/>
        </w:rPr>
        <w:t>Basis of Presentation</w:t>
      </w:r>
    </w:p>
    <w:p>
      <w:pPr>
        <w:spacing w:after="0" w:line="121"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accompanying consolidated financial statements are unaudited. AMETEK, Inc. (the “Company”) believes that all adjustments (which primarily consist of normal recurring accruals) necessary for a fair presentation of the consolidated financial position of the Company at March 31, 2021, the consolidated results of its operations for the three months ended March 31, 2021 and 2020 and its cash flows for the three months ended March 31, 2021 and 2020 have been included. Quarterly results of operations are not necessarily indicative of results for the full year. The accompanying consolidated financial statements should be read in conjunction with the audited consolidated financial statements and related notes presented in the Company’s Annual Report on Form 10-K for the year ended December 31, 2020 as filed with the U.S. Securities and Exchange Commission.</w:t>
      </w: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5"/>
          <w:szCs w:val="15"/>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1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In December 2019, the FASB issued ASU No. 2019-12, Income Taxes (Topic 740): Simplifying the Accounting for Income Taxes (“ASU 2019-12”), which simplifies the accounting for income taxes by removing certain exceptions to the general principles in ASC Topic 740. The Company prospectively adopted ASU 2019-12, effective January 1, 2021, and the adoption did not have a significant impact on the Company’s consolidated results of operations, financial position, cash flows and financial statement disclosures.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5"/>
          <w:szCs w:val="15"/>
          <w:b w:val="1"/>
          <w:bCs w:val="1"/>
          <w:color w:val="auto"/>
        </w:rPr>
        <w:t>Revenues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outstanding contract asset and liability accounts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90"/>
        </w:trPr>
        <w:tc>
          <w:tcPr>
            <w:tcW w:w="80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80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assets—January 1</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68,971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73,039</w:t>
            </w: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 March 31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71,415</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80,796</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w:t>
            </w: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2,444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Contract liabilities – January 1</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jc w:val="right"/>
              <w:spacing w:after="0" w:line="203" w:lineRule="exact"/>
              <w:rPr>
                <w:sz w:val="20"/>
                <w:szCs w:val="20"/>
                <w:color w:val="auto"/>
              </w:rPr>
            </w:pPr>
            <w:r>
              <w:rPr>
                <w:rFonts w:ascii="Arial" w:cs="Arial" w:eastAsia="Arial" w:hAnsi="Arial"/>
                <w:sz w:val="18"/>
                <w:szCs w:val="18"/>
                <w:color w:val="auto"/>
              </w:rPr>
              <w:t>215,093</w:t>
            </w: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167,306</w:t>
            </w:r>
          </w:p>
        </w:tc>
        <w:tc>
          <w:tcPr>
            <w:tcW w:w="0" w:type="dxa"/>
            <w:vAlign w:val="bottom"/>
          </w:tcPr>
          <w:p>
            <w:pPr>
              <w:spacing w:after="0"/>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liabilities – March 31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253,047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194,433</w:t>
            </w:r>
          </w:p>
        </w:tc>
        <w:tc>
          <w:tcPr>
            <w:tcW w:w="0" w:type="dxa"/>
            <w:vAlign w:val="bottom"/>
          </w:tcPr>
          <w:p>
            <w:pPr>
              <w:spacing w:after="0"/>
              <w:rPr>
                <w:sz w:val="1"/>
                <w:szCs w:val="1"/>
                <w:color w:val="auto"/>
              </w:rPr>
            </w:pPr>
          </w:p>
        </w:tc>
      </w:tr>
      <w:tr>
        <w:trPr>
          <w:trHeight w:val="22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Change in contract liabilities – increase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(37,954)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(27,127)</w:t>
            </w: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change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(35,510)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(19,370)</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311" w:lineRule="auto"/>
        <w:rPr>
          <w:sz w:val="20"/>
          <w:szCs w:val="20"/>
          <w:color w:val="auto"/>
        </w:rPr>
      </w:pPr>
      <w:r>
        <w:rPr>
          <w:rFonts w:ascii="Arial" w:cs="Arial" w:eastAsia="Arial" w:hAnsi="Arial"/>
          <w:sz w:val="16"/>
          <w:szCs w:val="16"/>
          <w:color w:val="auto"/>
        </w:rPr>
        <w:t>The net change for the three months ended March 31, 2021 was primarily driven by the receipt of advance payments from customers exceeding the recognition of revenue as performance obligations were satisfied. For the three months ended March 31, 2021 and 2020, the Company recognized revenue of $132.0 million and $87.4 million, respectively, that was previously included in the beginning balance of contract liabilities.</w:t>
      </w:r>
    </w:p>
    <w:p>
      <w:pPr>
        <w:spacing w:after="0" w:line="149"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Contract assets are reported as a component of Other current assets in the consolidated balance sheet. At March 31, 2021 and December 31, 2020, $16.7 million and $20.5 million of Customer advanced payments (contract liabilities), respectively, were recorded in Other long-term liabilities in the consolidated balance sheets.</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remaining performance obligations exceeding one year as of March 31, 2021 and December 31, 2020 were $286.9 million and $300.8 million, respectively. Remaining performance obligations represent the transaction price of firm, non-cancelable orders, with expected delivery dates to customers greater than one year from the balance sheet date, for which the performance obligation is unsatisfied or partially unsatisfied. These performance obligations will be substantially satisfied within two to three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Geographic Areas</w:t>
      </w:r>
    </w:p>
    <w:p>
      <w:pPr>
        <w:spacing w:after="0" w:line="117"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Net sales were attributed to geographic areas based on the location of the customer. Information about the Company’s operations in different geographic areas was as follows for the three months ended March 31:</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2021</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EMG</w:t>
            </w:r>
          </w:p>
        </w:tc>
        <w:tc>
          <w:tcPr>
            <w:tcW w:w="200" w:type="dxa"/>
            <w:vAlign w:val="bottom"/>
          </w:tcPr>
          <w:p>
            <w:pPr>
              <w:spacing w:after="0"/>
              <w:rPr>
                <w:sz w:val="16"/>
                <w:szCs w:val="16"/>
                <w:color w:val="auto"/>
              </w:rPr>
            </w:pPr>
          </w:p>
        </w:tc>
        <w:tc>
          <w:tcPr>
            <w:tcW w:w="900" w:type="dxa"/>
            <w:vAlign w:val="bottom"/>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7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388,901</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210,182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599,083</w:t>
            </w:r>
          </w:p>
        </w:tc>
        <w:tc>
          <w:tcPr>
            <w:tcW w:w="0" w:type="dxa"/>
            <w:vAlign w:val="bottom"/>
          </w:tcPr>
          <w:p>
            <w:pPr>
              <w:spacing w:after="0"/>
              <w:rPr>
                <w:sz w:val="1"/>
                <w:szCs w:val="1"/>
                <w:color w:val="auto"/>
              </w:rPr>
            </w:pPr>
          </w:p>
        </w:tc>
      </w:tr>
      <w:tr>
        <w:trPr>
          <w:trHeight w:val="209"/>
        </w:trPr>
        <w:tc>
          <w:tcPr>
            <w:tcW w:w="770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21,947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30,051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51,998</w:t>
            </w:r>
          </w:p>
        </w:tc>
        <w:tc>
          <w:tcPr>
            <w:tcW w:w="0" w:type="dxa"/>
            <w:vAlign w:val="bottom"/>
          </w:tcPr>
          <w:p>
            <w:pPr>
              <w:spacing w:after="0"/>
              <w:rPr>
                <w:sz w:val="1"/>
                <w:szCs w:val="1"/>
                <w:color w:val="auto"/>
              </w:rPr>
            </w:pPr>
          </w:p>
        </w:tc>
      </w:tr>
      <w:tr>
        <w:trPr>
          <w:trHeight w:val="230"/>
        </w:trPr>
        <w:tc>
          <w:tcPr>
            <w:tcW w:w="770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103,665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95,297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198,962</w:t>
            </w:r>
          </w:p>
        </w:tc>
        <w:tc>
          <w:tcPr>
            <w:tcW w:w="0" w:type="dxa"/>
            <w:vAlign w:val="bottom"/>
          </w:tcPr>
          <w:p>
            <w:pPr>
              <w:spacing w:after="0"/>
              <w:rPr>
                <w:sz w:val="1"/>
                <w:szCs w:val="1"/>
                <w:color w:val="auto"/>
              </w:rPr>
            </w:pPr>
          </w:p>
        </w:tc>
      </w:tr>
      <w:tr>
        <w:trPr>
          <w:trHeight w:val="229"/>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197,561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61,194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258,755</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78,850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28,094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106,944</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402,023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214,636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616,659</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790,924</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424,818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1,215,742</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________________</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6"/>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(1)  Includes U.S. export sales of $331.2 million.</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7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406,545</w:t>
            </w:r>
          </w:p>
        </w:tc>
        <w:tc>
          <w:tcPr>
            <w:tcW w:w="1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234,689</w:t>
            </w: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641,234</w:t>
            </w:r>
          </w:p>
        </w:tc>
        <w:tc>
          <w:tcPr>
            <w:tcW w:w="0" w:type="dxa"/>
            <w:vAlign w:val="bottom"/>
          </w:tcPr>
          <w:p>
            <w:pPr>
              <w:spacing w:after="0"/>
              <w:rPr>
                <w:sz w:val="1"/>
                <w:szCs w:val="1"/>
                <w:color w:val="auto"/>
              </w:rPr>
            </w:pPr>
          </w:p>
        </w:tc>
      </w:tr>
      <w:tr>
        <w:trPr>
          <w:trHeight w:val="210"/>
        </w:trPr>
        <w:tc>
          <w:tcPr>
            <w:tcW w:w="7700" w:type="dxa"/>
            <w:vAlign w:val="bottom"/>
          </w:tcPr>
          <w:p>
            <w:pPr>
              <w:ind w:left="20"/>
              <w:spacing w:after="0" w:line="210" w:lineRule="exact"/>
              <w:rPr>
                <w:sz w:val="20"/>
                <w:szCs w:val="20"/>
                <w:color w:val="auto"/>
              </w:rPr>
            </w:pPr>
            <w:r>
              <w:rPr>
                <w:rFonts w:ascii="Arial" w:cs="Arial" w:eastAsia="Arial" w:hAnsi="Arial"/>
                <w:sz w:val="18"/>
                <w:szCs w:val="18"/>
                <w:color w:val="auto"/>
              </w:rPr>
              <w:t>International</w:t>
            </w:r>
            <w:r>
              <w:rPr>
                <w:rFonts w:ascii="Arial" w:cs="Arial" w:eastAsia="Arial" w:hAnsi="Arial"/>
                <w:sz w:val="23"/>
                <w:szCs w:val="23"/>
                <w:color w:val="auto"/>
                <w:vertAlign w:val="superscript"/>
              </w:rPr>
              <w:t>(1)</w:t>
            </w: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United Kingdom</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47,931</w:t>
            </w:r>
          </w:p>
        </w:tc>
        <w:tc>
          <w:tcPr>
            <w:tcW w:w="0" w:type="dxa"/>
            <w:vAlign w:val="bottom"/>
          </w:tcPr>
          <w:p>
            <w:pPr>
              <w:spacing w:after="0"/>
              <w:rPr>
                <w:sz w:val="1"/>
                <w:szCs w:val="1"/>
                <w:color w:val="auto"/>
              </w:rPr>
            </w:pPr>
          </w:p>
        </w:tc>
      </w:tr>
      <w:tr>
        <w:trPr>
          <w:trHeight w:val="229"/>
        </w:trPr>
        <w:tc>
          <w:tcPr>
            <w:tcW w:w="7700" w:type="dxa"/>
            <w:vAlign w:val="bottom"/>
          </w:tcPr>
          <w:p>
            <w:pPr>
              <w:ind w:left="360"/>
              <w:spacing w:after="0"/>
              <w:rPr>
                <w:sz w:val="20"/>
                <w:szCs w:val="20"/>
                <w:color w:val="auto"/>
              </w:rPr>
            </w:pPr>
            <w:r>
              <w:rPr>
                <w:rFonts w:ascii="Arial" w:cs="Arial" w:eastAsia="Arial" w:hAnsi="Arial"/>
                <w:sz w:val="18"/>
                <w:szCs w:val="18"/>
                <w:color w:val="auto"/>
              </w:rPr>
              <w:t>European Union countries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105,676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88,766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194,442</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Asia</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164,745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208,575</w:t>
            </w:r>
          </w:p>
        </w:tc>
        <w:tc>
          <w:tcPr>
            <w:tcW w:w="0" w:type="dxa"/>
            <w:vAlign w:val="bottom"/>
          </w:tcPr>
          <w:p>
            <w:pPr>
              <w:spacing w:after="0"/>
              <w:rPr>
                <w:sz w:val="1"/>
                <w:szCs w:val="1"/>
                <w:color w:val="auto"/>
              </w:rPr>
            </w:pPr>
          </w:p>
        </w:tc>
      </w:tr>
      <w:tr>
        <w:trPr>
          <w:trHeight w:val="230"/>
        </w:trPr>
        <w:tc>
          <w:tcPr>
            <w:tcW w:w="77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 foreign countries</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82,466</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110,036</w:t>
            </w:r>
          </w:p>
        </w:tc>
        <w:tc>
          <w:tcPr>
            <w:tcW w:w="0" w:type="dxa"/>
            <w:vAlign w:val="bottom"/>
          </w:tcPr>
          <w:p>
            <w:pPr>
              <w:spacing w:after="0"/>
              <w:rPr>
                <w:sz w:val="1"/>
                <w:szCs w:val="1"/>
                <w:color w:val="auto"/>
              </w:rPr>
            </w:pPr>
          </w:p>
        </w:tc>
      </w:tr>
      <w:tr>
        <w:trPr>
          <w:trHeight w:val="223"/>
        </w:trPr>
        <w:tc>
          <w:tcPr>
            <w:tcW w:w="770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international</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367,680</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193,304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560,984</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774,225</w:t>
            </w: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1,202,218</w:t>
            </w:r>
          </w:p>
        </w:tc>
        <w:tc>
          <w:tcPr>
            <w:tcW w:w="0" w:type="dxa"/>
            <w:vAlign w:val="bottom"/>
          </w:tcPr>
          <w:p>
            <w:pPr>
              <w:spacing w:after="0"/>
              <w:rPr>
                <w:sz w:val="1"/>
                <w:szCs w:val="1"/>
                <w:color w:val="auto"/>
              </w:rPr>
            </w:pPr>
          </w:p>
        </w:tc>
      </w:tr>
      <w:tr>
        <w:trPr>
          <w:trHeight w:val="20"/>
        </w:trPr>
        <w:tc>
          <w:tcPr>
            <w:tcW w:w="770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0"/>
        </w:trPr>
        <w:tc>
          <w:tcPr>
            <w:tcW w:w="77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tcPr>
          <w:p>
            <w:pPr>
              <w:spacing w:after="0"/>
              <w:rPr>
                <w:sz w:val="20"/>
                <w:szCs w:val="20"/>
                <w:color w:val="auto"/>
              </w:rPr>
            </w:pPr>
            <w:r>
              <w:rPr>
                <w:rFonts w:ascii="Arial" w:cs="Arial" w:eastAsia="Arial" w:hAnsi="Arial"/>
                <w:sz w:val="18"/>
                <w:szCs w:val="18"/>
                <w:color w:val="auto"/>
              </w:rPr>
              <w:t>(1)  Includes U.S. export sales of $305.2 million.</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7700" w:type="dxa"/>
            <w:vAlign w:val="bottom"/>
          </w:tcPr>
          <w:p>
            <w:pPr>
              <w:spacing w:after="0"/>
              <w:rPr>
                <w:sz w:val="20"/>
                <w:szCs w:val="20"/>
                <w:color w:val="auto"/>
              </w:rPr>
            </w:pPr>
            <w:r>
              <w:rPr>
                <w:rFonts w:ascii="Arial" w:cs="Arial" w:eastAsia="Arial" w:hAnsi="Arial"/>
                <w:sz w:val="18"/>
                <w:szCs w:val="18"/>
                <w:i w:val="1"/>
                <w:iCs w:val="1"/>
                <w:color w:val="auto"/>
              </w:rPr>
              <w:t>Major Products and Services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00" w:type="dxa"/>
            <w:vAlign w:val="bottom"/>
          </w:tcPr>
          <w:p>
            <w:pPr>
              <w:ind w:left="660"/>
              <w:spacing w:after="0"/>
              <w:rPr>
                <w:sz w:val="20"/>
                <w:szCs w:val="20"/>
                <w:color w:val="auto"/>
              </w:rPr>
            </w:pPr>
            <w:r>
              <w:rPr>
                <w:rFonts w:ascii="Arial" w:cs="Arial" w:eastAsia="Arial" w:hAnsi="Arial"/>
                <w:sz w:val="18"/>
                <w:szCs w:val="18"/>
                <w:color w:val="auto"/>
                <w:w w:val="99"/>
              </w:rPr>
              <w:t>The Company’s major products and services in the reportable segments were as follows:</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77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7"/>
          </w:tcPr>
          <w:p>
            <w:pPr>
              <w:jc w:val="center"/>
              <w:ind w:right="173"/>
              <w:spacing w:after="0"/>
              <w:rPr>
                <w:sz w:val="20"/>
                <w:szCs w:val="20"/>
                <w:color w:val="auto"/>
              </w:rPr>
            </w:pPr>
            <w:r>
              <w:rPr>
                <w:rFonts w:ascii="Arial" w:cs="Arial" w:eastAsia="Arial" w:hAnsi="Arial"/>
                <w:sz w:val="14"/>
                <w:szCs w:val="14"/>
                <w:b w:val="1"/>
                <w:bCs w:val="1"/>
                <w:color w:val="auto"/>
                <w:w w:val="93"/>
              </w:rPr>
              <w:t>Three months ended March 31, 2021</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EIG</w:t>
            </w: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rPr>
              <w:t>EMG</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7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Process and analytical instrumentation</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576,559</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576,559</w:t>
            </w:r>
          </w:p>
        </w:tc>
        <w:tc>
          <w:tcPr>
            <w:tcW w:w="0" w:type="dxa"/>
            <w:vAlign w:val="bottom"/>
          </w:tcPr>
          <w:p>
            <w:pPr>
              <w:spacing w:after="0"/>
              <w:rPr>
                <w:sz w:val="1"/>
                <w:szCs w:val="1"/>
                <w:color w:val="auto"/>
              </w:rPr>
            </w:pPr>
          </w:p>
        </w:tc>
      </w:tr>
      <w:tr>
        <w:trPr>
          <w:trHeight w:val="230"/>
        </w:trPr>
        <w:tc>
          <w:tcPr>
            <w:tcW w:w="7700" w:type="dxa"/>
            <w:vAlign w:val="bottom"/>
          </w:tcPr>
          <w:p>
            <w:pPr>
              <w:ind w:left="20"/>
              <w:spacing w:after="0"/>
              <w:rPr>
                <w:sz w:val="20"/>
                <w:szCs w:val="20"/>
                <w:color w:val="auto"/>
              </w:rPr>
            </w:pPr>
            <w:r>
              <w:rPr>
                <w:rFonts w:ascii="Arial" w:cs="Arial" w:eastAsia="Arial" w:hAnsi="Arial"/>
                <w:sz w:val="18"/>
                <w:szCs w:val="18"/>
                <w:color w:val="auto"/>
              </w:rPr>
              <w:t>Aerospace and power</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214,365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122,173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336,538</w:t>
            </w:r>
          </w:p>
        </w:tc>
        <w:tc>
          <w:tcPr>
            <w:tcW w:w="0" w:type="dxa"/>
            <w:vAlign w:val="bottom"/>
          </w:tcPr>
          <w:p>
            <w:pPr>
              <w:spacing w:after="0"/>
              <w:rPr>
                <w:sz w:val="1"/>
                <w:szCs w:val="1"/>
                <w:color w:val="auto"/>
              </w:rPr>
            </w:pPr>
          </w:p>
        </w:tc>
      </w:tr>
      <w:tr>
        <w:trPr>
          <w:trHeight w:val="230"/>
        </w:trPr>
        <w:tc>
          <w:tcPr>
            <w:tcW w:w="7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Automation and engineered solutions</w:t>
            </w:r>
          </w:p>
        </w:tc>
        <w:tc>
          <w:tcPr>
            <w:tcW w:w="2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302,645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302,645</w:t>
            </w:r>
          </w:p>
        </w:tc>
        <w:tc>
          <w:tcPr>
            <w:tcW w:w="0" w:type="dxa"/>
            <w:vAlign w:val="bottom"/>
          </w:tcPr>
          <w:p>
            <w:pPr>
              <w:spacing w:after="0"/>
              <w:rPr>
                <w:sz w:val="1"/>
                <w:szCs w:val="1"/>
                <w:color w:val="auto"/>
              </w:rPr>
            </w:pPr>
          </w:p>
        </w:tc>
      </w:tr>
      <w:tr>
        <w:trPr>
          <w:trHeight w:val="223"/>
        </w:trPr>
        <w:tc>
          <w:tcPr>
            <w:tcW w:w="770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790,924</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424,818</w:t>
            </w:r>
          </w:p>
        </w:tc>
        <w:tc>
          <w:tcPr>
            <w:tcW w:w="1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1,215,742</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left="3960"/>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44"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left="39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Process and analytical instrumentation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Aerospace and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Automation and engineered solutions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Timing of Revenue Recognition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transferred at a point in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Products and services transferred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net sales</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 March 31, 2020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6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EIG</w:t>
            </w:r>
          </w:p>
        </w:tc>
        <w:tc>
          <w:tcPr>
            <w:tcW w:w="16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EMG</w:t>
            </w:r>
          </w:p>
        </w:tc>
        <w:tc>
          <w:tcPr>
            <w:tcW w:w="860" w:type="dxa"/>
            <w:vAlign w:val="bottom"/>
            <w:tcBorders>
              <w:top w:val="single" w:sz="8" w:color="auto"/>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Total</w:t>
            </w:r>
          </w:p>
        </w:tc>
      </w:tr>
      <w:tr>
        <w:trPr>
          <w:trHeight w:val="181"/>
        </w:trPr>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ind w:right="377"/>
              <w:spacing w:after="0"/>
              <w:rPr>
                <w:sz w:val="20"/>
                <w:szCs w:val="20"/>
                <w:color w:val="auto"/>
              </w:rPr>
            </w:pPr>
            <w:r>
              <w:rPr>
                <w:rFonts w:ascii="Arial" w:cs="Arial" w:eastAsia="Arial" w:hAnsi="Arial"/>
                <w:sz w:val="14"/>
                <w:szCs w:val="14"/>
                <w:b w:val="1"/>
                <w:bCs w:val="1"/>
                <w:color w:val="auto"/>
                <w:w w:val="91"/>
              </w:rPr>
              <w:t>(In thousands)</w:t>
            </w:r>
          </w:p>
        </w:tc>
        <w:tc>
          <w:tcPr>
            <w:tcW w:w="860" w:type="dxa"/>
            <w:vAlign w:val="bottom"/>
          </w:tcPr>
          <w:p>
            <w:pPr>
              <w:spacing w:after="0"/>
              <w:rPr>
                <w:sz w:val="15"/>
                <w:szCs w:val="15"/>
                <w:color w:val="auto"/>
              </w:rPr>
            </w:pPr>
          </w:p>
        </w:tc>
      </w:tr>
      <w:tr>
        <w:trPr>
          <w:trHeight w:val="231"/>
        </w:trPr>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548,440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57"/>
              <w:spacing w:after="0"/>
              <w:rPr>
                <w:sz w:val="20"/>
                <w:szCs w:val="20"/>
                <w:color w:val="auto"/>
              </w:rPr>
            </w:pPr>
            <w:r>
              <w:rPr>
                <w:rFonts w:ascii="Arial" w:cs="Arial" w:eastAsia="Arial" w:hAnsi="Arial"/>
                <w:sz w:val="18"/>
                <w:szCs w:val="18"/>
                <w:color w:val="auto"/>
              </w:rPr>
              <w:t>—  $</w:t>
            </w:r>
          </w:p>
        </w:tc>
        <w:tc>
          <w:tcPr>
            <w:tcW w:w="860" w:type="dxa"/>
            <w:vAlign w:val="bottom"/>
          </w:tcPr>
          <w:p>
            <w:pPr>
              <w:jc w:val="right"/>
              <w:spacing w:after="0"/>
              <w:rPr>
                <w:sz w:val="20"/>
                <w:szCs w:val="20"/>
                <w:color w:val="auto"/>
              </w:rPr>
            </w:pPr>
            <w:r>
              <w:rPr>
                <w:rFonts w:ascii="Arial" w:cs="Arial" w:eastAsia="Arial" w:hAnsi="Arial"/>
                <w:sz w:val="18"/>
                <w:szCs w:val="18"/>
                <w:color w:val="auto"/>
              </w:rPr>
              <w:t>548,440</w:t>
            </w:r>
          </w:p>
        </w:tc>
      </w:tr>
      <w:tr>
        <w:trPr>
          <w:trHeight w:val="229"/>
        </w:trPr>
        <w:tc>
          <w:tcPr>
            <w:tcW w:w="260" w:type="dxa"/>
            <w:vAlign w:val="bottom"/>
          </w:tcPr>
          <w:p>
            <w:pPr>
              <w:spacing w:after="0"/>
              <w:rPr>
                <w:sz w:val="19"/>
                <w:szCs w:val="19"/>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225,785</w:t>
            </w:r>
          </w:p>
        </w:tc>
        <w:tc>
          <w:tcPr>
            <w:tcW w:w="160" w:type="dxa"/>
            <w:vAlign w:val="bottom"/>
          </w:tcPr>
          <w:p>
            <w:pPr>
              <w:spacing w:after="0"/>
              <w:rPr>
                <w:sz w:val="19"/>
                <w:szCs w:val="19"/>
                <w:color w:val="auto"/>
              </w:rPr>
            </w:pP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127,251</w:t>
            </w:r>
          </w:p>
        </w:tc>
        <w:tc>
          <w:tcPr>
            <w:tcW w:w="860" w:type="dxa"/>
            <w:vAlign w:val="bottom"/>
          </w:tcPr>
          <w:p>
            <w:pPr>
              <w:jc w:val="right"/>
              <w:spacing w:after="0"/>
              <w:rPr>
                <w:sz w:val="20"/>
                <w:szCs w:val="20"/>
                <w:color w:val="auto"/>
              </w:rPr>
            </w:pPr>
            <w:r>
              <w:rPr>
                <w:rFonts w:ascii="Arial" w:cs="Arial" w:eastAsia="Arial" w:hAnsi="Arial"/>
                <w:sz w:val="18"/>
                <w:szCs w:val="18"/>
                <w:color w:val="auto"/>
              </w:rPr>
              <w:t>353,036</w:t>
            </w:r>
          </w:p>
        </w:tc>
      </w:tr>
      <w:tr>
        <w:trPr>
          <w:trHeight w:val="230"/>
        </w:trPr>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60" w:type="dxa"/>
            <w:vAlign w:val="bottom"/>
          </w:tcPr>
          <w:p>
            <w:pPr>
              <w:jc w:val="right"/>
              <w:ind w:right="337"/>
              <w:spacing w:after="0"/>
              <w:rPr>
                <w:sz w:val="20"/>
                <w:szCs w:val="20"/>
                <w:color w:val="auto"/>
              </w:rPr>
            </w:pPr>
            <w:r>
              <w:rPr>
                <w:rFonts w:ascii="Arial" w:cs="Arial" w:eastAsia="Arial" w:hAnsi="Arial"/>
                <w:sz w:val="18"/>
                <w:szCs w:val="18"/>
                <w:color w:val="auto"/>
              </w:rPr>
              <w:t>300,742</w:t>
            </w:r>
          </w:p>
        </w:tc>
        <w:tc>
          <w:tcPr>
            <w:tcW w:w="860" w:type="dxa"/>
            <w:vAlign w:val="bottom"/>
          </w:tcPr>
          <w:p>
            <w:pPr>
              <w:jc w:val="right"/>
              <w:spacing w:after="0"/>
              <w:rPr>
                <w:sz w:val="20"/>
                <w:szCs w:val="20"/>
                <w:color w:val="auto"/>
              </w:rPr>
            </w:pPr>
            <w:r>
              <w:rPr>
                <w:rFonts w:ascii="Arial" w:cs="Arial" w:eastAsia="Arial" w:hAnsi="Arial"/>
                <w:sz w:val="18"/>
                <w:szCs w:val="18"/>
                <w:color w:val="auto"/>
              </w:rPr>
              <w:t>300,742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22459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ind w:left="460" w:hanging="439"/>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774,225  $</w:t>
      </w:r>
      <w:r>
        <w:rPr>
          <w:rFonts w:ascii="Arial" w:cs="Arial" w:eastAsia="Arial" w:hAnsi="Arial"/>
          <w:sz w:val="17"/>
          <w:szCs w:val="17"/>
          <w:color w:val="auto"/>
        </w:rPr>
        <w:t>427,993  $   1,202,218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245995"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45995"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459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420"/>
        <w:spacing w:after="0"/>
        <w:tabs>
          <w:tab w:leader="none" w:pos="1580" w:val="left"/>
          <w:tab w:leader="none" w:pos="2800" w:val="left"/>
        </w:tabs>
        <w:rPr>
          <w:sz w:val="20"/>
          <w:szCs w:val="20"/>
          <w:color w:val="auto"/>
        </w:rPr>
      </w:pPr>
      <w:r>
        <w:rPr>
          <w:rFonts w:ascii="Arial" w:cs="Arial" w:eastAsia="Arial" w:hAnsi="Arial"/>
          <w:sz w:val="14"/>
          <w:szCs w:val="14"/>
          <w:b w:val="1"/>
          <w:bCs w:val="1"/>
          <w:color w:val="auto"/>
        </w:rPr>
        <w:t>EIG</w:t>
      </w:r>
      <w:r>
        <w:rPr>
          <w:sz w:val="20"/>
          <w:szCs w:val="20"/>
          <w:color w:val="auto"/>
        </w:rPr>
        <w:tab/>
      </w:r>
      <w:r>
        <w:rPr>
          <w:rFonts w:ascii="Arial" w:cs="Arial" w:eastAsia="Arial" w:hAnsi="Arial"/>
          <w:sz w:val="14"/>
          <w:szCs w:val="14"/>
          <w:b w:val="1"/>
          <w:bCs w:val="1"/>
          <w:color w:val="auto"/>
        </w:rPr>
        <w:t>EMG</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24599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 thousands)</w:t>
      </w:r>
    </w:p>
    <w:p>
      <w:pPr>
        <w:spacing w:after="0" w:line="46" w:lineRule="exact"/>
        <w:rPr>
          <w:sz w:val="20"/>
          <w:szCs w:val="20"/>
          <w:color w:val="auto"/>
        </w:rPr>
      </w:pPr>
    </w:p>
    <w:p>
      <w:pPr>
        <w:ind w:left="460" w:hanging="439"/>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647,252  $    383,031  $  1,030,283</w:t>
      </w:r>
    </w:p>
    <w:p>
      <w:pPr>
        <w:spacing w:after="0" w:line="27" w:lineRule="exact"/>
        <w:rPr>
          <w:sz w:val="20"/>
          <w:szCs w:val="20"/>
          <w:color w:val="auto"/>
        </w:rPr>
      </w:pPr>
    </w:p>
    <w:p>
      <w:pPr>
        <w:jc w:val="both"/>
        <w:ind w:left="460"/>
        <w:spacing w:after="0"/>
        <w:tabs>
          <w:tab w:leader="none" w:pos="1740" w:val="left"/>
          <w:tab w:leader="none" w:pos="2860" w:val="left"/>
        </w:tabs>
        <w:rPr>
          <w:sz w:val="20"/>
          <w:szCs w:val="20"/>
          <w:color w:val="auto"/>
        </w:rPr>
      </w:pPr>
      <w:r>
        <w:rPr>
          <w:rFonts w:ascii="Arial" w:cs="Arial" w:eastAsia="Arial" w:hAnsi="Arial"/>
          <w:sz w:val="18"/>
          <w:szCs w:val="18"/>
          <w:b w:val="1"/>
          <w:bCs w:val="1"/>
          <w:color w:val="auto"/>
        </w:rPr>
        <w:t>143,672</w:t>
      </w:r>
      <w:r>
        <w:rPr>
          <w:sz w:val="20"/>
          <w:szCs w:val="20"/>
          <w:color w:val="auto"/>
        </w:rPr>
        <w:tab/>
      </w:r>
      <w:r>
        <w:rPr>
          <w:rFonts w:ascii="Arial" w:cs="Arial" w:eastAsia="Arial" w:hAnsi="Arial"/>
          <w:sz w:val="18"/>
          <w:szCs w:val="18"/>
          <w:b w:val="1"/>
          <w:bCs w:val="1"/>
          <w:color w:val="auto"/>
        </w:rPr>
        <w:t>41,787</w:t>
      </w:r>
      <w:r>
        <w:rPr>
          <w:sz w:val="20"/>
          <w:szCs w:val="20"/>
          <w:color w:val="auto"/>
        </w:rPr>
        <w:tab/>
      </w:r>
      <w:r>
        <w:rPr>
          <w:rFonts w:ascii="Arial" w:cs="Arial" w:eastAsia="Arial" w:hAnsi="Arial"/>
          <w:sz w:val="16"/>
          <w:szCs w:val="16"/>
          <w:b w:val="1"/>
          <w:bCs w:val="1"/>
          <w:color w:val="auto"/>
        </w:rPr>
        <w:t>185,459</w:t>
      </w:r>
    </w:p>
    <w:p>
      <w:pPr>
        <w:spacing w:after="0" w:line="31" w:lineRule="exact"/>
        <w:rPr>
          <w:sz w:val="20"/>
          <w:szCs w:val="20"/>
          <w:color w:val="auto"/>
        </w:rPr>
      </w:pPr>
    </w:p>
    <w:p>
      <w:pPr>
        <w:ind w:left="460" w:hanging="439"/>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790,924  $    424,818  $  1,215,742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43180</wp:posOffset>
            </wp:positionV>
            <wp:extent cx="22459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640"/>
        <w:spacing w:after="0"/>
        <w:rPr>
          <w:sz w:val="20"/>
          <w:szCs w:val="20"/>
          <w:color w:val="auto"/>
        </w:rPr>
      </w:pPr>
      <w:r>
        <w:rPr>
          <w:rFonts w:ascii="Arial" w:cs="Arial" w:eastAsia="Arial" w:hAnsi="Arial"/>
          <w:sz w:val="14"/>
          <w:szCs w:val="14"/>
          <w:b w:val="1"/>
          <w:bCs w:val="1"/>
          <w:color w:val="auto"/>
        </w:rPr>
        <w:t>Three months ended March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2459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5" w:lineRule="exact"/>
        <w:rPr>
          <w:sz w:val="20"/>
          <w:szCs w:val="20"/>
          <w:color w:val="auto"/>
        </w:rPr>
      </w:pPr>
    </w:p>
    <w:p>
      <w:pPr>
        <w:ind w:left="420"/>
        <w:spacing w:after="0"/>
        <w:tabs>
          <w:tab w:leader="none" w:pos="1580" w:val="left"/>
          <w:tab w:leader="none" w:pos="2800" w:val="left"/>
        </w:tabs>
        <w:rPr>
          <w:sz w:val="20"/>
          <w:szCs w:val="20"/>
          <w:color w:val="auto"/>
        </w:rPr>
      </w:pPr>
      <w:r>
        <w:rPr>
          <w:rFonts w:ascii="Arial" w:cs="Arial" w:eastAsia="Arial" w:hAnsi="Arial"/>
          <w:sz w:val="14"/>
          <w:szCs w:val="14"/>
          <w:b w:val="1"/>
          <w:bCs w:val="1"/>
          <w:color w:val="auto"/>
        </w:rPr>
        <w:t>EIG</w:t>
      </w:r>
      <w:r>
        <w:rPr>
          <w:sz w:val="20"/>
          <w:szCs w:val="20"/>
          <w:color w:val="auto"/>
        </w:rPr>
        <w:tab/>
      </w:r>
      <w:r>
        <w:rPr>
          <w:rFonts w:ascii="Arial" w:cs="Arial" w:eastAsia="Arial" w:hAnsi="Arial"/>
          <w:sz w:val="14"/>
          <w:szCs w:val="14"/>
          <w:b w:val="1"/>
          <w:bCs w:val="1"/>
          <w:color w:val="auto"/>
        </w:rPr>
        <w:t>EMG</w:t>
      </w:r>
      <w:r>
        <w:rPr>
          <w:sz w:val="20"/>
          <w:szCs w:val="20"/>
          <w:color w:val="auto"/>
        </w:rPr>
        <w:tab/>
      </w:r>
      <w:r>
        <w:rPr>
          <w:rFonts w:ascii="Arial" w:cs="Arial" w:eastAsia="Arial" w:hAnsi="Arial"/>
          <w:sz w:val="13"/>
          <w:szCs w:val="13"/>
          <w:b w:val="1"/>
          <w:bCs w:val="1"/>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wp:posOffset>
            </wp:positionV>
            <wp:extent cx="224599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49" w:lineRule="exact"/>
        <w:rPr>
          <w:sz w:val="20"/>
          <w:szCs w:val="20"/>
          <w:color w:val="auto"/>
        </w:rPr>
      </w:pPr>
    </w:p>
    <w:p>
      <w:pPr>
        <w:ind w:left="1320"/>
        <w:spacing w:after="0"/>
        <w:rPr>
          <w:sz w:val="20"/>
          <w:szCs w:val="20"/>
          <w:color w:val="auto"/>
        </w:rPr>
      </w:pPr>
      <w:r>
        <w:rPr>
          <w:rFonts w:ascii="Arial" w:cs="Arial" w:eastAsia="Arial" w:hAnsi="Arial"/>
          <w:sz w:val="14"/>
          <w:szCs w:val="14"/>
          <w:b w:val="1"/>
          <w:bCs w:val="1"/>
          <w:color w:val="auto"/>
        </w:rPr>
        <w:t>(In thousands)</w:t>
      </w:r>
    </w:p>
    <w:p>
      <w:pPr>
        <w:spacing w:after="0" w:line="50" w:lineRule="exact"/>
        <w:rPr>
          <w:sz w:val="20"/>
          <w:szCs w:val="20"/>
          <w:color w:val="auto"/>
        </w:rPr>
      </w:pPr>
    </w:p>
    <w:p>
      <w:pPr>
        <w:ind w:left="460" w:hanging="439"/>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633,540  $</w:t>
      </w:r>
      <w:r>
        <w:rPr>
          <w:rFonts w:ascii="Arial" w:cs="Arial" w:eastAsia="Arial" w:hAnsi="Arial"/>
          <w:sz w:val="17"/>
          <w:szCs w:val="17"/>
          <w:color w:val="auto"/>
        </w:rPr>
        <w:t>379,059  $   1,012,599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140,685</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48,934</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189,619</w:t>
            </w:r>
          </w:p>
        </w:tc>
      </w:tr>
      <w:tr>
        <w:trPr>
          <w:trHeight w:val="223"/>
        </w:trPr>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774,225</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427,993</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1,202,218</w:t>
            </w:r>
          </w:p>
        </w:tc>
      </w:tr>
      <w:tr>
        <w:trPr>
          <w:trHeight w:val="21"/>
        </w:trPr>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633" w:lineRule="exact"/>
        <w:rPr>
          <w:sz w:val="20"/>
          <w:szCs w:val="20"/>
          <w:color w:val="auto"/>
        </w:rPr>
      </w:pPr>
    </w:p>
    <w:p>
      <w:pPr>
        <w:sectPr>
          <w:pgSz w:w="11900" w:h="16838" w:orient="portrait"/>
          <w:cols w:equalWidth="0" w:num="2">
            <w:col w:w="7300" w:space="400"/>
            <w:col w:w="3540"/>
          </w:cols>
          <w:pgMar w:left="320" w:top="125" w:right="339" w:bottom="1440" w:gutter="0" w:footer="0" w:header="0"/>
        </w:sectPr>
      </w:pPr>
    </w:p>
    <w:p>
      <w:pPr>
        <w:ind w:right="280" w:firstLine="648"/>
        <w:spacing w:after="0" w:line="259" w:lineRule="auto"/>
        <w:rPr>
          <w:sz w:val="20"/>
          <w:szCs w:val="20"/>
          <w:color w:val="auto"/>
        </w:rPr>
      </w:pPr>
      <w:r>
        <w:rPr>
          <w:rFonts w:ascii="Arial" w:cs="Arial" w:eastAsia="Arial" w:hAnsi="Arial"/>
          <w:sz w:val="18"/>
          <w:szCs w:val="18"/>
          <w:color w:val="auto"/>
        </w:rPr>
        <w:t>The Company provides limited warranties in connection with the sale of its products. The warranty periods for products sold vary among the Company’s operations, but the majority do not exceed one year. The Company calculates its warranty expense provision based on its historical warranty experience and adjustments are made periodically to reflect actual warranty expenses. Product warranty obligations are reported as a component of Accrued liabilities and other in the consolidated balance sheet.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Changes in the accrued product warranty obligation were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16"/>
                <w:szCs w:val="16"/>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6"/>
                <w:szCs w:val="16"/>
                <w:color w:val="auto"/>
              </w:rPr>
            </w:pPr>
          </w:p>
        </w:tc>
      </w:tr>
      <w:tr>
        <w:trPr>
          <w:trHeight w:val="187"/>
        </w:trPr>
        <w:tc>
          <w:tcPr>
            <w:tcW w:w="804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6"/>
                <w:szCs w:val="16"/>
                <w:color w:val="auto"/>
              </w:rPr>
            </w:pPr>
          </w:p>
        </w:tc>
      </w:tr>
      <w:tr>
        <w:trPr>
          <w:trHeight w:val="185"/>
        </w:trPr>
        <w:tc>
          <w:tcPr>
            <w:tcW w:w="80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40" w:type="dxa"/>
            <w:vAlign w:val="bottom"/>
            <w:gridSpan w:val="3"/>
          </w:tcPr>
          <w:p>
            <w:pPr>
              <w:jc w:val="right"/>
              <w:ind w:right="476"/>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6"/>
                <w:szCs w:val="16"/>
                <w:color w:val="auto"/>
              </w:rPr>
            </w:pPr>
          </w:p>
        </w:tc>
      </w:tr>
      <w:tr>
        <w:trPr>
          <w:trHeight w:val="25"/>
        </w:trPr>
        <w:tc>
          <w:tcPr>
            <w:tcW w:w="8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the beginning of the period</w:t>
            </w: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27,839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27,611</w:t>
            </w: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color w:val="auto"/>
              </w:rPr>
              <w:t>Accruals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2,780</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3,252</w:t>
            </w: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(3,292)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(4,217)</w:t>
            </w: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Warranty accruals related to acquired businesses and other during the period</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the end of the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27,228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56"/>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26,934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w:t>
      </w:r>
    </w:p>
    <w:p>
      <w:pPr>
        <w:spacing w:after="0" w:line="117"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The Company maintains allowances for estimated losses resulting from the inability of customers to meet their financial obligations to the Company. The Company recognizes an allowance for credit losses, on all accounts receivable and contract assets, which considers risk of future credit losses based on factors such as historical experience, contract terms, as well as general and market business conditions, country, and political risk. Balances are written off when determined to be uncollectible.</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At March 31, 2021, the Company had $678.5 million of accounts receivable, net of allowances of $12.6 million. Changes in the allowance were not material for the three months ended March 31, 2021.</w:t>
      </w:r>
    </w:p>
    <w:p>
      <w:pPr>
        <w:sectPr>
          <w:pgSz w:w="11900" w:h="16838" w:orient="portrait"/>
          <w:cols w:equalWidth="0" w:num="1">
            <w:col w:w="11240"/>
          </w:cols>
          <w:pgMar w:left="320" w:top="125" w:right="33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6"/>
          <w:szCs w:val="16"/>
          <w:b w:val="1"/>
          <w:bCs w:val="1"/>
          <w:color w:val="auto"/>
        </w:rPr>
        <w:t>Earnings Per Share</w:t>
      </w:r>
    </w:p>
    <w:p>
      <w:pPr>
        <w:spacing w:after="0" w:line="121"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calculation of basic earnings per share is based on the weighted average number of common shares considered outstanding during the periods. The calculation of diluted earnings per share reflects the effect of all potentially dilutive securities (principally outstanding stock options and restricted stock grants). Securities that are anti-dilutive have been excluded and are not significant. The number of weighted average shares used in the calculation of basic earnings per share and diluted earnings per share was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640" w:type="dxa"/>
            <w:vAlign w:val="bottom"/>
          </w:tcPr>
          <w:p>
            <w:pPr>
              <w:spacing w:after="0"/>
              <w:rPr>
                <w:sz w:val="16"/>
                <w:szCs w:val="16"/>
                <w:color w:val="auto"/>
              </w:rPr>
            </w:pPr>
          </w:p>
        </w:tc>
        <w:tc>
          <w:tcPr>
            <w:tcW w:w="26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 March 31,</w:t>
            </w:r>
          </w:p>
        </w:tc>
      </w:tr>
      <w:tr>
        <w:trPr>
          <w:trHeight w:val="187"/>
        </w:trPr>
        <w:tc>
          <w:tcPr>
            <w:tcW w:w="8640" w:type="dxa"/>
            <w:vAlign w:val="bottom"/>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w w:val="96"/>
              </w:rPr>
              <w:t>2020</w:t>
            </w:r>
          </w:p>
        </w:tc>
      </w:tr>
      <w:tr>
        <w:trPr>
          <w:trHeight w:val="183"/>
        </w:trPr>
        <w:tc>
          <w:tcPr>
            <w:tcW w:w="8640" w:type="dxa"/>
            <w:vAlign w:val="bottom"/>
          </w:tcPr>
          <w:p>
            <w:pPr>
              <w:spacing w:after="0"/>
              <w:rPr>
                <w:sz w:val="15"/>
                <w:szCs w:val="15"/>
                <w:color w:val="auto"/>
              </w:rPr>
            </w:pPr>
          </w:p>
        </w:tc>
        <w:tc>
          <w:tcPr>
            <w:tcW w:w="1800" w:type="dxa"/>
            <w:vAlign w:val="bottom"/>
            <w:gridSpan w:val="3"/>
          </w:tcPr>
          <w:p>
            <w:pPr>
              <w:jc w:val="center"/>
              <w:ind w:left="719"/>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5"/>
                <w:szCs w:val="15"/>
                <w:color w:val="auto"/>
              </w:rPr>
            </w:pPr>
          </w:p>
        </w:tc>
      </w:tr>
      <w:tr>
        <w:trPr>
          <w:trHeight w:val="231"/>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8640" w:type="dxa"/>
            <w:vAlign w:val="bottom"/>
          </w:tcPr>
          <w:p>
            <w:pPr>
              <w:ind w:left="20"/>
              <w:spacing w:after="0"/>
              <w:rPr>
                <w:sz w:val="20"/>
                <w:szCs w:val="20"/>
                <w:color w:val="auto"/>
              </w:rPr>
            </w:pPr>
            <w:r>
              <w:rPr>
                <w:rFonts w:ascii="Arial" w:cs="Arial" w:eastAsia="Arial" w:hAnsi="Arial"/>
                <w:sz w:val="18"/>
                <w:szCs w:val="18"/>
                <w:color w:val="auto"/>
              </w:rPr>
              <w:t>Basic shares</w:t>
            </w: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230,435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228,962</w:t>
            </w:r>
          </w:p>
        </w:tc>
      </w:tr>
      <w:tr>
        <w:trPr>
          <w:trHeight w:val="230"/>
        </w:trPr>
        <w:tc>
          <w:tcPr>
            <w:tcW w:w="8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compensation plans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1,861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1,910</w:t>
            </w:r>
          </w:p>
        </w:tc>
      </w:tr>
      <w:tr>
        <w:trPr>
          <w:trHeight w:val="223"/>
        </w:trPr>
        <w:tc>
          <w:tcPr>
            <w:tcW w:w="8640" w:type="dxa"/>
            <w:vAlign w:val="bottom"/>
          </w:tcPr>
          <w:p>
            <w:pPr>
              <w:ind w:left="20"/>
              <w:spacing w:after="0"/>
              <w:rPr>
                <w:sz w:val="20"/>
                <w:szCs w:val="20"/>
                <w:color w:val="auto"/>
              </w:rPr>
            </w:pPr>
            <w:r>
              <w:rPr>
                <w:rFonts w:ascii="Arial" w:cs="Arial" w:eastAsia="Arial" w:hAnsi="Arial"/>
                <w:sz w:val="18"/>
                <w:szCs w:val="18"/>
                <w:color w:val="auto"/>
              </w:rPr>
              <w:t>Diluted shares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232,296</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230,872</w:t>
            </w:r>
          </w:p>
        </w:tc>
      </w:tr>
      <w:tr>
        <w:trPr>
          <w:trHeight w:val="21"/>
        </w:trPr>
        <w:tc>
          <w:tcPr>
            <w:tcW w:w="86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Fair Value Measurements</w:t>
      </w:r>
    </w:p>
    <w:p>
      <w:pPr>
        <w:spacing w:after="0" w:line="121" w:lineRule="exact"/>
        <w:rPr>
          <w:sz w:val="20"/>
          <w:szCs w:val="20"/>
          <w:color w:val="auto"/>
        </w:rPr>
      </w:pPr>
    </w:p>
    <w:p>
      <w:pPr>
        <w:ind w:right="140" w:firstLine="648"/>
        <w:spacing w:after="0" w:line="308" w:lineRule="auto"/>
        <w:rPr>
          <w:sz w:val="20"/>
          <w:szCs w:val="20"/>
          <w:color w:val="auto"/>
        </w:rPr>
      </w:pPr>
      <w:r>
        <w:rPr>
          <w:rFonts w:ascii="Arial" w:cs="Arial" w:eastAsia="Arial" w:hAnsi="Arial"/>
          <w:sz w:val="17"/>
          <w:szCs w:val="17"/>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4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utilizes a valuation hierarchy for disclosure of the inputs to the valuations used to measure fair value. This hierarchy 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own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the Company’s assets that are measured at fair value on a recurring basis, consistent with the fair value hierarchy, 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2021 and December 31, 2020:</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64"/>
              <w:spacing w:after="0"/>
              <w:rPr>
                <w:sz w:val="20"/>
                <w:szCs w:val="20"/>
                <w:color w:val="auto"/>
              </w:rPr>
            </w:pPr>
            <w:r>
              <w:rPr>
                <w:rFonts w:ascii="Arial" w:cs="Arial" w:eastAsia="Arial" w:hAnsi="Arial"/>
                <w:sz w:val="14"/>
                <w:szCs w:val="14"/>
                <w:b w:val="1"/>
                <w:bCs w:val="1"/>
                <w:color w:val="auto"/>
                <w:w w:val="94"/>
              </w:rPr>
              <w:t>March 31, 2021</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1"/>
              </w:rPr>
              <w:t>December 31, 2020</w:t>
            </w:r>
          </w:p>
        </w:tc>
      </w:tr>
      <w:tr>
        <w:trPr>
          <w:trHeight w:val="190"/>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Fair Value</w:t>
            </w:r>
          </w:p>
        </w:tc>
        <w:tc>
          <w:tcPr>
            <w:tcW w:w="180" w:type="dxa"/>
            <w:vAlign w:val="bottom"/>
          </w:tcPr>
          <w:p>
            <w:pPr>
              <w:spacing w:after="0"/>
              <w:rPr>
                <w:sz w:val="16"/>
                <w:szCs w:val="16"/>
                <w:color w:val="auto"/>
              </w:rPr>
            </w:pPr>
          </w:p>
        </w:tc>
        <w:tc>
          <w:tcPr>
            <w:tcW w:w="146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Fair Value</w:t>
            </w:r>
          </w:p>
        </w:tc>
      </w:tr>
      <w:tr>
        <w:trPr>
          <w:trHeight w:val="25"/>
        </w:trPr>
        <w:tc>
          <w:tcPr>
            <w:tcW w:w="78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gridSpan w:val="3"/>
          </w:tcPr>
          <w:p>
            <w:pPr>
              <w:spacing w:after="0"/>
              <w:rPr>
                <w:sz w:val="2"/>
                <w:szCs w:val="2"/>
                <w:color w:val="auto"/>
              </w:rPr>
            </w:pPr>
          </w:p>
        </w:tc>
      </w:tr>
      <w:tr>
        <w:trPr>
          <w:trHeight w:val="184"/>
        </w:trPr>
        <w:tc>
          <w:tcPr>
            <w:tcW w:w="7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1202"/>
              <w:spacing w:after="0"/>
              <w:rPr>
                <w:sz w:val="20"/>
                <w:szCs w:val="20"/>
                <w:color w:val="auto"/>
              </w:rPr>
            </w:pPr>
            <w:r>
              <w:rPr>
                <w:rFonts w:ascii="Arial" w:cs="Arial" w:eastAsia="Arial" w:hAnsi="Arial"/>
                <w:sz w:val="14"/>
                <w:szCs w:val="14"/>
                <w:b w:val="1"/>
                <w:bCs w:val="1"/>
                <w:color w:val="auto"/>
              </w:rPr>
              <w:t>(In thousands)</w:t>
            </w:r>
          </w:p>
        </w:tc>
      </w:tr>
      <w:tr>
        <w:trPr>
          <w:trHeight w:val="25"/>
        </w:trPr>
        <w:tc>
          <w:tcPr>
            <w:tcW w:w="7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30"/>
        </w:trPr>
        <w:tc>
          <w:tcPr>
            <w:tcW w:w="7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Mutual fund investments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6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12,281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8,969</w:t>
            </w:r>
          </w:p>
        </w:tc>
      </w:tr>
    </w:tbl>
    <w:p>
      <w:pPr>
        <w:spacing w:after="0" w:line="202" w:lineRule="exact"/>
        <w:rPr>
          <w:sz w:val="20"/>
          <w:szCs w:val="20"/>
          <w:color w:val="auto"/>
        </w:rPr>
      </w:pPr>
    </w:p>
    <w:p>
      <w:pPr>
        <w:ind w:right="800" w:firstLine="567"/>
        <w:spacing w:after="0" w:line="277" w:lineRule="auto"/>
        <w:rPr>
          <w:sz w:val="20"/>
          <w:szCs w:val="20"/>
          <w:color w:val="auto"/>
        </w:rPr>
      </w:pPr>
      <w:r>
        <w:rPr>
          <w:rFonts w:ascii="Arial" w:cs="Arial" w:eastAsia="Arial" w:hAnsi="Arial"/>
          <w:sz w:val="18"/>
          <w:szCs w:val="18"/>
          <w:color w:val="auto"/>
        </w:rPr>
        <w:t>The fair value of mutual fund investments, which are valued as level 1 investments, was based on quoted market prices. The mutual fund investments are shown as a component of investments and other assets on the consolidated balance sheet.</w:t>
      </w:r>
    </w:p>
    <w:p>
      <w:pPr>
        <w:spacing w:after="0" w:line="170" w:lineRule="exact"/>
        <w:rPr>
          <w:sz w:val="20"/>
          <w:szCs w:val="20"/>
          <w:color w:val="auto"/>
        </w:rPr>
      </w:pPr>
    </w:p>
    <w:p>
      <w:pPr>
        <w:ind w:right="140" w:firstLine="567"/>
        <w:spacing w:after="0" w:line="277" w:lineRule="auto"/>
        <w:rPr>
          <w:sz w:val="20"/>
          <w:szCs w:val="20"/>
          <w:color w:val="auto"/>
        </w:rPr>
      </w:pPr>
      <w:r>
        <w:rPr>
          <w:rFonts w:ascii="Arial" w:cs="Arial" w:eastAsia="Arial" w:hAnsi="Arial"/>
          <w:sz w:val="18"/>
          <w:szCs w:val="18"/>
          <w:color w:val="auto"/>
        </w:rPr>
        <w:t>For the three months ended March 31, 2021 and 2020, gains and losses on the investments noted above were not significant. No transfers between level 1 and level 2 investments occurred during the three months ended March 31, 2021 and 2020.</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117"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Cash, cash equivalents and mutual fund investments are recorded at fair value at March 31, 2021 and December 31, 2020 in the accompanying consolidated balance sheet.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The following table provides the estimated fair values of the Company’s financial instrument liabilities, for which fair value is measured for disclosure purposes only, compared to the recorded amounts at March 31, 2021 and December 31, 2020:</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March 31, 2021</w:t>
            </w:r>
          </w:p>
        </w:tc>
        <w:tc>
          <w:tcPr>
            <w:tcW w:w="11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3"/>
          </w:tcPr>
          <w:p>
            <w:pPr>
              <w:jc w:val="right"/>
              <w:ind w:right="939"/>
              <w:spacing w:after="0"/>
              <w:rPr>
                <w:sz w:val="20"/>
                <w:szCs w:val="20"/>
                <w:color w:val="auto"/>
              </w:rPr>
            </w:pPr>
            <w:r>
              <w:rPr>
                <w:rFonts w:ascii="Arial" w:cs="Arial" w:eastAsia="Arial" w:hAnsi="Arial"/>
                <w:sz w:val="14"/>
                <w:szCs w:val="14"/>
                <w:b w:val="1"/>
                <w:bCs w:val="1"/>
                <w:color w:val="auto"/>
              </w:rPr>
              <w:t>December 31, 2020</w:t>
            </w:r>
          </w:p>
        </w:tc>
      </w:tr>
      <w:tr>
        <w:trPr>
          <w:trHeight w:val="166"/>
        </w:trPr>
        <w:tc>
          <w:tcPr>
            <w:tcW w:w="4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00" w:type="dxa"/>
            <w:vAlign w:val="bottom"/>
          </w:tcPr>
          <w:p>
            <w:pPr>
              <w:jc w:val="center"/>
              <w:ind w:right="264"/>
              <w:spacing w:after="0"/>
              <w:rPr>
                <w:sz w:val="20"/>
                <w:szCs w:val="20"/>
                <w:color w:val="auto"/>
              </w:rPr>
            </w:pPr>
            <w:r>
              <w:rPr>
                <w:rFonts w:ascii="Arial" w:cs="Arial" w:eastAsia="Arial" w:hAnsi="Arial"/>
                <w:sz w:val="14"/>
                <w:szCs w:val="14"/>
                <w:b w:val="1"/>
                <w:bCs w:val="1"/>
                <w:color w:val="auto"/>
                <w:w w:val="92"/>
              </w:rPr>
              <w:t>Recorded</w:t>
            </w:r>
          </w:p>
        </w:tc>
        <w:tc>
          <w:tcPr>
            <w:tcW w:w="4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60" w:type="dxa"/>
            <w:vAlign w:val="bottom"/>
          </w:tcPr>
          <w:p>
            <w:pPr>
              <w:jc w:val="center"/>
              <w:ind w:right="404"/>
              <w:spacing w:after="0"/>
              <w:rPr>
                <w:sz w:val="20"/>
                <w:szCs w:val="20"/>
                <w:color w:val="auto"/>
              </w:rPr>
            </w:pPr>
            <w:r>
              <w:rPr>
                <w:rFonts w:ascii="Arial" w:cs="Arial" w:eastAsia="Arial" w:hAnsi="Arial"/>
                <w:sz w:val="14"/>
                <w:szCs w:val="14"/>
                <w:b w:val="1"/>
                <w:bCs w:val="1"/>
                <w:color w:val="auto"/>
                <w:w w:val="92"/>
              </w:rPr>
              <w:t>Recorded</w:t>
            </w:r>
          </w:p>
        </w:tc>
        <w:tc>
          <w:tcPr>
            <w:tcW w:w="34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186"/>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center"/>
              <w:ind w:right="244"/>
              <w:spacing w:after="0"/>
              <w:rPr>
                <w:sz w:val="20"/>
                <w:szCs w:val="20"/>
                <w:color w:val="auto"/>
              </w:rPr>
            </w:pPr>
            <w:r>
              <w:rPr>
                <w:rFonts w:ascii="Arial" w:cs="Arial" w:eastAsia="Arial" w:hAnsi="Arial"/>
                <w:sz w:val="14"/>
                <w:szCs w:val="14"/>
                <w:b w:val="1"/>
                <w:bCs w:val="1"/>
                <w:color w:val="auto"/>
                <w:w w:val="94"/>
              </w:rPr>
              <w:t>Amount</w:t>
            </w:r>
          </w:p>
        </w:tc>
        <w:tc>
          <w:tcPr>
            <w:tcW w:w="480" w:type="dxa"/>
            <w:vAlign w:val="bottom"/>
          </w:tcPr>
          <w:p>
            <w:pPr>
              <w:spacing w:after="0"/>
              <w:rPr>
                <w:sz w:val="16"/>
                <w:szCs w:val="16"/>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6"/>
                <w:szCs w:val="16"/>
                <w:color w:val="auto"/>
              </w:rPr>
            </w:pPr>
          </w:p>
        </w:tc>
        <w:tc>
          <w:tcPr>
            <w:tcW w:w="1160" w:type="dxa"/>
            <w:vAlign w:val="bottom"/>
          </w:tcPr>
          <w:p>
            <w:pPr>
              <w:jc w:val="center"/>
              <w:ind w:right="42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6"/>
                <w:szCs w:val="16"/>
                <w:color w:val="auto"/>
              </w:rPr>
            </w:pPr>
          </w:p>
        </w:tc>
        <w:tc>
          <w:tcPr>
            <w:tcW w:w="1260" w:type="dxa"/>
            <w:vAlign w:val="bottom"/>
          </w:tcPr>
          <w:p>
            <w:pPr>
              <w:jc w:val="right"/>
              <w:ind w:right="379"/>
              <w:spacing w:after="0"/>
              <w:rPr>
                <w:sz w:val="20"/>
                <w:szCs w:val="20"/>
                <w:color w:val="auto"/>
              </w:rPr>
            </w:pPr>
            <w:r>
              <w:rPr>
                <w:rFonts w:ascii="Arial" w:cs="Arial" w:eastAsia="Arial" w:hAnsi="Arial"/>
                <w:sz w:val="14"/>
                <w:szCs w:val="14"/>
                <w:b w:val="1"/>
                <w:bCs w:val="1"/>
                <w:color w:val="auto"/>
              </w:rPr>
              <w:t>Fair Value</w:t>
            </w:r>
          </w:p>
        </w:tc>
      </w:tr>
      <w:tr>
        <w:trPr>
          <w:trHeight w:val="26"/>
        </w:trPr>
        <w:tc>
          <w:tcPr>
            <w:tcW w:w="47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4"/>
        </w:trPr>
        <w:tc>
          <w:tcPr>
            <w:tcW w:w="47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6"/>
        </w:trPr>
        <w:tc>
          <w:tcPr>
            <w:tcW w:w="47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4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 (including current portion)</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00" w:type="dxa"/>
            <w:vAlign w:val="bottom"/>
            <w:shd w:val="clear" w:color="auto" w:fill="CCEEFF"/>
          </w:tcPr>
          <w:p>
            <w:pPr>
              <w:jc w:val="right"/>
              <w:ind w:right="4"/>
              <w:spacing w:after="0"/>
              <w:rPr>
                <w:sz w:val="20"/>
                <w:szCs w:val="20"/>
                <w:color w:val="auto"/>
              </w:rPr>
            </w:pPr>
            <w:r>
              <w:rPr>
                <w:rFonts w:ascii="Arial" w:cs="Arial" w:eastAsia="Arial" w:hAnsi="Arial"/>
                <w:sz w:val="18"/>
                <w:szCs w:val="18"/>
                <w:b w:val="1"/>
                <w:bCs w:val="1"/>
                <w:color w:val="auto"/>
              </w:rPr>
              <w:t>(2,319,110)</w:t>
            </w:r>
          </w:p>
        </w:tc>
        <w:tc>
          <w:tcPr>
            <w:tcW w:w="480" w:type="dxa"/>
            <w:vAlign w:val="bottom"/>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(2,446,945)</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
              <w:spacing w:after="0"/>
              <w:rPr>
                <w:sz w:val="20"/>
                <w:szCs w:val="20"/>
                <w:color w:val="auto"/>
              </w:rPr>
            </w:pPr>
            <w:r>
              <w:rPr>
                <w:rFonts w:ascii="Arial" w:cs="Arial" w:eastAsia="Arial" w:hAnsi="Arial"/>
                <w:sz w:val="18"/>
                <w:szCs w:val="18"/>
                <w:color w:val="auto"/>
              </w:rPr>
              <w:t>(2,347,587)</w:t>
            </w:r>
          </w:p>
        </w:tc>
        <w:tc>
          <w:tcPr>
            <w:tcW w:w="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(2,550,956)</w:t>
            </w:r>
          </w:p>
        </w:tc>
      </w:tr>
    </w:tbl>
    <w:p>
      <w:pPr>
        <w:spacing w:after="0" w:line="202" w:lineRule="exact"/>
        <w:rPr>
          <w:sz w:val="20"/>
          <w:szCs w:val="20"/>
          <w:color w:val="auto"/>
        </w:rPr>
      </w:pPr>
    </w:p>
    <w:p>
      <w:pPr>
        <w:jc w:val="both"/>
        <w:ind w:right="20" w:firstLine="648"/>
        <w:spacing w:after="0" w:line="311" w:lineRule="auto"/>
        <w:rPr>
          <w:sz w:val="20"/>
          <w:szCs w:val="20"/>
          <w:color w:val="auto"/>
        </w:rPr>
      </w:pPr>
      <w:r>
        <w:rPr>
          <w:rFonts w:ascii="Arial" w:cs="Arial" w:eastAsia="Arial" w:hAnsi="Arial"/>
          <w:sz w:val="16"/>
          <w:szCs w:val="16"/>
          <w:color w:val="auto"/>
        </w:rPr>
        <w:t>The fair value of net short-term borrowings approximates the carrying value. Net short-term borrowings are valued as level 2 liabilities as they are corroborated by observable market data. The Company’s net long-term debt is all privately held with no public market for this debt, therefore, the fair value of net long-term debt was computed based on comparable current market data for similar debt instruments and is considered a level 3 liability.</w:t>
      </w:r>
    </w:p>
    <w:p>
      <w:pPr>
        <w:spacing w:after="0" w:line="2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Foreign Currency</w:t>
      </w:r>
    </w:p>
    <w:p>
      <w:pPr>
        <w:spacing w:after="0" w:line="22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At March 31, 2020, the Company had a Canadian dollar forward contract for a total notional value of 24.0 million Canadian dollars and a British pound forward contract for a notional value of 10.0 million British pounds. For the three months ended March 31, 2020, realized and unrealized gains and losses on foreign currency forward contracts were not significant. The Company does not typically designate its foreign currency forward contracts as hedges.</w:t>
      </w:r>
    </w:p>
    <w:p>
      <w:pPr>
        <w:spacing w:after="0" w:line="29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6"/>
          <w:szCs w:val="16"/>
          <w:b w:val="1"/>
          <w:bCs w:val="1"/>
          <w:color w:val="auto"/>
        </w:rPr>
        <w:t>Hedging Activities</w:t>
      </w:r>
    </w:p>
    <w:p>
      <w:pPr>
        <w:spacing w:after="0" w:line="121"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The Company has designated certain foreign-currency-denominated long-term borrowings as hedges of the net investment in certain foreign operations. As of March 31, 2021, these net investment hedges included British-pound-and Euro-denominated long-term debt. These borrowings were designed to create net investment hedges in certain designated foreign subsidiaries. The Company designated the British-pound- and Euro-denominated loans referred to above as hedging instruments to offset translation gains or losses on the net investment due to changes in the British pound and Euro exchange rates. These net investment hedges are evidenced by management’s contemporaneous documentation supporting the hedge designation. Any gain or loss on the hedging instruments (the debt) following hedge designation is reported in accumulated other comprehensive income in the same manner as the translation adjustment on the hedged investment based on changes in the spot rate, which is used to measure hedge effectiveness.</w:t>
      </w:r>
    </w:p>
    <w:p>
      <w:pPr>
        <w:spacing w:after="0" w:line="166"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At March 31, 2021, the Company had $310.5 million of British-pound-denominated loans, which were designated as a hedge against the net investment in British pound functional currency foreign subsidiaries. At March 31, 2021, the Company had $664.5 million in Euro-denominated loans, which were designated as a hedge against the net investment in Euro functional currency foreign subsidiaries. As a result of the British-pound- and Euro-denominated loans designated and 100% effective as net investment hedges, $24.3 million of pre-tax currency remeasurement gains have been included in the foreign currency translation component of other comprehensive income for the three months ended March 31, 2021.</w:t>
      </w:r>
    </w:p>
    <w:p>
      <w:pPr>
        <w:spacing w:after="0" w:line="26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6"/>
          <w:szCs w:val="16"/>
          <w:b w:val="1"/>
          <w:bCs w:val="1"/>
          <w:color w:val="auto"/>
        </w:rPr>
        <w:t>Inventories, net</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4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31,</w:t>
            </w:r>
          </w:p>
        </w:tc>
        <w:tc>
          <w:tcPr>
            <w:tcW w:w="220" w:type="dxa"/>
            <w:vAlign w:val="bottom"/>
          </w:tcPr>
          <w:p>
            <w:pPr>
              <w:spacing w:after="0"/>
              <w:rPr>
                <w:sz w:val="14"/>
                <w:szCs w:val="14"/>
                <w:color w:val="auto"/>
              </w:rPr>
            </w:pPr>
          </w:p>
        </w:tc>
        <w:tc>
          <w:tcPr>
            <w:tcW w:w="134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3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0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5"/>
        </w:trPr>
        <w:tc>
          <w:tcPr>
            <w:tcW w:w="4040" w:type="dxa"/>
            <w:vAlign w:val="bottom"/>
          </w:tcPr>
          <w:p>
            <w:pPr>
              <w:spacing w:after="0"/>
              <w:rPr>
                <w:sz w:val="2"/>
                <w:szCs w:val="2"/>
                <w:color w:val="auto"/>
              </w:rPr>
            </w:pPr>
          </w:p>
        </w:tc>
        <w:tc>
          <w:tcPr>
            <w:tcW w:w="4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 and parts</w:t>
            </w:r>
          </w:p>
        </w:tc>
        <w:tc>
          <w:tcPr>
            <w:tcW w:w="4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b w:val="1"/>
                <w:bCs w:val="1"/>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89,242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119,865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102,945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 and purchased parts</w:t>
            </w:r>
          </w:p>
        </w:tc>
        <w:tc>
          <w:tcPr>
            <w:tcW w:w="40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395,214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374,607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40" w:type="dxa"/>
            <w:vAlign w:val="bottom"/>
          </w:tcPr>
          <w:p>
            <w:pPr>
              <w:ind w:left="20"/>
              <w:spacing w:after="0"/>
              <w:rPr>
                <w:sz w:val="20"/>
                <w:szCs w:val="20"/>
                <w:color w:val="auto"/>
              </w:rPr>
            </w:pPr>
            <w:r>
              <w:rPr>
                <w:rFonts w:ascii="Arial" w:cs="Arial" w:eastAsia="Arial" w:hAnsi="Arial"/>
                <w:sz w:val="18"/>
                <w:szCs w:val="18"/>
                <w:color w:val="auto"/>
              </w:rPr>
              <w:t>Total inventories, net</w:t>
            </w:r>
          </w:p>
        </w:tc>
        <w:tc>
          <w:tcPr>
            <w:tcW w:w="40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604,321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559,171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4000" w:type="dxa"/>
            <w:vAlign w:val="bottom"/>
            <w:vMerge w:val="restart"/>
          </w:tcPr>
          <w:p>
            <w:pPr>
              <w:jc w:val="right"/>
              <w:ind w:right="2230"/>
              <w:spacing w:after="0"/>
              <w:rPr>
                <w:sz w:val="20"/>
                <w:szCs w:val="20"/>
                <w:color w:val="auto"/>
              </w:rPr>
            </w:pPr>
            <w:r>
              <w:rPr>
                <w:rFonts w:ascii="Arial" w:cs="Arial" w:eastAsia="Arial" w:hAnsi="Arial"/>
                <w:sz w:val="18"/>
                <w:szCs w:val="18"/>
                <w:color w:val="auto"/>
              </w:rPr>
              <w:t>12</w:t>
            </w: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4040" w:type="dxa"/>
            <w:vAlign w:val="bottom"/>
          </w:tcPr>
          <w:p>
            <w:pPr>
              <w:spacing w:after="0"/>
              <w:rPr>
                <w:sz w:val="24"/>
                <w:szCs w:val="24"/>
                <w:color w:val="auto"/>
              </w:rPr>
            </w:pPr>
          </w:p>
        </w:tc>
        <w:tc>
          <w:tcPr>
            <w:tcW w:w="40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040" w:type="dxa"/>
            <w:vAlign w:val="bottom"/>
            <w:tcBorders>
              <w:bottom w:val="single" w:sz="8" w:color="9A9A9A"/>
            </w:tcBorders>
          </w:tcPr>
          <w:p>
            <w:pPr>
              <w:spacing w:after="0"/>
              <w:rPr>
                <w:sz w:val="10"/>
                <w:szCs w:val="10"/>
                <w:color w:val="auto"/>
              </w:rPr>
            </w:pPr>
          </w:p>
        </w:tc>
        <w:tc>
          <w:tcPr>
            <w:tcW w:w="40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r>
      <w:r>
        <w:rPr>
          <w:sz w:val="20"/>
          <w:szCs w:val="20"/>
          <w:color w:val="auto"/>
        </w:rPr>
        <w:tab/>
      </w:r>
      <w:r>
        <w:rPr>
          <w:rFonts w:ascii="Arial" w:cs="Arial" w:eastAsia="Arial" w:hAnsi="Arial"/>
          <w:sz w:val="15"/>
          <w:szCs w:val="15"/>
          <w:b w:val="1"/>
          <w:bCs w:val="1"/>
          <w:color w:val="auto"/>
        </w:rPr>
        <w:t>Leases</w:t>
      </w:r>
    </w:p>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The Company has commitments under operating leases for certain facilities, vehicles and equipment used in its operations. Cash used in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operating leases was not materially different from operating lease expense for the three months ended March 31, 2021 and March 31, 2020.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Company's leases have initial lease terms ranging from two months to 14 years. Certain lease agreements contain provisions for future rent increases.</w:t>
      </w:r>
    </w:p>
    <w:p>
      <w:pPr>
        <w:spacing w:after="0" w:line="23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126" w:lineRule="exact"/>
        <w:rPr>
          <w:sz w:val="20"/>
          <w:szCs w:val="20"/>
          <w:color w:val="auto"/>
        </w:rPr>
      </w:pPr>
    </w:p>
    <w:p>
      <w:pPr>
        <w:jc w:val="center"/>
        <w:ind w:left="8620"/>
        <w:spacing w:after="0"/>
        <w:rPr>
          <w:sz w:val="20"/>
          <w:szCs w:val="20"/>
          <w:color w:val="auto"/>
        </w:rPr>
      </w:pPr>
      <w:r>
        <w:rPr>
          <w:rFonts w:ascii="Arial" w:cs="Arial" w:eastAsia="Arial" w:hAnsi="Arial"/>
          <w:sz w:val="14"/>
          <w:szCs w:val="14"/>
          <w:b w:val="1"/>
          <w:bCs w:val="1"/>
          <w:color w:val="auto"/>
        </w:rPr>
        <w:t>Three Months Ended</w:t>
      </w:r>
    </w:p>
    <w:p>
      <w:pPr>
        <w:jc w:val="center"/>
        <w:ind w:left="862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740" w:type="dxa"/>
            <w:vAlign w:val="bottom"/>
            <w:gridSpan w:val="7"/>
          </w:tcPr>
          <w:p>
            <w:pPr>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8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11,517</w:t>
            </w:r>
          </w:p>
        </w:tc>
        <w:tc>
          <w:tcPr>
            <w:tcW w:w="320" w:type="dxa"/>
            <w:vAlign w:val="bottom"/>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Variable lease cost</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1,470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lease cost</w:t>
            </w: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12,987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11,819</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8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8040" w:type="dxa"/>
            <w:vAlign w:val="bottom"/>
          </w:tcPr>
          <w:p>
            <w:pPr>
              <w:spacing w:after="0"/>
              <w:rPr>
                <w:sz w:val="21"/>
                <w:szCs w:val="21"/>
                <w:color w:val="auto"/>
              </w:rPr>
            </w:pPr>
          </w:p>
        </w:tc>
        <w:tc>
          <w:tcPr>
            <w:tcW w:w="14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46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32"/>
              <w:spacing w:after="0"/>
              <w:rPr>
                <w:sz w:val="20"/>
                <w:szCs w:val="20"/>
                <w:color w:val="auto"/>
              </w:rPr>
            </w:pPr>
            <w:r>
              <w:rPr>
                <w:rFonts w:ascii="Arial" w:cs="Arial" w:eastAsia="Arial" w:hAnsi="Arial"/>
                <w:sz w:val="14"/>
                <w:szCs w:val="14"/>
                <w:b w:val="1"/>
                <w:bCs w:val="1"/>
                <w:color w:val="auto"/>
                <w:w w:val="89"/>
              </w:rPr>
              <w:t>2020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6"/>
          </w:tcPr>
          <w:p>
            <w:pPr>
              <w:jc w:val="right"/>
              <w:ind w:right="59"/>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8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9"/>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 net</w:t>
            </w:r>
          </w:p>
        </w:tc>
        <w:tc>
          <w:tcPr>
            <w:tcW w:w="600" w:type="dxa"/>
            <w:vAlign w:val="bottom"/>
            <w:shd w:val="clear" w:color="auto" w:fill="CCEEFF"/>
          </w:tcPr>
          <w:p>
            <w:pPr>
              <w:jc w:val="right"/>
              <w:ind w:right="417"/>
              <w:spacing w:after="0"/>
              <w:rPr>
                <w:sz w:val="20"/>
                <w:szCs w:val="20"/>
                <w:color w:val="auto"/>
              </w:rPr>
            </w:pPr>
            <w:r>
              <w:rPr>
                <w:rFonts w:ascii="Arial" w:cs="Arial" w:eastAsia="Arial" w:hAnsi="Arial"/>
                <w:sz w:val="18"/>
                <w:szCs w:val="18"/>
                <w:b w:val="1"/>
                <w:bCs w:val="1"/>
                <w:color w:val="auto"/>
                <w:w w:val="79"/>
              </w:rPr>
              <w:t>$</w:t>
            </w: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166,675</w:t>
            </w: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167,233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Lease liabilities included in Accrued Liabilities and other</w:t>
            </w: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040" w:type="dxa"/>
            <w:vAlign w:val="bottom"/>
            <w:vMerge w:val="continue"/>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45,116</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Arial" w:cs="Arial" w:eastAsia="Arial" w:hAnsi="Arial"/>
                <w:sz w:val="18"/>
                <w:szCs w:val="18"/>
                <w:color w:val="auto"/>
              </w:rPr>
              <w:t>44,948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 included in Other long-term liabilities</w:t>
            </w:r>
          </w:p>
        </w:tc>
        <w:tc>
          <w:tcPr>
            <w:tcW w:w="6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127,260</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128,173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tcPr>
          <w:p>
            <w:pPr>
              <w:ind w:left="360"/>
              <w:spacing w:after="0"/>
              <w:rPr>
                <w:sz w:val="20"/>
                <w:szCs w:val="20"/>
                <w:color w:val="auto"/>
              </w:rPr>
            </w:pPr>
            <w:r>
              <w:rPr>
                <w:rFonts w:ascii="Arial" w:cs="Arial" w:eastAsia="Arial" w:hAnsi="Arial"/>
                <w:sz w:val="18"/>
                <w:szCs w:val="18"/>
                <w:color w:val="auto"/>
              </w:rPr>
              <w:t>Total lease liabilities</w:t>
            </w:r>
          </w:p>
        </w:tc>
        <w:tc>
          <w:tcPr>
            <w:tcW w:w="600" w:type="dxa"/>
            <w:vAlign w:val="bottom"/>
            <w:tcBorders>
              <w:bottom w:val="single" w:sz="8" w:color="auto"/>
            </w:tcBorders>
          </w:tcPr>
          <w:p>
            <w:pPr>
              <w:jc w:val="right"/>
              <w:ind w:right="417"/>
              <w:spacing w:after="0"/>
              <w:rPr>
                <w:sz w:val="20"/>
                <w:szCs w:val="20"/>
                <w:color w:val="auto"/>
              </w:rPr>
            </w:pPr>
            <w:r>
              <w:rPr>
                <w:rFonts w:ascii="Arial" w:cs="Arial" w:eastAsia="Arial" w:hAnsi="Arial"/>
                <w:sz w:val="18"/>
                <w:szCs w:val="18"/>
                <w:b w:val="1"/>
                <w:bCs w:val="1"/>
                <w:color w:val="auto"/>
                <w:w w:val="79"/>
              </w:rPr>
              <w:t>$</w:t>
            </w:r>
          </w:p>
        </w:tc>
        <w:tc>
          <w:tcPr>
            <w:tcW w:w="2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8"/>
              </w:rPr>
              <w:t>172,376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173,121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40" w:type="dxa"/>
            <w:vAlign w:val="bottom"/>
            <w:vMerge w:val="restart"/>
          </w:tcPr>
          <w:p>
            <w:pPr>
              <w:ind w:left="660"/>
              <w:spacing w:after="0"/>
              <w:rPr>
                <w:sz w:val="20"/>
                <w:szCs w:val="20"/>
                <w:color w:val="auto"/>
              </w:rPr>
            </w:pPr>
            <w:r>
              <w:rPr>
                <w:rFonts w:ascii="Arial" w:cs="Arial" w:eastAsia="Arial" w:hAnsi="Arial"/>
                <w:sz w:val="18"/>
                <w:szCs w:val="18"/>
                <w:color w:val="auto"/>
              </w:rPr>
              <w:t>Maturities of lease liabilities as of March 31, 2021 were as follows:</w:t>
            </w: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804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8040" w:type="dxa"/>
            <w:vAlign w:val="bottom"/>
          </w:tcPr>
          <w:p>
            <w:pPr>
              <w:ind w:left="20"/>
              <w:spacing w:after="0"/>
              <w:rPr>
                <w:sz w:val="20"/>
                <w:szCs w:val="20"/>
                <w:color w:val="auto"/>
              </w:rPr>
            </w:pPr>
            <w:r>
              <w:rPr>
                <w:rFonts w:ascii="Arial" w:cs="Arial" w:eastAsia="Arial" w:hAnsi="Arial"/>
                <w:sz w:val="14"/>
                <w:szCs w:val="14"/>
                <w:b w:val="1"/>
                <w:bCs w:val="1"/>
                <w:color w:val="auto"/>
              </w:rPr>
              <w:t>Lease Liability Maturity Analysis</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5"/>
        </w:trPr>
        <w:tc>
          <w:tcPr>
            <w:tcW w:w="8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80" w:type="dxa"/>
            <w:vAlign w:val="bottom"/>
            <w:gridSpan w:val="3"/>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2021</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38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37,906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2022</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43,174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2023</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33,486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0"/>
              <w:spacing w:after="0"/>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23,041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2025</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180,877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imputed interest</w:t>
            </w:r>
          </w:p>
        </w:tc>
        <w:tc>
          <w:tcPr>
            <w:tcW w:w="6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8,501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172,376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does not have any significant leases that have not yet commenced.</w:t>
      </w:r>
    </w:p>
    <w:p>
      <w:pPr>
        <w:spacing w:after="0" w:line="329"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Acquisitions and Divestitu</w:t>
      </w:r>
      <w:r>
        <w:rPr>
          <w:rFonts w:ascii="Arial" w:cs="Arial" w:eastAsia="Arial" w:hAnsi="Arial"/>
          <w:sz w:val="16"/>
          <w:szCs w:val="16"/>
          <w:color w:val="auto"/>
        </w:rPr>
        <w:t>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w:t>
      </w:r>
    </w:p>
    <w:p>
      <w:pPr>
        <w:spacing w:after="0" w:line="11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 March 2021, the Company spent $263.9 million in cash, net of cash acquired, to acquire Magnetrol International ("Magnetrol"), Crank Software, and EGS Automation ("EGS"). Magnetrol is a leading provider of level and flow control solutions for challenging process applications across a diverse set of end markets including medical, pharmaceutical, oil and gas, food and beverage, and general industrial. Crank Software is a leading provider of embedded graphical user interface software and services. EGS is an automation solutions provider that designs and manufactures highly engineered, customized robotic solutions used in critical applications for the medical, food and beverage, and general industrial markets. Magnetrol and Crank Software are part of EIG. EGS is part of EMG.</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540" w:firstLine="648"/>
        <w:spacing w:after="0" w:line="277" w:lineRule="auto"/>
        <w:rPr>
          <w:sz w:val="20"/>
          <w:szCs w:val="20"/>
          <w:color w:val="auto"/>
        </w:rPr>
      </w:pPr>
      <w:r>
        <w:rPr>
          <w:rFonts w:ascii="Arial" w:cs="Arial" w:eastAsia="Arial" w:hAnsi="Arial"/>
          <w:sz w:val="18"/>
          <w:szCs w:val="18"/>
          <w:color w:val="auto"/>
        </w:rPr>
        <w:t>The following table represents the allocation of the purchase price for the net assets of the acquisitions based on the estimated fair values at acquisition (in millions):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Goodwill</w:t>
            </w:r>
          </w:p>
        </w:tc>
        <w:tc>
          <w:tcPr>
            <w:tcW w:w="5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80.9</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intangible assets</w:t>
            </w:r>
          </w:p>
        </w:tc>
        <w:tc>
          <w:tcPr>
            <w:tcW w:w="5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125.5</w:t>
            </w:r>
          </w:p>
        </w:tc>
      </w:tr>
      <w:tr>
        <w:trPr>
          <w:trHeight w:val="230"/>
        </w:trPr>
        <w:tc>
          <w:tcPr>
            <w:tcW w:w="9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Net working capital and other</w:t>
            </w:r>
            <w:r>
              <w:rPr>
                <w:rFonts w:ascii="Arial" w:cs="Arial" w:eastAsia="Arial" w:hAnsi="Arial"/>
                <w:sz w:val="23"/>
                <w:szCs w:val="23"/>
                <w:color w:val="auto"/>
                <w:vertAlign w:val="superscript"/>
              </w:rPr>
              <w:t>(1)</w:t>
            </w:r>
          </w:p>
        </w:tc>
        <w:tc>
          <w:tcPr>
            <w:tcW w:w="5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paid</w:t>
            </w: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263.9</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63" w:lineRule="exact"/>
        <w:rPr>
          <w:sz w:val="20"/>
          <w:szCs w:val="20"/>
          <w:color w:val="auto"/>
        </w:rPr>
      </w:pPr>
    </w:p>
    <w:p>
      <w:pPr>
        <w:ind w:left="640" w:hanging="632"/>
        <w:spacing w:after="0"/>
        <w:tabs>
          <w:tab w:leader="none" w:pos="64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Includes $18.0 million in accounts receivable, whose fair value, contractual cash flows and expected cash flows are approximately equal.</w:t>
      </w:r>
    </w:p>
    <w:p>
      <w:pPr>
        <w:spacing w:after="0" w:line="237" w:lineRule="exact"/>
        <w:rPr>
          <w:sz w:val="20"/>
          <w:szCs w:val="20"/>
          <w:color w:val="auto"/>
        </w:rPr>
      </w:pPr>
    </w:p>
    <w:p>
      <w:pPr>
        <w:ind w:right="260" w:firstLine="648"/>
        <w:spacing w:after="0" w:line="275" w:lineRule="auto"/>
        <w:rPr>
          <w:sz w:val="20"/>
          <w:szCs w:val="20"/>
          <w:color w:val="auto"/>
        </w:rPr>
      </w:pPr>
      <w:r>
        <w:rPr>
          <w:rFonts w:ascii="Arial" w:cs="Arial" w:eastAsia="Arial" w:hAnsi="Arial"/>
          <w:sz w:val="17"/>
          <w:szCs w:val="17"/>
          <w:color w:val="auto"/>
        </w:rPr>
        <w:t>The amount allocated to goodwill is reflective of the benefits the Company expects to realize from the 2021 acquisitions. Magnetrol's solutions combined with the Company’s existing Sensors, Test and Calibration business, becomes an industry leading differentiated sensor platform with a broad range of level and flow measurement solutions. Crank Software expands the Company's growing portfolio of software solutions. EGS complements the Company's existing Dunkermotoren business providing highly customizable engineering design and automation capabilities. The Company expects approximately all goodwill relating to the 2021 acquisitions will be tax deductible in future years.</w:t>
      </w:r>
    </w:p>
    <w:p>
      <w:pPr>
        <w:spacing w:after="0" w:line="176" w:lineRule="exact"/>
        <w:rPr>
          <w:sz w:val="20"/>
          <w:szCs w:val="20"/>
          <w:color w:val="auto"/>
        </w:rPr>
      </w:pPr>
    </w:p>
    <w:p>
      <w:pPr>
        <w:ind w:right="40" w:firstLine="648"/>
        <w:spacing w:after="0" w:line="301" w:lineRule="auto"/>
        <w:rPr>
          <w:sz w:val="20"/>
          <w:szCs w:val="20"/>
          <w:color w:val="auto"/>
        </w:rPr>
      </w:pPr>
      <w:r>
        <w:rPr>
          <w:rFonts w:ascii="Arial" w:cs="Arial" w:eastAsia="Arial" w:hAnsi="Arial"/>
          <w:sz w:val="16"/>
          <w:szCs w:val="16"/>
          <w:color w:val="auto"/>
        </w:rPr>
        <w:t>At March 31, 2021, the purchase price allocated to other intangible assets of $125.5 million consists of $18.9 million of indefinite-lived intangible trade names, which are not subject to amortization. The remaining $106.6 million of other intangible assets consists of $85.0 million of customer relationships, which are being amortized over a period of 18 to 20 years, and $21.6 million of purchased technology, which is being amortized over a period of 12 to 14 years. Amortization expense for each of the next five years for the 2021 acquisitions is expected to approximate $6 million per year.</w:t>
      </w:r>
    </w:p>
    <w:p>
      <w:pPr>
        <w:spacing w:after="0" w:line="157" w:lineRule="exact"/>
        <w:rPr>
          <w:sz w:val="20"/>
          <w:szCs w:val="20"/>
          <w:color w:val="auto"/>
        </w:rPr>
      </w:pPr>
    </w:p>
    <w:p>
      <w:pPr>
        <w:ind w:right="460" w:firstLine="648"/>
        <w:spacing w:after="0" w:line="263" w:lineRule="auto"/>
        <w:rPr>
          <w:sz w:val="20"/>
          <w:szCs w:val="20"/>
          <w:color w:val="auto"/>
        </w:rPr>
      </w:pPr>
      <w:r>
        <w:rPr>
          <w:rFonts w:ascii="Arial" w:cs="Arial" w:eastAsia="Arial" w:hAnsi="Arial"/>
          <w:sz w:val="18"/>
          <w:szCs w:val="18"/>
          <w:color w:val="auto"/>
        </w:rPr>
        <w:t>The Company is in the process of finalizing the measurement of certain tangible and intangible assets and liabilities for its 2021 acquisitions including inventory, property, plant and equipment, goodwill, trade names, customer relationships and purchased technology, and the accounting for income taxes.</w:t>
      </w:r>
    </w:p>
    <w:p>
      <w:pPr>
        <w:spacing w:after="0" w:line="184"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The acquisitions had an immaterial impact on reported net sales, net income and diluted earnings per share for the three months ended March 31, 2021. Had the acquisitions been made at the beginning of 2021 or 2020, unaudited pro forma net sales, net income and diluted earnings per share for the three months ended March 31, 2021 and 2020, respectively, would not have been materially different than the amounts reported.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Divestiture</w:t>
      </w:r>
    </w:p>
    <w:p>
      <w:pPr>
        <w:spacing w:after="0" w:line="117" w:lineRule="exact"/>
        <w:rPr>
          <w:sz w:val="20"/>
          <w:szCs w:val="20"/>
          <w:color w:val="auto"/>
        </w:rPr>
      </w:pPr>
    </w:p>
    <w:p>
      <w:pPr>
        <w:ind w:right="400" w:firstLine="648"/>
        <w:spacing w:after="0" w:line="291" w:lineRule="auto"/>
        <w:rPr>
          <w:sz w:val="20"/>
          <w:szCs w:val="20"/>
          <w:color w:val="auto"/>
        </w:rPr>
      </w:pPr>
      <w:r>
        <w:rPr>
          <w:rFonts w:ascii="Arial" w:cs="Arial" w:eastAsia="Arial" w:hAnsi="Arial"/>
          <w:sz w:val="16"/>
          <w:szCs w:val="16"/>
          <w:color w:val="auto"/>
        </w:rPr>
        <w:t>The Company completed its sale of Reading Alloys to Kymera International in March 2020 for net cash proceeds of $245.3 million. The sale resulted in a pretax gain of $141.0 million, recorded in Other income, net in the Consolidated Statement of Income, and income tax expense</w:t>
      </w:r>
    </w:p>
    <w:p>
      <w:pPr>
        <w:ind w:right="140"/>
        <w:spacing w:after="0" w:line="260" w:lineRule="auto"/>
        <w:rPr>
          <w:sz w:val="20"/>
          <w:szCs w:val="20"/>
          <w:color w:val="auto"/>
        </w:rPr>
      </w:pPr>
      <w:r>
        <w:rPr>
          <w:rFonts w:ascii="Arial" w:cs="Arial" w:eastAsia="Arial" w:hAnsi="Arial"/>
          <w:sz w:val="18"/>
          <w:szCs w:val="18"/>
          <w:color w:val="auto"/>
        </w:rPr>
        <w:t>of approximately $31.4 million in connection with the sale. Reading Alloys revenue and costs were reported within the EMG segment through the date of sale.</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Acquisitions Subsequent to March 31, 2021</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 April 2021, the Company acquired NSI-MI Technologies for approximately $230.0 million in cash. NSI-MI has estimated annual sales of approximately $90 million. NSI-MI is a leading provider of radio frequency and microwave test and measurement systems for niche applications across the aerospace, defense, automotive, wireless communications, and research markets. NSI-MI has joined EIG.</w:t>
      </w:r>
    </w:p>
    <w:p>
      <w:pPr>
        <w:spacing w:after="0" w:line="184" w:lineRule="exact"/>
        <w:rPr>
          <w:sz w:val="20"/>
          <w:szCs w:val="20"/>
          <w:color w:val="auto"/>
        </w:rPr>
      </w:pPr>
    </w:p>
    <w:p>
      <w:pPr>
        <w:ind w:right="280" w:firstLine="648"/>
        <w:spacing w:after="0" w:line="286" w:lineRule="auto"/>
        <w:rPr>
          <w:sz w:val="20"/>
          <w:szCs w:val="20"/>
          <w:color w:val="auto"/>
        </w:rPr>
      </w:pPr>
      <w:r>
        <w:rPr>
          <w:rFonts w:ascii="Arial" w:cs="Arial" w:eastAsia="Arial" w:hAnsi="Arial"/>
          <w:sz w:val="17"/>
          <w:szCs w:val="17"/>
          <w:color w:val="auto"/>
        </w:rPr>
        <w:t>In April 2021, the Company acquired Abaco Systems, Inc. for approximately $1,350.0 million in cash. Abaco has estimated annual sales of approximately $325 million. Abaco specializes in open-architecture computing and electronic systems for aerospace, defense, and specialized industrial markets and is a leading provider of mission critical embedded computing systems. Abaco has joined EIG.</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Goodwill</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amounts of goodwill by segment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EIG</w:t>
            </w:r>
          </w:p>
        </w:tc>
        <w:tc>
          <w:tcPr>
            <w:tcW w:w="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EMG</w:t>
            </w: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Total</w:t>
            </w:r>
          </w:p>
        </w:tc>
      </w:tr>
      <w:tr>
        <w:trPr>
          <w:trHeight w:val="187"/>
        </w:trPr>
        <w:tc>
          <w:tcPr>
            <w:tcW w:w="6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(In millions)</w:t>
            </w: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31"/>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3,050.3</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4,224.9</w:t>
            </w:r>
          </w:p>
        </w:tc>
      </w:tr>
      <w:tr>
        <w:trPr>
          <w:trHeight w:val="229"/>
        </w:trPr>
        <w:tc>
          <w:tcPr>
            <w:tcW w:w="6400" w:type="dxa"/>
            <w:vAlign w:val="bottom"/>
          </w:tcPr>
          <w:p>
            <w:pPr>
              <w:ind w:left="360"/>
              <w:spacing w:after="0"/>
              <w:rPr>
                <w:sz w:val="20"/>
                <w:szCs w:val="20"/>
                <w:color w:val="auto"/>
              </w:rPr>
            </w:pPr>
            <w:r>
              <w:rPr>
                <w:rFonts w:ascii="Arial" w:cs="Arial" w:eastAsia="Arial" w:hAnsi="Arial"/>
                <w:sz w:val="18"/>
                <w:szCs w:val="18"/>
                <w:color w:val="auto"/>
              </w:rPr>
              <w:t>Goodwill acquired</w:t>
            </w:r>
          </w:p>
        </w:tc>
        <w:tc>
          <w:tcPr>
            <w:tcW w:w="9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80.9</w:t>
            </w:r>
          </w:p>
        </w:tc>
      </w:tr>
      <w:tr>
        <w:trPr>
          <w:trHeight w:val="229"/>
        </w:trPr>
        <w:tc>
          <w:tcPr>
            <w:tcW w:w="6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price allocation adjustments and other</w:t>
            </w:r>
          </w:p>
        </w:tc>
        <w:tc>
          <w:tcPr>
            <w:tcW w:w="90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r>
      <w:tr>
        <w:trPr>
          <w:trHeight w:val="230"/>
        </w:trPr>
        <w:tc>
          <w:tcPr>
            <w:tcW w:w="64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Foreign currency translation adjustments</w:t>
            </w:r>
          </w:p>
        </w:tc>
        <w:tc>
          <w:tcPr>
            <w:tcW w:w="9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w:t>
            </w:r>
          </w:p>
        </w:tc>
      </w:tr>
      <w:tr>
        <w:trPr>
          <w:trHeight w:val="24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March 31, 2021</w:t>
            </w:r>
          </w:p>
        </w:tc>
        <w:tc>
          <w:tcPr>
            <w:tcW w:w="900" w:type="dxa"/>
            <w:vAlign w:val="bottom"/>
            <w:tcBorders>
              <w:bottom w:val="single" w:sz="8" w:color="auto"/>
            </w:tcBorders>
            <w:shd w:val="clear" w:color="auto" w:fill="CCEEFF"/>
          </w:tcPr>
          <w:p>
            <w:pPr>
              <w:jc w:val="right"/>
              <w:ind w:right="716"/>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3,117.1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1,175.3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4,292.4</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400" w:hanging="392"/>
        <w:spacing w:after="0"/>
        <w:tabs>
          <w:tab w:leader="none" w:pos="4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At March 31, 2021, the Company had gross uncertain tax benefits of $110.1 million, of which $68.4 million, if recognized, would impact the effective tax rate.</w:t>
      </w:r>
    </w:p>
    <w:p>
      <w:pPr>
        <w:sectPr>
          <w:pgSz w:w="11900" w:h="16838" w:orient="portrait"/>
          <w:cols w:equalWidth="0" w:num="1">
            <w:col w:w="11220"/>
          </w:cols>
          <w:pgMar w:left="320" w:top="125" w:right="359" w:bottom="144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is a reconciliation of the liability for uncertain tax positions (in millions):</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0628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06285" cy="146050"/>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Additions for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06285"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06285" cy="145415"/>
                    </a:xfrm>
                    <a:prstGeom prst="rect">
                      <a:avLst/>
                    </a:prstGeom>
                    <a:noFill/>
                  </pic:spPr>
                </pic:pic>
              </a:graphicData>
            </a:graphic>
          </wp:anchor>
        </w:drawing>
      </w:r>
    </w:p>
    <w:p>
      <w:pPr>
        <w:spacing w:after="0" w:line="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Reductions for tax positions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at March 31, 2021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ind w:left="1028" w:hanging="1028"/>
        <w:spacing w:after="0"/>
        <w:tabs>
          <w:tab w:leader="none" w:pos="1028" w:val="left"/>
        </w:tabs>
        <w:numPr>
          <w:ilvl w:val="0"/>
          <w:numId w:val="9"/>
        </w:numPr>
        <w:rPr>
          <w:rFonts w:ascii="Arial" w:cs="Arial" w:eastAsia="Arial" w:hAnsi="Arial"/>
          <w:sz w:val="18"/>
          <w:szCs w:val="18"/>
          <w:color w:val="auto"/>
        </w:rPr>
      </w:pPr>
      <w:r>
        <w:rPr>
          <w:rFonts w:ascii="Arial" w:cs="Arial" w:eastAsia="Arial" w:hAnsi="Arial"/>
          <w:sz w:val="18"/>
          <w:szCs w:val="18"/>
          <w:color w:val="auto"/>
        </w:rPr>
        <w:t>100.7</w:t>
      </w:r>
    </w:p>
    <w:p>
      <w:pPr>
        <w:spacing w:after="0" w:line="23" w:lineRule="exact"/>
        <w:rPr>
          <w:rFonts w:ascii="Arial" w:cs="Arial" w:eastAsia="Arial" w:hAnsi="Arial"/>
          <w:sz w:val="18"/>
          <w:szCs w:val="18"/>
          <w:color w:val="auto"/>
        </w:rPr>
      </w:pPr>
    </w:p>
    <w:p>
      <w:pPr>
        <w:ind w:left="1208"/>
        <w:spacing w:after="0"/>
        <w:rPr>
          <w:rFonts w:ascii="Arial" w:cs="Arial" w:eastAsia="Arial" w:hAnsi="Arial"/>
          <w:sz w:val="18"/>
          <w:szCs w:val="18"/>
          <w:color w:val="auto"/>
        </w:rPr>
      </w:pPr>
      <w:r>
        <w:rPr>
          <w:rFonts w:ascii="Arial" w:cs="Arial" w:eastAsia="Arial" w:hAnsi="Arial"/>
          <w:sz w:val="18"/>
          <w:szCs w:val="18"/>
          <w:b w:val="1"/>
          <w:bCs w:val="1"/>
          <w:color w:val="auto"/>
        </w:rPr>
        <w:t>9.5</w:t>
      </w:r>
    </w:p>
    <w:p>
      <w:pPr>
        <w:spacing w:after="0" w:line="23" w:lineRule="exact"/>
        <w:rPr>
          <w:sz w:val="20"/>
          <w:szCs w:val="20"/>
          <w:color w:val="auto"/>
        </w:rPr>
      </w:pPr>
    </w:p>
    <w:p>
      <w:pPr>
        <w:jc w:val="right"/>
        <w:ind w:right="40"/>
        <w:spacing w:after="0"/>
        <w:rPr>
          <w:sz w:val="20"/>
          <w:szCs w:val="20"/>
          <w:color w:val="auto"/>
        </w:rPr>
      </w:pPr>
      <w:r>
        <w:rPr>
          <w:rFonts w:ascii="Arial" w:cs="Arial" w:eastAsia="Arial" w:hAnsi="Arial"/>
          <w:sz w:val="18"/>
          <w:szCs w:val="18"/>
          <w:b w:val="1"/>
          <w:bCs w:val="1"/>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14605</wp:posOffset>
            </wp:positionV>
            <wp:extent cx="9683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68375" cy="8890"/>
                    </a:xfrm>
                    <a:prstGeom prst="rect">
                      <a:avLst/>
                    </a:prstGeom>
                    <a:noFill/>
                  </pic:spPr>
                </pic:pic>
              </a:graphicData>
            </a:graphic>
          </wp:anchor>
        </w:drawing>
      </w:r>
    </w:p>
    <w:p>
      <w:pPr>
        <w:spacing w:after="0" w:line="11" w:lineRule="exact"/>
        <w:rPr>
          <w:sz w:val="20"/>
          <w:szCs w:val="20"/>
          <w:color w:val="auto"/>
        </w:rPr>
      </w:pPr>
    </w:p>
    <w:p>
      <w:pPr>
        <w:ind w:left="1048" w:hanging="1048"/>
        <w:spacing w:after="0"/>
        <w:tabs>
          <w:tab w:leader="none" w:pos="1048"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110.1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24765</wp:posOffset>
            </wp:positionV>
            <wp:extent cx="96837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96837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50165</wp:posOffset>
            </wp:positionV>
            <wp:extent cx="96837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68375" cy="8255"/>
                    </a:xfrm>
                    <a:prstGeom prst="rect">
                      <a:avLst/>
                    </a:prstGeom>
                    <a:noFill/>
                  </pic:spPr>
                </pic:pic>
              </a:graphicData>
            </a:graphic>
          </wp:anchor>
        </w:drawing>
      </w:r>
    </w:p>
    <w:p>
      <w:pPr>
        <w:spacing w:after="0" w:line="242" w:lineRule="exact"/>
        <w:rPr>
          <w:sz w:val="20"/>
          <w:szCs w:val="20"/>
          <w:color w:val="auto"/>
        </w:rPr>
      </w:pPr>
    </w:p>
    <w:p>
      <w:pPr>
        <w:sectPr>
          <w:pgSz w:w="11900" w:h="16838" w:orient="portrait"/>
          <w:cols w:equalWidth="0" w:num="2">
            <w:col w:w="8972" w:space="720"/>
            <w:col w:w="1528"/>
          </w:cols>
          <w:pgMar w:left="320" w:top="125" w:right="359" w:bottom="1440" w:gutter="0" w:footer="0" w:header="0"/>
          <w:type w:val="continuous"/>
        </w:sectPr>
      </w:pPr>
    </w:p>
    <w:p>
      <w:pPr>
        <w:spacing w:after="0" w:line="52"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Company recognizes interest and penalties accrued related to uncertain tax positions in income tax expense. The amounts recognized in income tax expense for interest and penalties during the three months ended March 31, 2021 and 2020 were not significant.</w:t>
      </w:r>
    </w:p>
    <w:p>
      <w:pPr>
        <w:spacing w:after="0" w:line="146"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effective tax rate for the three months ended March 31, 2021 was 19.5%, compared with 20.1% for the three months ended March 31, 2020. The higher rate for 2020 reflects the gain on the sale of the Reading Alloys business, resulting in an additional $31.4 million of income tax expense, at an effective rate of 22.3%.</w:t>
      </w:r>
    </w:p>
    <w:p>
      <w:pPr>
        <w:spacing w:after="0" w:line="200" w:lineRule="exact"/>
        <w:rPr>
          <w:sz w:val="20"/>
          <w:szCs w:val="20"/>
          <w:color w:val="auto"/>
        </w:rPr>
      </w:pPr>
    </w:p>
    <w:p>
      <w:pPr>
        <w:spacing w:after="0" w:line="22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6"/>
          <w:szCs w:val="16"/>
          <w:b w:val="1"/>
          <w:bCs w:val="1"/>
          <w:color w:val="auto"/>
        </w:rPr>
        <w:t>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w:t>
      </w:r>
    </w:p>
    <w:p>
      <w:pPr>
        <w:spacing w:after="0" w:line="117"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Truist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5"/>
          <w:szCs w:val="15"/>
          <w:b w:val="1"/>
          <w:bCs w:val="1"/>
          <w:color w:val="auto"/>
        </w:rPr>
        <w:t>Share-Based Compensation</w:t>
      </w:r>
    </w:p>
    <w:p>
      <w:pPr>
        <w:spacing w:after="0" w:line="12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Company's share-based compensation plans are described in Note 11, Share-Based Compensation, to the consolidated financial statements in Part II, Item 8, filed on the Company’s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Based Compensation Expense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was as follows:</w:t>
      </w:r>
    </w:p>
    <w:p>
      <w:pPr>
        <w:spacing w:after="0" w:line="126"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2020</w:t>
            </w:r>
          </w:p>
        </w:tc>
      </w:tr>
      <w:tr>
        <w:trPr>
          <w:trHeight w:val="183"/>
        </w:trPr>
        <w:tc>
          <w:tcPr>
            <w:tcW w:w="80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 expense</w:t>
            </w:r>
          </w:p>
        </w:tc>
        <w:tc>
          <w:tcPr>
            <w:tcW w:w="940" w:type="dxa"/>
            <w:vAlign w:val="bottom"/>
            <w:shd w:val="clear" w:color="auto" w:fill="CCEEFF"/>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3,923</w:t>
            </w: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Restricted stock expense</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6,227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3,542</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restricted stock unit expense</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1,290</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Total pre-tax expense</w:t>
            </w:r>
          </w:p>
        </w:tc>
        <w:tc>
          <w:tcPr>
            <w:tcW w:w="940" w:type="dxa"/>
            <w:vAlign w:val="bottom"/>
            <w:tcBorders>
              <w:bottom w:val="single" w:sz="8" w:color="auto"/>
            </w:tcBorders>
          </w:tcPr>
          <w:p>
            <w:pPr>
              <w:jc w:val="right"/>
              <w:ind w:right="756"/>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0"/>
              </w:rPr>
              <w:t>11,440</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7,848</w:t>
            </w:r>
          </w:p>
        </w:tc>
      </w:tr>
      <w:tr>
        <w:trPr>
          <w:trHeight w:val="21"/>
        </w:trPr>
        <w:tc>
          <w:tcPr>
            <w:tcW w:w="80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Pre-tax share-based compensation expense is included in the consolidated statement of income in either Cost of sales or Selling, general and administrative expenses, depending on where the recipient’s cash compensation is reported.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620" w:firstLine="648"/>
        <w:spacing w:after="0" w:line="263" w:lineRule="auto"/>
        <w:rPr>
          <w:sz w:val="20"/>
          <w:szCs w:val="20"/>
          <w:color w:val="auto"/>
        </w:rPr>
      </w:pPr>
      <w:r>
        <w:rPr>
          <w:rFonts w:ascii="Arial" w:cs="Arial" w:eastAsia="Arial" w:hAnsi="Arial"/>
          <w:sz w:val="18"/>
          <w:szCs w:val="18"/>
          <w:color w:val="auto"/>
        </w:rPr>
        <w:t>The fair value of each stock option grant is estimated on the grant date using a Black-Scholes-Merton option pricing model. The following weighted average assumptions were used in the Black-Scholes-Merton model to estimate the fair values of stock options granted during the periods indicated:</w:t>
      </w:r>
    </w:p>
    <w:p>
      <w:pPr>
        <w:spacing w:after="0" w:line="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Year Ended December 31,</w:t>
            </w:r>
          </w:p>
        </w:tc>
      </w:tr>
      <w:tr>
        <w:trPr>
          <w:trHeight w:val="188"/>
        </w:trPr>
        <w:tc>
          <w:tcPr>
            <w:tcW w:w="7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March 31, 2021</w:t>
            </w:r>
          </w:p>
        </w:tc>
        <w:tc>
          <w:tcPr>
            <w:tcW w:w="420" w:type="dxa"/>
            <w:vAlign w:val="bottom"/>
          </w:tcPr>
          <w:p>
            <w:pPr>
              <w:spacing w:after="0"/>
              <w:rPr>
                <w:sz w:val="16"/>
                <w:szCs w:val="16"/>
                <w:color w:val="auto"/>
              </w:rPr>
            </w:pPr>
          </w:p>
        </w:tc>
        <w:tc>
          <w:tcPr>
            <w:tcW w:w="1340" w:type="dxa"/>
            <w:vAlign w:val="bottom"/>
          </w:tcPr>
          <w:p>
            <w:pPr>
              <w:jc w:val="right"/>
              <w:ind w:right="653"/>
              <w:spacing w:after="0"/>
              <w:rPr>
                <w:sz w:val="20"/>
                <w:szCs w:val="20"/>
                <w:color w:val="auto"/>
              </w:rPr>
            </w:pPr>
            <w:r>
              <w:rPr>
                <w:rFonts w:ascii="Arial" w:cs="Arial" w:eastAsia="Arial" w:hAnsi="Arial"/>
                <w:sz w:val="14"/>
                <w:szCs w:val="14"/>
                <w:b w:val="1"/>
                <w:bCs w:val="1"/>
                <w:color w:val="auto"/>
              </w:rPr>
              <w:t>2020</w:t>
            </w:r>
          </w:p>
        </w:tc>
      </w:tr>
      <w:tr>
        <w:trPr>
          <w:trHeight w:val="224"/>
        </w:trPr>
        <w:tc>
          <w:tcPr>
            <w:tcW w:w="7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2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24.2 %</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0.85 %</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0.52 %</w:t>
            </w:r>
          </w:p>
        </w:tc>
      </w:tr>
      <w:tr>
        <w:trPr>
          <w:trHeight w:val="230"/>
        </w:trPr>
        <w:tc>
          <w:tcPr>
            <w:tcW w:w="782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0.66 %</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1.14 %</w:t>
            </w:r>
          </w:p>
        </w:tc>
      </w:tr>
      <w:tr>
        <w:trPr>
          <w:trHeight w:val="230"/>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Black-Scholes-Merton fair value per stock option granted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420" w:type="dxa"/>
            <w:vAlign w:val="bottom"/>
            <w:shd w:val="clear" w:color="auto" w:fill="CCEEFF"/>
          </w:tcPr>
          <w:p>
            <w:pPr>
              <w:jc w:val="right"/>
              <w:ind w:right="155"/>
              <w:spacing w:after="0"/>
              <w:rPr>
                <w:sz w:val="20"/>
                <w:szCs w:val="20"/>
                <w:color w:val="auto"/>
              </w:rPr>
            </w:pPr>
            <w:r>
              <w:rPr>
                <w:rFonts w:ascii="Arial" w:cs="Arial" w:eastAsia="Arial" w:hAnsi="Arial"/>
                <w:sz w:val="18"/>
                <w:szCs w:val="18"/>
                <w:b w:val="1"/>
                <w:bCs w:val="1"/>
                <w:color w:val="auto"/>
              </w:rPr>
              <w:t>25.63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9"/>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11.01</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stock option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200" w:type="dxa"/>
            <w:vAlign w:val="bottom"/>
          </w:tcPr>
          <w:p>
            <w:pPr>
              <w:jc w:val="center"/>
              <w:ind w:left="228"/>
              <w:spacing w:after="0"/>
              <w:rPr>
                <w:sz w:val="20"/>
                <w:szCs w:val="20"/>
                <w:color w:val="auto"/>
              </w:rPr>
            </w:pPr>
            <w:r>
              <w:rPr>
                <w:rFonts w:ascii="Arial" w:cs="Arial" w:eastAsia="Arial" w:hAnsi="Arial"/>
                <w:sz w:val="14"/>
                <w:szCs w:val="14"/>
                <w:b w:val="1"/>
                <w:bCs w:val="1"/>
                <w:color w:val="auto"/>
                <w:w w:val="91"/>
              </w:rPr>
              <w:t>Weighted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40" w:type="dxa"/>
            <w:vAlign w:val="bottom"/>
            <w:gridSpan w:val="3"/>
            <w:vMerge w:val="continue"/>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0"/>
              </w:rPr>
              <w:t>Average</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restart"/>
          </w:tcPr>
          <w:p>
            <w:pPr>
              <w:jc w:val="center"/>
              <w:ind w:right="182"/>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419"/>
              <w:spacing w:after="0" w:line="135" w:lineRule="exact"/>
              <w:rPr>
                <w:sz w:val="20"/>
                <w:szCs w:val="20"/>
                <w:color w:val="auto"/>
              </w:rPr>
            </w:pPr>
            <w:r>
              <w:rPr>
                <w:rFonts w:ascii="Arial" w:cs="Arial" w:eastAsia="Arial" w:hAnsi="Arial"/>
                <w:sz w:val="14"/>
                <w:szCs w:val="14"/>
                <w:b w:val="1"/>
                <w:bCs w:val="1"/>
                <w:color w:val="auto"/>
                <w:w w:val="90"/>
              </w:rPr>
              <w:t>Average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w w:val="94"/>
              </w:rPr>
              <w:t>Remaining</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740" w:type="dxa"/>
            <w:vAlign w:val="bottom"/>
          </w:tcPr>
          <w:p>
            <w:pPr>
              <w:spacing w:after="0"/>
              <w:rPr>
                <w:sz w:val="11"/>
                <w:szCs w:val="11"/>
                <w:color w:val="auto"/>
              </w:rPr>
            </w:pPr>
          </w:p>
        </w:tc>
        <w:tc>
          <w:tcPr>
            <w:tcW w:w="1020" w:type="dxa"/>
            <w:vAlign w:val="bottom"/>
            <w:vMerge w:val="restart"/>
          </w:tcPr>
          <w:p>
            <w:pPr>
              <w:ind w:left="560"/>
              <w:spacing w:after="0"/>
              <w:rPr>
                <w:sz w:val="20"/>
                <w:szCs w:val="20"/>
                <w:color w:val="auto"/>
              </w:rPr>
            </w:pPr>
            <w:r>
              <w:rPr>
                <w:rFonts w:ascii="Arial" w:cs="Arial" w:eastAsia="Arial" w:hAnsi="Arial"/>
                <w:sz w:val="14"/>
                <w:szCs w:val="14"/>
                <w:b w:val="1"/>
                <w:bCs w:val="1"/>
                <w:color w:val="auto"/>
                <w:w w:val="94"/>
              </w:rPr>
              <w:t>Shares</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jc w:val="center"/>
              <w:ind w:left="399"/>
              <w:spacing w:after="0" w:line="135" w:lineRule="exact"/>
              <w:rPr>
                <w:sz w:val="20"/>
                <w:szCs w:val="20"/>
                <w:color w:val="auto"/>
              </w:rPr>
            </w:pPr>
            <w:r>
              <w:rPr>
                <w:rFonts w:ascii="Arial" w:cs="Arial" w:eastAsia="Arial" w:hAnsi="Arial"/>
                <w:sz w:val="14"/>
                <w:szCs w:val="14"/>
                <w:b w:val="1"/>
                <w:bCs w:val="1"/>
                <w:color w:val="auto"/>
                <w:w w:val="90"/>
              </w:rPr>
              <w:t>Exercise</w:t>
            </w: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jc w:val="center"/>
              <w:ind w:left="228"/>
              <w:spacing w:after="0" w:line="135" w:lineRule="exact"/>
              <w:rPr>
                <w:sz w:val="20"/>
                <w:szCs w:val="20"/>
                <w:color w:val="auto"/>
              </w:rPr>
            </w:pPr>
            <w:r>
              <w:rPr>
                <w:rFonts w:ascii="Arial" w:cs="Arial" w:eastAsia="Arial" w:hAnsi="Arial"/>
                <w:sz w:val="14"/>
                <w:szCs w:val="14"/>
                <w:b w:val="1"/>
                <w:bCs w:val="1"/>
                <w:color w:val="auto"/>
                <w:w w:val="95"/>
              </w:rPr>
              <w:t>Contractual</w:t>
            </w: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82"/>
              <w:spacing w:after="0" w:line="135"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88"/>
        </w:trPr>
        <w:tc>
          <w:tcPr>
            <w:tcW w:w="474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ind w:left="399"/>
              <w:spacing w:after="0"/>
              <w:rPr>
                <w:sz w:val="20"/>
                <w:szCs w:val="20"/>
                <w:color w:val="auto"/>
              </w:rPr>
            </w:pPr>
            <w:r>
              <w:rPr>
                <w:rFonts w:ascii="Arial" w:cs="Arial" w:eastAsia="Arial" w:hAnsi="Arial"/>
                <w:sz w:val="14"/>
                <w:szCs w:val="14"/>
                <w:b w:val="1"/>
                <w:bCs w:val="1"/>
                <w:color w:val="auto"/>
                <w:w w:val="93"/>
              </w:rPr>
              <w:t>Price</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Borders>
              <w:bottom w:val="single" w:sz="8" w:color="auto"/>
            </w:tcBorders>
          </w:tcPr>
          <w:p>
            <w:pPr>
              <w:jc w:val="center"/>
              <w:ind w:left="208"/>
              <w:spacing w:after="0"/>
              <w:rPr>
                <w:sz w:val="20"/>
                <w:szCs w:val="20"/>
                <w:color w:val="auto"/>
              </w:rPr>
            </w:pPr>
            <w:r>
              <w:rPr>
                <w:rFonts w:ascii="Arial" w:cs="Arial" w:eastAsia="Arial" w:hAnsi="Arial"/>
                <w:sz w:val="14"/>
                <w:szCs w:val="14"/>
                <w:b w:val="1"/>
                <w:bCs w:val="1"/>
                <w:color w:val="auto"/>
                <w:w w:val="96"/>
              </w:rPr>
              <w:t>Life</w:t>
            </w:r>
          </w:p>
        </w:tc>
        <w:tc>
          <w:tcPr>
            <w:tcW w:w="3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1540" w:type="dxa"/>
            <w:vAlign w:val="bottom"/>
            <w:gridSpan w:val="2"/>
          </w:tcPr>
          <w:p>
            <w:pPr>
              <w:jc w:val="right"/>
              <w:ind w:right="250"/>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left="248"/>
              <w:spacing w:after="0"/>
              <w:rPr>
                <w:sz w:val="20"/>
                <w:szCs w:val="20"/>
                <w:color w:val="auto"/>
              </w:rPr>
            </w:pPr>
            <w:r>
              <w:rPr>
                <w:rFonts w:ascii="Arial" w:cs="Arial" w:eastAsia="Arial" w:hAnsi="Arial"/>
                <w:sz w:val="14"/>
                <w:szCs w:val="14"/>
                <w:b w:val="1"/>
                <w:bCs w:val="1"/>
                <w:color w:val="auto"/>
                <w:w w:val="92"/>
              </w:rPr>
              <w:t>(Years)</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center"/>
              <w:ind w:right="182"/>
              <w:spacing w:after="0"/>
              <w:rPr>
                <w:sz w:val="20"/>
                <w:szCs w:val="20"/>
                <w:color w:val="auto"/>
              </w:rPr>
            </w:pPr>
            <w:r>
              <w:rPr>
                <w:rFonts w:ascii="Arial" w:cs="Arial" w:eastAsia="Arial" w:hAnsi="Arial"/>
                <w:sz w:val="14"/>
                <w:szCs w:val="14"/>
                <w:b w:val="1"/>
                <w:bCs w:val="1"/>
                <w:color w:val="auto"/>
                <w:w w:val="94"/>
              </w:rPr>
              <w:t>(In millions)</w:t>
            </w:r>
          </w:p>
        </w:tc>
        <w:tc>
          <w:tcPr>
            <w:tcW w:w="0" w:type="dxa"/>
            <w:vAlign w:val="bottom"/>
          </w:tcPr>
          <w:p>
            <w:pPr>
              <w:spacing w:after="0"/>
              <w:rPr>
                <w:sz w:val="1"/>
                <w:szCs w:val="1"/>
                <w:color w:val="auto"/>
              </w:rPr>
            </w:pPr>
          </w:p>
        </w:tc>
      </w:tr>
      <w:tr>
        <w:trPr>
          <w:trHeight w:val="231"/>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3,950</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9"/>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65.16</w:t>
            </w:r>
          </w:p>
        </w:tc>
        <w:tc>
          <w:tcPr>
            <w:tcW w:w="12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552</w:t>
            </w:r>
          </w:p>
        </w:tc>
        <w:tc>
          <w:tcPr>
            <w:tcW w:w="10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Arial" w:cs="Arial" w:eastAsia="Arial" w:hAnsi="Arial"/>
                <w:sz w:val="18"/>
                <w:szCs w:val="18"/>
                <w:b w:val="1"/>
                <w:bCs w:val="1"/>
                <w:color w:val="auto"/>
              </w:rPr>
              <w:t>121.91</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Exercised</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(171)</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55.22</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360"/>
              <w:spacing w:after="0"/>
              <w:rPr>
                <w:sz w:val="20"/>
                <w:szCs w:val="20"/>
                <w:color w:val="auto"/>
              </w:rPr>
            </w:pPr>
            <w:r>
              <w:rPr>
                <w:rFonts w:ascii="Arial" w:cs="Arial" w:eastAsia="Arial" w:hAnsi="Arial"/>
                <w:sz w:val="18"/>
                <w:szCs w:val="18"/>
                <w:color w:val="auto"/>
              </w:rPr>
              <w:t>Forfeited</w:t>
            </w: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8"/>
              </w:rPr>
              <w:t>70.87</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4,311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CCEEFF"/>
              <w:bottom w:val="single" w:sz="8" w:color="auto"/>
            </w:tcBorders>
            <w:shd w:val="clear" w:color="auto" w:fill="CCEEFF"/>
          </w:tcPr>
          <w:p>
            <w:pPr>
              <w:jc w:val="right"/>
              <w:ind w:right="859"/>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72.80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0" w:type="dxa"/>
            <w:vAlign w:val="bottom"/>
            <w:tcBorders>
              <w:top w:val="single" w:sz="8" w:color="CCEEFF"/>
              <w:bottom w:val="single" w:sz="8" w:color="auto"/>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CCEEFF"/>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CCEEFF"/>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b w:val="1"/>
                <w:bCs w:val="1"/>
                <w:color w:val="auto"/>
              </w:rPr>
              <w:t>236.8</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Exercisable at March 31, 2021</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40" w:type="dxa"/>
            <w:vAlign w:val="bottom"/>
            <w:vMerge w:val="continue"/>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93"/>
              </w:rPr>
              <w:t>2,180</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right"/>
              <w:ind w:right="859"/>
              <w:spacing w:after="0" w:line="203"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w w:val="88"/>
              </w:rPr>
              <w:t>61.60</w:t>
            </w:r>
          </w:p>
        </w:tc>
        <w:tc>
          <w:tcPr>
            <w:tcW w:w="120" w:type="dxa"/>
            <w:vAlign w:val="bottom"/>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b w:val="1"/>
                <w:bCs w:val="1"/>
                <w:color w:val="auto"/>
              </w:rPr>
              <w:t>4.7</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auto"/>
            </w:tcBorders>
          </w:tcPr>
          <w:p>
            <w:pPr>
              <w:jc w:val="right"/>
              <w:ind w:right="2"/>
              <w:spacing w:after="0" w:line="203" w:lineRule="exact"/>
              <w:rPr>
                <w:sz w:val="20"/>
                <w:szCs w:val="20"/>
                <w:color w:val="auto"/>
              </w:rPr>
            </w:pPr>
            <w:r>
              <w:rPr>
                <w:rFonts w:ascii="Arial" w:cs="Arial" w:eastAsia="Arial" w:hAnsi="Arial"/>
                <w:sz w:val="18"/>
                <w:szCs w:val="18"/>
                <w:b w:val="1"/>
                <w:bCs w:val="1"/>
                <w:color w:val="auto"/>
              </w:rPr>
              <w:t>144.1</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The aggregate intrinsic value of stock options exercised during the three months ended March 31, 2021 was $9.4 million. The total fair value of stock options vested during the three months ended March 31, 2021 was $3.4 million. As of March 31, 2021, there was approximately $22.8 million of expected future pre-tax compensation expense related to the 2.1</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7"/>
          <w:szCs w:val="17"/>
          <w:color w:val="auto"/>
        </w:rPr>
        <w:t>million non-vested stock options outstanding, which is expected to be recognized over a weighted average period of approximately two years.</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restricted stock activity and related information:</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8"/>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80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8"/>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80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8"/>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80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76.86</w:t>
            </w:r>
          </w:p>
        </w:tc>
        <w:tc>
          <w:tcPr>
            <w:tcW w:w="0" w:type="dxa"/>
            <w:vAlign w:val="bottom"/>
          </w:tcPr>
          <w:p>
            <w:pPr>
              <w:spacing w:after="0"/>
              <w:rPr>
                <w:sz w:val="1"/>
                <w:szCs w:val="1"/>
                <w:color w:val="auto"/>
              </w:rPr>
            </w:pPr>
          </w:p>
        </w:tc>
      </w:tr>
      <w:tr>
        <w:trPr>
          <w:trHeight w:val="229"/>
        </w:trPr>
        <w:tc>
          <w:tcPr>
            <w:tcW w:w="8040" w:type="dxa"/>
            <w:vAlign w:val="bottom"/>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146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121.91</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61.57</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84.46</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restricted stock outstanding at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92.25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3" w:lineRule="auto"/>
        <w:rPr>
          <w:sz w:val="20"/>
          <w:szCs w:val="20"/>
          <w:color w:val="auto"/>
        </w:rPr>
      </w:pPr>
      <w:r>
        <w:rPr>
          <w:rFonts w:ascii="Arial" w:cs="Arial" w:eastAsia="Arial" w:hAnsi="Arial"/>
          <w:sz w:val="18"/>
          <w:szCs w:val="18"/>
          <w:color w:val="auto"/>
        </w:rPr>
        <w:t>The total fair value of restricted stock vested during the three months ended March 31, 2021 was $12.8 million. As of March 31, 2021, there was approximately $42.8 million of expected future pre-tax compensation expense related to the 0.6 million non-vested restricted shares outstanding, which is expected to be recognized over a weighted average period of approximately two years.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Restricted Stock Units</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 March 2021, the Company granted performance restricted stock units ("PRSU") to officers and certain key management-level employees. The PRSUs vest over a period up to three years from the grant date based on continuous service, with the number of shares earned (0% to 200% of the target award) depending upon the extent to which the Company achieves certain financial and market performance targets measured over the period from January 1 of the year of grant to December 31 of the third year. Half of the PRSUs were valued in a manner similar to restricted stock as the financial targets are based on the Company’s operating results, which represents a performance condition. The grant date fair value of these PRSUs are recognized as compensation expense over the vesting period based on the probable number of awards to vest at each reporting date.</w:t>
      </w:r>
    </w:p>
    <w:p>
      <w:pPr>
        <w:spacing w:after="0" w:line="178"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other half of the PRSUs were valued using a Monte Carlo model as the performance target is related to the Company’s total shareholder return compared to a group of peer companies, which represents a market condition. The Company recognizes the grant date fair value of these awards as compensation expense ratably over the vesting period.</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summary of the Company’s non-vested performance restricted stock activity and related information: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jc w:val="center"/>
              <w:ind w:right="197"/>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60" w:type="dxa"/>
            <w:vAlign w:val="bottom"/>
          </w:tcPr>
          <w:p>
            <w:pPr>
              <w:jc w:val="center"/>
              <w:ind w:right="197"/>
              <w:spacing w:after="0" w:line="135"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5340" w:type="dxa"/>
            <w:vAlign w:val="bottom"/>
          </w:tcPr>
          <w:p>
            <w:pPr>
              <w:spacing w:after="0"/>
              <w:rPr>
                <w:sz w:val="11"/>
                <w:szCs w:val="11"/>
                <w:color w:val="auto"/>
              </w:rPr>
            </w:pPr>
          </w:p>
        </w:tc>
        <w:tc>
          <w:tcPr>
            <w:tcW w:w="1640" w:type="dxa"/>
            <w:vAlign w:val="bottom"/>
            <w:gridSpan w:val="2"/>
            <w:vMerge w:val="restart"/>
          </w:tcPr>
          <w:p>
            <w:pPr>
              <w:ind w:left="560"/>
              <w:spacing w:after="0"/>
              <w:rPr>
                <w:sz w:val="20"/>
                <w:szCs w:val="20"/>
                <w:color w:val="auto"/>
              </w:rPr>
            </w:pPr>
            <w:r>
              <w:rPr>
                <w:rFonts w:ascii="Arial" w:cs="Arial" w:eastAsia="Arial" w:hAnsi="Arial"/>
                <w:sz w:val="14"/>
                <w:szCs w:val="14"/>
                <w:b w:val="1"/>
                <w:bCs w:val="1"/>
                <w:color w:val="auto"/>
              </w:rPr>
              <w:t>Shares</w:t>
            </w:r>
          </w:p>
        </w:tc>
        <w:tc>
          <w:tcPr>
            <w:tcW w:w="260" w:type="dxa"/>
            <w:vAlign w:val="bottom"/>
          </w:tcPr>
          <w:p>
            <w:pPr>
              <w:spacing w:after="0"/>
              <w:rPr>
                <w:sz w:val="11"/>
                <w:szCs w:val="11"/>
                <w:color w:val="auto"/>
              </w:rPr>
            </w:pPr>
          </w:p>
        </w:tc>
        <w:tc>
          <w:tcPr>
            <w:tcW w:w="1260" w:type="dxa"/>
            <w:vAlign w:val="bottom"/>
          </w:tcPr>
          <w:p>
            <w:pPr>
              <w:jc w:val="center"/>
              <w:ind w:right="157"/>
              <w:spacing w:after="0" w:line="135"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88"/>
        </w:trPr>
        <w:tc>
          <w:tcPr>
            <w:tcW w:w="2700" w:type="dxa"/>
            <w:vAlign w:val="bottom"/>
          </w:tcPr>
          <w:p>
            <w:pPr>
              <w:spacing w:after="0"/>
              <w:rPr>
                <w:sz w:val="16"/>
                <w:szCs w:val="16"/>
                <w:color w:val="auto"/>
              </w:rPr>
            </w:pPr>
          </w:p>
        </w:tc>
        <w:tc>
          <w:tcPr>
            <w:tcW w:w="5340" w:type="dxa"/>
            <w:vAlign w:val="bottom"/>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center"/>
              <w:ind w:right="177"/>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83"/>
        </w:trPr>
        <w:tc>
          <w:tcPr>
            <w:tcW w:w="2700" w:type="dxa"/>
            <w:vAlign w:val="bottom"/>
          </w:tcPr>
          <w:p>
            <w:pPr>
              <w:spacing w:after="0"/>
              <w:rPr>
                <w:sz w:val="15"/>
                <w:szCs w:val="15"/>
                <w:color w:val="auto"/>
              </w:rPr>
            </w:pPr>
          </w:p>
        </w:tc>
        <w:tc>
          <w:tcPr>
            <w:tcW w:w="5340" w:type="dxa"/>
            <w:vAlign w:val="bottom"/>
          </w:tcPr>
          <w:p>
            <w:pPr>
              <w:spacing w:after="0"/>
              <w:rPr>
                <w:sz w:val="15"/>
                <w:szCs w:val="15"/>
                <w:color w:val="auto"/>
              </w:rPr>
            </w:pPr>
          </w:p>
        </w:tc>
        <w:tc>
          <w:tcPr>
            <w:tcW w:w="1520" w:type="dxa"/>
            <w:vAlign w:val="bottom"/>
            <w:tcBorders>
              <w:top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Non-vested performance restricted stock outstanding at December 31, 2020</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72.90</w:t>
            </w:r>
          </w:p>
        </w:tc>
        <w:tc>
          <w:tcPr>
            <w:tcW w:w="0" w:type="dxa"/>
            <w:vAlign w:val="bottom"/>
          </w:tcPr>
          <w:p>
            <w:pPr>
              <w:spacing w:after="0"/>
              <w:rPr>
                <w:sz w:val="1"/>
                <w:szCs w:val="1"/>
                <w:color w:val="auto"/>
              </w:rPr>
            </w:pPr>
          </w:p>
        </w:tc>
      </w:tr>
      <w:tr>
        <w:trPr>
          <w:trHeight w:val="230"/>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Granted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121.91</w:t>
            </w:r>
          </w:p>
        </w:tc>
        <w:tc>
          <w:tcPr>
            <w:tcW w:w="0" w:type="dxa"/>
            <w:vAlign w:val="bottom"/>
          </w:tcPr>
          <w:p>
            <w:pPr>
              <w:spacing w:after="0"/>
              <w:rPr>
                <w:sz w:val="1"/>
                <w:szCs w:val="1"/>
                <w:color w:val="auto"/>
              </w:rPr>
            </w:pPr>
          </w:p>
        </w:tc>
      </w:tr>
      <w:tr>
        <w:trPr>
          <w:trHeight w:val="257"/>
        </w:trPr>
        <w:tc>
          <w:tcPr>
            <w:tcW w:w="8040" w:type="dxa"/>
            <w:vAlign w:val="bottom"/>
            <w:gridSpan w:val="2"/>
            <w:shd w:val="clear" w:color="auto" w:fill="CCEEFF"/>
          </w:tcPr>
          <w:p>
            <w:pPr>
              <w:ind w:left="360"/>
              <w:spacing w:after="0" w:line="256" w:lineRule="exact"/>
              <w:rPr>
                <w:sz w:val="20"/>
                <w:szCs w:val="20"/>
                <w:color w:val="auto"/>
              </w:rPr>
            </w:pPr>
            <w:r>
              <w:rPr>
                <w:rFonts w:ascii="Arial" w:cs="Arial" w:eastAsia="Arial" w:hAnsi="Arial"/>
                <w:sz w:val="18"/>
                <w:szCs w:val="18"/>
                <w:color w:val="auto"/>
              </w:rPr>
              <w:t xml:space="preserve">Performance assumption change </w:t>
            </w:r>
            <w:r>
              <w:rPr>
                <w:rFonts w:ascii="Arial" w:cs="Arial" w:eastAsia="Arial" w:hAnsi="Arial"/>
                <w:sz w:val="23"/>
                <w:szCs w:val="23"/>
                <w:color w:val="auto"/>
                <w:vertAlign w:val="superscript"/>
              </w:rPr>
              <w:t>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30"/>
        </w:trPr>
        <w:tc>
          <w:tcPr>
            <w:tcW w:w="8040" w:type="dxa"/>
            <w:vAlign w:val="bottom"/>
            <w:gridSpan w:val="2"/>
          </w:tcPr>
          <w:p>
            <w:pPr>
              <w:ind w:left="360"/>
              <w:spacing w:after="0"/>
              <w:rPr>
                <w:sz w:val="20"/>
                <w:szCs w:val="20"/>
                <w:color w:val="auto"/>
              </w:rPr>
            </w:pPr>
            <w:r>
              <w:rPr>
                <w:rFonts w:ascii="Arial" w:cs="Arial" w:eastAsia="Arial" w:hAnsi="Arial"/>
                <w:sz w:val="18"/>
                <w:szCs w:val="18"/>
                <w:color w:val="auto"/>
              </w:rPr>
              <w:t>Vested</w:t>
            </w:r>
          </w:p>
        </w:tc>
        <w:tc>
          <w:tcPr>
            <w:tcW w:w="1520" w:type="dxa"/>
            <w:vAlign w:val="bottom"/>
          </w:tcPr>
          <w:p>
            <w:pPr>
              <w:jc w:val="right"/>
              <w:spacing w:after="0"/>
              <w:rPr>
                <w:sz w:val="20"/>
                <w:szCs w:val="20"/>
                <w:color w:val="auto"/>
              </w:rPr>
            </w:pPr>
            <w:r>
              <w:rPr>
                <w:rFonts w:ascii="Arial" w:cs="Arial" w:eastAsia="Arial" w:hAnsi="Arial"/>
                <w:sz w:val="18"/>
                <w:szCs w:val="18"/>
                <w:b w:val="1"/>
                <w:bCs w:val="1"/>
                <w:color w:val="auto"/>
              </w:rPr>
              <w:t>(88)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78.20</w:t>
            </w:r>
          </w:p>
        </w:tc>
        <w:tc>
          <w:tcPr>
            <w:tcW w:w="0" w:type="dxa"/>
            <w:vAlign w:val="bottom"/>
          </w:tcPr>
          <w:p>
            <w:pPr>
              <w:spacing w:after="0"/>
              <w:rPr>
                <w:sz w:val="1"/>
                <w:szCs w:val="1"/>
                <w:color w:val="auto"/>
              </w:rPr>
            </w:pPr>
          </w:p>
        </w:tc>
      </w:tr>
      <w:tr>
        <w:trPr>
          <w:trHeight w:val="229"/>
        </w:trPr>
        <w:tc>
          <w:tcPr>
            <w:tcW w:w="80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67.43</w:t>
            </w:r>
          </w:p>
        </w:tc>
        <w:tc>
          <w:tcPr>
            <w:tcW w:w="0" w:type="dxa"/>
            <w:vAlign w:val="bottom"/>
          </w:tcPr>
          <w:p>
            <w:pPr>
              <w:spacing w:after="0"/>
              <w:rPr>
                <w:sz w:val="1"/>
                <w:szCs w:val="1"/>
                <w:color w:val="auto"/>
              </w:rPr>
            </w:pPr>
          </w:p>
        </w:tc>
      </w:tr>
      <w:tr>
        <w:trPr>
          <w:trHeight w:val="223"/>
        </w:trPr>
        <w:tc>
          <w:tcPr>
            <w:tcW w:w="8040" w:type="dxa"/>
            <w:vAlign w:val="bottom"/>
            <w:gridSpan w:val="2"/>
          </w:tcPr>
          <w:p>
            <w:pPr>
              <w:ind w:left="20"/>
              <w:spacing w:after="0"/>
              <w:rPr>
                <w:sz w:val="20"/>
                <w:szCs w:val="20"/>
                <w:color w:val="auto"/>
              </w:rPr>
            </w:pPr>
            <w:r>
              <w:rPr>
                <w:rFonts w:ascii="Arial" w:cs="Arial" w:eastAsia="Arial" w:hAnsi="Arial"/>
                <w:sz w:val="18"/>
                <w:szCs w:val="18"/>
                <w:color w:val="auto"/>
              </w:rPr>
              <w:t>Non-vested performance restricted stock outstanding at March 31, 2021</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85.43</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700" w:type="dxa"/>
            <w:vAlign w:val="bottom"/>
            <w:tcBorders>
              <w:bottom w:val="single" w:sz="8" w:color="auto"/>
            </w:tcBorders>
          </w:tcPr>
          <w:p>
            <w:pPr>
              <w:spacing w:after="0"/>
              <w:rPr>
                <w:sz w:val="14"/>
                <w:szCs w:val="14"/>
                <w:color w:val="auto"/>
              </w:rPr>
            </w:pPr>
          </w:p>
        </w:tc>
        <w:tc>
          <w:tcPr>
            <w:tcW w:w="53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5540" w:right="5020" w:hanging="5532"/>
        <w:spacing w:after="0" w:line="1042" w:lineRule="auto"/>
        <w:tabs>
          <w:tab w:leader="none" w:pos="117" w:val="left"/>
        </w:tabs>
        <w:numPr>
          <w:ilvl w:val="0"/>
          <w:numId w:val="11"/>
        </w:numPr>
        <w:rPr>
          <w:rFonts w:ascii="Arial" w:cs="Arial" w:eastAsia="Arial" w:hAnsi="Arial"/>
          <w:sz w:val="21"/>
          <w:szCs w:val="21"/>
          <w:color w:val="auto"/>
          <w:vertAlign w:val="superscript"/>
        </w:rPr>
      </w:pPr>
      <w:r>
        <w:rPr>
          <w:rFonts w:ascii="Arial" w:cs="Arial" w:eastAsia="Arial" w:hAnsi="Arial"/>
          <w:sz w:val="16"/>
          <w:szCs w:val="16"/>
          <w:color w:val="auto"/>
        </w:rPr>
        <w:t>Reflects the number of PRSUs above target levels based on the performance metrics.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-455930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89"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As of March 31, 2021, there was approximately $12.9 million of expected future pre-tax compensation expense related to the 0.3 million non-vested restricted shares outstanding, which is expected to be recognized over a weighted average period of less than one year.</w:t>
      </w: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5"/>
          <w:szCs w:val="15"/>
          <w:b w:val="1"/>
          <w:bCs w:val="1"/>
          <w:color w:val="auto"/>
        </w:rPr>
        <w:t>Retirement and Pension Plans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net periodic pension benefit expense (income) were as follows:</w:t>
      </w:r>
    </w:p>
    <w:p>
      <w:pPr>
        <w:spacing w:after="0" w:line="126"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8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Defined benefit plans: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Service cost</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1,950</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cost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5,636</w:t>
            </w: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Expected return on plan assets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(14,174)</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(13,650)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net actuarial loss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4,353</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3,976</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Pension income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(2,088)</w:t>
            </w:r>
          </w:p>
        </w:tc>
      </w:tr>
      <w:tr>
        <w:trPr>
          <w:trHeight w:val="21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plans: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Defined contribution plans</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8,455</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10,025</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plans and other</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2,234</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2,041</w:t>
            </w:r>
          </w:p>
        </w:tc>
      </w:tr>
      <w:tr>
        <w:trPr>
          <w:trHeight w:val="223"/>
        </w:trPr>
        <w:tc>
          <w:tcPr>
            <w:tcW w:w="808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plans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10,689</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12,066</w:t>
            </w:r>
          </w:p>
        </w:tc>
      </w:tr>
      <w:tr>
        <w:trPr>
          <w:trHeight w:val="248"/>
        </w:trPr>
        <w:tc>
          <w:tcPr>
            <w:tcW w:w="8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pension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7,456</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For defined benefit plans, the net periodic benefit income, other than the service cost component, is included in “Other (expense) income, net” in the consolidated statement of income.</w:t>
      </w:r>
    </w:p>
    <w:p>
      <w:pPr>
        <w:spacing w:after="0" w:line="170" w:lineRule="exact"/>
        <w:rPr>
          <w:sz w:val="20"/>
          <w:szCs w:val="20"/>
          <w:color w:val="auto"/>
        </w:rPr>
      </w:pPr>
    </w:p>
    <w:p>
      <w:pPr>
        <w:ind w:right="220" w:firstLine="648"/>
        <w:spacing w:after="0" w:line="263" w:lineRule="auto"/>
        <w:rPr>
          <w:sz w:val="20"/>
          <w:szCs w:val="20"/>
          <w:color w:val="auto"/>
        </w:rPr>
      </w:pPr>
      <w:r>
        <w:rPr>
          <w:rFonts w:ascii="Arial" w:cs="Arial" w:eastAsia="Arial" w:hAnsi="Arial"/>
          <w:sz w:val="18"/>
          <w:szCs w:val="18"/>
          <w:color w:val="auto"/>
        </w:rPr>
        <w:t>For the three months ended March 31, 2021 and 2020, contributions to the Company’s defined benefit pension plans were $2.0 million and $1.5 million, respectively. The Company’s current estimate of 2021 contributions to its worldwide defined benefit pension plans is in line with the range disclosed in the Company’s Annual Report on Form 10-K for the year ended December 31, 2020.</w:t>
      </w:r>
    </w:p>
    <w:p>
      <w:pPr>
        <w:spacing w:after="0" w:line="28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5"/>
          <w:szCs w:val="15"/>
          <w:b w:val="1"/>
          <w:bCs w:val="1"/>
          <w:color w:val="auto"/>
        </w:rPr>
        <w:t>Contingencies</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 Litigation</w:t>
      </w:r>
    </w:p>
    <w:p>
      <w:pPr>
        <w:spacing w:after="0" w:line="117"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(including its subsidiaries) has been named as a defendant in a number of asbestos-related lawsuits. Certain of these lawsuits relate to a business which was acquired by the Company and do not involve products which were manufactured or sold by the Company. In connection with these lawsuits, the seller of such business has agreed to indemnify the Company against these claims (the “Indemnified Claims”). The Indemnified Claims have been tendered to, and are being defended by, such seller. The seller has met its obligations, in all respects, and the Company does not have any reason to believe such party would fail to fulfill its obligations in the future. To date, no judgments have been rendered against the Company as a result of any asbestos-related lawsuit. The Company believes that it has good and valid defenses to each of these claims and intends to defend them vigorously.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AMETEK,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Matters</w:t>
      </w:r>
    </w:p>
    <w:p>
      <w:pPr>
        <w:spacing w:after="0" w:line="117" w:lineRule="exact"/>
        <w:rPr>
          <w:sz w:val="20"/>
          <w:szCs w:val="20"/>
          <w:color w:val="auto"/>
        </w:rPr>
      </w:pPr>
    </w:p>
    <w:p>
      <w:pPr>
        <w:ind w:right="20" w:firstLine="648"/>
        <w:spacing w:after="0" w:line="285" w:lineRule="auto"/>
        <w:rPr>
          <w:sz w:val="20"/>
          <w:szCs w:val="20"/>
          <w:color w:val="auto"/>
        </w:rPr>
      </w:pPr>
      <w:r>
        <w:rPr>
          <w:rFonts w:ascii="Arial" w:cs="Arial" w:eastAsia="Arial" w:hAnsi="Arial"/>
          <w:sz w:val="16"/>
          <w:szCs w:val="16"/>
          <w:color w:val="auto"/>
        </w:rPr>
        <w:t>Certain historic processes in the manufacture of products have resulted in environmentally hazardous waste by-products as defined by federal and state laws and regulations. At March 31, 2021, the Company is named a Potentially Responsible Party (“PRP”) at 13 non-AMETEK-owned former waste disposal or treatment sites (the “non-owned” sites). The Company is identified as a “de minimis” party in 12 of these sites based on the low volume of waste attributed to the Company relative to the amounts attributed to other named PRPs. In eight of these sites, the Company has reached a tentative agreement on the cost of the de minimis settlement to satisfy its obligation and is awaiting executed agreements. The tentatively agreed-to settlement amounts are fully reserved. In the other four sites, the Company is continuing to investigate the accuracy of the alleged volume attributed to the Company as estimated by the parties primarily responsible for remedial activity at the sites to establish an appropriate settlement amount. At the remaining site where the Company is a non-de minimis PRP, the Company is participating in the investigation and/or related required remediation as part of a PRP Group and reserves have been established to satisfy the Company’s expected obligations. The Company historically has resolved these issues within established reserve levels and reasonably expects this result will continue. In addition to these non-owned sites, the Company has an ongoing practice of providing reserves for probable remediation activities at certain of its current or previously owned manufacturing locations (the “owned” sites). For claims and proceedings against the Company with respect to other environmental matters, reserves are established once the Company has determined that a loss is probable and estimable. This estimate is refined as the Company moves through the various stages of investigation, risk assessment, feasibility study and corrective action processes. In certain instances, the Company has developed a range of estimates for such costs and has recorded a liability based on the best estimate. It is reasonably possible that the actual cost of remediation of the individual sites could vary from the current estimates and the amounts accrued in the consolidated financial statements; however, the amounts of such variances are not expected to result in a material change to the consolidated financial statements. In estimating the Company’s liability for remediation, the Company also considers the likely proportionate share of the anticipated remediation expense and the ability of the other PRPs to fulfill their obligations.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Total environmental reserves at March 31, 2021 and December 31, 2020 were $33.2 million and $32.4 million, respectively, for both non-</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owned and owned sites. For the three months ended March 31, 2021, the Company recorded $2.2 million in reserves. Additionally, the Company spent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$1.4 million on environmental matters for the three months ended March 31, 2021. The Company’s reserves for environmental liabilities at March 31, 2021</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December 31, 2020 included reserves of $7.0 million and $7.4 million, respectively, for an owned site acquired in connection with the 2005 acquisition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HCC Industries (“HCC”). The Company is the designated performing party for the performance of remedial activities for one of several operating units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making up a Superfund site in the San Gabriel Valley of California. The Company has obtained indemnifications and other financial assurances from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former owners of HCC related to the costs of the required remedial activities.</w:t>
      </w:r>
    </w:p>
    <w:p>
      <w:pPr>
        <w:spacing w:after="0" w:line="211"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The Company has agreements with other former owners of certain of its acquired businesses, as well as new owners of previously owned businesses. Under certain of the agreements, the former or new owners retained, or assumed and agreed to indemnify the Company against, certain environmental and other liabilities under certain circumstances. The Company and some of these other parties also carry insurance coverage for some environmental matters. To date, these parties have met their obligations in all material respects.</w:t>
      </w:r>
    </w:p>
    <w:p>
      <w:pPr>
        <w:spacing w:after="0" w:line="171"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The Company believes it has established reserves for the environmental matters described above, which are sufficient to perform all known responsibilities under existing claims and consent orders. The Company has no reason to believe that other third parties would fail to perform their obligations in the future. In the opinion of management, based on presently available information and the Company’s historical experience related to such matters, an adequate provision for probable costs has been made and the ultimate cost resulting from these actions is not expected to materially affect the consolidated results of operations, financial position or cash flows of the Company.</w:t>
      </w:r>
    </w:p>
    <w:p>
      <w:pPr>
        <w:spacing w:after="0" w:line="188"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The Company has been remediating groundwater contamination for several contaminants, including trichloroethylene (“TCE”), at a formerly owned site in El Cajon, California. Several lawsuits have been filed against the Company alleging damages resulting from the groundwater contamination, including property damages and funds for medical monitoring to detect causally related personal injury, and seeking compensatory and punitive damages. While the Company believes that it has good and valid defenses to each of these claims and intends to defend them vigorously if pursued through trial, the parties agreed to terms to globally settle the cases. After extensive negotiations, the Company finalized a global settlement of these lawsuits for an aggregate amount of $6.8 million, for which the Company had previously established reserves sufficient to cover this settlement.</w:t>
      </w: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net sales and income by reportable segment and on a consolidated basis:</w:t>
      </w:r>
    </w:p>
    <w:p>
      <w:pPr>
        <w:spacing w:after="0" w:line="126" w:lineRule="exact"/>
        <w:rPr>
          <w:sz w:val="20"/>
          <w:szCs w:val="20"/>
          <w:color w:val="auto"/>
        </w:rPr>
      </w:pPr>
    </w:p>
    <w:p>
      <w:pPr>
        <w:jc w:val="center"/>
        <w:ind w:left="8060"/>
        <w:spacing w:after="0"/>
        <w:rPr>
          <w:sz w:val="20"/>
          <w:szCs w:val="20"/>
          <w:color w:val="auto"/>
        </w:rPr>
      </w:pPr>
      <w:r>
        <w:rPr>
          <w:rFonts w:ascii="Arial" w:cs="Arial" w:eastAsia="Arial" w:hAnsi="Arial"/>
          <w:sz w:val="14"/>
          <w:szCs w:val="14"/>
          <w:b w:val="1"/>
          <w:bCs w:val="1"/>
          <w:color w:val="auto"/>
        </w:rPr>
        <w:t>Three Months Ended</w:t>
      </w:r>
    </w:p>
    <w:p>
      <w:pPr>
        <w:jc w:val="center"/>
        <w:ind w:left="8060"/>
        <w:spacing w:after="0"/>
        <w:rPr>
          <w:sz w:val="20"/>
          <w:szCs w:val="20"/>
          <w:color w:val="auto"/>
        </w:rPr>
      </w:pPr>
      <w:r>
        <w:rPr>
          <w:rFonts w:ascii="Arial" w:cs="Arial" w:eastAsia="Arial" w:hAnsi="Arial"/>
          <w:sz w:val="14"/>
          <w:szCs w:val="14"/>
          <w:b w:val="1"/>
          <w:bCs w:val="1"/>
          <w:color w:val="auto"/>
        </w:rPr>
        <w:t>March 31,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08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2020</w:t>
            </w:r>
          </w:p>
        </w:tc>
      </w:tr>
      <w:tr>
        <w:trPr>
          <w:trHeight w:val="183"/>
        </w:trPr>
        <w:tc>
          <w:tcPr>
            <w:tcW w:w="80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r>
      <w:tr>
        <w:trPr>
          <w:trHeight w:val="231"/>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Electronic Instruments</w:t>
            </w:r>
          </w:p>
        </w:tc>
        <w:tc>
          <w:tcPr>
            <w:tcW w:w="360" w:type="dxa"/>
            <w:vAlign w:val="bottom"/>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790,924</w:t>
            </w:r>
          </w:p>
        </w:tc>
        <w:tc>
          <w:tcPr>
            <w:tcW w:w="12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774,225</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Electromechanical</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424,818</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427,993</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1,215,742</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1,202,218</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7"/>
        </w:trPr>
        <w:tc>
          <w:tcPr>
            <w:tcW w:w="80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income and income before income taxes:</w:t>
            </w: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8080" w:type="dxa"/>
            <w:vAlign w:val="bottom"/>
          </w:tcPr>
          <w:p>
            <w:pPr>
              <w:ind w:left="360"/>
              <w:spacing w:after="0"/>
              <w:rPr>
                <w:sz w:val="20"/>
                <w:szCs w:val="20"/>
                <w:color w:val="auto"/>
              </w:rPr>
            </w:pPr>
            <w:r>
              <w:rPr>
                <w:rFonts w:ascii="Arial" w:cs="Arial" w:eastAsia="Arial" w:hAnsi="Arial"/>
                <w:sz w:val="18"/>
                <w:szCs w:val="18"/>
                <w:color w:val="auto"/>
              </w:rPr>
              <w:t>Segment operating income:</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808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Electronic Instruments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206,897</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171,271</w:t>
            </w:r>
          </w:p>
        </w:tc>
      </w:tr>
      <w:tr>
        <w:trPr>
          <w:trHeight w:val="230"/>
        </w:trPr>
        <w:tc>
          <w:tcPr>
            <w:tcW w:w="80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Electromechanical</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105,033</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76,564</w:t>
            </w:r>
          </w:p>
        </w:tc>
      </w:tr>
      <w:tr>
        <w:trPr>
          <w:trHeight w:val="223"/>
        </w:trPr>
        <w:tc>
          <w:tcPr>
            <w:tcW w:w="80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Total segment 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311,930</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247,835</w:t>
            </w:r>
          </w:p>
        </w:tc>
      </w:tr>
      <w:tr>
        <w:trPr>
          <w:trHeight w:val="230"/>
        </w:trPr>
        <w:tc>
          <w:tcPr>
            <w:tcW w:w="80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Corporate administrative expenses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(18,585)</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(15,795)</w:t>
            </w:r>
          </w:p>
        </w:tc>
      </w:tr>
      <w:tr>
        <w:trPr>
          <w:trHeight w:val="223"/>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Consolidated operating income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293,345</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232,040</w:t>
            </w:r>
          </w:p>
        </w:tc>
      </w:tr>
      <w:tr>
        <w:trPr>
          <w:trHeight w:val="230"/>
        </w:trPr>
        <w:tc>
          <w:tcPr>
            <w:tcW w:w="808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(18,947)</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(22,741)</w:t>
            </w:r>
          </w:p>
        </w:tc>
      </w:tr>
      <w:tr>
        <w:trPr>
          <w:trHeight w:val="229"/>
        </w:trPr>
        <w:tc>
          <w:tcPr>
            <w:tcW w:w="80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(expense) income, net</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(1,942)</w:t>
            </w:r>
          </w:p>
        </w:tc>
        <w:tc>
          <w:tcPr>
            <w:tcW w:w="12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141,776</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Consolidated income before income taxes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272,456</w:t>
            </w:r>
          </w:p>
        </w:tc>
        <w:tc>
          <w:tcPr>
            <w:tcW w:w="12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351,075</w:t>
            </w:r>
          </w:p>
        </w:tc>
      </w:tr>
      <w:tr>
        <w:trPr>
          <w:trHeight w:val="20"/>
        </w:trPr>
        <w:tc>
          <w:tcPr>
            <w:tcW w:w="8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Company expects benefits from the first quarter of 2021 acquisitions of Magnetrol International, Crank Software, and EGS Automation as well as the April 2021 acquisitions of NSI-MI Technologies and Abaco Systems, Inc. In addition, the Company also expects benefits from its Operational Excellence initiatives throughout 2021. While the ultimate duration and impact of the COVID-19 pandemic is unknown, the Company will continue to monitor and address the challenges of the pandemic throughout the remainder of the year.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Impact of COVID-19 Pandemic on our Business</w:t>
      </w:r>
    </w:p>
    <w:p>
      <w:pPr>
        <w:spacing w:after="0" w:line="225" w:lineRule="exact"/>
        <w:rPr>
          <w:sz w:val="20"/>
          <w:szCs w:val="20"/>
          <w:color w:val="auto"/>
        </w:rPr>
      </w:pPr>
    </w:p>
    <w:p>
      <w:pPr>
        <w:ind w:right="100" w:firstLine="648"/>
        <w:spacing w:after="0" w:line="293" w:lineRule="auto"/>
        <w:rPr>
          <w:sz w:val="20"/>
          <w:szCs w:val="20"/>
          <w:color w:val="auto"/>
        </w:rPr>
      </w:pPr>
      <w:r>
        <w:rPr>
          <w:rFonts w:ascii="Arial" w:cs="Arial" w:eastAsia="Arial" w:hAnsi="Arial"/>
          <w:sz w:val="16"/>
          <w:szCs w:val="16"/>
          <w:color w:val="auto"/>
        </w:rPr>
        <w:t>The COVID-19 pandemic resulted in significant global economic disruption and had an adverse impact on the Company's financial results throughout 2020. Although the Company has begun to see a return of organic sales growth and strong order momentum during the three months ended March 31, 2021, aspects of its business continue to be affected by the COVID-19 pandemic as demand for some of its products is taking longer to recover, varying by geographic area and market. The Company has seen sequential improvement in its financial results since the third quarter of 2020, and as a result has eliminated certain of the temporary cost savings actions put in place in 2020. The Company continues to closely monitor its fixed costs, capital expenditure plans, inventory, and capital resources to respond to changing conditions and to ensure it has the resources to meet its future needs.</w:t>
      </w:r>
    </w:p>
    <w:p>
      <w:pPr>
        <w:spacing w:after="0" w:line="164" w:lineRule="exact"/>
        <w:rPr>
          <w:sz w:val="20"/>
          <w:szCs w:val="20"/>
          <w:color w:val="auto"/>
        </w:rPr>
      </w:pPr>
    </w:p>
    <w:p>
      <w:pPr>
        <w:ind w:right="80" w:firstLine="648"/>
        <w:spacing w:after="0" w:line="301" w:lineRule="auto"/>
        <w:rPr>
          <w:sz w:val="20"/>
          <w:szCs w:val="20"/>
          <w:color w:val="auto"/>
        </w:rPr>
      </w:pPr>
      <w:r>
        <w:rPr>
          <w:rFonts w:ascii="Arial" w:cs="Arial" w:eastAsia="Arial" w:hAnsi="Arial"/>
          <w:sz w:val="16"/>
          <w:szCs w:val="16"/>
          <w:color w:val="auto"/>
        </w:rPr>
        <w:t>The Company's top priority during this pandemic is the health and safety of its employees. All global manufacturing facilities remained fully operational during the first quarter and continue to operate with safety protocols in place to ensure the health and safety of its employees and communities. The Company will continue to evaluate the nature and extent of future impacts of the COVID-19 pandemic on its business. See Risk Factors, included in Part I, Item 1A of our Annual Report on Form 10-K, for further discussion of the possible impact of the COVID-19 pandemic on our business.</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Results of operations for the first quarter of 2021 compared with the first quarter of 2020</w:t>
      </w:r>
    </w:p>
    <w:p>
      <w:pPr>
        <w:spacing w:after="0" w:line="225"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Net sales for the first quarter of 2021 were $1,215.7 million, an increase of $13.5 million or 1.1%, compared with net sales of $1,202.2 million for the first quarter of 2020. The increase in net sales for the first quarter of 2021 was due to a 1% increase in organic sales and a favorable 2% effect of foreign currency translation, partially offset by an unfavorable 2% from the Reading divestiture.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firstLine="648"/>
        <w:spacing w:after="0" w:line="263" w:lineRule="auto"/>
        <w:rPr>
          <w:sz w:val="20"/>
          <w:szCs w:val="20"/>
          <w:color w:val="auto"/>
        </w:rPr>
      </w:pPr>
      <w:r>
        <w:rPr>
          <w:rFonts w:ascii="Arial" w:cs="Arial" w:eastAsia="Arial" w:hAnsi="Arial"/>
          <w:sz w:val="18"/>
          <w:szCs w:val="18"/>
          <w:color w:val="auto"/>
        </w:rPr>
        <w:t>Total international sales for the first quarter of 2021 were $616.7 million or 50.7% of net sales, an increase of $55.7 million or 9.9%, compared with international sales of $561.0 million or 46.7% of net sales for the first quarter of 2020. The increase in international sales was primarily driven by strong demand in Asia during the quarter.</w:t>
      </w:r>
    </w:p>
    <w:p>
      <w:pPr>
        <w:spacing w:after="0" w:line="18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Orders for the first quarter of 2021 were a record $1,397.6 million, an increase of $187.6 million or 15.5%, compared with $1,210.0 million for the first quarter of 2020. The increase in orders for the first quarter of 2021 was due to a 9% increase in organic orders, a favorable 2% effect of foreign currency translation, a favorable 4% increase from acquisitions. As a result, the Company's backlog of unfilled orders at March 31, 2021 was a record $1,984.1 million, an increase of $181.9 million or 10.1% compared with $1,802.2 million at December 31, 2020.</w:t>
      </w:r>
    </w:p>
    <w:p>
      <w:pPr>
        <w:spacing w:after="0" w:line="18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Segment operating income for the first quarter of 2021 was $311.9 million, an increase of $64.1 million or 25.9%, compared with segment operating income of $247.8 million for the first quarter of 2020. Segment operating margins, as a percentage of net sales, increased to 25.7% for the first quarter of 2021, compared with 20.6% for the first quarter of 2020. The Company recorded realignment costs of $43.7 million in the first quarter of 2020 in response to the impact of a weak global economy as a result of the COVID-19 pandemic. The 2020 realignment costs were composed of $35.3 million in severance costs for a reduction in workforce and $8.4 million of asset write-downs, primarily inventory, which decreased operating margins by 370 basis points in the first quarter of 2020. Segment operating income and segment operating margins for the first quarter of 2021 were positively impacted by the increase in sales discussed above as well as the benefits of the Company's Operational Excellence initiatives, including the 2020 realignment actions.</w:t>
      </w:r>
    </w:p>
    <w:p>
      <w:pPr>
        <w:spacing w:after="0" w:line="166" w:lineRule="exact"/>
        <w:rPr>
          <w:sz w:val="20"/>
          <w:szCs w:val="20"/>
          <w:color w:val="auto"/>
        </w:rPr>
      </w:pPr>
    </w:p>
    <w:p>
      <w:pPr>
        <w:ind w:right="840" w:firstLine="648"/>
        <w:spacing w:after="0" w:line="342" w:lineRule="auto"/>
        <w:rPr>
          <w:sz w:val="20"/>
          <w:szCs w:val="20"/>
          <w:color w:val="auto"/>
        </w:rPr>
      </w:pPr>
      <w:r>
        <w:rPr>
          <w:rFonts w:ascii="Arial" w:cs="Arial" w:eastAsia="Arial" w:hAnsi="Arial"/>
          <w:sz w:val="16"/>
          <w:szCs w:val="16"/>
          <w:color w:val="auto"/>
        </w:rPr>
        <w:t>Cost of sales for the first quarter of 2021 was $789.4 million or 64.9% of net sales, a decrease of $35.2 million or 4.3%, compared with $824.6 million or 68.6% of net sales for the first quarter of 2020. The first quarter of 2020 included the realignment costs discussed above.</w:t>
      </w:r>
    </w:p>
    <w:p>
      <w:pPr>
        <w:spacing w:after="0" w:line="124" w:lineRule="exact"/>
        <w:rPr>
          <w:sz w:val="20"/>
          <w:szCs w:val="20"/>
          <w:color w:val="auto"/>
        </w:rPr>
      </w:pPr>
    </w:p>
    <w:p>
      <w:pPr>
        <w:ind w:right="80" w:firstLine="648"/>
        <w:spacing w:after="0" w:line="263" w:lineRule="auto"/>
        <w:rPr>
          <w:sz w:val="20"/>
          <w:szCs w:val="20"/>
          <w:color w:val="auto"/>
        </w:rPr>
      </w:pPr>
      <w:r>
        <w:rPr>
          <w:rFonts w:ascii="Arial" w:cs="Arial" w:eastAsia="Arial" w:hAnsi="Arial"/>
          <w:sz w:val="18"/>
          <w:szCs w:val="18"/>
          <w:color w:val="auto"/>
        </w:rPr>
        <w:t>Selling, general and administrative expenses for the first quarter of 2021 were $133.0 million or 10.9% of net sales, a decrease of $12.5 million or 8.6%, compared with $145.5 million or 12.1% of net sales for the first quarter of 2020. Selling, general and administrative expenses decreased primarily due to lower discretionary spending as a result of the COVID-19 pandemic.</w:t>
      </w:r>
    </w:p>
    <w:p>
      <w:pPr>
        <w:spacing w:after="0" w:line="184"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Consolidated operating income was $293.3 million or 24.1% of net sales for the first quarter of 2021, an increase of $61.3 million or 26.4%, compared with $232.0 million or 19.3% of net sales for the first quarter of 2020.</w:t>
      </w:r>
    </w:p>
    <w:p>
      <w:pPr>
        <w:spacing w:after="0" w:line="170"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Other expense, net was $1.9 million for the first quarter of 2021, compared with $141.8 million of other income, net for the first quarter of 2020, a change of $143.7 million. In March 2020, the Company completed the sale of its Reading Alloys business ("Reading") to Kymera International for net proceeds of $245.3 million in cash. The sale resulted in a pre-tax gain of $141.0 million recorded in other income, net in the first quarter of 2020. The first quarter of 2021 includes higher due diligence expense compared to first quarter of 2020.</w:t>
      </w:r>
    </w:p>
    <w:p>
      <w:pPr>
        <w:spacing w:after="0" w:line="187"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The effective tax rate for the first quarter of 2021 was 19.5%, compared with 20.1% for the first quarter of 2020. The higher rate in 2020 was primarily due to the gain on the sale of the Reading Alloys business, resulting in an additional $31.4 million of income tax expense at an effective tax rate of 22.3%. See Note 11 to the Consolidated Financial Statements included in Part I, Item 1 of this Quarterly Report on Form 10-Q.</w:t>
      </w:r>
    </w:p>
    <w:p>
      <w:pPr>
        <w:spacing w:after="0" w:line="165"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Net income for the first quarter of 2021 was $219.2 million, a decrease of $61.4 million or 21.9%, compared with $280.6 million for the first quarter of 2020.</w:t>
      </w:r>
    </w:p>
    <w:p>
      <w:pPr>
        <w:spacing w:after="0" w:line="170" w:lineRule="exact"/>
        <w:rPr>
          <w:sz w:val="20"/>
          <w:szCs w:val="20"/>
          <w:color w:val="auto"/>
        </w:rPr>
      </w:pPr>
    </w:p>
    <w:p>
      <w:pPr>
        <w:jc w:val="both"/>
        <w:ind w:right="260" w:firstLine="648"/>
        <w:spacing w:after="0" w:line="263" w:lineRule="auto"/>
        <w:rPr>
          <w:sz w:val="20"/>
          <w:szCs w:val="20"/>
          <w:color w:val="auto"/>
        </w:rPr>
      </w:pPr>
      <w:r>
        <w:rPr>
          <w:rFonts w:ascii="Arial" w:cs="Arial" w:eastAsia="Arial" w:hAnsi="Arial"/>
          <w:sz w:val="18"/>
          <w:szCs w:val="18"/>
          <w:color w:val="auto"/>
        </w:rPr>
        <w:t>Diluted earnings per share for the first quarter of 2021 were $0.94, a decrease of $0.28 or 23.0%, compared with $1.22 per diluted share for the first quarter of 2020. In the first quarter of 2020, diluted earnings per share included $0.15 for the net realignment costs and $0.47 for the net gain on the sale of Reading.</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Segment Results</w:t>
      </w:r>
    </w:p>
    <w:p>
      <w:pPr>
        <w:spacing w:after="0" w:line="225"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b w:val="1"/>
          <w:bCs w:val="1"/>
          <w:i w:val="1"/>
          <w:iCs w:val="1"/>
          <w:color w:val="auto"/>
        </w:rPr>
        <w:t>EIG’</w:t>
      </w:r>
      <w:r>
        <w:rPr>
          <w:rFonts w:ascii="Arial" w:cs="Arial" w:eastAsia="Arial" w:hAnsi="Arial"/>
          <w:sz w:val="18"/>
          <w:szCs w:val="18"/>
          <w:color w:val="auto"/>
        </w:rPr>
        <w:t>s net sales totaled $790.9 million for the first quarter of 2021, an increase of $16.7 million or 2.2%, compared with $774.2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first quarter of 2020. The net sales increase was due to a favorable 2% effect of foreign currency translation.</w:t>
      </w:r>
    </w:p>
    <w:p>
      <w:pPr>
        <w:spacing w:after="0" w:line="170"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EIG’s operating income was $206.9 million for the first quarter of 2021, an increase of $35.6 million or 20.8%, compared with $171.3 million for the first quarter of 2020. EIG’s operating margins were 26.2% of net sales for the first quarter of 2021, compared with 22.1% for the first quarter of 2020. EIG’s first quarter of 2020 included $22.8 million of 2020</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realignment costs, which decreased operating margins by 300 basis points. EIG's increase in operating income and operating margins were positively impacted by the benefits of the Company's Operational Excellence initiatives, including the 2020 realignment actions.</w:t>
      </w:r>
    </w:p>
    <w:p>
      <w:pPr>
        <w:spacing w:after="0" w:line="166"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b w:val="1"/>
          <w:bCs w:val="1"/>
          <w:color w:val="auto"/>
        </w:rPr>
        <w:t xml:space="preserve">EMG’s </w:t>
      </w:r>
      <w:r>
        <w:rPr>
          <w:rFonts w:ascii="Arial" w:cs="Arial" w:eastAsia="Arial" w:hAnsi="Arial"/>
          <w:sz w:val="18"/>
          <w:szCs w:val="18"/>
          <w:color w:val="auto"/>
        </w:rPr>
        <w:t>net sales totaled $424.8 million for the first quarter of 2021, a decrease of $3.2 million or 0.7%, compared with $428.0 million for the first</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2020. The net sales decrease was due to an unfavorable 5% impact from the Reading divestiture, partially offset by a 2% organic sales increase, as well as a favorable 2% effect of foreign currency translation.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EMG’s operating income was a record $105.0 million for the first quarter of 2021, an increase of $28.4 million or 37.1%, compared with</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$76.6 million for the first quarter of 2020. EMG’s operating margins were a record 24.7% of net sales for the first quarter of 2021, compared with 17.9%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the first quarter of 2020. EMG's first quarter of 2020 included $20.9 million of 2020 realignment costs, which decreased operating margins by 490 basis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points. EMG’s increase in operating income and operating margins were positively impacted by the benefits of the Company's Operational Excellence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initiatives, including the 2020 realignment actions.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ind w:right="20" w:firstLine="648"/>
        <w:spacing w:after="0" w:line="286" w:lineRule="auto"/>
        <w:rPr>
          <w:sz w:val="20"/>
          <w:szCs w:val="20"/>
          <w:color w:val="auto"/>
        </w:rPr>
      </w:pPr>
      <w:r>
        <w:rPr>
          <w:rFonts w:ascii="Arial" w:cs="Arial" w:eastAsia="Arial" w:hAnsi="Arial"/>
          <w:sz w:val="17"/>
          <w:szCs w:val="17"/>
          <w:color w:val="auto"/>
        </w:rPr>
        <w:t>Cash provided by operating activities totaled $284.4 million for the first three months of 2021, an increase of $13.6 million or 5.0%, compared with $270.8 million for the first three months of 2020. The increase in cash provided by operating activities for the first three months of 2021 was primarily due to higher net income, net of the gain on sale of the Reading business in 2020, offset by higher working capital requirements.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Free cash flow (cash flow provided by operating activities less capital expenditures) was $266.9 million for the first three months of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compared with $253.8 million for the first three months of 2020. EBITDA (earnings before interest, income taxes, depreciation and amortization) was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$355.5 million for the first three months of 2021, compared with $439.2 million for the first three months of 2020, which included the gain on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Reading business. Free cash flow and EBITDA are presented because the Company is aware that they are measures used by third parties in evaluating</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w:t>
      </w:r>
    </w:p>
    <w:p>
      <w:pPr>
        <w:spacing w:after="0" w:line="21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Cash used by investing activities totaled $284.5 million for the first three months of 2021, compared with cash provided by investing activities of $115.6 million for the first three months of 2020. Additions to property, plant and equipment totaled $17.5 million for the first three months of 2021, compared with $16.9 million for the first three months of 2020. For the first three months of 2021, the Company paid $263.9 million, net of cash acquired, to purchase Magnetrol International, Crank Software, and EGS Automation, compared to $116.6 million, net of cash acquired, to purchase IntelliPower in the first three months of 2020. For the first three months of 2020, the Company received proceeds of $245.3 million from the sale of its Reading business.</w:t>
      </w:r>
    </w:p>
    <w:p>
      <w:pPr>
        <w:spacing w:after="0" w:line="161"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Cash used by financing activities totaled $84.0 million for the first three months of 2021, compared with cash provided by financing activities of $486.6 million for the first three months of 2020. At March 31, 2021, total debt, net was $2,351.6 million, compared with $2,413.7 million at December 31, 2020. For the first three months of 2021, total borrowings decreased by $33.0 million, compared with a $522.3 million increase for the first three months of</w:t>
      </w:r>
    </w:p>
    <w:p>
      <w:pPr>
        <w:spacing w:after="0" w:line="2" w:lineRule="exact"/>
        <w:rPr>
          <w:sz w:val="20"/>
          <w:szCs w:val="20"/>
          <w:color w:val="auto"/>
        </w:rPr>
      </w:pPr>
    </w:p>
    <w:p>
      <w:pPr>
        <w:ind w:right="80"/>
        <w:spacing w:after="0" w:line="260" w:lineRule="auto"/>
        <w:rPr>
          <w:sz w:val="20"/>
          <w:szCs w:val="20"/>
          <w:color w:val="auto"/>
        </w:rPr>
      </w:pPr>
      <w:r>
        <w:rPr>
          <w:rFonts w:ascii="Arial" w:cs="Arial" w:eastAsia="Arial" w:hAnsi="Arial"/>
          <w:sz w:val="18"/>
          <w:szCs w:val="18"/>
          <w:color w:val="auto"/>
        </w:rPr>
        <w:t>2020. At March 31, 2021, the Company had available borrowing capacity of $1,930.2 million under its revolving credit facility, including the $500 million accordion feature.</w:t>
      </w:r>
    </w:p>
    <w:p>
      <w:pPr>
        <w:spacing w:after="0" w:line="185"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debt-to-capital ratio was 27.8% at March 31, 2021, compared with 28.9% at December 31, 2020. The net debt-to-capital ratio (total debt, net less cash and cash equivalents divided by the sum of net debt and stockholders’ equity) was 16.7% at March 31, 2021, compared with 16.8% at December 31, 2020. The net debt-to-capital ratio is presented because the Company is aware that this measure is used by third parties in evaluating the Company.</w:t>
      </w:r>
    </w:p>
    <w:p>
      <w:pPr>
        <w:spacing w:after="0" w:line="18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Additional financing activities for the first three months of 2021 included cash dividends paid of $46.0 million, compared with $41.2 million for the first three months of 2020. Effective February 11, 2021, the Company’s Board of Directors approved an 11% increase in the quarterly cash dividend on the Company’s common stock to $0.20 per common share from $0.18 per common share. Proceeds from stock option exercises were $6.9 million for the first three months of 2021, compared with $7.0 million for the first three months of 2020.</w:t>
      </w:r>
    </w:p>
    <w:p>
      <w:pPr>
        <w:spacing w:after="0" w:line="18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As a result of all of the Company’s cash flow activities for the first three months of 2021, cash and cash equivalents at March 31, 2021 totaled $1,123.7 million, compared with $1,212.8 million at December 31, 2020. At March 31, 2021, the</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Company had $286.4 million in cash outside the United States, compared with $344.0 million at December 31, 2020. The Company utilizes this cash to fund its international operations, as well as to acquire international businesses. The Company is in compliance with all covenants, including financial covenants, for all of its debt agreements. The Company believes it has sufficient cash-generating capabilities from domestic and unrestricted foreign sources, available credit facilities and access to long-term capital funds to enable it to meet its operating needs and contractual obligations in the foreseeable future.</w:t>
      </w:r>
    </w:p>
    <w:p>
      <w:pPr>
        <w:spacing w:after="0" w:line="8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color w:val="auto"/>
        </w:rPr>
        <w:t>In April 2021, the Company acquired NSI-MI Technologies and Abaco Systems, Inc. for approximately $1,580.0 million in cash. NSI-MI has estimated annual sales of approximately $90 million. NSI-MI is a leading provider of radio frequency and microwave test and measurement systems for niche applications across the aerospace, defense, automotive, wireless communications, and research markets. NSI-MI has joined EIG. Abaco has estimated annual sales of approximately $325 million. Abaco specializes in open-architecture computing and electronic systems for aerospace, defense, and specialized industrial markets and is a leading provider of mission critical embedded computing systems. Abaco has joined EIG.</w:t>
      </w:r>
    </w:p>
    <w:p>
      <w:pPr>
        <w:spacing w:after="0" w:line="17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On April 26, 2021, the Company along with certain of its foreign subsidiaries amended and restated its credit agreement dated as of September 22, 2011, as amended and restated as of March 10, 2016 and as further amended and restated as of October 30, 2018, with the lenders, JPMorgan Chase Bank, N.A., as Administrative Agent and Bank of America, N.A., PNC Bank, National Association, Truist Bank and Wells Fargo Bank, National Association, as Co-Syndication Agents. The credit agreement amends and restates the Company’s existing revolving credit facility to add a new five-year, delayed draw, term loan for up to $800 million. The credit agreement places certain restrictions on allowable additional indebtedness. Through the date of this filing, the Company has not drawn on the $800 million term loan.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Company’s critical accounting policies are detailed in Part II, Item 7, Management’s Discussion and Analysis of Financial Condition of its Annual Report on Form 10-K for the year ended December 31, 2020. Primary disclosure of the Company’s significant accounting policies is also included in Note 1 to the Consolidated Financial Statements included in Part II, Item 8 of its Annual Report on Form 10-K.</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121"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Information contained in this discussion, other than historical information, is considered “forward-looking statements” and is subject to various factors and uncertainties that may cause actual results to differ significantly from expectations. These factors and uncertainties include risks related to the COVID-19 pandemic and its potential impact on AMETEK’s operations, supply chain, and demand across key end markets; general economic conditions affecting the industries the Company serves; changes in the competitive environment or the effects of competition in the Company’s markets; risks associated with international sales and operations; the Company’s ability to consummate and successfully integrate future acquisitions; the Company’s ability to successfully develop new products, open new facilities or transfer product lines; the price and availability of raw materials; compliance with government regulations, including environmental regulations; and the ability to maintain adequate liquidity and financing sources. A detailed discussion of these and other factors that may affect the Company’s future results is contained in AMETEK’s filings with the U.S. Securities and Exchange Commission, including its most recent reports on Form 10-K,10-Q and 8-K.AMETEK disclaims any intention or obligation to update or revise any forward-looking statements, unless required by the securities laws to do so.</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right="120" w:firstLine="445"/>
        <w:spacing w:after="0" w:line="255" w:lineRule="auto"/>
        <w:rPr>
          <w:sz w:val="20"/>
          <w:szCs w:val="20"/>
          <w:color w:val="auto"/>
        </w:rPr>
      </w:pPr>
      <w:r>
        <w:rPr>
          <w:rFonts w:ascii="Arial" w:cs="Arial" w:eastAsia="Arial" w:hAnsi="Arial"/>
          <w:sz w:val="18"/>
          <w:szCs w:val="18"/>
          <w:color w:val="auto"/>
        </w:rPr>
        <w:t>The Company maintains a system of disclosure controls and procedures that is designed to provide reasonable assurance that information, which is required to be disclosed, is accumulated and communicated to management in a timely manner. Under the supervision and with the participation of our management, including the Company’s principal executive officer and principal financial officer, we have evaluated the effectiveness of our system of disclosure controls and procedures as required by Exchange Act Rule 13a-15(b) as of March 31, 2021. Based on that evaluation, the Company’s principal executive officer and principal financial officer concluded that the Company’s disclosure controls and procedures are effective at the reasonable assurance level.</w:t>
      </w:r>
    </w:p>
    <w:p>
      <w:pPr>
        <w:spacing w:after="0" w:line="84" w:lineRule="exact"/>
        <w:rPr>
          <w:sz w:val="20"/>
          <w:szCs w:val="20"/>
          <w:color w:val="auto"/>
        </w:rPr>
      </w:pPr>
    </w:p>
    <w:p>
      <w:pPr>
        <w:ind w:right="80" w:firstLine="445"/>
        <w:spacing w:after="0" w:line="277" w:lineRule="auto"/>
        <w:rPr>
          <w:sz w:val="20"/>
          <w:szCs w:val="20"/>
          <w:color w:val="auto"/>
        </w:rPr>
      </w:pPr>
      <w:r>
        <w:rPr>
          <w:rFonts w:ascii="Arial" w:cs="Arial" w:eastAsia="Arial" w:hAnsi="Arial"/>
          <w:sz w:val="18"/>
          <w:szCs w:val="18"/>
          <w:color w:val="auto"/>
        </w:rPr>
        <w:t>Such evaluation did not identify any change in the Company’s internal control over financial reporting during the quarter ended March 31, 2021 that has materially affected, or is reasonably likely to materially affect, the Company’s internal control over financial reporting.</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3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disruption in, shortage of, or price increases for, supply of our components and raw materials may adversely impact our operations.</w:t>
      </w:r>
    </w:p>
    <w:p>
      <w:pPr>
        <w:spacing w:after="0" w:line="372"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While we manufacture certain parts and components used in our products, we require substantial amounts of raw materials and purchase some parts and components, including semiconductor chips and other electronic components, from suppliers. The availability and prices for raw materials, parts and components may be subject to curtailment or change due to, among other things, supplier’s allocation to other purchasers, interruptions in production by suppliers, changes in exchange rates and prevailing price levels. In addition, our facilities, supply chains, distribution systems, and products may be impacted by natural or man-made disruptions, including armed conflict, damaging weather or other acts of nature, pandemics or other public health crises. A shutdown of, or inability to utilize, one or more of our facilities, our supply chain, or our distribution system could significantly disrupt our operations, delay production and shipments, our relationships and reputation with customers, suppliers, employees, stockholders and others, result in lost sales, result in the misappropriation or corruption of data, or result in legal exposure and large remediation or other expenses. Furthermore, certain items, including base metals and certain steel components, are available only from a limited number of suppliers and are subject to commodity market fluctuations. Shortages in raw materials or price increases therefore could affect the prices we charge, our operating costs and our competitive position, which could adversely affect our business, financial condition, results of operations and cash flows.</w:t>
      </w: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 Purchase of equity securities by the issuer and affiliated purchasers.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following table reflects purchases of AMETEK, Inc. common stock by the Company during the three months ended March 31, 2021:</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Approximate</w:t>
            </w:r>
          </w:p>
        </w:tc>
      </w:t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Dollar Value of</w:t>
            </w:r>
          </w:p>
        </w:tc>
      </w:tr>
      <w:tr>
        <w:trPr>
          <w:trHeight w:val="162"/>
        </w:trPr>
        <w:tc>
          <w:tcPr>
            <w:tcW w:w="47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87"/>
              </w:rPr>
              <w:t>Purchased as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Shares that</w:t>
            </w: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Total Number</w:t>
            </w: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Part of Publicly</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May Yet Be</w:t>
            </w:r>
          </w:p>
        </w:tc>
      </w:tr>
      <w:tr>
        <w:trPr>
          <w:trHeight w:val="162"/>
        </w:trPr>
        <w:tc>
          <w:tcPr>
            <w:tcW w:w="4740" w:type="dxa"/>
            <w:vAlign w:val="bottom"/>
          </w:tcPr>
          <w:p>
            <w:pPr>
              <w:spacing w:after="0"/>
              <w:rPr>
                <w:sz w:val="14"/>
                <w:szCs w:val="14"/>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of Shares</w:t>
            </w:r>
          </w:p>
        </w:tc>
        <w:tc>
          <w:tcPr>
            <w:tcW w:w="22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Average Price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Announced</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Purchased Under</w:t>
            </w:r>
          </w:p>
        </w:tc>
      </w:tr>
      <w:tr>
        <w:trPr>
          <w:trHeight w:val="186"/>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Period</w:t>
            </w: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Purchased (1)</w:t>
            </w:r>
          </w:p>
        </w:tc>
        <w:tc>
          <w:tcPr>
            <w:tcW w:w="220" w:type="dxa"/>
            <w:vAlign w:val="bottom"/>
          </w:tcPr>
          <w:p>
            <w:pPr>
              <w:spacing w:after="0"/>
              <w:rPr>
                <w:sz w:val="16"/>
                <w:szCs w:val="16"/>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Paid 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tcPr>
          <w:p>
            <w:pPr>
              <w:jc w:val="center"/>
              <w:ind w:right="102"/>
              <w:spacing w:after="0"/>
              <w:rPr>
                <w:sz w:val="20"/>
                <w:szCs w:val="20"/>
                <w:color w:val="auto"/>
              </w:rPr>
            </w:pPr>
            <w:r>
              <w:rPr>
                <w:rFonts w:ascii="Arial" w:cs="Arial" w:eastAsia="Arial" w:hAnsi="Arial"/>
                <w:sz w:val="14"/>
                <w:szCs w:val="14"/>
                <w:b w:val="1"/>
                <w:bCs w:val="1"/>
                <w:color w:val="auto"/>
                <w:w w:val="95"/>
              </w:rPr>
              <w:t>the Plan</w:t>
            </w:r>
          </w:p>
        </w:tc>
      </w:tr>
      <w:tr>
        <w:trPr>
          <w:trHeight w:val="25"/>
        </w:trPr>
        <w:tc>
          <w:tcPr>
            <w:tcW w:w="47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23"/>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January 1, 2021 to January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124.09</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479,270,228</w:t>
            </w: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February 1, 2021 to February 28, 2021</w:t>
            </w:r>
          </w:p>
        </w:tc>
        <w:tc>
          <w:tcPr>
            <w:tcW w:w="1520" w:type="dxa"/>
            <w:vAlign w:val="bottom"/>
          </w:tcPr>
          <w:p>
            <w:pPr>
              <w:jc w:val="right"/>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121.62</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ind w:right="2"/>
              <w:spacing w:after="0"/>
              <w:rPr>
                <w:sz w:val="20"/>
                <w:szCs w:val="20"/>
                <w:color w:val="auto"/>
              </w:rPr>
            </w:pPr>
            <w:r>
              <w:rPr>
                <w:rFonts w:ascii="Arial" w:cs="Arial" w:eastAsia="Arial" w:hAnsi="Arial"/>
                <w:sz w:val="18"/>
                <w:szCs w:val="18"/>
                <w:color w:val="auto"/>
              </w:rPr>
              <w:t>479,192,635</w:t>
            </w: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March 1, 2021 to March 31, 2021</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122.89</w:t>
            </w:r>
          </w:p>
        </w:tc>
        <w:tc>
          <w:tcPr>
            <w:tcW w:w="10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22,367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2"/>
              <w:spacing w:after="0"/>
              <w:rPr>
                <w:sz w:val="20"/>
                <w:szCs w:val="20"/>
                <w:color w:val="auto"/>
              </w:rPr>
            </w:pPr>
            <w:r>
              <w:rPr>
                <w:rFonts w:ascii="Arial" w:cs="Arial" w:eastAsia="Arial" w:hAnsi="Arial"/>
                <w:sz w:val="18"/>
                <w:szCs w:val="18"/>
                <w:color w:val="auto"/>
              </w:rPr>
              <w:t>476,443,954</w:t>
            </w:r>
          </w:p>
        </w:tc>
      </w:tr>
      <w:tr>
        <w:trPr>
          <w:trHeight w:val="223"/>
        </w:trPr>
        <w:tc>
          <w:tcPr>
            <w:tcW w:w="4740" w:type="dxa"/>
            <w:vAlign w:val="bottom"/>
          </w:tcPr>
          <w:p>
            <w:pPr>
              <w:ind w:left="20"/>
              <w:spacing w:after="0"/>
              <w:rPr>
                <w:sz w:val="20"/>
                <w:szCs w:val="20"/>
                <w:color w:val="auto"/>
              </w:rPr>
            </w:pPr>
            <w:r>
              <w:rPr>
                <w:rFonts w:ascii="Arial" w:cs="Arial" w:eastAsia="Arial" w:hAnsi="Arial"/>
                <w:sz w:val="18"/>
                <w:szCs w:val="18"/>
                <w:color w:val="auto"/>
              </w:rPr>
              <w:t>Total</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64,673</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123.65</w:t>
            </w:r>
          </w:p>
        </w:tc>
        <w:tc>
          <w:tcPr>
            <w:tcW w:w="100" w:type="dxa"/>
            <w:vAlign w:val="bottom"/>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ind w:left="660" w:right="520" w:hanging="652"/>
        <w:spacing w:after="0" w:line="260" w:lineRule="auto"/>
        <w:tabs>
          <w:tab w:leader="none" w:pos="402"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Represents shares surrendered to the Company to satisfy tax withholding obligations in connection with employees’ share-based compensation awards.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40" w:type="dxa"/>
            <w:vAlign w:val="bottom"/>
            <w:gridSpan w:val="6"/>
          </w:tcPr>
          <w:p>
            <w:pPr>
              <w:ind w:left="20"/>
              <w:spacing w:after="0"/>
              <w:rPr>
                <w:sz w:val="20"/>
                <w:szCs w:val="20"/>
                <w:color w:val="auto"/>
              </w:rPr>
            </w:pPr>
            <w:r>
              <w:rPr>
                <w:rFonts w:ascii="Arial" w:cs="Arial" w:eastAsia="Arial" w:hAnsi="Arial"/>
                <w:sz w:val="14"/>
                <w:szCs w:val="14"/>
                <w:b w:val="1"/>
                <w:bCs w:val="1"/>
                <w:color w:val="auto"/>
              </w:rPr>
              <w:t>Exhibit</w:t>
            </w: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160" w:type="dxa"/>
            <w:vAlign w:val="bottom"/>
            <w:gridSpan w:val="10"/>
            <w:vMerge w:val="restart"/>
          </w:tcPr>
          <w:p>
            <w:pPr>
              <w:ind w:left="30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8"/>
        </w:trPr>
        <w:tc>
          <w:tcPr>
            <w:tcW w:w="1740" w:type="dxa"/>
            <w:vAlign w:val="bottom"/>
            <w:gridSpan w:val="6"/>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160" w:type="dxa"/>
            <w:vAlign w:val="bottom"/>
            <w:gridSpan w:val="10"/>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780" w:type="dxa"/>
            <w:vAlign w:val="bottom"/>
            <w:tcBorders>
              <w:top w:val="single" w:sz="8" w:color="auto"/>
            </w:tcBorders>
            <w:gridSpan w:val="3"/>
          </w:tcPr>
          <w:p>
            <w:pPr>
              <w:jc w:val="center"/>
              <w:ind w:left="392"/>
              <w:spacing w:after="0"/>
              <w:rPr>
                <w:rFonts w:ascii="Arial" w:cs="Arial" w:eastAsia="Arial" w:hAnsi="Arial"/>
                <w:sz w:val="18"/>
                <w:szCs w:val="18"/>
                <w:color w:val="0000FF"/>
                <w:w w:val="85"/>
              </w:rPr>
            </w:pPr>
            <w:hyperlink r:id="rId58">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1</w:t>
              </w:r>
            </w:hyperlink>
          </w:p>
        </w:tc>
        <w:tc>
          <w:tcPr>
            <w:tcW w:w="6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9440" w:type="dxa"/>
            <w:vAlign w:val="bottom"/>
            <w:tcBorders>
              <w:top w:val="single" w:sz="8" w:color="auto"/>
            </w:tcBorders>
            <w:gridSpan w:val="11"/>
          </w:tcPr>
          <w:p>
            <w:pPr>
              <w:spacing w:after="0"/>
              <w:rPr>
                <w:rFonts w:ascii="Arial" w:cs="Arial" w:eastAsia="Arial" w:hAnsi="Arial"/>
                <w:sz w:val="18"/>
                <w:szCs w:val="18"/>
                <w:color w:val="0000FF"/>
                <w:w w:val="99"/>
              </w:rPr>
            </w:pPr>
            <w:hyperlink r:id="rId58">
              <w:r>
                <w:rPr>
                  <w:rFonts w:ascii="Arial" w:cs="Arial" w:eastAsia="Arial" w:hAnsi="Arial"/>
                  <w:sz w:val="18"/>
                  <w:szCs w:val="18"/>
                  <w:color w:val="0000FF"/>
                  <w:w w:val="99"/>
                </w:rPr>
                <w:t>AMETEK, Inc. 2020 Omnibus Incentive Compensation Plan Form of Performance Restricted Stock Unit Award for Chief</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58">
              <w:r>
                <w:rPr>
                  <w:rFonts w:ascii="Arial" w:cs="Arial" w:eastAsia="Arial" w:hAnsi="Arial"/>
                  <w:sz w:val="18"/>
                  <w:szCs w:val="18"/>
                  <w:color w:val="0000FF"/>
                  <w:w w:val="92"/>
                </w:rPr>
                <w:t>Executive Officer</w:t>
              </w:r>
            </w:hyperlink>
          </w:p>
        </w:tc>
        <w:tc>
          <w:tcPr>
            <w:tcW w:w="7520" w:type="dxa"/>
            <w:vAlign w:val="bottom"/>
            <w:tcBorders>
              <w:top w:val="single" w:sz="8" w:color="0000FF"/>
            </w:tcBorders>
            <w:gridSpan w:val="7"/>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780" w:type="dxa"/>
            <w:vAlign w:val="bottom"/>
            <w:gridSpan w:val="3"/>
          </w:tcPr>
          <w:p>
            <w:pPr>
              <w:jc w:val="center"/>
              <w:ind w:left="392"/>
              <w:spacing w:after="0"/>
              <w:rPr>
                <w:rFonts w:ascii="Arial" w:cs="Arial" w:eastAsia="Arial" w:hAnsi="Arial"/>
                <w:sz w:val="18"/>
                <w:szCs w:val="18"/>
                <w:color w:val="0000FF"/>
                <w:w w:val="85"/>
              </w:rPr>
            </w:pPr>
            <w:hyperlink r:id="rId59">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2</w:t>
              </w:r>
            </w:hyperlink>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rPr>
            </w:pPr>
            <w:hyperlink r:id="rId59">
              <w:r>
                <w:rPr>
                  <w:rFonts w:ascii="Arial" w:cs="Arial" w:eastAsia="Arial" w:hAnsi="Arial"/>
                  <w:sz w:val="18"/>
                  <w:szCs w:val="18"/>
                  <w:color w:val="0000FF"/>
                </w:rPr>
                <w:t>AMETEK, Inc. 2020 Omnibus Incentive Compensation Plan Form of Performance Restricted Stock Unit Award</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780" w:type="dxa"/>
            <w:vAlign w:val="bottom"/>
            <w:gridSpan w:val="3"/>
          </w:tcPr>
          <w:p>
            <w:pPr>
              <w:jc w:val="center"/>
              <w:ind w:left="392"/>
              <w:spacing w:after="0"/>
              <w:rPr>
                <w:rFonts w:ascii="Arial" w:cs="Arial" w:eastAsia="Arial" w:hAnsi="Arial"/>
                <w:sz w:val="18"/>
                <w:szCs w:val="18"/>
                <w:color w:val="0000FF"/>
                <w:w w:val="85"/>
              </w:rPr>
            </w:pPr>
            <w:hyperlink r:id="rId60">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3</w:t>
              </w:r>
            </w:hyperlink>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w w:val="99"/>
              </w:rPr>
            </w:pPr>
            <w:hyperlink r:id="rId60">
              <w:r>
                <w:rPr>
                  <w:rFonts w:ascii="Arial" w:cs="Arial" w:eastAsia="Arial" w:hAnsi="Arial"/>
                  <w:sz w:val="18"/>
                  <w:szCs w:val="18"/>
                  <w:color w:val="0000FF"/>
                  <w:w w:val="99"/>
                </w:rPr>
                <w:t>AMETEK, Inc. 2020 Omnibus Incentive Compensation Plan Form of Restricted Stock Award for Chief Executive Officer</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gridSpan w:val="3"/>
          </w:tcPr>
          <w:p>
            <w:pPr>
              <w:jc w:val="center"/>
              <w:ind w:left="392"/>
              <w:spacing w:after="0"/>
              <w:rPr>
                <w:rFonts w:ascii="Arial" w:cs="Arial" w:eastAsia="Arial" w:hAnsi="Arial"/>
                <w:sz w:val="18"/>
                <w:szCs w:val="18"/>
                <w:color w:val="0000FF"/>
                <w:w w:val="85"/>
              </w:rPr>
            </w:pPr>
            <w:hyperlink r:id="rId61">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4</w:t>
              </w:r>
            </w:hyperlink>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880" w:type="dxa"/>
            <w:vAlign w:val="bottom"/>
            <w:tcBorders>
              <w:bottom w:val="single" w:sz="8" w:color="0000FF"/>
            </w:tcBorders>
            <w:gridSpan w:val="10"/>
          </w:tcPr>
          <w:p>
            <w:pPr>
              <w:spacing w:after="0"/>
              <w:rPr>
                <w:rFonts w:ascii="Arial" w:cs="Arial" w:eastAsia="Arial" w:hAnsi="Arial"/>
                <w:sz w:val="18"/>
                <w:szCs w:val="18"/>
                <w:color w:val="0000FF"/>
                <w:w w:val="92"/>
              </w:rPr>
            </w:pPr>
            <w:hyperlink r:id="rId61">
              <w:r>
                <w:rPr>
                  <w:rFonts w:ascii="Arial" w:cs="Arial" w:eastAsia="Arial" w:hAnsi="Arial"/>
                  <w:sz w:val="18"/>
                  <w:szCs w:val="18"/>
                  <w:color w:val="0000FF"/>
                  <w:w w:val="92"/>
                </w:rPr>
                <w:t>AMETEK, Inc. 2020 Omnibus Incentive Compensation Plan Form of Restricted Stock Award for Non-Employee Directors</w:t>
              </w:r>
            </w:hyperlink>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80" w:type="dxa"/>
            <w:vAlign w:val="bottom"/>
            <w:gridSpan w:val="3"/>
          </w:tcPr>
          <w:p>
            <w:pPr>
              <w:jc w:val="center"/>
              <w:ind w:left="392"/>
              <w:spacing w:after="0"/>
              <w:rPr>
                <w:rFonts w:ascii="Arial" w:cs="Arial" w:eastAsia="Arial" w:hAnsi="Arial"/>
                <w:sz w:val="18"/>
                <w:szCs w:val="18"/>
                <w:color w:val="0000FF"/>
                <w:w w:val="85"/>
              </w:rPr>
            </w:pPr>
            <w:hyperlink r:id="rId6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5</w:t>
              </w:r>
            </w:hyperlink>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rPr>
            </w:pPr>
            <w:hyperlink r:id="rId62">
              <w:r>
                <w:rPr>
                  <w:rFonts w:ascii="Arial" w:cs="Arial" w:eastAsia="Arial" w:hAnsi="Arial"/>
                  <w:sz w:val="18"/>
                  <w:szCs w:val="18"/>
                  <w:color w:val="0000FF"/>
                </w:rPr>
                <w:t>AMETEK, Inc. 2020 Omnibus Incentive Compensation Plan Form of Restricted Stock Award</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760" w:type="dxa"/>
            <w:vAlign w:val="bottom"/>
            <w:gridSpan w:val="2"/>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80" w:type="dxa"/>
            <w:vAlign w:val="bottom"/>
            <w:gridSpan w:val="3"/>
          </w:tcPr>
          <w:p>
            <w:pPr>
              <w:jc w:val="center"/>
              <w:ind w:left="392"/>
              <w:spacing w:after="0"/>
              <w:rPr>
                <w:rFonts w:ascii="Arial" w:cs="Arial" w:eastAsia="Arial" w:hAnsi="Arial"/>
                <w:sz w:val="18"/>
                <w:szCs w:val="18"/>
                <w:color w:val="0000FF"/>
                <w:w w:val="85"/>
              </w:rPr>
            </w:pPr>
            <w:hyperlink r:id="rId63">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6</w:t>
              </w:r>
            </w:hyperlink>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w w:val="99"/>
              </w:rPr>
            </w:pPr>
            <w:hyperlink r:id="rId63">
              <w:r>
                <w:rPr>
                  <w:rFonts w:ascii="Arial" w:cs="Arial" w:eastAsia="Arial" w:hAnsi="Arial"/>
                  <w:sz w:val="18"/>
                  <w:szCs w:val="18"/>
                  <w:color w:val="0000FF"/>
                  <w:w w:val="99"/>
                </w:rPr>
                <w:t>AMETEK, Inc. 2020 Omnibus Incentive Compensation Plan Form of Global Non-Qualified Stock Option Award for Chief</w:t>
              </w:r>
            </w:hyperlink>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92"/>
              </w:rPr>
            </w:pPr>
            <w:hyperlink r:id="rId63">
              <w:r>
                <w:rPr>
                  <w:rFonts w:ascii="Arial" w:cs="Arial" w:eastAsia="Arial" w:hAnsi="Arial"/>
                  <w:sz w:val="18"/>
                  <w:szCs w:val="18"/>
                  <w:color w:val="0000FF"/>
                  <w:w w:val="92"/>
                </w:rPr>
                <w:t>Executive Officer</w:t>
              </w:r>
            </w:hyperlink>
          </w:p>
        </w:tc>
        <w:tc>
          <w:tcPr>
            <w:tcW w:w="7580" w:type="dxa"/>
            <w:vAlign w:val="bottom"/>
            <w:tcBorders>
              <w:top w:val="single" w:sz="8" w:color="0000FF"/>
            </w:tcBorders>
            <w:gridSpan w:val="8"/>
          </w:tcPr>
          <w:p>
            <w:pPr>
              <w:spacing w:after="0"/>
              <w:rPr>
                <w:sz w:val="13"/>
                <w:szCs w:val="13"/>
                <w:color w:val="auto"/>
              </w:rPr>
            </w:pPr>
          </w:p>
        </w:tc>
        <w:tc>
          <w:tcPr>
            <w:tcW w:w="58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780" w:type="dxa"/>
            <w:vAlign w:val="bottom"/>
            <w:gridSpan w:val="3"/>
          </w:tcPr>
          <w:p>
            <w:pPr>
              <w:jc w:val="center"/>
              <w:ind w:left="392"/>
              <w:spacing w:after="0"/>
              <w:rPr>
                <w:rFonts w:ascii="Arial" w:cs="Arial" w:eastAsia="Arial" w:hAnsi="Arial"/>
                <w:sz w:val="18"/>
                <w:szCs w:val="18"/>
                <w:color w:val="0000FF"/>
                <w:w w:val="85"/>
              </w:rPr>
            </w:pPr>
            <w:hyperlink r:id="rId64">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7</w:t>
              </w:r>
            </w:hyperlink>
          </w:p>
        </w:tc>
        <w:tc>
          <w:tcPr>
            <w:tcW w:w="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rPr>
            </w:pPr>
            <w:hyperlink r:id="rId64">
              <w:r>
                <w:rPr>
                  <w:rFonts w:ascii="Arial" w:cs="Arial" w:eastAsia="Arial" w:hAnsi="Arial"/>
                  <w:sz w:val="18"/>
                  <w:szCs w:val="18"/>
                  <w:color w:val="0000FF"/>
                </w:rPr>
                <w:t>AMETEK, Inc. 2020 Omnibus Incentive Compensation Plan Form of Global Non-Qualified Stock Option Award</w:t>
              </w:r>
            </w:hyperlink>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2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840" w:type="dxa"/>
            <w:vAlign w:val="bottom"/>
            <w:gridSpan w:val="4"/>
          </w:tcPr>
          <w:p>
            <w:pPr>
              <w:jc w:val="center"/>
              <w:ind w:left="332"/>
              <w:spacing w:after="0"/>
              <w:rPr>
                <w:rFonts w:ascii="Arial" w:cs="Arial" w:eastAsia="Arial" w:hAnsi="Arial"/>
                <w:sz w:val="18"/>
                <w:szCs w:val="18"/>
                <w:color w:val="0000FF"/>
                <w:w w:val="99"/>
              </w:rPr>
            </w:pPr>
            <w:hyperlink w:anchor="page28">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1*</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Certification of Chief Executive Officer, Pursuant to Section 302 of the Sarbanes-Oxley Act of 2002.</w:t>
              </w:r>
            </w:hyperlink>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tcBorders>
              <w:bottom w:val="single" w:sz="8" w:color="0000FF"/>
            </w:tcBorders>
            <w:gridSpan w:val="3"/>
          </w:tcPr>
          <w:p>
            <w:pPr>
              <w:jc w:val="cente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31.</w:t>
              </w:r>
              <w:r>
                <w:rPr>
                  <w:rFonts w:ascii="Arial" w:cs="Arial" w:eastAsia="Arial" w:hAnsi="Arial"/>
                  <w:sz w:val="18"/>
                  <w:szCs w:val="18"/>
                  <w:u w:val="single" w:color="auto"/>
                  <w:color w:val="0000FF"/>
                  <w:w w:val="99"/>
                </w:rPr>
                <w:t>2*</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Certification of Chief Financial Officer, Pursuant to Section 302 of the Sarbanes-Oxley Act of 2002.</w:t>
              </w:r>
            </w:hyperlink>
          </w:p>
        </w:tc>
        <w:tc>
          <w:tcPr>
            <w:tcW w:w="40" w:type="dxa"/>
            <w:vAlign w:val="bottom"/>
            <w:tcBorders>
              <w:top w:val="single" w:sz="8" w:color="0000FF"/>
            </w:tcBorders>
          </w:tcPr>
          <w:p>
            <w:pPr>
              <w:spacing w:after="0"/>
              <w:rPr>
                <w:sz w:val="22"/>
                <w:szCs w:val="22"/>
                <w:color w:val="auto"/>
              </w:rPr>
            </w:pPr>
          </w:p>
        </w:tc>
        <w:tc>
          <w:tcPr>
            <w:tcW w:w="21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420" w:type="dxa"/>
            <w:vAlign w:val="bottom"/>
          </w:tcPr>
          <w:p>
            <w:pPr>
              <w:spacing w:after="0"/>
              <w:rPr>
                <w:sz w:val="22"/>
                <w:szCs w:val="22"/>
                <w:color w:val="auto"/>
              </w:rPr>
            </w:pPr>
          </w:p>
        </w:tc>
        <w:tc>
          <w:tcPr>
            <w:tcW w:w="420" w:type="dxa"/>
            <w:vAlign w:val="bottom"/>
            <w:gridSpan w:val="3"/>
          </w:tcPr>
          <w:p>
            <w:pPr>
              <w:jc w:val="center"/>
              <w:spacing w:after="0"/>
              <w:rPr>
                <w:rFonts w:ascii="Arial" w:cs="Arial" w:eastAsia="Arial" w:hAnsi="Arial"/>
                <w:sz w:val="18"/>
                <w:szCs w:val="18"/>
                <w:color w:val="0000FF"/>
                <w:w w:val="99"/>
              </w:rPr>
            </w:pPr>
            <w:hyperlink w:anchor="page30">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1*</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40" w:type="dxa"/>
            <w:vAlign w:val="bottom"/>
            <w:gridSpan w:val="11"/>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Certification of Chief Executive Officer, Pursuant to Section 906 of the Sarbanes-Oxley Act of 2002.</w:t>
              </w:r>
            </w:hyperlink>
          </w:p>
        </w:tc>
        <w:tc>
          <w:tcPr>
            <w:tcW w:w="0" w:type="dxa"/>
            <w:vAlign w:val="bottom"/>
          </w:tcPr>
          <w:p>
            <w:pPr>
              <w:spacing w:after="0"/>
              <w:rPr>
                <w:sz w:val="1"/>
                <w:szCs w:val="1"/>
                <w:color w:val="auto"/>
              </w:rPr>
            </w:pPr>
          </w:p>
        </w:tc>
      </w:tr>
      <w:tr>
        <w:trPr>
          <w:trHeight w:val="264"/>
        </w:trPr>
        <w:tc>
          <w:tcPr>
            <w:tcW w:w="420" w:type="dxa"/>
            <w:vAlign w:val="bottom"/>
          </w:tcPr>
          <w:p>
            <w:pPr>
              <w:spacing w:after="0"/>
              <w:rPr>
                <w:sz w:val="22"/>
                <w:szCs w:val="22"/>
                <w:color w:val="auto"/>
              </w:rPr>
            </w:pPr>
          </w:p>
        </w:tc>
        <w:tc>
          <w:tcPr>
            <w:tcW w:w="420" w:type="dxa"/>
            <w:vAlign w:val="bottom"/>
            <w:tcBorders>
              <w:top w:val="single" w:sz="8" w:color="0000FF"/>
            </w:tcBorders>
            <w:gridSpan w:val="3"/>
          </w:tcPr>
          <w:p>
            <w:pPr>
              <w:jc w:val="cente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32.</w:t>
              </w:r>
              <w:r>
                <w:rPr>
                  <w:rFonts w:ascii="Arial" w:cs="Arial" w:eastAsia="Arial" w:hAnsi="Arial"/>
                  <w:sz w:val="18"/>
                  <w:szCs w:val="18"/>
                  <w:u w:val="single" w:color="auto"/>
                  <w:color w:val="0000FF"/>
                  <w:w w:val="99"/>
                </w:rPr>
                <w:t>2*</w:t>
              </w:r>
            </w:hyperlink>
          </w:p>
        </w:tc>
        <w:tc>
          <w:tcPr>
            <w:tcW w:w="4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220" w:type="dxa"/>
            <w:vAlign w:val="bottom"/>
            <w:tcBorders>
              <w:top w:val="single" w:sz="8" w:color="0000FF"/>
              <w:bottom w:val="single" w:sz="8" w:color="0000FF"/>
            </w:tcBorders>
            <w:gridSpan w:val="3"/>
          </w:tcPr>
          <w:p>
            <w:pPr>
              <w:spacing w:after="0"/>
              <w:rPr>
                <w:rFonts w:ascii="Arial" w:cs="Arial" w:eastAsia="Arial" w:hAnsi="Arial"/>
                <w:sz w:val="18"/>
                <w:szCs w:val="18"/>
                <w:color w:val="0000FF"/>
                <w:w w:val="91"/>
              </w:rPr>
            </w:pPr>
            <w:hyperlink w:anchor="page31">
              <w:r>
                <w:rPr>
                  <w:rFonts w:ascii="Arial" w:cs="Arial" w:eastAsia="Arial" w:hAnsi="Arial"/>
                  <w:sz w:val="18"/>
                  <w:szCs w:val="18"/>
                  <w:color w:val="0000FF"/>
                  <w:w w:val="91"/>
                </w:rPr>
                <w:t>Certification of Chief Financial Officer, Pursuant to Section 906 of the Sarbanes-Oxley Act of 2002.</w:t>
              </w:r>
            </w:hyperlink>
          </w:p>
        </w:tc>
        <w:tc>
          <w:tcPr>
            <w:tcW w:w="40" w:type="dxa"/>
            <w:vAlign w:val="bottom"/>
            <w:tcBorders>
              <w:top w:val="single" w:sz="8" w:color="0000FF"/>
            </w:tcBorders>
          </w:tcPr>
          <w:p>
            <w:pPr>
              <w:spacing w:after="0"/>
              <w:rPr>
                <w:sz w:val="22"/>
                <w:szCs w:val="22"/>
                <w:color w:val="auto"/>
              </w:rPr>
            </w:pPr>
          </w:p>
        </w:tc>
        <w:tc>
          <w:tcPr>
            <w:tcW w:w="2180" w:type="dxa"/>
            <w:vAlign w:val="bottom"/>
            <w:gridSpan w:val="7"/>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1740" w:type="dxa"/>
            <w:vAlign w:val="bottom"/>
            <w:gridSpan w:val="6"/>
          </w:tcPr>
          <w:p>
            <w:pPr>
              <w:jc w:val="center"/>
              <w:ind w:right="480"/>
              <w:spacing w:after="0"/>
              <w:rPr>
                <w:sz w:val="20"/>
                <w:szCs w:val="20"/>
                <w:color w:val="auto"/>
              </w:rPr>
            </w:pPr>
            <w:r>
              <w:rPr>
                <w:rFonts w:ascii="Arial" w:cs="Arial" w:eastAsia="Arial" w:hAnsi="Arial"/>
                <w:sz w:val="18"/>
                <w:szCs w:val="18"/>
                <w:color w:val="auto"/>
                <w:w w:val="97"/>
              </w:rPr>
              <w:t>101.INS*</w:t>
            </w:r>
          </w:p>
        </w:tc>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283"/>
        </w:trPr>
        <w:tc>
          <w:tcPr>
            <w:tcW w:w="1740" w:type="dxa"/>
            <w:vAlign w:val="bottom"/>
            <w:gridSpan w:val="6"/>
          </w:tcPr>
          <w:p>
            <w:pPr>
              <w:jc w:val="center"/>
              <w:ind w:right="480"/>
              <w:spacing w:after="0"/>
              <w:rPr>
                <w:sz w:val="20"/>
                <w:szCs w:val="20"/>
                <w:color w:val="auto"/>
              </w:rPr>
            </w:pPr>
            <w:r>
              <w:rPr>
                <w:rFonts w:ascii="Arial" w:cs="Arial" w:eastAsia="Arial" w:hAnsi="Arial"/>
                <w:sz w:val="18"/>
                <w:szCs w:val="18"/>
                <w:color w:val="auto"/>
                <w:w w:val="92"/>
              </w:rPr>
              <w:t>101.SCH*</w:t>
            </w:r>
          </w:p>
        </w:tc>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83"/>
        </w:trPr>
        <w:tc>
          <w:tcPr>
            <w:tcW w:w="1740" w:type="dxa"/>
            <w:vAlign w:val="bottom"/>
            <w:gridSpan w:val="6"/>
          </w:tcPr>
          <w:p>
            <w:pPr>
              <w:jc w:val="center"/>
              <w:ind w:right="48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83"/>
        </w:trPr>
        <w:tc>
          <w:tcPr>
            <w:tcW w:w="1740" w:type="dxa"/>
            <w:vAlign w:val="bottom"/>
            <w:gridSpan w:val="6"/>
          </w:tcPr>
          <w:p>
            <w:pPr>
              <w:jc w:val="center"/>
              <w:ind w:right="480"/>
              <w:spacing w:after="0"/>
              <w:rPr>
                <w:sz w:val="20"/>
                <w:szCs w:val="20"/>
                <w:color w:val="auto"/>
              </w:rPr>
            </w:pPr>
            <w:r>
              <w:rPr>
                <w:rFonts w:ascii="Arial" w:cs="Arial" w:eastAsia="Arial" w:hAnsi="Arial"/>
                <w:sz w:val="18"/>
                <w:szCs w:val="18"/>
                <w:color w:val="auto"/>
                <w:w w:val="94"/>
              </w:rPr>
              <w:t>101.DEF*</w:t>
            </w:r>
          </w:p>
        </w:tc>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84"/>
        </w:trPr>
        <w:tc>
          <w:tcPr>
            <w:tcW w:w="1740" w:type="dxa"/>
            <w:vAlign w:val="bottom"/>
            <w:gridSpan w:val="6"/>
          </w:tcPr>
          <w:p>
            <w:pPr>
              <w:jc w:val="center"/>
              <w:ind w:right="48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83"/>
        </w:trPr>
        <w:tc>
          <w:tcPr>
            <w:tcW w:w="1740" w:type="dxa"/>
            <w:vAlign w:val="bottom"/>
            <w:gridSpan w:val="6"/>
          </w:tcPr>
          <w:p>
            <w:pPr>
              <w:jc w:val="center"/>
              <w:ind w:right="480"/>
              <w:spacing w:after="0"/>
              <w:rPr>
                <w:sz w:val="20"/>
                <w:szCs w:val="20"/>
                <w:color w:val="auto"/>
              </w:rPr>
            </w:pPr>
            <w:r>
              <w:rPr>
                <w:rFonts w:ascii="Arial" w:cs="Arial" w:eastAsia="Arial" w:hAnsi="Arial"/>
                <w:sz w:val="18"/>
                <w:szCs w:val="18"/>
                <w:color w:val="auto"/>
                <w:w w:val="93"/>
              </w:rPr>
              <w:t>101.PRE*</w:t>
            </w:r>
          </w:p>
        </w:tc>
        <w:tc>
          <w:tcPr>
            <w:tcW w:w="20" w:type="dxa"/>
            <w:vAlign w:val="bottom"/>
          </w:tcPr>
          <w:p>
            <w:pPr>
              <w:spacing w:after="0"/>
              <w:rPr>
                <w:sz w:val="24"/>
                <w:szCs w:val="24"/>
                <w:color w:val="auto"/>
              </w:rPr>
            </w:pPr>
          </w:p>
        </w:tc>
        <w:tc>
          <w:tcPr>
            <w:tcW w:w="9440" w:type="dxa"/>
            <w:vAlign w:val="bottom"/>
            <w:gridSpan w:val="11"/>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53" w:lineRule="exact"/>
        <w:rPr>
          <w:sz w:val="20"/>
          <w:szCs w:val="20"/>
          <w:color w:val="auto"/>
        </w:rPr>
      </w:pPr>
    </w:p>
    <w:p>
      <w:pPr>
        <w:ind w:left="1760" w:right="640" w:hanging="1266"/>
        <w:spacing w:after="0" w:line="235" w:lineRule="auto"/>
        <w:tabs>
          <w:tab w:leader="none" w:pos="17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3" w:lineRule="exact"/>
        <w:rPr>
          <w:sz w:val="20"/>
          <w:szCs w:val="20"/>
          <w:color w:val="auto"/>
        </w:rPr>
      </w:pPr>
    </w:p>
    <w:p>
      <w:pPr>
        <w:spacing w:after="0"/>
        <w:tabs>
          <w:tab w:leader="none" w:pos="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Filed electronically herewith.</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8"/>
          <w:szCs w:val="18"/>
          <w:u w:val="single" w:color="auto"/>
          <w:color w:val="auto"/>
        </w:rPr>
        <w:t>AMETEK, Inc.</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(Registrant)</w:t>
      </w:r>
    </w:p>
    <w:p>
      <w:pPr>
        <w:spacing w:after="0" w:line="278" w:lineRule="exact"/>
        <w:rPr>
          <w:sz w:val="20"/>
          <w:szCs w:val="20"/>
          <w:color w:val="auto"/>
        </w:rPr>
      </w:pPr>
    </w:p>
    <w:p>
      <w:pPr>
        <w:ind w:left="7040"/>
        <w:spacing w:after="0"/>
        <w:tabs>
          <w:tab w:leader="none" w:pos="7480" w:val="left"/>
        </w:tabs>
        <w:rPr>
          <w:sz w:val="20"/>
          <w:szCs w:val="20"/>
          <w:color w:val="auto"/>
        </w:rPr>
      </w:pPr>
      <w:r>
        <w:rPr>
          <w:rFonts w:ascii="Arial" w:cs="Arial" w:eastAsia="Arial" w:hAnsi="Arial"/>
          <w:sz w:val="18"/>
          <w:szCs w:val="18"/>
          <w:color w:val="auto"/>
        </w:rPr>
        <w:t>By:</w:t>
        <w:tab/>
        <w:t>/s/ THOMAS M.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4745355</wp:posOffset>
            </wp:positionH>
            <wp:positionV relativeFrom="paragraph">
              <wp:posOffset>14605</wp:posOffset>
            </wp:positionV>
            <wp:extent cx="237490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extLst>
                        <a:ext uri="{28A0092B-C50C-407E-A947-70E740481C1C}"/>
                      </a:extLst>
                    </a:blip>
                    <a:srcRect/>
                    <a:stretch>
                      <a:fillRect/>
                    </a:stretch>
                  </pic:blipFill>
                  <pic:spPr bwMode="auto">
                    <a:xfrm>
                      <a:off x="0" y="0"/>
                      <a:ext cx="2374900" cy="8890"/>
                    </a:xfrm>
                    <a:prstGeom prst="rect">
                      <a:avLst/>
                    </a:prstGeom>
                    <a:noFill/>
                  </pic:spPr>
                </pic:pic>
              </a:graphicData>
            </a:graphic>
          </wp:anchor>
        </w:drawing>
      </w:r>
    </w:p>
    <w:p>
      <w:pPr>
        <w:spacing w:after="0" w:line="16"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Thomas M. Montgomery</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Senior Vice President – Comptroller</w:t>
      </w:r>
    </w:p>
    <w:p>
      <w:pPr>
        <w:spacing w:after="0" w:line="23" w:lineRule="exact"/>
        <w:rPr>
          <w:sz w:val="20"/>
          <w:szCs w:val="20"/>
          <w:color w:val="auto"/>
        </w:rPr>
      </w:pPr>
    </w:p>
    <w:p>
      <w:pPr>
        <w:ind w:left="7500"/>
        <w:spacing w:after="0"/>
        <w:rPr>
          <w:sz w:val="20"/>
          <w:szCs w:val="20"/>
          <w:color w:val="auto"/>
        </w:rPr>
      </w:pPr>
      <w:r>
        <w:rPr>
          <w:rFonts w:ascii="Arial" w:cs="Arial" w:eastAsia="Arial" w:hAnsi="Arial"/>
          <w:sz w:val="18"/>
          <w:szCs w:val="18"/>
          <w:color w:val="auto"/>
        </w:rPr>
        <w:t>(Principal Accounting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May 4, 2021</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920"/>
          </w:cols>
          <w:pgMar w:left="320" w:top="125" w:right="65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David A. Zapico, certify that:</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AMETEK, Inc. (the “registrant”);</w:t>
      </w:r>
    </w:p>
    <w:p>
      <w:pPr>
        <w:spacing w:after="0" w:line="117"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120" w:hanging="328"/>
        <w:spacing w:after="0" w:line="26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300" w:right="120" w:hanging="320"/>
        <w:spacing w:after="0" w:line="263" w:lineRule="auto"/>
        <w:tabs>
          <w:tab w:leader="none" w:pos="1291"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300" w:right="40" w:hanging="320"/>
        <w:spacing w:after="0" w:line="263"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jc w:val="both"/>
        <w:ind w:left="1300" w:right="220" w:hanging="320"/>
        <w:spacing w:after="0" w:line="342"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220" w:hanging="320"/>
        <w:spacing w:after="0" w:line="263"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1300" w:right="460" w:hanging="320"/>
        <w:spacing w:after="0" w:line="342" w:lineRule="auto"/>
        <w:tabs>
          <w:tab w:leader="none" w:pos="1291" w:val="left"/>
        </w:tabs>
        <w:numPr>
          <w:ilvl w:val="1"/>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160" w:hanging="320"/>
        <w:spacing w:after="0" w:line="277" w:lineRule="auto"/>
        <w:tabs>
          <w:tab w:leader="none" w:pos="128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7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Chairman of the Board and Chief Executive Officer</w:t>
      </w:r>
    </w:p>
    <w:p>
      <w:pPr>
        <w:sectPr>
          <w:pgSz w:w="11900" w:h="16838" w:orient="portrait"/>
          <w:cols w:equalWidth="0" w:num="1">
            <w:col w:w="11240"/>
          </w:cols>
          <w:pgMar w:left="320" w:top="999"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William J. Burke, certify that:</w:t>
      </w:r>
    </w:p>
    <w:p>
      <w:pPr>
        <w:spacing w:after="0" w:line="117" w:lineRule="exact"/>
        <w:rPr>
          <w:sz w:val="20"/>
          <w:szCs w:val="20"/>
          <w:color w:val="auto"/>
        </w:rPr>
      </w:pPr>
    </w:p>
    <w:p>
      <w:pPr>
        <w:jc w:val="both"/>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38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660" w:right="120" w:hanging="328"/>
        <w:spacing w:after="0" w:line="26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980" w:right="360" w:hanging="324"/>
        <w:spacing w:after="0" w:line="263" w:lineRule="auto"/>
        <w:tabs>
          <w:tab w:leader="none" w:pos="971"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980" w:right="60" w:hanging="324"/>
        <w:spacing w:after="0" w:line="263"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5" w:lineRule="exact"/>
        <w:rPr>
          <w:rFonts w:ascii="Arial" w:cs="Arial" w:eastAsia="Arial" w:hAnsi="Arial"/>
          <w:sz w:val="18"/>
          <w:szCs w:val="18"/>
          <w:color w:val="auto"/>
        </w:rPr>
      </w:pPr>
    </w:p>
    <w:p>
      <w:pPr>
        <w:jc w:val="both"/>
        <w:ind w:left="980" w:right="540" w:hanging="324"/>
        <w:spacing w:after="0" w:line="342" w:lineRule="auto"/>
        <w:tabs>
          <w:tab w:leader="none" w:pos="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660" w:hanging="328"/>
        <w:spacing w:after="0" w:line="308" w:lineRule="auto"/>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980" w:right="780" w:hanging="324"/>
        <w:spacing w:after="0" w:line="342" w:lineRule="auto"/>
        <w:tabs>
          <w:tab w:leader="none" w:pos="971" w:val="left"/>
        </w:tabs>
        <w:numPr>
          <w:ilvl w:val="1"/>
          <w:numId w:val="1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980" w:right="480" w:hanging="324"/>
        <w:spacing w:after="0" w:line="277" w:lineRule="auto"/>
        <w:tabs>
          <w:tab w:leader="none" w:pos="968"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18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 WILLIAM J.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3270885</wp:posOffset>
            </wp:positionH>
            <wp:positionV relativeFrom="paragraph">
              <wp:posOffset>14605</wp:posOffset>
            </wp:positionV>
            <wp:extent cx="258889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extLst>
                        <a:ext uri="{28A0092B-C50C-407E-A947-70E740481C1C}"/>
                      </a:extLst>
                    </a:blip>
                    <a:srcRect/>
                    <a:stretch>
                      <a:fillRect/>
                    </a:stretch>
                  </pic:blipFill>
                  <pic:spPr bwMode="auto">
                    <a:xfrm>
                      <a:off x="0" y="0"/>
                      <a:ext cx="2588895" cy="8890"/>
                    </a:xfrm>
                    <a:prstGeom prst="rect">
                      <a:avLst/>
                    </a:prstGeom>
                    <a:noFill/>
                  </pic:spPr>
                </pic:pic>
              </a:graphicData>
            </a:graphic>
          </wp:anchor>
        </w:drawing>
      </w:r>
    </w:p>
    <w:p>
      <w:pPr>
        <w:spacing w:after="0" w:line="3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Executive Vice President – Chief Financial Officer</w:t>
      </w:r>
    </w:p>
    <w:p>
      <w:pPr>
        <w:sectPr>
          <w:pgSz w:w="11900" w:h="16838" w:orient="portrait"/>
          <w:cols w:equalWidth="0" w:num="1">
            <w:col w:w="11240"/>
          </w:cols>
          <w:pgMar w:left="320" w:top="999"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March 31, 2021 as filed with the Securities and Exchange Commission on the date hereof (the “Report”), I, David A. Zapico, Chairman of the Board and Chief Executive Officer of the Company, certify, pursuant to 18 U.S.C. Section 1350, as adopted pursuant to Section 906 of the Sarbanes-Oxley Act of 2002, that:</w:t>
      </w:r>
    </w:p>
    <w:p>
      <w:pPr>
        <w:spacing w:after="0" w:line="57"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w:t>
      </w:r>
      <w:r>
        <w:rPr>
          <w:rFonts w:ascii="Arial" w:cs="Arial" w:eastAsia="Arial" w:hAnsi="Arial"/>
          <w:sz w:val="16"/>
          <w:szCs w:val="16"/>
          <w:color w:val="auto"/>
        </w:rPr>
        <w:t>AVID</w:t>
      </w:r>
      <w:r>
        <w:rPr>
          <w:rFonts w:ascii="Arial" w:cs="Arial" w:eastAsia="Arial" w:hAnsi="Arial"/>
          <w:sz w:val="18"/>
          <w:szCs w:val="18"/>
          <w:color w:val="auto"/>
        </w:rPr>
        <w:t xml:space="preserve"> A. Z</w:t>
      </w:r>
      <w:r>
        <w:rPr>
          <w:rFonts w:ascii="Arial" w:cs="Arial" w:eastAsia="Arial" w:hAnsi="Arial"/>
          <w:sz w:val="16"/>
          <w:szCs w:val="16"/>
          <w:color w:val="auto"/>
        </w:rPr>
        <w:t>APICO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2580005"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David A. Zapico</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of the Board and Chief Executive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p>
      <w:pPr>
        <w:sectPr>
          <w:pgSz w:w="11900" w:h="16838" w:orient="portrait"/>
          <w:cols w:equalWidth="0" w:num="1">
            <w:col w:w="11240"/>
          </w:cols>
          <w:pgMar w:left="320" w:top="999"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AMETEK,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20"/>
        <w:spacing w:after="0" w:line="286" w:lineRule="auto"/>
        <w:rPr>
          <w:sz w:val="20"/>
          <w:szCs w:val="20"/>
          <w:color w:val="auto"/>
        </w:rPr>
      </w:pPr>
      <w:r>
        <w:rPr>
          <w:rFonts w:ascii="Arial" w:cs="Arial" w:eastAsia="Arial" w:hAnsi="Arial"/>
          <w:sz w:val="17"/>
          <w:szCs w:val="17"/>
          <w:color w:val="auto"/>
        </w:rPr>
        <w:t>In connection with the Quarterly Report of AMETEK, Inc. (the “Company”) on Form 10-Q for the quarter ended March 31, 2021 as filed with the Securities and Exchange Commission on the date hereof (the “Report”), I, William J. Burke, Executive Vice President – Chief Financial Officer of the Company, certify, pursuant to 18 U.S.C. Section 1350, as adopted pursuant to Section 906 of the Sarbanes-Oxley Act of 2002, that:</w:t>
      </w:r>
    </w:p>
    <w:p>
      <w:pPr>
        <w:spacing w:after="0" w:line="57" w:lineRule="exact"/>
        <w:rPr>
          <w:sz w:val="20"/>
          <w:szCs w:val="20"/>
          <w:color w:val="auto"/>
        </w:rPr>
      </w:pPr>
    </w:p>
    <w:p>
      <w:pPr>
        <w:ind w:left="320" w:hanging="312"/>
        <w:spacing w:after="0"/>
        <w:tabs>
          <w:tab w:leader="none" w:pos="3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320" w:hanging="312"/>
        <w:spacing w:after="0"/>
        <w:tabs>
          <w:tab w:leader="none" w:pos="3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W</w:t>
      </w:r>
      <w:r>
        <w:rPr>
          <w:rFonts w:ascii="Arial" w:cs="Arial" w:eastAsia="Arial" w:hAnsi="Arial"/>
          <w:sz w:val="16"/>
          <w:szCs w:val="16"/>
          <w:color w:val="auto"/>
        </w:rPr>
        <w:t>ILLIAM</w:t>
      </w:r>
      <w:r>
        <w:rPr>
          <w:rFonts w:ascii="Arial" w:cs="Arial" w:eastAsia="Arial" w:hAnsi="Arial"/>
          <w:sz w:val="18"/>
          <w:szCs w:val="18"/>
          <w:color w:val="auto"/>
        </w:rPr>
        <w:t xml:space="preserve"> J. B</w:t>
      </w:r>
      <w:r>
        <w:rPr>
          <w:rFonts w:ascii="Arial" w:cs="Arial" w:eastAsia="Arial" w:hAnsi="Arial"/>
          <w:sz w:val="16"/>
          <w:szCs w:val="16"/>
          <w:color w:val="auto"/>
        </w:rPr>
        <w:t>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8000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William J. Burke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Executive Vice President – Chief Financial Officer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Date: May 4, 2021</w:t>
      </w:r>
    </w:p>
    <w:p>
      <w:pPr>
        <w:spacing w:after="0" w:line="200" w:lineRule="exact"/>
        <w:rPr>
          <w:sz w:val="20"/>
          <w:szCs w:val="20"/>
          <w:color w:val="auto"/>
        </w:rPr>
      </w:pPr>
    </w:p>
    <w:p>
      <w:pPr>
        <w:spacing w:after="0" w:line="268"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AMETEK, Inc. and will be retained by AMETEK, Inc. and furnished to the Securities and Exchange Commission or its staff upon request.</w:t>
      </w:r>
    </w:p>
    <w:sectPr>
      <w:pgSz w:w="11900" w:h="16838" w:orient="portrait"/>
      <w:cols w:equalWidth="0" w:num="1">
        <w:col w:w="11240"/>
      </w:cols>
      <w:pgMar w:left="320" w:top="99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1)"/>
      <w:numFmt w:val="decimal"/>
      <w:start w:val="1"/>
    </w:lvl>
  </w:abstractNum>
  <w:abstractNum w:abstractNumId="7">
    <w:nsid w:val="140E0F76"/>
    <w:multiLevelType w:val="hybridMultilevel"/>
    <w:lvl w:ilvl="0">
      <w:lvlJc w:val="left"/>
      <w:lvlText w:val="%1."/>
      <w:numFmt w:val="decimal"/>
      <w:start w:val="11"/>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
      <w:numFmt w:val="bullet"/>
      <w:start w:val="1"/>
    </w:lvl>
  </w:abstractNum>
  <w:abstractNum w:abstractNumId="10">
    <w:nsid w:val="DED7263"/>
    <w:multiLevelType w:val="hybridMultilevel"/>
    <w:lvl w:ilvl="0">
      <w:lvlJc w:val="left"/>
      <w:lvlText w:val="1"/>
      <w:numFmt w:val="bullet"/>
      <w:start w:val="1"/>
    </w:lvl>
  </w:abstractNum>
  <w:abstractNum w:abstractNumId="11">
    <w:nsid w:val="7FDCC233"/>
    <w:multiLevelType w:val="hybridMultilevel"/>
    <w:lvl w:ilvl="0">
      <w:lvlJc w:val="left"/>
      <w:lvlText w:val="(%1)"/>
      <w:numFmt w:val="decimal"/>
      <w:start w:val="1"/>
    </w:lvl>
  </w:abstractNum>
  <w:abstractNum w:abstractNumId="12">
    <w:nsid w:val="1BEFD79F"/>
    <w:multiLevelType w:val="hybridMultilevel"/>
    <w:lvl w:ilvl="0">
      <w:lvlJc w:val="left"/>
      <w:lvlText w:val="%1"/>
      <w:numFmt w:val="decimal"/>
      <w:start w:val="104"/>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1"/>
    </w:lvl>
    <w:lvl w:ilvl="1">
      <w:lvlJc w:val="left"/>
      <w:lvlText w:val="%2)"/>
      <w:numFmt w:val="lowerLetter"/>
      <w:start w:val="1"/>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5" Type="http://schemas.openxmlformats.org/officeDocument/2006/relationships/image" Target="media/image51.png"/><Relationship Id="rId66" Type="http://schemas.openxmlformats.org/officeDocument/2006/relationships/image" Target="media/image52.png"/><Relationship Id="rId67" Type="http://schemas.openxmlformats.org/officeDocument/2006/relationships/image" Target="media/image53.png"/><Relationship Id="rId68" Type="http://schemas.openxmlformats.org/officeDocument/2006/relationships/image" Target="media/image54.png"/><Relationship Id="rId69" Type="http://schemas.openxmlformats.org/officeDocument/2006/relationships/image" Target="media/image55.png"/><Relationship Id="rId70" Type="http://schemas.openxmlformats.org/officeDocument/2006/relationships/image" Target="media/image56.png"/><Relationship Id="rId58" Type="http://schemas.openxmlformats.org/officeDocument/2006/relationships/hyperlink" Target="https://www.sec.gov/Archives/edgar/data/1037868/000103786820000006/a101prsuceo2420.htm" TargetMode="External"/><Relationship Id="rId59" Type="http://schemas.openxmlformats.org/officeDocument/2006/relationships/hyperlink" Target="https://www.sec.gov/Archives/edgar/data/1037868/000103786820000006/a102prsuusemployees2420.htm" TargetMode="External"/><Relationship Id="rId60" Type="http://schemas.openxmlformats.org/officeDocument/2006/relationships/hyperlink" Target="https://www.sec.gov/Archives/edgar/data/1037868/000103786820000006/a103rsaceo2420.htm" TargetMode="External"/><Relationship Id="rId61" Type="http://schemas.openxmlformats.org/officeDocument/2006/relationships/hyperlink" Target="https://www.sec.gov/Archives/edgar/data/1037868/000103786820000006/a104rsaboard2yearcliff.htm" TargetMode="External"/><Relationship Id="rId62" Type="http://schemas.openxmlformats.org/officeDocument/2006/relationships/hyperlink" Target="https://www.sec.gov/Archives/edgar/data/1037868/000103786820000006/a105rsausemployees2420.htm" TargetMode="External"/><Relationship Id="rId63" Type="http://schemas.openxmlformats.org/officeDocument/2006/relationships/hyperlink" Target="https://www.sec.gov/Archives/edgar/data/1037868/000103786820000006/a106optionagreementceo.htm" TargetMode="External"/><Relationship Id="rId64" Type="http://schemas.openxmlformats.org/officeDocument/2006/relationships/hyperlink" Target="https://www.sec.gov/Archives/edgar/data/1037868/000103786820000006/a107optionagreementem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2021-05-04T13:11:01Z</dcterms:created>
  <dcterms:modified xsi:type="dcterms:W3CDTF">2021-05-04T13:11:01Z</dcterms:modified>
</cp:coreProperties>
</file>