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4, 2026</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AMETEK,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w:t>
      </w:r>
    </w:p>
    <w:tbl>
      <w:tblPr>
        <w:tblW w:w="5471" w:type="dxa"/>
        <w:jc w:val="center"/>
        <w:tblInd w:w="0" w:type="dxa"/>
        <w:tblLayout w:type="fixed"/>
        <w:tblCellMar>
          <w:top w:w="28" w:type="dxa"/>
          <w:left w:w="28" w:type="dxa"/>
          <w:bottom w:w="28" w:type="dxa"/>
          <w:right w:w="28" w:type="dxa"/>
        </w:tblCellMar>
      </w:tblPr>
      <w:tblGrid>
        <w:gridCol w:w="486"/>
        <w:gridCol w:w="425"/>
        <w:gridCol w:w="425"/>
        <w:gridCol w:w="521"/>
        <w:gridCol w:w="521"/>
        <w:gridCol w:w="545"/>
        <w:gridCol w:w="353"/>
        <w:gridCol w:w="353"/>
        <w:gridCol w:w="358"/>
        <w:gridCol w:w="433"/>
        <w:gridCol w:w="433"/>
        <w:gridCol w:w="618"/>
      </w:tblGrid>
      <w:tr>
        <w:trPr/>
        <w:tc>
          <w:tcPr>
            <w:tcW w:w="48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1-12981</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14-1682544</w:t>
            </w:r>
          </w:p>
        </w:tc>
      </w:tr>
      <w:tr>
        <w:trPr/>
        <w:tc>
          <w:tcPr>
            <w:tcW w:w="292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29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1100 Cassatt Road</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Berwyn,</w:t>
            </w:r>
          </w:p>
        </w:tc>
        <w:tc>
          <w:tcPr>
            <w:tcW w:w="15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Pennsylvania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19312</w:t>
            </w:r>
          </w:p>
        </w:tc>
      </w:tr>
      <w:tr>
        <w:trPr/>
        <w:tc>
          <w:tcPr>
            <w:tcW w:w="29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00" w:after="283"/>
        <w:jc w:val="center"/>
        <w:rPr/>
      </w:pPr>
      <w:r>
        <w:rPr>
          <w:rFonts w:ascii="Times New Roman;serif" w:hAnsi="Times New Roman;serif"/>
          <w:b/>
          <w:color w:val="000000"/>
          <w:sz w:val="16"/>
        </w:rPr>
        <w:t>Registrant’s telephone number, including area code:</w:t>
      </w:r>
      <w:r>
        <w:rPr>
          <w:color w:val="000000"/>
        </w:rPr>
        <w:t xml:space="preserve"> </w:t>
      </w:r>
      <w:r>
        <w:rPr>
          <w:rFonts w:ascii="Times New Roman;serif" w:hAnsi="Times New Roman;serif"/>
          <w:b/>
          <w:color w:val="000000"/>
          <w:sz w:val="20"/>
        </w:rPr>
        <w:t>(610) 647-2121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lineRule="auto" w:line="288" w:before="200" w:after="283"/>
        <w:ind w:left="0" w:right="0" w:hanging="49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200" w:after="283"/>
        <w:ind w:left="0" w:right="0" w:hanging="49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200" w:after="283"/>
        <w:ind w:left="0" w:right="0" w:hanging="49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200" w:after="283"/>
        <w:ind w:left="0" w:right="0" w:hanging="49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360" w:after="283"/>
        <w:ind w:left="0" w:right="0" w:hanging="49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542" w:type="dxa"/>
        <w:jc w:val="center"/>
        <w:tblInd w:w="0" w:type="dxa"/>
        <w:tblLayout w:type="fixed"/>
        <w:tblCellMar>
          <w:top w:w="28" w:type="dxa"/>
          <w:left w:w="28" w:type="dxa"/>
          <w:bottom w:w="28" w:type="dxa"/>
          <w:right w:w="28" w:type="dxa"/>
        </w:tblCellMar>
      </w:tblPr>
      <w:tblGrid>
        <w:gridCol w:w="1185"/>
        <w:gridCol w:w="1035"/>
        <w:gridCol w:w="1049"/>
        <w:gridCol w:w="109"/>
        <w:gridCol w:w="109"/>
        <w:gridCol w:w="109"/>
        <w:gridCol w:w="464"/>
        <w:gridCol w:w="464"/>
        <w:gridCol w:w="466"/>
        <w:gridCol w:w="109"/>
        <w:gridCol w:w="109"/>
        <w:gridCol w:w="109"/>
        <w:gridCol w:w="945"/>
        <w:gridCol w:w="945"/>
        <w:gridCol w:w="1335"/>
      </w:tblGrid>
      <w:tr>
        <w:trPr/>
        <w:tc>
          <w:tcPr>
            <w:tcW w:w="118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$0.01 Par Value (voting)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August 4, 2026, AMETEK, Inc. (the “Company”) issued a press release announcing its financial results for the three and six months ended June 30, 2026. A copy of the release is furnished as Exhibit 99.1 and incorporated by reference herein. This Current Report on Form 8-K and the press release attached hereto are being furnished pursuant to Item 2.02 of Form 8-K.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shall not be deemed “filed” for purposes of Section 18 of the Securities Exchange Act of 1934, as amended (the “Exchange Act”), or otherwise subject to the liabilities under that Section and shall not be deemed to be incorporated by reference into any filing by the Company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43"/>
        <w:gridCol w:w="302"/>
        <w:gridCol w:w="303"/>
        <w:gridCol w:w="109"/>
        <w:gridCol w:w="109"/>
        <w:gridCol w:w="109"/>
        <w:gridCol w:w="2605"/>
        <w:gridCol w:w="2605"/>
        <w:gridCol w:w="3720"/>
      </w:tblGrid>
      <w:tr>
        <w:trPr/>
        <w:tc>
          <w:tcPr>
            <w:tcW w:w="34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720" w:type="dxa"/>
            <w:tcBorders/>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Description</w:t>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metek8kexhibit99108042026.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etek8kexhibit99108042026.htm">
              <w:r>
                <w:rPr>
                  <w:rStyle w:val="InternetLink"/>
                  <w:rFonts w:ascii="Times New Roman;serif" w:hAnsi="Times New Roman;serif"/>
                  <w:b w:val="false"/>
                  <w:color w:val="0000FF"/>
                  <w:sz w:val="20"/>
                  <w:u w:val="single"/>
                </w:rPr>
                <w:t>Press release, dated August 4, 2026, “AMETEK Announces Record Second Quarter 2026 Results and Raises Full Year Guidance "</w:t>
              </w:r>
            </w:hyperlink>
          </w:p>
        </w:tc>
      </w:tr>
      <w:tr>
        <w:trPr/>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0" w:type="dxa"/>
            <w:gridSpan w:val="3"/>
            <w:tcBorders/>
            <w:vAlign w:val="center"/>
          </w:tcPr>
          <w:p>
            <w:pPr>
              <w:pStyle w:val="TableContents"/>
              <w:bidi w:val="0"/>
              <w:spacing w:before="0" w:after="283"/>
              <w:jc w:val="left"/>
              <w:rPr>
                <w:sz w:val="4"/>
                <w:szCs w:val="4"/>
              </w:rPr>
            </w:pPr>
            <w:r>
              <w:rPr>
                <w:sz w:val="4"/>
                <w:szCs w:val="4"/>
              </w:rPr>
            </w:r>
          </w:p>
        </w:tc>
      </w:tr>
      <w:tr>
        <w:trPr/>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0" w:type="dxa"/>
            <w:gridSpan w:val="3"/>
            <w:tcBorders/>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739"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209"/>
        <w:gridCol w:w="209"/>
        <w:gridCol w:w="209"/>
        <w:gridCol w:w="989"/>
        <w:gridCol w:w="989"/>
        <w:gridCol w:w="1442"/>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AMETEK, Inc.</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J. AMODEI</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Robert J. Amodei</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Senior Vice President – Controller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right"/>
        <w:rPr>
          <w:rFonts w:ascii="Arial;sans-serif" w:hAnsi="Arial;sans-serif"/>
          <w:b w:val="false"/>
          <w:color w:val="000000"/>
          <w:sz w:val="24"/>
        </w:rPr>
      </w:pPr>
      <w:r>
        <w:rPr>
          <w:rFonts w:ascii="Arial;sans-serif" w:hAnsi="Arial;sans-serif"/>
          <w:b w:val="false"/>
          <w:color w:val="000000"/>
          <w:sz w:val="24"/>
        </w:rPr>
        <w:t>Exhibit 99.1</w:t>
      </w:r>
    </w:p>
    <w:p>
      <w:pPr>
        <w:pStyle w:val="TextBody"/>
        <w:bidi w:val="0"/>
        <w:spacing w:before="0" w:after="300"/>
        <w:jc w:val="center"/>
        <w:rPr/>
      </w:pPr>
      <w:r>
        <w:rPr/>
        <w:drawing>
          <wp:inline distT="0" distB="0" distL="0" distR="0">
            <wp:extent cx="6810375" cy="13430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810375" cy="1343025"/>
                    </a:xfrm>
                    <a:prstGeom prst="rect">
                      <a:avLst/>
                    </a:prstGeom>
                  </pic:spPr>
                </pic:pic>
              </a:graphicData>
            </a:graphic>
          </wp:inline>
        </w:drawing>
      </w:r>
    </w:p>
    <w:p>
      <w:pPr>
        <w:pStyle w:val="TextBody"/>
        <w:bidi w:val="0"/>
        <w:spacing w:lineRule="auto" w:line="288" w:before="0" w:after="240"/>
        <w:jc w:val="center"/>
        <w:rPr>
          <w:rFonts w:ascii="Arial;sans-serif" w:hAnsi="Arial;sans-serif"/>
          <w:b/>
          <w:color w:val="000000"/>
          <w:sz w:val="28"/>
        </w:rPr>
      </w:pPr>
      <w:r>
        <w:rPr>
          <w:rFonts w:ascii="Arial;sans-serif" w:hAnsi="Arial;sans-serif"/>
          <w:b/>
          <w:color w:val="000000"/>
          <w:sz w:val="28"/>
        </w:rPr>
        <w:t>AMETEK Announces Record Second Quarter 2026 Results and Raises Full Year Guidance</w:t>
      </w:r>
    </w:p>
    <w:p>
      <w:pPr>
        <w:pStyle w:val="TextBody"/>
        <w:bidi w:val="0"/>
        <w:spacing w:lineRule="auto" w:line="300" w:before="0" w:after="0"/>
        <w:jc w:val="left"/>
        <w:rPr>
          <w:rFonts w:ascii="Arial;sans-serif" w:hAnsi="Arial;sans-serif"/>
          <w:b w:val="false"/>
          <w:color w:val="000000"/>
          <w:sz w:val="24"/>
        </w:rPr>
      </w:pPr>
      <w:r>
        <w:rPr>
          <w:rFonts w:ascii="Arial;sans-serif" w:hAnsi="Arial;sans-serif"/>
          <w:b w:val="false"/>
          <w:color w:val="000000"/>
          <w:sz w:val="24"/>
        </w:rPr>
        <w:t xml:space="preserve">Berwyn, Pa., Aug 4, 2026 – AMETEK, Inc. (NYSE: AME) today announced its financial results for the second quarter ended June 30, 2026. </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4"/>
        </w:rPr>
      </w:pPr>
      <w:r>
        <w:rPr>
          <w:rFonts w:ascii="Arial;sans-serif" w:hAnsi="Arial;sans-serif"/>
          <w:b w:val="false"/>
          <w:color w:val="000000"/>
          <w:sz w:val="24"/>
        </w:rPr>
        <w:t xml:space="preserve">AMETEK’s second quarter 2026 sales were a record $2.04 billion, a 15% increase over the second quarter of 2025. On a GAAP basis, second quarter earnings were a record $1.77 per diluted share. Adjusted earnings in the quarter were a record $2.09 per diluted share, up 17% from the second quarter of 2025. Adjusted earnings adds back non-cash, after-tax, acquisition-related intangible amortization, financing fees and integration costs of $0.32 per diluted share. </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4"/>
        </w:rPr>
      </w:pPr>
      <w:r>
        <w:rPr>
          <w:rFonts w:ascii="Arial;sans-serif" w:hAnsi="Arial;sans-serif"/>
          <w:b w:val="false"/>
          <w:color w:val="000000"/>
          <w:sz w:val="24"/>
        </w:rPr>
        <w:t>GAAP operating income was a record $528.2 million. Adjusted operating income increased 18% to a record $544.4 million and operating margins were 26.6% in the quarter, up 60 basis points from the prior year. Operating cash flow in the quarter was up 35% to $483.7 million and free cash flow to net income conversion was 111%. A reconciliation of reported GAAP results to adjusted results is included in the financial tables accompanying this release and on the AMETEK website.</w:t>
      </w:r>
    </w:p>
    <w:p>
      <w:pPr>
        <w:pStyle w:val="TextBody"/>
        <w:bidi w:val="0"/>
        <w:spacing w:before="0" w:after="0"/>
        <w:jc w:val="left"/>
        <w:rPr/>
      </w:pPr>
      <w:r>
        <w:rPr/>
      </w:r>
    </w:p>
    <w:p>
      <w:pPr>
        <w:pStyle w:val="TextBody"/>
        <w:bidi w:val="0"/>
        <w:spacing w:lineRule="auto" w:line="300" w:before="0" w:after="0"/>
        <w:jc w:val="left"/>
        <w:rPr/>
      </w:pPr>
      <w:r>
        <w:rPr>
          <w:color w:val="000000"/>
          <w:shd w:fill="FFFFFF" w:val="clear"/>
        </w:rPr>
        <w:t>“</w:t>
      </w:r>
      <w:r>
        <w:rPr>
          <w:rFonts w:ascii="Arial;sans-serif" w:hAnsi="Arial;sans-serif"/>
          <w:b w:val="false"/>
          <w:color w:val="000000"/>
          <w:sz w:val="24"/>
          <w:shd w:fill="FFFFFF" w:val="clear"/>
        </w:rPr>
        <w:t xml:space="preserve">AMETEK delivered superb results in the second quarter. Strong organic sales growth, contributions from recent acquisitions, and outstanding operating performance led to high-teens earnings growth, </w:t>
      </w:r>
      <w:r>
        <w:rPr>
          <w:rFonts w:ascii="Arial;sans-serif" w:hAnsi="Arial;sans-serif"/>
          <w:b w:val="false"/>
          <w:color w:val="000000"/>
          <w:sz w:val="24"/>
        </w:rPr>
        <w:t>excellent 110 basis points of core margin expansion and record operating performance,” stated David A. Zapico, AMETEK Chairman and Chief Executive Officer. “Notably, for the second quarter in a row, orders were exceptional, growing 28% in the quarter.”</w:t>
      </w:r>
    </w:p>
    <w:p>
      <w:pPr>
        <w:pStyle w:val="TextBody"/>
        <w:bidi w:val="0"/>
        <w:spacing w:before="0" w:after="0"/>
        <w:jc w:val="left"/>
        <w:rPr/>
      </w:pPr>
      <w:r>
        <w:rPr/>
      </w:r>
    </w:p>
    <w:p>
      <w:pPr>
        <w:pStyle w:val="TextBody"/>
        <w:bidi w:val="0"/>
        <w:spacing w:lineRule="auto" w:line="300" w:before="0" w:after="120"/>
        <w:jc w:val="left"/>
        <w:rPr>
          <w:rFonts w:ascii="Arial;sans-serif" w:hAnsi="Arial;sans-serif"/>
          <w:b/>
          <w:color w:val="000000"/>
          <w:sz w:val="24"/>
        </w:rPr>
      </w:pPr>
      <w:r>
        <w:rPr>
          <w:rFonts w:ascii="Arial;sans-serif" w:hAnsi="Arial;sans-serif"/>
          <w:b/>
          <w:color w:val="000000"/>
          <w:sz w:val="24"/>
        </w:rPr>
        <w:t>Electronic Instruments Group (EIG)</w:t>
      </w:r>
    </w:p>
    <w:p>
      <w:pPr>
        <w:pStyle w:val="TextBody"/>
        <w:bidi w:val="0"/>
        <w:spacing w:lineRule="auto" w:line="300" w:before="0" w:after="0"/>
        <w:jc w:val="left"/>
        <w:rPr>
          <w:rFonts w:ascii="Arial;sans-serif" w:hAnsi="Arial;sans-serif"/>
          <w:b w:val="false"/>
          <w:color w:val="000000"/>
          <w:sz w:val="24"/>
        </w:rPr>
      </w:pPr>
      <w:r>
        <w:rPr>
          <w:rFonts w:ascii="Arial;sans-serif" w:hAnsi="Arial;sans-serif"/>
          <w:b w:val="false"/>
          <w:color w:val="000000"/>
          <w:sz w:val="24"/>
        </w:rPr>
        <w:t xml:space="preserve">EIG sales in the second quarter were $1.32 billion, an increase of 14% over the same period in 2025. On a GAAP basis, EIG’s second quarter operating income was $369.8 million. On an adjusted basis, EIG’s operating income was up 12% to $384.7 million. </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4"/>
        </w:rPr>
      </w:pPr>
      <w:r>
        <w:rPr>
          <w:rFonts w:ascii="Arial;sans-serif" w:hAnsi="Arial;sans-serif"/>
          <w:b w:val="false"/>
          <w:color w:val="000000"/>
          <w:sz w:val="24"/>
        </w:rPr>
        <w:t>"EIG generated outstanding results in the second quarter with mid-teens sales growth, sizeable orders growth and excellent operating performance,” commented Mr. Zapico. “Sales growth in the quarter was balanced between organic growth and contributions from recent acquisitions, with excellent orders growth highlighted by our semiconductor and commercial aerospace markets. Further, EIG’s strong operating performance drove core margins up 40 basis points to 30.1%.”</w:t>
      </w:r>
    </w:p>
    <w:p>
      <w:pPr>
        <w:pStyle w:val="TextBody"/>
        <w:bidi w:val="0"/>
        <w:spacing w:before="0" w:after="0"/>
        <w:jc w:val="left"/>
        <w:rPr/>
      </w:pPr>
      <w:r>
        <w:rPr/>
      </w:r>
    </w:p>
    <w:p>
      <w:pPr>
        <w:pStyle w:val="TextBody"/>
        <w:bidi w:val="0"/>
        <w:spacing w:lineRule="auto" w:line="300" w:before="0" w:after="120"/>
        <w:jc w:val="left"/>
        <w:rPr>
          <w:rFonts w:ascii="Arial;sans-serif" w:hAnsi="Arial;sans-serif"/>
          <w:b/>
          <w:color w:val="000000"/>
          <w:sz w:val="24"/>
        </w:rPr>
      </w:pPr>
      <w:r>
        <w:rPr>
          <w:rFonts w:ascii="Arial;sans-serif" w:hAnsi="Arial;sans-serif"/>
          <w:b/>
          <w:color w:val="000000"/>
          <w:sz w:val="24"/>
        </w:rPr>
        <w:t>Electromechanical Group (EMG)</w:t>
      </w:r>
    </w:p>
    <w:p>
      <w:pPr>
        <w:pStyle w:val="TextBody"/>
        <w:bidi w:val="0"/>
        <w:spacing w:lineRule="auto" w:line="300" w:before="0" w:after="0"/>
        <w:jc w:val="left"/>
        <w:rPr>
          <w:rFonts w:ascii="Arial;sans-serif" w:hAnsi="Arial;sans-serif"/>
          <w:b w:val="false"/>
          <w:color w:val="000000"/>
          <w:sz w:val="24"/>
        </w:rPr>
      </w:pPr>
      <w:r>
        <w:rPr>
          <w:rFonts w:ascii="Arial;sans-serif" w:hAnsi="Arial;sans-serif"/>
          <w:b w:val="false"/>
          <w:color w:val="000000"/>
          <w:sz w:val="24"/>
        </w:rPr>
        <w:t xml:space="preserve">EMG sales in the second quarter were a record $723.2 million, up 17% from the second quarter of 2025. In the quarter, EMG’s GAAP operating income was $189.3 million. On an adjusted basis,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73760"/>
                <wp:effectExtent l="0" t="0" r="0" b="0"/>
                <wp:wrapNone/>
                <wp:docPr id="5" name="Frame4"/>
                <a:graphic xmlns:a="http://schemas.openxmlformats.org/drawingml/2006/main">
                  <a:graphicData uri="http://schemas.microsoft.com/office/word/2010/wordprocessingShape">
                    <wps:wsp>
                      <wps:cNvSpPr txBox="1"/>
                      <wps:spPr>
                        <a:xfrm>
                          <a:off x="0" y="0"/>
                          <a:ext cx="6480175" cy="873760"/>
                        </a:xfrm>
                        <a:prstGeom prst="rect"/>
                        <a:solidFill>
                          <a:srgbClr val="FFFFFF"/>
                        </a:solidFill>
                      </wps:spPr>
                      <wps:txbx>
                        <w:txbxContent>
                          <w:tbl>
                            <w:tblPr>
                              <w:tblW w:w="3445" w:type="dxa"/>
                              <w:jc w:val="left"/>
                              <w:tblInd w:w="0" w:type="dxa"/>
                              <w:tblLayout w:type="fixed"/>
                              <w:tblCellMar>
                                <w:top w:w="28" w:type="dxa"/>
                                <w:left w:w="28" w:type="dxa"/>
                                <w:bottom w:w="28" w:type="dxa"/>
                                <w:right w:w="28" w:type="dxa"/>
                              </w:tblCellMar>
                            </w:tblPr>
                            <w:tblGrid>
                              <w:gridCol w:w="304"/>
                              <w:gridCol w:w="266"/>
                              <w:gridCol w:w="269"/>
                              <w:gridCol w:w="763"/>
                              <w:gridCol w:w="763"/>
                              <w:gridCol w:w="1080"/>
                            </w:tblGrid>
                            <w:tr>
                              <w:trPr/>
                              <w:tc>
                                <w:tcPr>
                                  <w:tcW w:w="304" w:type="dxa"/>
                                  <w:tcBorders/>
                                  <w:vAlign w:val="center"/>
                                </w:tcPr>
                                <w:p>
                                  <w:pPr>
                                    <w:pStyle w:val="TableContents"/>
                                    <w:bidi w:val="0"/>
                                    <w:spacing w:before="0" w:after="283"/>
                                    <w:jc w:val="left"/>
                                    <w:rPr>
                                      <w:sz w:val="4"/>
                                      <w:szCs w:val="4"/>
                                    </w:rPr>
                                  </w:pPr>
                                  <w:r>
                                    <w:rPr>
                                      <w:sz w:val="4"/>
                                      <w:szCs w:val="4"/>
                                    </w:rPr>
                                  </w:r>
                                  <w:r>
                                    <w:br w:type="page"/>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Page | 1</w:t>
                                  </w:r>
                                </w:p>
                              </w:tc>
                              <w:tc>
                                <w:tcPr>
                                  <w:tcW w:w="26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71625" cy="3905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571625" cy="3905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8pt;mso-wrap-distance-left:0pt;mso-wrap-distance-right:0pt;mso-wrap-distance-top:0pt;mso-wrap-distance-bottom:0pt;margin-top:0pt;mso-position-vertical:top;mso-position-vertical-relative:text;margin-left:-481.35pt;mso-position-horizontal:left;mso-position-horizontal-relative:text">
                <v:textbox>
                  <w:txbxContent>
                    <w:tbl>
                      <w:tblPr>
                        <w:tblW w:w="3445" w:type="dxa"/>
                        <w:jc w:val="left"/>
                        <w:tblInd w:w="0" w:type="dxa"/>
                        <w:tblLayout w:type="fixed"/>
                        <w:tblCellMar>
                          <w:top w:w="28" w:type="dxa"/>
                          <w:left w:w="28" w:type="dxa"/>
                          <w:bottom w:w="28" w:type="dxa"/>
                          <w:right w:w="28" w:type="dxa"/>
                        </w:tblCellMar>
                      </w:tblPr>
                      <w:tblGrid>
                        <w:gridCol w:w="304"/>
                        <w:gridCol w:w="266"/>
                        <w:gridCol w:w="269"/>
                        <w:gridCol w:w="763"/>
                        <w:gridCol w:w="763"/>
                        <w:gridCol w:w="1080"/>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Page | 1</w:t>
                            </w:r>
                          </w:p>
                        </w:tc>
                        <w:tc>
                          <w:tcPr>
                            <w:tcW w:w="26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71625" cy="3905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4"/>
                                          <a:stretch>
                                            <a:fillRect/>
                                          </a:stretch>
                                        </pic:blipFill>
                                        <pic:spPr bwMode="auto">
                                          <a:xfrm>
                                            <a:off x="0" y="0"/>
                                            <a:ext cx="1571625" cy="3905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0" w:before="0" w:after="0"/>
        <w:jc w:val="left"/>
        <w:rPr>
          <w:rFonts w:ascii="Arial;sans-serif" w:hAnsi="Arial;sans-serif"/>
          <w:b w:val="false"/>
          <w:color w:val="000000"/>
          <w:sz w:val="24"/>
        </w:rPr>
      </w:pPr>
      <w:r>
        <w:rPr>
          <w:rFonts w:ascii="Arial;sans-serif" w:hAnsi="Arial;sans-serif"/>
          <w:b w:val="false"/>
          <w:color w:val="000000"/>
          <w:sz w:val="24"/>
        </w:rPr>
        <w:t xml:space="preserve">EMG’s operating income increased 32% to a record $190.5 million and operating income margins were 26.3%. </w:t>
      </w:r>
    </w:p>
    <w:p>
      <w:pPr>
        <w:pStyle w:val="TextBody"/>
        <w:bidi w:val="0"/>
        <w:spacing w:before="0" w:after="0"/>
        <w:jc w:val="left"/>
        <w:rPr/>
      </w:pPr>
      <w:r>
        <w:rPr/>
      </w:r>
    </w:p>
    <w:p>
      <w:pPr>
        <w:pStyle w:val="TextBody"/>
        <w:bidi w:val="0"/>
        <w:spacing w:lineRule="auto" w:line="300" w:before="0" w:after="0"/>
        <w:jc w:val="left"/>
        <w:rPr>
          <w:color w:val="000000"/>
        </w:rPr>
      </w:pPr>
      <w:r>
        <w:rPr>
          <w:color w:val="000000"/>
        </w:rPr>
        <w:t>“</w:t>
      </w:r>
      <w:r>
        <w:rPr>
          <w:rFonts w:ascii="Arial;sans-serif" w:hAnsi="Arial;sans-serif"/>
          <w:b w:val="false"/>
          <w:color w:val="000000"/>
          <w:sz w:val="24"/>
        </w:rPr>
        <w:t>EMG delivered exceptional results in the second quarter. Strong organic sales growth resulted in sizeable profit growth and 290 basis points of core margin expansion," noted Mr. Zapico. “Orders growth was also outstanding and broad-based in the quarter with notable strength in medtech, defense and automation markets.”</w:t>
      </w:r>
    </w:p>
    <w:p>
      <w:pPr>
        <w:pStyle w:val="TextBody"/>
        <w:bidi w:val="0"/>
        <w:spacing w:before="0" w:after="0"/>
        <w:jc w:val="left"/>
        <w:rPr/>
      </w:pPr>
      <w:r>
        <w:rPr/>
      </w:r>
    </w:p>
    <w:p>
      <w:pPr>
        <w:pStyle w:val="TextBody"/>
        <w:bidi w:val="0"/>
        <w:spacing w:lineRule="auto" w:line="300" w:before="0" w:after="120"/>
        <w:jc w:val="left"/>
        <w:rPr>
          <w:rFonts w:ascii="Arial;sans-serif" w:hAnsi="Arial;sans-serif"/>
          <w:b/>
          <w:color w:val="000000"/>
          <w:sz w:val="24"/>
        </w:rPr>
      </w:pPr>
      <w:r>
        <w:rPr>
          <w:rFonts w:ascii="Arial;sans-serif" w:hAnsi="Arial;sans-serif"/>
          <w:b/>
          <w:color w:val="000000"/>
          <w:sz w:val="24"/>
        </w:rPr>
        <w:t xml:space="preserve">Third Quarter and Full Year 2026 Outlook </w:t>
      </w:r>
    </w:p>
    <w:p>
      <w:pPr>
        <w:pStyle w:val="TextBody"/>
        <w:bidi w:val="0"/>
        <w:spacing w:lineRule="auto" w:line="300" w:before="0" w:after="0"/>
        <w:jc w:val="left"/>
        <w:rPr>
          <w:color w:val="000000"/>
        </w:rPr>
      </w:pPr>
      <w:r>
        <w:rPr>
          <w:color w:val="000000"/>
        </w:rPr>
        <w:t>“</w:t>
      </w:r>
      <w:r>
        <w:rPr>
          <w:rFonts w:ascii="Arial;sans-serif" w:hAnsi="Arial;sans-serif"/>
          <w:b w:val="false"/>
          <w:color w:val="000000"/>
          <w:sz w:val="24"/>
        </w:rPr>
        <w:t xml:space="preserve">Our businesses performed exceptionally well in the second quarter highlighting the strength of the AMETEK Growth Model, the quality of our business and the attractiveness of our markets. Our broad-based sales and orders growth reflects our unique position as a mission critical provider of highly differentiated solutions supporting strong secular growth markets including the global infrastructure build-out,” added Mr. Zapico. </w:t>
      </w:r>
    </w:p>
    <w:p>
      <w:pPr>
        <w:pStyle w:val="TextBody"/>
        <w:bidi w:val="0"/>
        <w:spacing w:before="0" w:after="0"/>
        <w:jc w:val="left"/>
        <w:rPr/>
      </w:pPr>
      <w:r>
        <w:rPr/>
      </w:r>
    </w:p>
    <w:p>
      <w:pPr>
        <w:pStyle w:val="TextBody"/>
        <w:bidi w:val="0"/>
        <w:spacing w:lineRule="auto" w:line="300" w:before="0" w:after="0"/>
        <w:jc w:val="left"/>
        <w:rPr>
          <w:color w:val="000000"/>
        </w:rPr>
      </w:pPr>
      <w:r>
        <w:rPr>
          <w:color w:val="000000"/>
        </w:rPr>
        <w:t>“</w:t>
      </w:r>
      <w:r>
        <w:rPr>
          <w:rFonts w:ascii="Arial;sans-serif" w:hAnsi="Arial;sans-serif"/>
          <w:b w:val="false"/>
          <w:color w:val="000000"/>
          <w:sz w:val="24"/>
        </w:rPr>
        <w:t xml:space="preserve">For 2026, we now expect overall sales to be up approximately 10% versus 2025. Adjusted earnings per diluted share are now expected to be in the range of $8.20 to $8.30, up 10% to 12% over the comparable basis for 2025. This is an increase from our prior guidance range of $7.94 to $8.14 per diluted share reflecting our strong underlying performance and outlook for the balance of the year,” he added. </w:t>
      </w:r>
    </w:p>
    <w:p>
      <w:pPr>
        <w:pStyle w:val="TextBody"/>
        <w:bidi w:val="0"/>
        <w:spacing w:before="0" w:after="0"/>
        <w:jc w:val="left"/>
        <w:rPr/>
      </w:pPr>
      <w:r>
        <w:rPr/>
      </w:r>
    </w:p>
    <w:p>
      <w:pPr>
        <w:pStyle w:val="TextBody"/>
        <w:bidi w:val="0"/>
        <w:spacing w:lineRule="auto" w:line="300" w:before="0" w:after="0"/>
        <w:jc w:val="left"/>
        <w:rPr>
          <w:color w:val="000000"/>
        </w:rPr>
      </w:pPr>
      <w:r>
        <w:rPr>
          <w:color w:val="000000"/>
        </w:rPr>
        <w:t>“</w:t>
      </w:r>
      <w:r>
        <w:rPr>
          <w:rFonts w:ascii="Arial;sans-serif" w:hAnsi="Arial;sans-serif"/>
          <w:b w:val="false"/>
          <w:color w:val="000000"/>
          <w:sz w:val="24"/>
        </w:rPr>
        <w:t xml:space="preserve">For the third quarter of 2026, overall sales are expected to be up high single digits on a percentage basis compared to the third quarter of 2025. Adjusted earnings in the quarter are anticipated to be in the range of $2.08 to $2.10 per share, up 10% to 11% compared to the third quarter of 2025,” concluded Mr. Zapico. </w:t>
      </w:r>
    </w:p>
    <w:p>
      <w:pPr>
        <w:pStyle w:val="TextBody"/>
        <w:bidi w:val="0"/>
        <w:spacing w:before="0" w:after="0"/>
        <w:jc w:val="left"/>
        <w:rPr/>
      </w:pPr>
      <w:r>
        <w:rPr/>
      </w:r>
    </w:p>
    <w:p>
      <w:pPr>
        <w:pStyle w:val="TextBody"/>
        <w:bidi w:val="0"/>
        <w:spacing w:lineRule="auto" w:line="300" w:before="0" w:after="120"/>
        <w:jc w:val="left"/>
        <w:rPr>
          <w:rFonts w:ascii="Arial;sans-serif" w:hAnsi="Arial;sans-serif"/>
          <w:b/>
          <w:color w:val="000000"/>
          <w:sz w:val="24"/>
        </w:rPr>
      </w:pPr>
      <w:r>
        <w:rPr>
          <w:rFonts w:ascii="Arial;sans-serif" w:hAnsi="Arial;sans-serif"/>
          <w:b/>
          <w:color w:val="000000"/>
          <w:sz w:val="24"/>
        </w:rPr>
        <w:t>Conference Call</w:t>
      </w:r>
    </w:p>
    <w:p>
      <w:pPr>
        <w:pStyle w:val="TextBody"/>
        <w:bidi w:val="0"/>
        <w:spacing w:lineRule="auto" w:line="300" w:before="0" w:after="120"/>
        <w:jc w:val="left"/>
        <w:rPr>
          <w:rFonts w:ascii="Arial;sans-serif" w:hAnsi="Arial;sans-serif"/>
          <w:b w:val="false"/>
          <w:color w:val="000000"/>
          <w:sz w:val="24"/>
        </w:rPr>
      </w:pPr>
      <w:r>
        <w:rPr>
          <w:rFonts w:ascii="Arial;sans-serif" w:hAnsi="Arial;sans-serif"/>
          <w:b w:val="false"/>
          <w:color w:val="000000"/>
          <w:sz w:val="24"/>
        </w:rPr>
        <w:t xml:space="preserve">AMETEK will webcast its second quarter 2026 investor conference call on Tuesday, August 4, 2026, beginning at 8:30 AM ET. The live audio webcast will be available and later archived in the Investors section of www.ametek.com. </w:t>
      </w:r>
    </w:p>
    <w:p>
      <w:pPr>
        <w:pStyle w:val="TextBody"/>
        <w:bidi w:val="0"/>
        <w:spacing w:before="0" w:after="120"/>
        <w:jc w:val="left"/>
        <w:rPr/>
      </w:pPr>
      <w:r>
        <w:rPr/>
      </w:r>
    </w:p>
    <w:p>
      <w:pPr>
        <w:pStyle w:val="TextBody"/>
        <w:bidi w:val="0"/>
        <w:spacing w:lineRule="auto" w:line="300" w:before="0" w:after="120"/>
        <w:jc w:val="left"/>
        <w:rPr/>
      </w:pPr>
      <w:r>
        <w:rPr>
          <w:rFonts w:ascii="Arial;sans-serif" w:hAnsi="Arial;sans-serif"/>
          <w:b/>
          <w:color w:val="000000"/>
          <w:sz w:val="24"/>
        </w:rPr>
        <w:t>Corporate Profile</w:t>
      </w:r>
      <w:r>
        <w:rPr>
          <w:color w:val="000000"/>
        </w:rPr>
        <w:t xml:space="preserve"> </w:t>
      </w:r>
    </w:p>
    <w:p>
      <w:pPr>
        <w:pStyle w:val="TextBody"/>
        <w:bidi w:val="0"/>
        <w:spacing w:lineRule="auto" w:line="300" w:before="0" w:after="120"/>
        <w:jc w:val="left"/>
        <w:rPr>
          <w:rFonts w:ascii="Arial;sans-serif" w:hAnsi="Arial;sans-serif"/>
          <w:b w:val="false"/>
          <w:color w:val="000000"/>
          <w:sz w:val="24"/>
        </w:rPr>
      </w:pPr>
      <w:r>
        <w:rPr>
          <w:rFonts w:ascii="Arial;sans-serif" w:hAnsi="Arial;sans-serif"/>
          <w:b w:val="false"/>
          <w:color w:val="000000"/>
          <w:sz w:val="24"/>
        </w:rPr>
        <w:t xml:space="preserve">AMETEK (NYSE: AME) is a leading global provider of industrial technology solutions serving a diverse set of attractive niche markets with annual sales of approximately $8.0 billion. The AMETEK Growth Model integrates the Four Growth Strategies - Operational Excellence, Technology Innovation, Global and Market Expansion, and Strategic Acquisitions - with a disciplined focus on cash generation and capital deployment. AMETEK's objective is double-digit percentage growth in earnings per share over the business cycle and a superior return on total capital. Founded in 1930, AMETEK has been listed on the NYSE for over 95 years and is a component of the S&amp;P 500. For more information, visit www.ametek.com. </w:t>
      </w:r>
    </w:p>
    <w:p>
      <w:pPr>
        <w:pStyle w:val="TextBody"/>
        <w:bidi w:val="0"/>
        <w:spacing w:lineRule="auto" w:line="300" w:before="0" w:after="120"/>
        <w:jc w:val="left"/>
        <w:rPr/>
      </w:pPr>
      <w:r>
        <w:rPr>
          <w:rFonts w:ascii="Arial;sans-serif" w:hAnsi="Arial;sans-serif"/>
          <w:b/>
          <w:color w:val="000000"/>
          <w:sz w:val="24"/>
        </w:rPr>
        <w:t>Forward-looking Information</w:t>
      </w:r>
      <w:r>
        <w:rPr>
          <w:color w:val="000000"/>
        </w:rPr>
        <w:t xml:space="preserve"> </w:t>
      </w:r>
    </w:p>
    <w:p>
      <w:pPr>
        <w:pStyle w:val="TextBody"/>
        <w:bidi w:val="0"/>
        <w:spacing w:lineRule="auto" w:line="300" w:before="0" w:after="120"/>
        <w:jc w:val="left"/>
        <w:rPr>
          <w:rFonts w:ascii="Arial;sans-serif" w:hAnsi="Arial;sans-serif"/>
          <w:b w:val="false"/>
          <w:color w:val="000000"/>
          <w:sz w:val="24"/>
        </w:rPr>
      </w:pPr>
      <w:r>
        <w:rPr>
          <w:rFonts w:ascii="Arial;sans-serif" w:hAnsi="Arial;sans-serif"/>
          <w:b w:val="false"/>
          <w:color w:val="000000"/>
          <w:sz w:val="24"/>
        </w:rPr>
        <w:t xml:space="preserve">Statements in this news release relating to future events, such as AMETEK’s expected business and financial performance, are "forward-looking statements." Forward-looking statements are subject to various factors and uncertainties that may cause actual results to differ materially from expectations. These factors and uncertainties include risks related to AMETEK’s ability to </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73760"/>
                <wp:effectExtent l="0" t="0" r="0" b="0"/>
                <wp:wrapNone/>
                <wp:docPr id="8" name="Frame5"/>
                <a:graphic xmlns:a="http://schemas.openxmlformats.org/drawingml/2006/main">
                  <a:graphicData uri="http://schemas.microsoft.com/office/word/2010/wordprocessingShape">
                    <wps:wsp>
                      <wps:cNvSpPr txBox="1"/>
                      <wps:spPr>
                        <a:xfrm>
                          <a:off x="0" y="0"/>
                          <a:ext cx="6480175" cy="873760"/>
                        </a:xfrm>
                        <a:prstGeom prst="rect"/>
                        <a:solidFill>
                          <a:srgbClr val="FFFFFF"/>
                        </a:solidFill>
                      </wps:spPr>
                      <wps:txbx>
                        <w:txbxContent>
                          <w:tbl>
                            <w:tblPr>
                              <w:tblW w:w="3445" w:type="dxa"/>
                              <w:jc w:val="left"/>
                              <w:tblInd w:w="0" w:type="dxa"/>
                              <w:tblLayout w:type="fixed"/>
                              <w:tblCellMar>
                                <w:top w:w="28" w:type="dxa"/>
                                <w:left w:w="28" w:type="dxa"/>
                                <w:bottom w:w="28" w:type="dxa"/>
                                <w:right w:w="28" w:type="dxa"/>
                              </w:tblCellMar>
                            </w:tblPr>
                            <w:tblGrid>
                              <w:gridCol w:w="304"/>
                              <w:gridCol w:w="266"/>
                              <w:gridCol w:w="269"/>
                              <w:gridCol w:w="763"/>
                              <w:gridCol w:w="763"/>
                              <w:gridCol w:w="1080"/>
                            </w:tblGrid>
                            <w:tr>
                              <w:trPr/>
                              <w:tc>
                                <w:tcPr>
                                  <w:tcW w:w="304" w:type="dxa"/>
                                  <w:tcBorders/>
                                  <w:vAlign w:val="center"/>
                                </w:tcPr>
                                <w:p>
                                  <w:pPr>
                                    <w:pStyle w:val="TableContents"/>
                                    <w:bidi w:val="0"/>
                                    <w:spacing w:before="0" w:after="283"/>
                                    <w:jc w:val="left"/>
                                    <w:rPr>
                                      <w:sz w:val="4"/>
                                      <w:szCs w:val="4"/>
                                    </w:rPr>
                                  </w:pPr>
                                  <w:r>
                                    <w:rPr>
                                      <w:sz w:val="4"/>
                                      <w:szCs w:val="4"/>
                                    </w:rPr>
                                  </w:r>
                                  <w:r>
                                    <w:br w:type="page"/>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Page | 2</w:t>
                                  </w:r>
                                </w:p>
                              </w:tc>
                              <w:tc>
                                <w:tcPr>
                                  <w:tcW w:w="26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71625" cy="3905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5"/>
                                                <a:stretch>
                                                  <a:fillRect/>
                                                </a:stretch>
                                              </pic:blipFill>
                                              <pic:spPr bwMode="auto">
                                                <a:xfrm>
                                                  <a:off x="0" y="0"/>
                                                  <a:ext cx="1571625" cy="3905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8pt;mso-wrap-distance-left:0pt;mso-wrap-distance-right:0pt;mso-wrap-distance-top:0pt;mso-wrap-distance-bottom:0pt;margin-top:0pt;mso-position-vertical:top;mso-position-vertical-relative:text;margin-left:-481.35pt;mso-position-horizontal:left;mso-position-horizontal-relative:text">
                <v:textbox>
                  <w:txbxContent>
                    <w:tbl>
                      <w:tblPr>
                        <w:tblW w:w="3445" w:type="dxa"/>
                        <w:jc w:val="left"/>
                        <w:tblInd w:w="0" w:type="dxa"/>
                        <w:tblLayout w:type="fixed"/>
                        <w:tblCellMar>
                          <w:top w:w="28" w:type="dxa"/>
                          <w:left w:w="28" w:type="dxa"/>
                          <w:bottom w:w="28" w:type="dxa"/>
                          <w:right w:w="28" w:type="dxa"/>
                        </w:tblCellMar>
                      </w:tblPr>
                      <w:tblGrid>
                        <w:gridCol w:w="304"/>
                        <w:gridCol w:w="266"/>
                        <w:gridCol w:w="269"/>
                        <w:gridCol w:w="763"/>
                        <w:gridCol w:w="763"/>
                        <w:gridCol w:w="1080"/>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Page | 2</w:t>
                            </w:r>
                          </w:p>
                        </w:tc>
                        <w:tc>
                          <w:tcPr>
                            <w:tcW w:w="26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71625" cy="390525"/>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6"/>
                                          <a:stretch>
                                            <a:fillRect/>
                                          </a:stretch>
                                        </pic:blipFill>
                                        <pic:spPr bwMode="auto">
                                          <a:xfrm>
                                            <a:off x="0" y="0"/>
                                            <a:ext cx="1571625" cy="3905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0" w:before="0" w:after="120"/>
        <w:jc w:val="left"/>
        <w:rPr>
          <w:rFonts w:ascii="Arial;sans-serif" w:hAnsi="Arial;sans-serif"/>
          <w:b w:val="false"/>
          <w:color w:val="000000"/>
          <w:sz w:val="24"/>
        </w:rPr>
      </w:pPr>
      <w:r>
        <w:rPr>
          <w:rFonts w:ascii="Arial;sans-serif" w:hAnsi="Arial;sans-serif"/>
          <w:b w:val="false"/>
          <w:color w:val="000000"/>
          <w:sz w:val="24"/>
        </w:rPr>
        <w:t xml:space="preserve">consummate and successfully integrate future acquisitions; risks with international sales and operations, including supply chain disruptions, tariffs, trade disputes and currency conditions; AMETEK’s ability to successfully develop new products, open new facilities or transfer product lines; the price and availability of raw materials; compliance with government regulations, including environmental regulations; changes in the competitive environment or the effects of competition in our markets; the ability to maintain adequate liquidity and financing sources; and general economic conditions affecting the industries we serve. A detailed discussion of these and other factors that may affect our future results is contained in AMETEK’s filings with the U.S. Securities and Exchange Commission, including its most recent reports on Forms 10-K, 10-Q and 8-K. AMETEK disclaims any intention or obligation to update or revise any forward-looking statements. </w:t>
      </w:r>
    </w:p>
    <w:p>
      <w:pPr>
        <w:pStyle w:val="TextBody"/>
        <w:bidi w:val="0"/>
        <w:spacing w:before="0" w:after="120"/>
        <w:jc w:val="left"/>
        <w:rPr/>
      </w:pPr>
      <w:r>
        <w:rPr/>
      </w:r>
    </w:p>
    <w:p>
      <w:pPr>
        <w:pStyle w:val="TextBody"/>
        <w:bidi w:val="0"/>
        <w:spacing w:lineRule="auto" w:line="300" w:before="0" w:after="120"/>
        <w:jc w:val="left"/>
        <w:rPr/>
      </w:pPr>
      <w:r>
        <w:rPr>
          <w:rFonts w:ascii="Arial;sans-serif" w:hAnsi="Arial;sans-serif"/>
          <w:b/>
          <w:color w:val="000000"/>
          <w:sz w:val="24"/>
        </w:rPr>
        <w:t>Contact:</w:t>
      </w:r>
      <w:r>
        <w:rPr>
          <w:color w:val="000000"/>
        </w:rPr>
        <w:t xml:space="preserve"> </w:t>
      </w:r>
    </w:p>
    <w:p>
      <w:pPr>
        <w:pStyle w:val="TextBody"/>
        <w:bidi w:val="0"/>
        <w:spacing w:lineRule="auto" w:line="300" w:before="0" w:after="0"/>
        <w:jc w:val="left"/>
        <w:rPr>
          <w:rFonts w:ascii="Arial;sans-serif" w:hAnsi="Arial;sans-serif"/>
          <w:b w:val="false"/>
          <w:color w:val="000000"/>
          <w:sz w:val="24"/>
        </w:rPr>
      </w:pPr>
      <w:r>
        <w:rPr>
          <w:rFonts w:ascii="Arial;sans-serif" w:hAnsi="Arial;sans-serif"/>
          <w:b w:val="false"/>
          <w:color w:val="000000"/>
          <w:sz w:val="24"/>
        </w:rPr>
        <w:t xml:space="preserve">Kevin Coleman </w:t>
      </w:r>
    </w:p>
    <w:p>
      <w:pPr>
        <w:pStyle w:val="TextBody"/>
        <w:bidi w:val="0"/>
        <w:spacing w:lineRule="auto" w:line="300" w:before="0" w:after="0"/>
        <w:jc w:val="left"/>
        <w:rPr>
          <w:rFonts w:ascii="Arial;sans-serif" w:hAnsi="Arial;sans-serif"/>
          <w:b w:val="false"/>
          <w:color w:val="000000"/>
          <w:sz w:val="24"/>
        </w:rPr>
      </w:pPr>
      <w:r>
        <w:rPr>
          <w:rFonts w:ascii="Arial;sans-serif" w:hAnsi="Arial;sans-serif"/>
          <w:b w:val="false"/>
          <w:color w:val="000000"/>
          <w:sz w:val="24"/>
        </w:rPr>
        <w:t xml:space="preserve">Vice President, Investor Relations and Treasurer </w:t>
      </w:r>
    </w:p>
    <w:p>
      <w:pPr>
        <w:pStyle w:val="TextBody"/>
        <w:bidi w:val="0"/>
        <w:spacing w:lineRule="auto" w:line="300" w:before="0" w:after="0"/>
        <w:jc w:val="left"/>
        <w:rPr>
          <w:rFonts w:ascii="Arial;sans-serif" w:hAnsi="Arial;sans-serif"/>
          <w:b w:val="false"/>
          <w:color w:val="000000"/>
          <w:sz w:val="24"/>
        </w:rPr>
      </w:pPr>
      <w:r>
        <w:rPr>
          <w:rFonts w:ascii="Arial;sans-serif" w:hAnsi="Arial;sans-serif"/>
          <w:b w:val="false"/>
          <w:color w:val="000000"/>
          <w:sz w:val="24"/>
        </w:rPr>
        <w:t xml:space="preserve">kevin.coleman@ametek.com </w:t>
      </w:r>
    </w:p>
    <w:p>
      <w:pPr>
        <w:pStyle w:val="TextBody"/>
        <w:bidi w:val="0"/>
        <w:spacing w:lineRule="auto" w:line="300" w:before="0" w:after="0"/>
        <w:jc w:val="left"/>
        <w:rPr>
          <w:rFonts w:ascii="Arial;sans-serif" w:hAnsi="Arial;sans-serif"/>
          <w:b w:val="false"/>
          <w:color w:val="000000"/>
          <w:sz w:val="24"/>
        </w:rPr>
      </w:pPr>
      <w:r>
        <w:rPr>
          <w:rFonts w:ascii="Arial;sans-serif" w:hAnsi="Arial;sans-serif"/>
          <w:b w:val="false"/>
          <w:color w:val="000000"/>
          <w:sz w:val="24"/>
        </w:rPr>
        <w:t xml:space="preserve">Phone: 610.889.5247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73760"/>
                <wp:effectExtent l="0" t="0" r="0" b="0"/>
                <wp:wrapNone/>
                <wp:docPr id="11" name="Frame6"/>
                <a:graphic xmlns:a="http://schemas.openxmlformats.org/drawingml/2006/main">
                  <a:graphicData uri="http://schemas.microsoft.com/office/word/2010/wordprocessingShape">
                    <wps:wsp>
                      <wps:cNvSpPr txBox="1"/>
                      <wps:spPr>
                        <a:xfrm>
                          <a:off x="0" y="0"/>
                          <a:ext cx="6480175" cy="873760"/>
                        </a:xfrm>
                        <a:prstGeom prst="rect"/>
                        <a:solidFill>
                          <a:srgbClr val="FFFFFF"/>
                        </a:solidFill>
                      </wps:spPr>
                      <wps:txbx>
                        <w:txbxContent>
                          <w:tbl>
                            <w:tblPr>
                              <w:tblW w:w="3445" w:type="dxa"/>
                              <w:jc w:val="left"/>
                              <w:tblInd w:w="0" w:type="dxa"/>
                              <w:tblLayout w:type="fixed"/>
                              <w:tblCellMar>
                                <w:top w:w="28" w:type="dxa"/>
                                <w:left w:w="28" w:type="dxa"/>
                                <w:bottom w:w="28" w:type="dxa"/>
                                <w:right w:w="28" w:type="dxa"/>
                              </w:tblCellMar>
                            </w:tblPr>
                            <w:tblGrid>
                              <w:gridCol w:w="304"/>
                              <w:gridCol w:w="266"/>
                              <w:gridCol w:w="269"/>
                              <w:gridCol w:w="763"/>
                              <w:gridCol w:w="763"/>
                              <w:gridCol w:w="1080"/>
                            </w:tblGrid>
                            <w:tr>
                              <w:trPr/>
                              <w:tc>
                                <w:tcPr>
                                  <w:tcW w:w="304" w:type="dxa"/>
                                  <w:tcBorders/>
                                  <w:vAlign w:val="center"/>
                                </w:tcPr>
                                <w:p>
                                  <w:pPr>
                                    <w:pStyle w:val="TableContents"/>
                                    <w:bidi w:val="0"/>
                                    <w:spacing w:before="0" w:after="283"/>
                                    <w:jc w:val="left"/>
                                    <w:rPr>
                                      <w:sz w:val="4"/>
                                      <w:szCs w:val="4"/>
                                    </w:rPr>
                                  </w:pPr>
                                  <w:r>
                                    <w:rPr>
                                      <w:sz w:val="4"/>
                                      <w:szCs w:val="4"/>
                                    </w:rPr>
                                  </w:r>
                                  <w:r>
                                    <w:br w:type="page"/>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Page | 3</w:t>
                                  </w:r>
                                </w:p>
                              </w:tc>
                              <w:tc>
                                <w:tcPr>
                                  <w:tcW w:w="26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71625" cy="39052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7"/>
                                                <a:stretch>
                                                  <a:fillRect/>
                                                </a:stretch>
                                              </pic:blipFill>
                                              <pic:spPr bwMode="auto">
                                                <a:xfrm>
                                                  <a:off x="0" y="0"/>
                                                  <a:ext cx="1571625" cy="3905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8pt;mso-wrap-distance-left:0pt;mso-wrap-distance-right:0pt;mso-wrap-distance-top:0pt;mso-wrap-distance-bottom:0pt;margin-top:0pt;mso-position-vertical:top;mso-position-vertical-relative:text;margin-left:-481.35pt;mso-position-horizontal:left;mso-position-horizontal-relative:text">
                <v:textbox>
                  <w:txbxContent>
                    <w:tbl>
                      <w:tblPr>
                        <w:tblW w:w="3445" w:type="dxa"/>
                        <w:jc w:val="left"/>
                        <w:tblInd w:w="0" w:type="dxa"/>
                        <w:tblLayout w:type="fixed"/>
                        <w:tblCellMar>
                          <w:top w:w="28" w:type="dxa"/>
                          <w:left w:w="28" w:type="dxa"/>
                          <w:bottom w:w="28" w:type="dxa"/>
                          <w:right w:w="28" w:type="dxa"/>
                        </w:tblCellMar>
                      </w:tblPr>
                      <w:tblGrid>
                        <w:gridCol w:w="304"/>
                        <w:gridCol w:w="266"/>
                        <w:gridCol w:w="269"/>
                        <w:gridCol w:w="763"/>
                        <w:gridCol w:w="763"/>
                        <w:gridCol w:w="1080"/>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Page | 3</w:t>
                            </w:r>
                          </w:p>
                        </w:tc>
                        <w:tc>
                          <w:tcPr>
                            <w:tcW w:w="26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71625" cy="390525"/>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8"/>
                                          <a:stretch>
                                            <a:fillRect/>
                                          </a:stretch>
                                        </pic:blipFill>
                                        <pic:spPr bwMode="auto">
                                          <a:xfrm>
                                            <a:off x="0" y="0"/>
                                            <a:ext cx="1571625" cy="3905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AMETEK,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 of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amounts)</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76"/>
        <w:gridCol w:w="1210"/>
        <w:gridCol w:w="1227"/>
        <w:gridCol w:w="211"/>
        <w:gridCol w:w="1021"/>
        <w:gridCol w:w="109"/>
        <w:gridCol w:w="109"/>
        <w:gridCol w:w="109"/>
        <w:gridCol w:w="109"/>
        <w:gridCol w:w="211"/>
        <w:gridCol w:w="1021"/>
        <w:gridCol w:w="109"/>
        <w:gridCol w:w="109"/>
        <w:gridCol w:w="109"/>
        <w:gridCol w:w="109"/>
        <w:gridCol w:w="211"/>
        <w:gridCol w:w="1021"/>
        <w:gridCol w:w="109"/>
        <w:gridCol w:w="109"/>
        <w:gridCol w:w="109"/>
        <w:gridCol w:w="109"/>
        <w:gridCol w:w="211"/>
        <w:gridCol w:w="1021"/>
        <w:gridCol w:w="156"/>
      </w:tblGrid>
      <w:tr>
        <w:trPr/>
        <w:tc>
          <w:tcPr>
            <w:tcW w:w="137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3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2,044,397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1,778,056 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3,972,834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3,510,027 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1,309,356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2,520,234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2,249,138 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206,848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409,471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344,434 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xml:space="preserve">Total operating expenses </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1,516,204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1,316,430 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2,929,705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2,593,572 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Operating income </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528,193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1,043,129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916,455 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(51,010)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taxes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492,372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985,352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876,391 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85,476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179,099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166,266 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406,896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806,253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710,125 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3.52</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Diluted shares</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229,855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231,472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229,845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231,507</w:t>
            </w:r>
          </w:p>
        </w:tc>
      </w:tr>
      <w:tr>
        <w:trPr/>
        <w:tc>
          <w:tcPr>
            <w:tcW w:w="3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Basic shares</w:t>
            </w:r>
          </w:p>
        </w:tc>
        <w:tc>
          <w:tcPr>
            <w:tcW w:w="13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229,086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230,818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228,994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230,743</w:t>
            </w:r>
          </w:p>
        </w:tc>
      </w:tr>
      <w:tr>
        <w:trPr/>
        <w:tc>
          <w:tcPr>
            <w:tcW w:w="3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per share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0.34</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0.68</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0.62 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AMETEK,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Information by Business Segment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(Unaudited)</w:t>
      </w:r>
    </w:p>
    <w:tbl>
      <w:tblPr>
        <w:tblW w:w="9524" w:type="dxa"/>
        <w:jc w:val="left"/>
        <w:tblInd w:w="0" w:type="dxa"/>
        <w:tblLayout w:type="fixed"/>
        <w:tblCellMar>
          <w:top w:w="28" w:type="dxa"/>
          <w:left w:w="28" w:type="dxa"/>
          <w:bottom w:w="28" w:type="dxa"/>
          <w:right w:w="28" w:type="dxa"/>
        </w:tblCellMar>
      </w:tblPr>
      <w:tblGrid>
        <w:gridCol w:w="1130"/>
        <w:gridCol w:w="995"/>
        <w:gridCol w:w="1009"/>
        <w:gridCol w:w="211"/>
        <w:gridCol w:w="1021"/>
        <w:gridCol w:w="109"/>
        <w:gridCol w:w="109"/>
        <w:gridCol w:w="109"/>
        <w:gridCol w:w="109"/>
        <w:gridCol w:w="211"/>
        <w:gridCol w:w="1021"/>
        <w:gridCol w:w="109"/>
        <w:gridCol w:w="109"/>
        <w:gridCol w:w="109"/>
        <w:gridCol w:w="109"/>
        <w:gridCol w:w="211"/>
        <w:gridCol w:w="1021"/>
        <w:gridCol w:w="109"/>
        <w:gridCol w:w="109"/>
        <w:gridCol w:w="109"/>
        <w:gridCol w:w="109"/>
        <w:gridCol w:w="211"/>
        <w:gridCol w:w="1021"/>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sales:</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Electronic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1,321,153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2,585,689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2,303,244 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Electromechanical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723,244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1,387,145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2,044,397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1,778,056 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3,972,834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3,510,027 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Electronic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369,722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743,660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Electromechanical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189,317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360,083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segment operating income</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559,039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1,103,743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971,084 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administrative expenses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(60,614)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528,193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461,626 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1,043,129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916,455 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73760"/>
                <wp:effectExtent l="0" t="0" r="0" b="0"/>
                <wp:wrapNone/>
                <wp:docPr id="14" name="Frame7"/>
                <a:graphic xmlns:a="http://schemas.openxmlformats.org/drawingml/2006/main">
                  <a:graphicData uri="http://schemas.microsoft.com/office/word/2010/wordprocessingShape">
                    <wps:wsp>
                      <wps:cNvSpPr txBox="1"/>
                      <wps:spPr>
                        <a:xfrm>
                          <a:off x="0" y="0"/>
                          <a:ext cx="6480175" cy="873760"/>
                        </a:xfrm>
                        <a:prstGeom prst="rect"/>
                        <a:solidFill>
                          <a:srgbClr val="FFFFFF"/>
                        </a:solidFill>
                      </wps:spPr>
                      <wps:txbx>
                        <w:txbxContent>
                          <w:tbl>
                            <w:tblPr>
                              <w:tblW w:w="3445" w:type="dxa"/>
                              <w:jc w:val="left"/>
                              <w:tblInd w:w="0" w:type="dxa"/>
                              <w:tblLayout w:type="fixed"/>
                              <w:tblCellMar>
                                <w:top w:w="28" w:type="dxa"/>
                                <w:left w:w="28" w:type="dxa"/>
                                <w:bottom w:w="28" w:type="dxa"/>
                                <w:right w:w="28" w:type="dxa"/>
                              </w:tblCellMar>
                            </w:tblPr>
                            <w:tblGrid>
                              <w:gridCol w:w="304"/>
                              <w:gridCol w:w="266"/>
                              <w:gridCol w:w="269"/>
                              <w:gridCol w:w="763"/>
                              <w:gridCol w:w="763"/>
                              <w:gridCol w:w="1080"/>
                            </w:tblGrid>
                            <w:tr>
                              <w:trPr/>
                              <w:tc>
                                <w:tcPr>
                                  <w:tcW w:w="304" w:type="dxa"/>
                                  <w:tcBorders/>
                                  <w:vAlign w:val="center"/>
                                </w:tcPr>
                                <w:p>
                                  <w:pPr>
                                    <w:pStyle w:val="TableContents"/>
                                    <w:bidi w:val="0"/>
                                    <w:spacing w:before="0" w:after="283"/>
                                    <w:jc w:val="left"/>
                                    <w:rPr>
                                      <w:sz w:val="4"/>
                                      <w:szCs w:val="4"/>
                                    </w:rPr>
                                  </w:pPr>
                                  <w:r>
                                    <w:rPr>
                                      <w:sz w:val="4"/>
                                      <w:szCs w:val="4"/>
                                    </w:rPr>
                                  </w:r>
                                  <w:r>
                                    <w:br w:type="page"/>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Page | 4</w:t>
                                  </w:r>
                                </w:p>
                              </w:tc>
                              <w:tc>
                                <w:tcPr>
                                  <w:tcW w:w="26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71625" cy="390525"/>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9"/>
                                                <a:stretch>
                                                  <a:fillRect/>
                                                </a:stretch>
                                              </pic:blipFill>
                                              <pic:spPr bwMode="auto">
                                                <a:xfrm>
                                                  <a:off x="0" y="0"/>
                                                  <a:ext cx="1571625" cy="3905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8pt;mso-wrap-distance-left:0pt;mso-wrap-distance-right:0pt;mso-wrap-distance-top:0pt;mso-wrap-distance-bottom:0pt;margin-top:0pt;mso-position-vertical:top;mso-position-vertical-relative:text;margin-left:0pt;mso-position-horizontal:left;mso-position-horizontal-relative:text">
                <v:textbox>
                  <w:txbxContent>
                    <w:tbl>
                      <w:tblPr>
                        <w:tblW w:w="3445" w:type="dxa"/>
                        <w:jc w:val="left"/>
                        <w:tblInd w:w="0" w:type="dxa"/>
                        <w:tblLayout w:type="fixed"/>
                        <w:tblCellMar>
                          <w:top w:w="28" w:type="dxa"/>
                          <w:left w:w="28" w:type="dxa"/>
                          <w:bottom w:w="28" w:type="dxa"/>
                          <w:right w:w="28" w:type="dxa"/>
                        </w:tblCellMar>
                      </w:tblPr>
                      <w:tblGrid>
                        <w:gridCol w:w="304"/>
                        <w:gridCol w:w="266"/>
                        <w:gridCol w:w="269"/>
                        <w:gridCol w:w="763"/>
                        <w:gridCol w:w="763"/>
                        <w:gridCol w:w="1080"/>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Page | 4</w:t>
                            </w:r>
                          </w:p>
                        </w:tc>
                        <w:tc>
                          <w:tcPr>
                            <w:tcW w:w="26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71625" cy="390525"/>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10"/>
                                          <a:stretch>
                                            <a:fillRect/>
                                          </a:stretch>
                                        </pic:blipFill>
                                        <pic:spPr bwMode="auto">
                                          <a:xfrm>
                                            <a:off x="0" y="0"/>
                                            <a:ext cx="1571625" cy="3905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AMETEK,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w:t>
      </w:r>
    </w:p>
    <w:tbl>
      <w:tblPr>
        <w:tblW w:w="9189" w:type="dxa"/>
        <w:jc w:val="left"/>
        <w:tblInd w:w="0" w:type="dxa"/>
        <w:tblLayout w:type="fixed"/>
        <w:tblCellMar>
          <w:top w:w="28" w:type="dxa"/>
          <w:left w:w="28" w:type="dxa"/>
          <w:bottom w:w="28" w:type="dxa"/>
          <w:right w:w="28" w:type="dxa"/>
        </w:tblCellMar>
      </w:tblPr>
      <w:tblGrid>
        <w:gridCol w:w="2148"/>
        <w:gridCol w:w="1883"/>
        <w:gridCol w:w="1894"/>
        <w:gridCol w:w="211"/>
        <w:gridCol w:w="1126"/>
        <w:gridCol w:w="109"/>
        <w:gridCol w:w="109"/>
        <w:gridCol w:w="109"/>
        <w:gridCol w:w="109"/>
        <w:gridCol w:w="211"/>
        <w:gridCol w:w="1126"/>
        <w:gridCol w:w="154"/>
      </w:tblGrid>
      <w:tr>
        <w:trPr/>
        <w:tc>
          <w:tcPr>
            <w:tcW w:w="2148"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495,446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Receivables, net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1,170,497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1,119,257 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Inventories, net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1,195,383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1,106,405 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Other current assets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365,475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 current assets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3,226,801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3,019,842 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850,173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assets, net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259,308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7,418,304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7,170,770 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intangibles, investments and other assets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4,840,127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4,748,574 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16,594,713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16,067,543 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Short-term borrowings and current portion of long-term debt,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980,633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Accounts payable and accruals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1,677,965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1,633,777 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 current liabilities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2,658,598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2,842,752 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1,055,541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 and other long-term liabilities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1,619,811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11,260,763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10,628,786 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16,594,713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16,067,543 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73760"/>
                <wp:effectExtent l="0" t="0" r="0" b="0"/>
                <wp:wrapNone/>
                <wp:docPr id="17" name="Frame8"/>
                <a:graphic xmlns:a="http://schemas.openxmlformats.org/drawingml/2006/main">
                  <a:graphicData uri="http://schemas.microsoft.com/office/word/2010/wordprocessingShape">
                    <wps:wsp>
                      <wps:cNvSpPr txBox="1"/>
                      <wps:spPr>
                        <a:xfrm>
                          <a:off x="0" y="0"/>
                          <a:ext cx="6480175" cy="873760"/>
                        </a:xfrm>
                        <a:prstGeom prst="rect"/>
                        <a:solidFill>
                          <a:srgbClr val="FFFFFF"/>
                        </a:solidFill>
                      </wps:spPr>
                      <wps:txbx>
                        <w:txbxContent>
                          <w:tbl>
                            <w:tblPr>
                              <w:tblW w:w="3445" w:type="dxa"/>
                              <w:jc w:val="left"/>
                              <w:tblInd w:w="0" w:type="dxa"/>
                              <w:tblLayout w:type="fixed"/>
                              <w:tblCellMar>
                                <w:top w:w="28" w:type="dxa"/>
                                <w:left w:w="28" w:type="dxa"/>
                                <w:bottom w:w="28" w:type="dxa"/>
                                <w:right w:w="28" w:type="dxa"/>
                              </w:tblCellMar>
                            </w:tblPr>
                            <w:tblGrid>
                              <w:gridCol w:w="304"/>
                              <w:gridCol w:w="266"/>
                              <w:gridCol w:w="269"/>
                              <w:gridCol w:w="763"/>
                              <w:gridCol w:w="763"/>
                              <w:gridCol w:w="1080"/>
                            </w:tblGrid>
                            <w:tr>
                              <w:trPr/>
                              <w:tc>
                                <w:tcPr>
                                  <w:tcW w:w="304" w:type="dxa"/>
                                  <w:tcBorders/>
                                  <w:vAlign w:val="center"/>
                                </w:tcPr>
                                <w:p>
                                  <w:pPr>
                                    <w:pStyle w:val="TableContents"/>
                                    <w:bidi w:val="0"/>
                                    <w:spacing w:before="0" w:after="283"/>
                                    <w:jc w:val="left"/>
                                    <w:rPr>
                                      <w:sz w:val="4"/>
                                      <w:szCs w:val="4"/>
                                    </w:rPr>
                                  </w:pPr>
                                  <w:r>
                                    <w:rPr>
                                      <w:sz w:val="4"/>
                                      <w:szCs w:val="4"/>
                                    </w:rPr>
                                  </w:r>
                                  <w:r>
                                    <w:br w:type="page"/>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Page | 5</w:t>
                                  </w:r>
                                </w:p>
                              </w:tc>
                              <w:tc>
                                <w:tcPr>
                                  <w:tcW w:w="26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71625" cy="390525"/>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11"/>
                                                <a:stretch>
                                                  <a:fillRect/>
                                                </a:stretch>
                                              </pic:blipFill>
                                              <pic:spPr bwMode="auto">
                                                <a:xfrm>
                                                  <a:off x="0" y="0"/>
                                                  <a:ext cx="1571625" cy="3905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8pt;mso-wrap-distance-left:0pt;mso-wrap-distance-right:0pt;mso-wrap-distance-top:0pt;mso-wrap-distance-bottom:0pt;margin-top:0pt;mso-position-vertical:top;mso-position-vertical-relative:text;margin-left:0pt;mso-position-horizontal:left;mso-position-horizontal-relative:text">
                <v:textbox>
                  <w:txbxContent>
                    <w:tbl>
                      <w:tblPr>
                        <w:tblW w:w="3445" w:type="dxa"/>
                        <w:jc w:val="left"/>
                        <w:tblInd w:w="0" w:type="dxa"/>
                        <w:tblLayout w:type="fixed"/>
                        <w:tblCellMar>
                          <w:top w:w="28" w:type="dxa"/>
                          <w:left w:w="28" w:type="dxa"/>
                          <w:bottom w:w="28" w:type="dxa"/>
                          <w:right w:w="28" w:type="dxa"/>
                        </w:tblCellMar>
                      </w:tblPr>
                      <w:tblGrid>
                        <w:gridCol w:w="304"/>
                        <w:gridCol w:w="266"/>
                        <w:gridCol w:w="269"/>
                        <w:gridCol w:w="763"/>
                        <w:gridCol w:w="763"/>
                        <w:gridCol w:w="1080"/>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Page | 5</w:t>
                            </w:r>
                          </w:p>
                        </w:tc>
                        <w:tc>
                          <w:tcPr>
                            <w:tcW w:w="26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71625" cy="390525"/>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12"/>
                                          <a:stretch>
                                            <a:fillRect/>
                                          </a:stretch>
                                        </pic:blipFill>
                                        <pic:spPr bwMode="auto">
                                          <a:xfrm>
                                            <a:off x="0" y="0"/>
                                            <a:ext cx="1571625" cy="3905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AMETEK,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Reconciliations of GAAP to Non-GAAP Financial Measures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amounts)</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(Unaudited)</w:t>
      </w:r>
    </w:p>
    <w:tbl>
      <w:tblPr>
        <w:tblW w:w="9602" w:type="dxa"/>
        <w:jc w:val="center"/>
        <w:tblInd w:w="0" w:type="dxa"/>
        <w:tblLayout w:type="fixed"/>
        <w:tblCellMar>
          <w:top w:w="28" w:type="dxa"/>
          <w:left w:w="28" w:type="dxa"/>
          <w:bottom w:w="28" w:type="dxa"/>
          <w:right w:w="28" w:type="dxa"/>
        </w:tblCellMar>
      </w:tblPr>
      <w:tblGrid>
        <w:gridCol w:w="2365"/>
        <w:gridCol w:w="2073"/>
        <w:gridCol w:w="2086"/>
        <w:gridCol w:w="211"/>
        <w:gridCol w:w="856"/>
        <w:gridCol w:w="286"/>
        <w:gridCol w:w="109"/>
        <w:gridCol w:w="109"/>
        <w:gridCol w:w="109"/>
        <w:gridCol w:w="211"/>
        <w:gridCol w:w="856"/>
        <w:gridCol w:w="331"/>
      </w:tblGrid>
      <w:tr>
        <w:trPr/>
        <w:tc>
          <w:tcPr>
            <w:tcW w:w="2365"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r>
      <w:tr>
        <w:trPr/>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EIG Segment operating income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369,722</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344,428 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Acquisition-related costs</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14,996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EIG Segment operating income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384,718</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344,428 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EMG Segment operating income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189,317</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143,888 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Acquisition-related costs</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EMG Segment operating income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190,525</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143,888 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528,193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461,626 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Acquisition-related costs</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16,204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income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544,397</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461,626 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30,101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Acquisition-related costs</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interest expense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20,095</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16,857 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Acquisition-related costs</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Income tax benefit on acquisition-related costs</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Pretax amortization of acquisition-related 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on amortization of acquisition-related intangible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Rounding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Diluted earnings per share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2.09</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provided by operating activities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483,693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359,089 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Deduct: Capital expenditures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(32,012)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(29,269)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451,681</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329,820 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 conversion (Non-GAAP)</w:t>
            </w:r>
          </w:p>
        </w:tc>
        <w:tc>
          <w:tcPr>
            <w:tcW w:w="106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w:t>
            </w:r>
            <w:r>
              <w:rPr>
                <w:color w:val="000000"/>
              </w:rPr>
              <w:t> </w:t>
            </w:r>
          </w:p>
        </w:tc>
        <w:tc>
          <w:tcPr>
            <w:tcW w:w="2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3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60"/>
        <w:ind w:left="0" w:right="0" w:hanging="630"/>
        <w:jc w:val="both"/>
        <w:rPr>
          <w:rFonts w:ascii="Arial;sans-serif" w:hAnsi="Arial;sans-serif"/>
          <w:b w:val="false"/>
          <w:color w:val="000000"/>
          <w:sz w:val="18"/>
        </w:rPr>
      </w:pPr>
      <w:r>
        <w:rPr>
          <w:rFonts w:ascii="Arial;sans-serif" w:hAnsi="Arial;sans-serif"/>
          <w:b w:val="false"/>
          <w:color w:val="000000"/>
          <w:sz w:val="18"/>
        </w:rPr>
        <w:t>______________________</w:t>
      </w:r>
    </w:p>
    <w:p>
      <w:pPr>
        <w:pStyle w:val="TextBody"/>
        <w:bidi w:val="0"/>
        <w:spacing w:lineRule="auto" w:line="288" w:before="0" w:after="60"/>
        <w:ind w:left="0" w:right="0" w:hanging="630"/>
        <w:jc w:val="both"/>
        <w:rPr>
          <w:rFonts w:ascii="Arial;sans-serif" w:hAnsi="Arial;sans-serif"/>
          <w:b w:val="false"/>
          <w:color w:val="000000"/>
          <w:sz w:val="18"/>
        </w:rPr>
      </w:pPr>
      <w:r>
        <w:rPr>
          <w:rFonts w:ascii="Arial;sans-serif" w:hAnsi="Arial;sans-serif"/>
          <w:b w:val="false"/>
          <w:color w:val="000000"/>
          <w:sz w:val="18"/>
        </w:rPr>
        <w:t>(1) - Acquisition-related costs comprise integration costs in Cost of Sales and one-time Indicor bridge financing fees in interest expense.</w:t>
      </w:r>
    </w:p>
    <w:p>
      <w:pPr>
        <w:pStyle w:val="TextBody"/>
        <w:bidi w:val="0"/>
        <w:spacing w:lineRule="auto" w:line="216" w:before="80" w:after="60"/>
        <w:ind w:left="0" w:right="0" w:hanging="450"/>
        <w:jc w:val="center"/>
        <w:rPr>
          <w:rFonts w:ascii="Arial;sans-serif" w:hAnsi="Arial;sans-serif"/>
          <w:b/>
          <w:color w:val="000000"/>
          <w:sz w:val="18"/>
        </w:rPr>
      </w:pPr>
      <w:r>
        <w:rPr>
          <w:rFonts w:ascii="Arial;sans-serif" w:hAnsi="Arial;sans-serif"/>
          <w:b/>
          <w:color w:val="000000"/>
          <w:sz w:val="18"/>
        </w:rPr>
        <w:t>Use of Non-GAAP Financial Information</w:t>
      </w:r>
    </w:p>
    <w:p>
      <w:pPr>
        <w:pStyle w:val="TextBody"/>
        <w:bidi w:val="0"/>
        <w:spacing w:lineRule="auto" w:line="216" w:before="80" w:after="283"/>
        <w:jc w:val="both"/>
        <w:rPr>
          <w:rFonts w:ascii="Arial;sans-serif" w:hAnsi="Arial;sans-serif"/>
          <w:b w:val="false"/>
          <w:color w:val="000000"/>
          <w:sz w:val="18"/>
        </w:rPr>
      </w:pPr>
      <w:r>
        <w:rPr>
          <w:rFonts w:ascii="Arial;sans-serif" w:hAnsi="Arial;sans-serif"/>
          <w:b w:val="false"/>
          <w:color w:val="000000"/>
          <w:sz w:val="18"/>
        </w:rPr>
        <w:t>The Company supplements its consolidated financial statements presented on a U.S. generally accepted accounting principles (“GAAP”) basis with certain non-GAAP financial information to provide investors with greater insight, increased transparency and allow for a more comprehensive understanding of the information used by management in its financial and operational decision-making. Reconciliation of non-GAAP measures to their most directly comparable GAAP measures are included in the accompanying financial tables. These non-GAAP financial measures should be considered in addition to, and not as a replacement for, or superior to, the comparable GAAP measure, and may not be comparable to similarly titled measures reported by other companies.</w:t>
      </w:r>
    </w:p>
    <w:p>
      <w:pPr>
        <w:pStyle w:val="TextBody"/>
        <w:bidi w:val="0"/>
        <w:spacing w:lineRule="auto" w:line="216" w:before="200" w:after="283"/>
        <w:jc w:val="both"/>
        <w:rPr>
          <w:rFonts w:ascii="Arial;sans-serif" w:hAnsi="Arial;sans-serif"/>
          <w:b w:val="false"/>
          <w:color w:val="000000"/>
          <w:sz w:val="18"/>
        </w:rPr>
      </w:pPr>
      <w:r>
        <w:rPr>
          <w:rFonts w:ascii="Arial;sans-serif" w:hAnsi="Arial;sans-serif"/>
          <w:b w:val="false"/>
          <w:color w:val="000000"/>
          <w:sz w:val="18"/>
        </w:rPr>
        <w:t>The non-GAAP financial measures referenced in this press release include adjusted operating income, adjusted operating margin, and adjusted earnings per share. These measures are adjusted to exclude items that management does not consider indicative of AMETEK’s ongoing operational performance, such as after-tax acquisition-related intangible amortization, one-time acquisition-related costs (including transaction related costs, purchase accounting adjustments, and integration related costs).</w:t>
      </w:r>
    </w:p>
    <w:p>
      <w:pPr>
        <w:pStyle w:val="TextBody"/>
        <w:bidi w:val="0"/>
        <w:spacing w:lineRule="auto" w:line="216" w:before="200" w:after="283"/>
        <w:jc w:val="both"/>
        <w:rPr>
          <w:rFonts w:ascii="Arial;sans-serif" w:hAnsi="Arial;sans-serif"/>
          <w:b w:val="false"/>
          <w:color w:val="000000"/>
          <w:sz w:val="18"/>
        </w:rPr>
      </w:pPr>
      <w:r>
        <w:rPr>
          <w:rFonts w:ascii="Arial;sans-serif" w:hAnsi="Arial;sans-serif"/>
          <w:b w:val="false"/>
          <w:color w:val="000000"/>
          <w:sz w:val="18"/>
        </w:rPr>
        <w:t>In providing forward-looking guidance for quarterly and full-year GAAP and non-GAAP measures, the Company has not included adjustments, such as acquisition-related costs, whose timing and/or magnitude are contingent on future events.</w:t>
      </w:r>
    </w:p>
    <w:p>
      <w:pPr>
        <w:pStyle w:val="TextBody"/>
        <w:bidi w:val="0"/>
        <w:spacing w:lineRule="auto" w:line="216" w:before="200" w:after="283"/>
        <w:jc w:val="both"/>
        <w:rPr>
          <w:rFonts w:ascii="Arial;sans-serif" w:hAnsi="Arial;sans-serif"/>
          <w:b w:val="false"/>
          <w:color w:val="000000"/>
          <w:sz w:val="18"/>
        </w:rPr>
      </w:pPr>
      <w:r>
        <w:rPr>
          <w:rFonts w:ascii="Arial;sans-serif" w:hAnsi="Arial;sans-serif"/>
          <w:b w:val="false"/>
          <w:color w:val="000000"/>
          <w:sz w:val="18"/>
        </w:rPr>
        <w:t>The Company believes that these measures provide useful information to investors by reflecting additional ways of viewing AMETEK’s operations that, when reconciled to the comparable GAAP measure, helps our investors to better understand the long-term profitability trends of our business, and facilitates easier comparisons of our profitability to prior and future periods and to our peers.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73760"/>
                <wp:effectExtent l="0" t="0" r="0" b="0"/>
                <wp:wrapNone/>
                <wp:docPr id="20" name="Frame9"/>
                <a:graphic xmlns:a="http://schemas.openxmlformats.org/drawingml/2006/main">
                  <a:graphicData uri="http://schemas.microsoft.com/office/word/2010/wordprocessingShape">
                    <wps:wsp>
                      <wps:cNvSpPr txBox="1"/>
                      <wps:spPr>
                        <a:xfrm>
                          <a:off x="0" y="0"/>
                          <a:ext cx="6480175" cy="873760"/>
                        </a:xfrm>
                        <a:prstGeom prst="rect"/>
                        <a:solidFill>
                          <a:srgbClr val="FFFFFF"/>
                        </a:solidFill>
                      </wps:spPr>
                      <wps:txbx>
                        <w:txbxContent>
                          <w:tbl>
                            <w:tblPr>
                              <w:tblW w:w="3445" w:type="dxa"/>
                              <w:jc w:val="left"/>
                              <w:tblInd w:w="0" w:type="dxa"/>
                              <w:tblLayout w:type="fixed"/>
                              <w:tblCellMar>
                                <w:top w:w="28" w:type="dxa"/>
                                <w:left w:w="28" w:type="dxa"/>
                                <w:bottom w:w="28" w:type="dxa"/>
                                <w:right w:w="28" w:type="dxa"/>
                              </w:tblCellMar>
                            </w:tblPr>
                            <w:tblGrid>
                              <w:gridCol w:w="304"/>
                              <w:gridCol w:w="266"/>
                              <w:gridCol w:w="269"/>
                              <w:gridCol w:w="763"/>
                              <w:gridCol w:w="763"/>
                              <w:gridCol w:w="1080"/>
                            </w:tblGrid>
                            <w:tr>
                              <w:trPr/>
                              <w:tc>
                                <w:tcPr>
                                  <w:tcW w:w="304" w:type="dxa"/>
                                  <w:tcBorders/>
                                  <w:vAlign w:val="center"/>
                                </w:tcPr>
                                <w:p>
                                  <w:pPr>
                                    <w:pStyle w:val="TableContents"/>
                                    <w:bidi w:val="0"/>
                                    <w:spacing w:before="0" w:after="283"/>
                                    <w:jc w:val="left"/>
                                    <w:rPr>
                                      <w:sz w:val="4"/>
                                      <w:szCs w:val="4"/>
                                    </w:rPr>
                                  </w:pPr>
                                  <w:r>
                                    <w:rPr>
                                      <w:sz w:val="4"/>
                                      <w:szCs w:val="4"/>
                                    </w:rPr>
                                  </w:r>
                                  <w:r>
                                    <w:br w:type="page"/>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Page | 6</w:t>
                                  </w:r>
                                </w:p>
                              </w:tc>
                              <w:tc>
                                <w:tcPr>
                                  <w:tcW w:w="26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71625" cy="390525"/>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13"/>
                                                <a:stretch>
                                                  <a:fillRect/>
                                                </a:stretch>
                                              </pic:blipFill>
                                              <pic:spPr bwMode="auto">
                                                <a:xfrm>
                                                  <a:off x="0" y="0"/>
                                                  <a:ext cx="1571625" cy="3905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8pt;mso-wrap-distance-left:0pt;mso-wrap-distance-right:0pt;mso-wrap-distance-top:0pt;mso-wrap-distance-bottom:0pt;margin-top:0pt;mso-position-vertical:top;mso-position-vertical-relative:text;margin-left:0pt;mso-position-horizontal:left;mso-position-horizontal-relative:text">
                <v:textbox>
                  <w:txbxContent>
                    <w:tbl>
                      <w:tblPr>
                        <w:tblW w:w="3445" w:type="dxa"/>
                        <w:jc w:val="left"/>
                        <w:tblInd w:w="0" w:type="dxa"/>
                        <w:tblLayout w:type="fixed"/>
                        <w:tblCellMar>
                          <w:top w:w="28" w:type="dxa"/>
                          <w:left w:w="28" w:type="dxa"/>
                          <w:bottom w:w="28" w:type="dxa"/>
                          <w:right w:w="28" w:type="dxa"/>
                        </w:tblCellMar>
                      </w:tblPr>
                      <w:tblGrid>
                        <w:gridCol w:w="304"/>
                        <w:gridCol w:w="266"/>
                        <w:gridCol w:w="269"/>
                        <w:gridCol w:w="763"/>
                        <w:gridCol w:w="763"/>
                        <w:gridCol w:w="1080"/>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Page | 6</w:t>
                            </w:r>
                          </w:p>
                        </w:tc>
                        <w:tc>
                          <w:tcPr>
                            <w:tcW w:w="26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71625" cy="390525"/>
                                  <wp:effectExtent l="0" t="0" r="0" b="0"/>
                                  <wp:docPr id="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 descr=""/>
                                          <pic:cNvPicPr>
                                            <a:picLocks noChangeAspect="1" noChangeArrowheads="1"/>
                                          </pic:cNvPicPr>
                                        </pic:nvPicPr>
                                        <pic:blipFill>
                                          <a:blip r:embed="rId14"/>
                                          <a:stretch>
                                            <a:fillRect/>
                                          </a:stretch>
                                        </pic:blipFill>
                                        <pic:spPr bwMode="auto">
                                          <a:xfrm>
                                            <a:off x="0" y="0"/>
                                            <a:ext cx="1571625" cy="3905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283"/>
        <w:ind w:left="0" w:right="0" w:firstLine="180"/>
        <w:jc w:val="center"/>
        <w:rPr>
          <w:rFonts w:ascii="Arial;sans-serif" w:hAnsi="Arial;sans-serif"/>
          <w:b/>
          <w:color w:val="000000"/>
          <w:sz w:val="20"/>
        </w:rPr>
      </w:pPr>
      <w:r>
        <w:rPr>
          <w:rFonts w:ascii="Arial;sans-serif" w:hAnsi="Arial;sans-serif"/>
          <w:b/>
          <w:color w:val="000000"/>
          <w:sz w:val="20"/>
        </w:rPr>
        <w:t>AMETEK,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Reconciliations of GAAP to Non-GAAP Financial Measures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amounts)</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(Unaudited)</w:t>
      </w:r>
    </w:p>
    <w:tbl>
      <w:tblPr>
        <w:tblW w:w="9611" w:type="dxa"/>
        <w:jc w:val="left"/>
        <w:tblInd w:w="0" w:type="dxa"/>
        <w:tblLayout w:type="fixed"/>
        <w:tblCellMar>
          <w:top w:w="28" w:type="dxa"/>
          <w:left w:w="28" w:type="dxa"/>
          <w:bottom w:w="28" w:type="dxa"/>
          <w:right w:w="28" w:type="dxa"/>
        </w:tblCellMar>
      </w:tblPr>
      <w:tblGrid>
        <w:gridCol w:w="1925"/>
        <w:gridCol w:w="1686"/>
        <w:gridCol w:w="1698"/>
        <w:gridCol w:w="295"/>
        <w:gridCol w:w="246"/>
        <w:gridCol w:w="617"/>
        <w:gridCol w:w="235"/>
        <w:gridCol w:w="235"/>
        <w:gridCol w:w="235"/>
        <w:gridCol w:w="295"/>
        <w:gridCol w:w="246"/>
        <w:gridCol w:w="617"/>
        <w:gridCol w:w="109"/>
        <w:gridCol w:w="109"/>
        <w:gridCol w:w="109"/>
        <w:gridCol w:w="218"/>
        <w:gridCol w:w="218"/>
        <w:gridCol w:w="518"/>
      </w:tblGrid>
      <w:tr>
        <w:trPr/>
        <w:tc>
          <w:tcPr>
            <w:tcW w:w="1925"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20"/>
              </w:rPr>
            </w:pPr>
            <w:r>
              <w:rPr>
                <w:rFonts w:ascii="Arial;sans-serif" w:hAnsi="Arial;sans-serif"/>
                <w:b/>
                <w:i/>
                <w:color w:val="000000"/>
                <w:sz w:val="20"/>
              </w:rPr>
              <w:t>Change</w:t>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EIG Segment operating margin (GAAP)</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28.0</w:t>
            </w:r>
            <w:r>
              <w:rPr>
                <w:color w:val="000000"/>
              </w:rPr>
              <w:t>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Acquisition-related costs</w:t>
            </w:r>
            <w:r>
              <w:rPr>
                <w:rFonts w:ascii="Arial;sans-serif" w:hAnsi="Arial;sans-serif"/>
                <w:b w:val="false"/>
                <w:color w:val="000000"/>
                <w:sz w:val="13"/>
              </w:rPr>
              <w:t>(1)</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EIG Segment operating margin (Non-GAAP)</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29.1</w:t>
            </w:r>
            <w:r>
              <w:rPr>
                <w:color w:val="000000"/>
              </w:rPr>
              <w:t>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Dilutive impact of acquisitions and foreign exchange</w:t>
            </w:r>
            <w:r>
              <w:rPr>
                <w:rFonts w:ascii="Arial;sans-serif" w:hAnsi="Arial;sans-serif"/>
                <w:b w:val="false"/>
                <w:color w:val="000000"/>
                <w:sz w:val="13"/>
              </w:rPr>
              <w:t>(2)</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EIG Segment core operating margin (Non-GAAP)</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30.1</w:t>
            </w:r>
            <w:r>
              <w:rPr>
                <w:color w:val="000000"/>
              </w:rPr>
              <w:t>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0.4 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EMG Segment operating margin (GAAP)</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26.2</w:t>
            </w:r>
            <w:r>
              <w:rPr>
                <w:color w:val="000000"/>
              </w:rPr>
              <w:t>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Acquisition-related costs</w:t>
            </w:r>
            <w:r>
              <w:rPr>
                <w:rFonts w:ascii="Arial;sans-serif" w:hAnsi="Arial;sans-serif"/>
                <w:b w:val="false"/>
                <w:color w:val="000000"/>
                <w:sz w:val="13"/>
              </w:rPr>
              <w:t>(1)</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w:t>
            </w:r>
            <w:r>
              <w:rPr>
                <w:color w:val="000000"/>
              </w:rPr>
              <w:t>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Adjusted EMG Segment operating margin (Non-GAAP) </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26.3</w:t>
            </w:r>
            <w:r>
              <w:rPr>
                <w:color w:val="000000"/>
              </w:rPr>
              <w:t>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Dilutive impact of acquisitions and foreign exchange</w:t>
            </w:r>
            <w:r>
              <w:rPr>
                <w:rFonts w:ascii="Arial;sans-serif" w:hAnsi="Arial;sans-serif"/>
                <w:b w:val="false"/>
                <w:color w:val="000000"/>
                <w:sz w:val="13"/>
              </w:rPr>
              <w:t>(2)</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EMG Segment core operating margin (Non-GAAP)</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26.2</w:t>
            </w:r>
            <w:r>
              <w:rPr>
                <w:color w:val="000000"/>
              </w:rPr>
              <w:t>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2.9 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margin (GAAP)</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25.8</w:t>
            </w:r>
            <w:r>
              <w:rPr>
                <w:color w:val="000000"/>
              </w:rPr>
              <w:t>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Acquisition-related costs</w:t>
            </w:r>
            <w:r>
              <w:rPr>
                <w:rFonts w:ascii="Arial;sans-serif" w:hAnsi="Arial;sans-serif"/>
                <w:b w:val="false"/>
                <w:color w:val="000000"/>
                <w:sz w:val="13"/>
              </w:rPr>
              <w:t>(1)</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0.8</w:t>
            </w:r>
            <w:r>
              <w:rPr>
                <w:color w:val="000000"/>
              </w:rPr>
              <w:t>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Adjusted operating income margin (Non-GAAP) </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26.6</w:t>
            </w:r>
            <w:r>
              <w:rPr>
                <w:color w:val="000000"/>
              </w:rPr>
              <w:t>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Dilutive impact of acquisitions and foreign exchange</w:t>
            </w:r>
            <w:r>
              <w:rPr>
                <w:rFonts w:ascii="Arial;sans-serif" w:hAnsi="Arial;sans-serif"/>
                <w:b w:val="false"/>
                <w:color w:val="000000"/>
                <w:sz w:val="13"/>
              </w:rPr>
              <w:t>(2)</w:t>
            </w:r>
            <w:r>
              <w:rPr>
                <w:color w:val="000000"/>
              </w:rPr>
              <w:t xml:space="preserve"> </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0.5</w:t>
            </w:r>
            <w:r>
              <w:rPr>
                <w:color w:val="000000"/>
              </w:rPr>
              <w:t>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core operating income margin (Non-GAAP)</w:t>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27.1</w:t>
            </w:r>
            <w:r>
              <w:rPr>
                <w:color w:val="000000"/>
              </w:rPr>
              <w:t> </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1.1 </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r>
    </w:tbl>
    <w:p>
      <w:pPr>
        <w:pStyle w:val="TextBody"/>
        <w:bidi w:val="0"/>
        <w:spacing w:lineRule="auto" w:line="288" w:before="0" w:after="60"/>
        <w:ind w:left="0" w:right="0" w:hanging="450"/>
        <w:jc w:val="both"/>
        <w:rPr>
          <w:rFonts w:ascii="Arial;sans-serif" w:hAnsi="Arial;sans-serif"/>
          <w:b w:val="false"/>
          <w:color w:val="000000"/>
          <w:sz w:val="18"/>
        </w:rPr>
      </w:pPr>
      <w:r>
        <w:rPr>
          <w:rFonts w:ascii="Arial;sans-serif" w:hAnsi="Arial;sans-serif"/>
          <w:b w:val="false"/>
          <w:color w:val="000000"/>
          <w:sz w:val="18"/>
        </w:rPr>
        <w:t>______________________</w:t>
      </w:r>
    </w:p>
    <w:p>
      <w:pPr>
        <w:pStyle w:val="TextBody"/>
        <w:bidi w:val="0"/>
        <w:spacing w:lineRule="auto" w:line="288" w:before="0" w:after="60"/>
        <w:ind w:left="0" w:right="0" w:hanging="450"/>
        <w:jc w:val="both"/>
        <w:rPr>
          <w:rFonts w:ascii="Arial;sans-serif" w:hAnsi="Arial;sans-serif"/>
          <w:b w:val="false"/>
          <w:color w:val="000000"/>
          <w:sz w:val="18"/>
        </w:rPr>
      </w:pPr>
      <w:r>
        <w:rPr>
          <w:rFonts w:ascii="Arial;sans-serif" w:hAnsi="Arial;sans-serif"/>
          <w:b w:val="false"/>
          <w:color w:val="000000"/>
          <w:sz w:val="18"/>
        </w:rPr>
        <w:t>(1) - Acquisition-related costs comprise integration costs in Cost of Sales and one-time Indicor bridge financing fees in interest expense.</w:t>
      </w:r>
    </w:p>
    <w:p>
      <w:pPr>
        <w:pStyle w:val="TextBody"/>
        <w:bidi w:val="0"/>
        <w:spacing w:lineRule="auto" w:line="288" w:before="0" w:after="60"/>
        <w:ind w:left="0" w:right="0" w:hanging="450"/>
        <w:jc w:val="both"/>
        <w:rPr>
          <w:rFonts w:ascii="Arial;sans-serif" w:hAnsi="Arial;sans-serif"/>
          <w:b w:val="false"/>
          <w:color w:val="000000"/>
          <w:sz w:val="18"/>
        </w:rPr>
      </w:pPr>
      <w:r>
        <w:rPr>
          <w:rFonts w:ascii="Arial;sans-serif" w:hAnsi="Arial;sans-serif"/>
          <w:b w:val="false"/>
          <w:color w:val="000000"/>
          <w:sz w:val="18"/>
        </w:rPr>
        <w:t>(2) - Operating income margins adjusted for dilutive impact from acquisitions completed in the last twelve months and the foreign exchange gain or loss.</w:t>
      </w:r>
    </w:p>
    <w:p>
      <w:pPr>
        <w:pStyle w:val="TextBody"/>
        <w:bidi w:val="0"/>
        <w:spacing w:lineRule="auto" w:line="288" w:before="0" w:after="60"/>
        <w:ind w:left="0" w:right="0" w:hanging="450"/>
        <w:jc w:val="center"/>
        <w:rPr>
          <w:rFonts w:ascii="Arial;sans-serif" w:hAnsi="Arial;sans-serif"/>
          <w:b/>
          <w:color w:val="000000"/>
          <w:sz w:val="18"/>
        </w:rPr>
      </w:pPr>
      <w:r>
        <w:rPr>
          <w:rFonts w:ascii="Arial;sans-serif" w:hAnsi="Arial;sans-serif"/>
          <w:b/>
          <w:color w:val="000000"/>
          <w:sz w:val="18"/>
        </w:rPr>
        <w:t>Use of Non-GAAP Financial Information</w:t>
      </w:r>
    </w:p>
    <w:p>
      <w:pPr>
        <w:pStyle w:val="TextBody"/>
        <w:bidi w:val="0"/>
        <w:spacing w:lineRule="auto" w:line="288" w:before="200" w:after="283"/>
        <w:jc w:val="both"/>
        <w:rPr>
          <w:rFonts w:ascii="Arial;sans-serif" w:hAnsi="Arial;sans-serif"/>
          <w:b w:val="false"/>
          <w:color w:val="000000"/>
          <w:sz w:val="18"/>
        </w:rPr>
      </w:pPr>
      <w:r>
        <w:rPr>
          <w:rFonts w:ascii="Arial;sans-serif" w:hAnsi="Arial;sans-serif"/>
          <w:b w:val="false"/>
          <w:color w:val="000000"/>
          <w:sz w:val="18"/>
        </w:rPr>
        <w:t>The Company supplements its consolidated financial statements presented on a U.S. generally accepted accounting principles (“GAAP”) basis with certain non-GAAP financial information to provide investors with greater insight, increased transparency and allow for a more comprehensive understanding of the information used by management in its financial and operational decision-making. Reconciliation of non-GAAP measures to their most directly comparable GAAP measures are included in the accompanying financial tables. These non-GAAP financial measures should be considered in addition to, and not as a replacement for, or superior to, the comparable GAAP measure, and may not be comparable to similarly titled measures reported by other companies.</w:t>
      </w:r>
    </w:p>
    <w:p>
      <w:pPr>
        <w:pStyle w:val="TextBody"/>
        <w:bidi w:val="0"/>
        <w:spacing w:lineRule="auto" w:line="288" w:before="200" w:after="283"/>
        <w:jc w:val="both"/>
        <w:rPr>
          <w:rFonts w:ascii="Arial;sans-serif" w:hAnsi="Arial;sans-serif"/>
          <w:b w:val="false"/>
          <w:color w:val="000000"/>
          <w:sz w:val="18"/>
        </w:rPr>
      </w:pPr>
      <w:r>
        <w:rPr>
          <w:rFonts w:ascii="Arial;sans-serif" w:hAnsi="Arial;sans-serif"/>
          <w:b w:val="false"/>
          <w:color w:val="000000"/>
          <w:sz w:val="18"/>
        </w:rPr>
        <w:t>The non-GAAP financial measures referenced in this press release include adjusted operating income, adjusted operating margin, and adjusted earnings per share. These measures are adjusted to exclude items that management does not consider indicative of AMETEK’s ongoing operational performance, such as after-tax acquisition-related intangible amortization, one-time acquisition-related costs (including transaction related costs, purchase accounting adjustments, and integration related costs).</w:t>
      </w:r>
    </w:p>
    <w:p>
      <w:pPr>
        <w:pStyle w:val="TextBody"/>
        <w:bidi w:val="0"/>
        <w:spacing w:lineRule="auto" w:line="288" w:before="200" w:after="283"/>
        <w:jc w:val="both"/>
        <w:rPr>
          <w:rFonts w:ascii="Arial;sans-serif" w:hAnsi="Arial;sans-serif"/>
          <w:b w:val="false"/>
          <w:color w:val="000000"/>
          <w:sz w:val="18"/>
        </w:rPr>
      </w:pPr>
      <w:r>
        <w:rPr>
          <w:rFonts w:ascii="Arial;sans-serif" w:hAnsi="Arial;sans-serif"/>
          <w:b w:val="false"/>
          <w:color w:val="000000"/>
          <w:sz w:val="18"/>
        </w:rPr>
        <w:t>In providing forward-looking guidance for quarterly and full-year GAAP and non-GAAP measures, the Company has not included adjustments, such as acquisition-related costs, whose timing and/or magnitude are contingent on future events.</w:t>
      </w:r>
    </w:p>
    <w:p>
      <w:pPr>
        <w:pStyle w:val="TextBody"/>
        <w:bidi w:val="0"/>
        <w:spacing w:lineRule="auto" w:line="288" w:before="200" w:after="283"/>
        <w:jc w:val="both"/>
        <w:rPr>
          <w:rFonts w:ascii="Arial;sans-serif" w:hAnsi="Arial;sans-serif"/>
          <w:b w:val="false"/>
          <w:color w:val="000000"/>
          <w:sz w:val="18"/>
        </w:rPr>
      </w:pPr>
      <w:r>
        <w:rPr>
          <w:rFonts w:ascii="Arial;sans-serif" w:hAnsi="Arial;sans-serif"/>
          <w:b w:val="false"/>
          <w:color w:val="000000"/>
          <w:sz w:val="18"/>
        </w:rPr>
        <w:t>The Company believes that these measures provide useful information to investors by reflecting additional ways of viewing AMETEK’s operations that, when reconciled to the comparable GAAP measure, helps our investors to better understand the long-term profitability trends of our business, and facilitates easier comparisons of our profitability to prior and future periods and to our peers.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873760"/>
                <wp:effectExtent l="0" t="0" r="0" b="0"/>
                <wp:wrapNone/>
                <wp:docPr id="23" name="Frame10"/>
                <a:graphic xmlns:a="http://schemas.openxmlformats.org/drawingml/2006/main">
                  <a:graphicData uri="http://schemas.microsoft.com/office/word/2010/wordprocessingShape">
                    <wps:wsp>
                      <wps:cNvSpPr txBox="1"/>
                      <wps:spPr>
                        <a:xfrm>
                          <a:off x="0" y="0"/>
                          <a:ext cx="6480175" cy="873760"/>
                        </a:xfrm>
                        <a:prstGeom prst="rect"/>
                        <a:solidFill>
                          <a:srgbClr val="FFFFFF"/>
                        </a:solidFill>
                      </wps:spPr>
                      <wps:txbx>
                        <w:txbxContent>
                          <w:tbl>
                            <w:tblPr>
                              <w:tblW w:w="3445" w:type="dxa"/>
                              <w:jc w:val="left"/>
                              <w:tblInd w:w="0" w:type="dxa"/>
                              <w:tblLayout w:type="fixed"/>
                              <w:tblCellMar>
                                <w:top w:w="28" w:type="dxa"/>
                                <w:left w:w="28" w:type="dxa"/>
                                <w:bottom w:w="28" w:type="dxa"/>
                                <w:right w:w="28" w:type="dxa"/>
                              </w:tblCellMar>
                            </w:tblPr>
                            <w:tblGrid>
                              <w:gridCol w:w="304"/>
                              <w:gridCol w:w="266"/>
                              <w:gridCol w:w="269"/>
                              <w:gridCol w:w="763"/>
                              <w:gridCol w:w="763"/>
                              <w:gridCol w:w="1080"/>
                            </w:tblGrid>
                            <w:tr>
                              <w:trPr/>
                              <w:tc>
                                <w:tcPr>
                                  <w:tcW w:w="304" w:type="dxa"/>
                                  <w:tcBorders/>
                                  <w:vAlign w:val="center"/>
                                </w:tcPr>
                                <w:p>
                                  <w:pPr>
                                    <w:pStyle w:val="TableContents"/>
                                    <w:bidi w:val="0"/>
                                    <w:spacing w:before="0" w:after="283"/>
                                    <w:jc w:val="left"/>
                                    <w:rPr>
                                      <w:sz w:val="4"/>
                                      <w:szCs w:val="4"/>
                                    </w:rPr>
                                  </w:pPr>
                                  <w:r>
                                    <w:rPr>
                                      <w:sz w:val="4"/>
                                      <w:szCs w:val="4"/>
                                    </w:rPr>
                                  </w:r>
                                  <w:r>
                                    <w:br w:type="page"/>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Page | 7</w:t>
                                  </w:r>
                                </w:p>
                              </w:tc>
                              <w:tc>
                                <w:tcPr>
                                  <w:tcW w:w="26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71625" cy="390525"/>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15"/>
                                                <a:stretch>
                                                  <a:fillRect/>
                                                </a:stretch>
                                              </pic:blipFill>
                                              <pic:spPr bwMode="auto">
                                                <a:xfrm>
                                                  <a:off x="0" y="0"/>
                                                  <a:ext cx="1571625" cy="3905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8pt;mso-wrap-distance-left:0pt;mso-wrap-distance-right:0pt;mso-wrap-distance-top:0pt;mso-wrap-distance-bottom:0pt;margin-top:0pt;mso-position-vertical:top;mso-position-vertical-relative:text;margin-left:0pt;mso-position-horizontal:left;mso-position-horizontal-relative:text">
                <v:textbox>
                  <w:txbxContent>
                    <w:tbl>
                      <w:tblPr>
                        <w:tblW w:w="3445" w:type="dxa"/>
                        <w:jc w:val="left"/>
                        <w:tblInd w:w="0" w:type="dxa"/>
                        <w:tblLayout w:type="fixed"/>
                        <w:tblCellMar>
                          <w:top w:w="28" w:type="dxa"/>
                          <w:left w:w="28" w:type="dxa"/>
                          <w:bottom w:w="28" w:type="dxa"/>
                          <w:right w:w="28" w:type="dxa"/>
                        </w:tblCellMar>
                      </w:tblPr>
                      <w:tblGrid>
                        <w:gridCol w:w="304"/>
                        <w:gridCol w:w="266"/>
                        <w:gridCol w:w="269"/>
                        <w:gridCol w:w="763"/>
                        <w:gridCol w:w="763"/>
                        <w:gridCol w:w="1080"/>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Page | 7</w:t>
                            </w:r>
                          </w:p>
                        </w:tc>
                        <w:tc>
                          <w:tcPr>
                            <w:tcW w:w="26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71625" cy="390525"/>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16"/>
                                          <a:stretch>
                                            <a:fillRect/>
                                          </a:stretch>
                                        </pic:blipFill>
                                        <pic:spPr bwMode="auto">
                                          <a:xfrm>
                                            <a:off x="0" y="0"/>
                                            <a:ext cx="1571625" cy="3905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5603" w:type="dxa"/>
        <w:jc w:val="left"/>
        <w:tblInd w:w="0" w:type="dxa"/>
        <w:tblLayout w:type="fixed"/>
        <w:tblCellMar>
          <w:top w:w="28" w:type="dxa"/>
          <w:left w:w="28" w:type="dxa"/>
          <w:bottom w:w="28" w:type="dxa"/>
          <w:right w:w="28" w:type="dxa"/>
        </w:tblCellMar>
      </w:tblPr>
      <w:tblGrid>
        <w:gridCol w:w="296"/>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367"/>
      </w:tblGrid>
      <w:tr>
        <w:trPr/>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56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AMETEK, Inc.</w:t>
            </w:r>
          </w:p>
        </w:tc>
      </w:tr>
      <w:tr>
        <w:trPr/>
        <w:tc>
          <w:tcPr>
            <w:tcW w:w="56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Reconciliations of GAAP to Non-GAAP Financial Measures</w:t>
            </w:r>
          </w:p>
        </w:tc>
      </w:tr>
      <w:tr>
        <w:trPr/>
        <w:tc>
          <w:tcPr>
            <w:tcW w:w="816" w:type="dxa"/>
            <w:gridSpan w:val="3"/>
            <w:tcBorders/>
            <w:vAlign w:val="center"/>
          </w:tcPr>
          <w:p>
            <w:pPr>
              <w:pStyle w:val="TableContents"/>
              <w:bidi w:val="0"/>
              <w:spacing w:before="0" w:after="283"/>
              <w:jc w:val="left"/>
              <w:rPr>
                <w:sz w:val="4"/>
                <w:szCs w:val="4"/>
              </w:rPr>
            </w:pPr>
            <w:r>
              <w:rPr>
                <w:sz w:val="4"/>
                <w:szCs w:val="4"/>
              </w:rPr>
            </w:r>
          </w:p>
        </w:tc>
        <w:tc>
          <w:tcPr>
            <w:tcW w:w="4787" w:type="dxa"/>
            <w:gridSpan w:val="18"/>
            <w:tcBorders/>
          </w:tcPr>
          <w:p>
            <w:pPr>
              <w:pStyle w:val="TableContents"/>
              <w:bidi w:val="0"/>
              <w:spacing w:before="0" w:after="283"/>
              <w:jc w:val="left"/>
              <w:rPr>
                <w:sz w:val="4"/>
                <w:szCs w:val="4"/>
              </w:rPr>
            </w:pPr>
            <w:r>
              <w:rPr>
                <w:sz w:val="4"/>
                <w:szCs w:val="4"/>
              </w:rPr>
            </w:r>
          </w:p>
        </w:tc>
      </w:tr>
      <w:tr>
        <w:trPr/>
        <w:tc>
          <w:tcPr>
            <w:tcW w:w="56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(Unaudited)</w:t>
            </w:r>
          </w:p>
        </w:tc>
      </w:tr>
    </w:tbl>
    <w:tbl>
      <w:tblPr>
        <w:tblW w:w="10205" w:type="dxa"/>
        <w:jc w:val="left"/>
        <w:tblInd w:w="0" w:type="dxa"/>
        <w:tblLayout w:type="fixed"/>
        <w:tblCellMar>
          <w:top w:w="28" w:type="dxa"/>
          <w:left w:w="28" w:type="dxa"/>
          <w:bottom w:w="28" w:type="dxa"/>
          <w:right w:w="28" w:type="dxa"/>
        </w:tblCellMar>
      </w:tblPr>
      <w:tblGrid>
        <w:gridCol w:w="2165"/>
        <w:gridCol w:w="1779"/>
        <w:gridCol w:w="1790"/>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55"/>
      </w:tblGrid>
      <w:tr>
        <w:trPr/>
        <w:tc>
          <w:tcPr>
            <w:tcW w:w="2165"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Forecasted Diluted Earnings Per Share</w:t>
            </w:r>
          </w:p>
        </w:tc>
      </w:tr>
      <w:tr>
        <w:trPr/>
        <w:tc>
          <w:tcPr>
            <w:tcW w:w="5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w:t>
            </w:r>
          </w:p>
        </w:tc>
      </w:tr>
      <w:tr>
        <w:trPr/>
        <w:tc>
          <w:tcPr>
            <w:tcW w:w="5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31,2026</w:t>
            </w:r>
          </w:p>
        </w:tc>
      </w:tr>
      <w:tr>
        <w:trPr/>
        <w:tc>
          <w:tcPr>
            <w:tcW w:w="5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High</w:t>
            </w:r>
          </w:p>
        </w:tc>
      </w:tr>
      <w:tr>
        <w:trPr/>
        <w:tc>
          <w:tcPr>
            <w:tcW w:w="5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7.29</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Pretax amortization of acquisition-related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on amortization of acquisition-related intangible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(0.30)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Acquisition-related costs</w:t>
            </w:r>
            <w:r>
              <w:rPr>
                <w:rFonts w:ascii="Arial;sans-serif" w:hAnsi="Arial;sans-serif"/>
                <w:b w:val="false"/>
                <w:color w:val="000000"/>
                <w:sz w:val="13"/>
              </w:rPr>
              <w:t>(3)</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0.12</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Income tax benefit on acquisition-related costs</w:t>
            </w:r>
            <w:r>
              <w:rPr>
                <w:rFonts w:ascii="Arial;sans-serif" w:hAnsi="Arial;sans-serif"/>
                <w:b w:val="false"/>
                <w:color w:val="000000"/>
                <w:sz w:val="13"/>
              </w:rPr>
              <w:t>(3)</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Diluted earnings per share (Non-GAAP)</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8.30</w:t>
            </w:r>
            <w:r>
              <w:rPr>
                <w:color w:val="000000"/>
              </w:rPr>
              <w:t>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______________________</w:t>
      </w:r>
    </w:p>
    <w:p>
      <w:pPr>
        <w:pStyle w:val="TextBody"/>
        <w:bidi w:val="0"/>
        <w:spacing w:lineRule="auto" w:line="288" w:before="0" w:after="60"/>
        <w:ind w:left="0" w:right="0" w:hanging="450"/>
        <w:jc w:val="both"/>
        <w:rPr>
          <w:rFonts w:ascii="Arial;sans-serif" w:hAnsi="Arial;sans-serif"/>
          <w:b w:val="false"/>
          <w:color w:val="000000"/>
          <w:sz w:val="18"/>
        </w:rPr>
      </w:pPr>
      <w:r>
        <w:rPr>
          <w:rFonts w:ascii="Arial;sans-serif" w:hAnsi="Arial;sans-serif"/>
          <w:b w:val="false"/>
          <w:color w:val="000000"/>
          <w:sz w:val="18"/>
        </w:rPr>
        <w:t>(3) - In providing forward-looking guidance for quarterly and full-year GAAP and non-GAAP measures, the Company has not included adjustments, such as acquisition-related costs, whose timing and/or magnitude are contingent on future events. Acquisition-related costs reflected in the table above are actual June 30, 2026 year-to-date adjustments.</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Use of Non-GAAP Financial Information</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Company supplements its consolidated financial statements presented on a U.S. generally accepted accounting principles (“GAAP”) basis with certain non-GAAP financial information to provide investors with greater insight, increased transparency and allow for a more comprehensive understanding of the information used by management in its financial and operational decision-making. Reconciliation of non-GAAP measures to their most directly comparable GAAP measures are included in the accompanying financial tables. These non-GAAP financial measures should be considered in addition to, and not as a replacement for, or superior to, the comparable GAAP measure, and may not be comparable to similarly titled measures reported by other companies.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non-GAAP financial measures referenced in this press release include adjusted operating income, adjusted operating margin, and adjusted earnings per share. These measures are adjusted to exclude items that management does not consider indicative of AMETEK’s ongoing operational performance, such as after-tax acquisition-related intangible amortization, one-time acquisition-related costs (including transaction related costs, purchase accounting adjustments, and integration related costs).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 providing forward-looking guidance for quarterly and full-year GAAP and non-GAAP measures, the Company has not included adjustments, such as acquisition-related costs, whose timing and/or magnitude are contingent on future events.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Company believes that these measures provide useful information to investors by reflecting additional ways of viewing AMETEK’s operations that, when reconciled to the comparable GAAP measure, helps our investors to better understand the long-term profitability trends of our business, and facilitates easier comparisons of our profitability to prior and future periods and to our peers.</w:t>
      </w:r>
    </w:p>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873760"/>
                <wp:effectExtent l="0" t="0" r="0" b="0"/>
                <wp:wrapNone/>
                <wp:docPr id="26" name="Frame11"/>
                <a:graphic xmlns:a="http://schemas.openxmlformats.org/drawingml/2006/main">
                  <a:graphicData uri="http://schemas.microsoft.com/office/word/2010/wordprocessingShape">
                    <wps:wsp>
                      <wps:cNvSpPr txBox="1"/>
                      <wps:spPr>
                        <a:xfrm>
                          <a:off x="0" y="0"/>
                          <a:ext cx="6480175" cy="873760"/>
                        </a:xfrm>
                        <a:prstGeom prst="rect"/>
                        <a:solidFill>
                          <a:srgbClr val="FFFFFF"/>
                        </a:solidFill>
                      </wps:spPr>
                      <wps:txbx>
                        <w:txbxContent>
                          <w:tbl>
                            <w:tblPr>
                              <w:tblW w:w="3445" w:type="dxa"/>
                              <w:jc w:val="left"/>
                              <w:tblInd w:w="0" w:type="dxa"/>
                              <w:tblLayout w:type="fixed"/>
                              <w:tblCellMar>
                                <w:top w:w="28" w:type="dxa"/>
                                <w:left w:w="28" w:type="dxa"/>
                                <w:bottom w:w="28" w:type="dxa"/>
                                <w:right w:w="28" w:type="dxa"/>
                              </w:tblCellMar>
                            </w:tblPr>
                            <w:tblGrid>
                              <w:gridCol w:w="304"/>
                              <w:gridCol w:w="266"/>
                              <w:gridCol w:w="269"/>
                              <w:gridCol w:w="763"/>
                              <w:gridCol w:w="763"/>
                              <w:gridCol w:w="1080"/>
                            </w:tblGrid>
                            <w:tr>
                              <w:trPr/>
                              <w:tc>
                                <w:tcPr>
                                  <w:tcW w:w="304" w:type="dxa"/>
                                  <w:tcBorders/>
                                  <w:vAlign w:val="center"/>
                                </w:tcPr>
                                <w:p>
                                  <w:pPr>
                                    <w:pStyle w:val="TableContents"/>
                                    <w:bidi w:val="0"/>
                                    <w:spacing w:before="0" w:after="283"/>
                                    <w:jc w:val="left"/>
                                    <w:rPr>
                                      <w:sz w:val="4"/>
                                      <w:szCs w:val="4"/>
                                    </w:rPr>
                                  </w:pPr>
                                  <w:r>
                                    <w:rPr>
                                      <w:sz w:val="4"/>
                                      <w:szCs w:val="4"/>
                                    </w:rPr>
                                  </w:r>
                                  <w:r>
                                    <w:br w:type="page"/>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Page | 8</w:t>
                                  </w:r>
                                </w:p>
                              </w:tc>
                              <w:tc>
                                <w:tcPr>
                                  <w:tcW w:w="26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71625" cy="390525"/>
                                        <wp:effectExtent l="0" t="0" r="0" b="0"/>
                                        <wp:docPr id="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9" descr=""/>
                                                <pic:cNvPicPr>
                                                  <a:picLocks noChangeAspect="1" noChangeArrowheads="1"/>
                                                </pic:cNvPicPr>
                                              </pic:nvPicPr>
                                              <pic:blipFill>
                                                <a:blip r:embed="rId17"/>
                                                <a:stretch>
                                                  <a:fillRect/>
                                                </a:stretch>
                                              </pic:blipFill>
                                              <pic:spPr bwMode="auto">
                                                <a:xfrm>
                                                  <a:off x="0" y="0"/>
                                                  <a:ext cx="1571625" cy="3905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8pt;mso-wrap-distance-left:0pt;mso-wrap-distance-right:0pt;mso-wrap-distance-top:0pt;mso-wrap-distance-bottom:0pt;margin-top:0pt;mso-position-vertical:top;mso-position-vertical-relative:text;margin-left:0pt;mso-position-horizontal:left;mso-position-horizontal-relative:text">
                <v:textbox>
                  <w:txbxContent>
                    <w:tbl>
                      <w:tblPr>
                        <w:tblW w:w="3445" w:type="dxa"/>
                        <w:jc w:val="left"/>
                        <w:tblInd w:w="0" w:type="dxa"/>
                        <w:tblLayout w:type="fixed"/>
                        <w:tblCellMar>
                          <w:top w:w="28" w:type="dxa"/>
                          <w:left w:w="28" w:type="dxa"/>
                          <w:bottom w:w="28" w:type="dxa"/>
                          <w:right w:w="28" w:type="dxa"/>
                        </w:tblCellMar>
                      </w:tblPr>
                      <w:tblGrid>
                        <w:gridCol w:w="304"/>
                        <w:gridCol w:w="266"/>
                        <w:gridCol w:w="269"/>
                        <w:gridCol w:w="763"/>
                        <w:gridCol w:w="763"/>
                        <w:gridCol w:w="1080"/>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Page | 8</w:t>
                            </w:r>
                          </w:p>
                        </w:tc>
                        <w:tc>
                          <w:tcPr>
                            <w:tcW w:w="26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71625" cy="390525"/>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8"/>
                                          <a:stretch>
                                            <a:fillRect/>
                                          </a:stretch>
                                        </pic:blipFill>
                                        <pic:spPr bwMode="auto">
                                          <a:xfrm>
                                            <a:off x="0" y="0"/>
                                            <a:ext cx="1571625" cy="3905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2.png"/><Relationship Id="rId5" Type="http://schemas.openxmlformats.org/officeDocument/2006/relationships/image" Target="media/image2.png"/><Relationship Id="rId6" Type="http://schemas.openxmlformats.org/officeDocument/2006/relationships/image" Target="media/image2.png"/><Relationship Id="rId7" Type="http://schemas.openxmlformats.org/officeDocument/2006/relationships/image" Target="media/image2.png"/><Relationship Id="rId8" Type="http://schemas.openxmlformats.org/officeDocument/2006/relationships/image" Target="media/image2.png"/><Relationship Id="rId9" Type="http://schemas.openxmlformats.org/officeDocument/2006/relationships/image" Target="media/image2.png"/><Relationship Id="rId10" Type="http://schemas.openxmlformats.org/officeDocument/2006/relationships/image" Target="media/image2.png"/><Relationship Id="rId11" Type="http://schemas.openxmlformats.org/officeDocument/2006/relationships/image" Target="media/image2.png"/><Relationship Id="rId12" Type="http://schemas.openxmlformats.org/officeDocument/2006/relationships/image" Target="media/image2.png"/><Relationship Id="rId13" Type="http://schemas.openxmlformats.org/officeDocument/2006/relationships/image" Target="media/image2.png"/><Relationship Id="rId14" Type="http://schemas.openxmlformats.org/officeDocument/2006/relationships/image" Target="media/image2.png"/><Relationship Id="rId15" Type="http://schemas.openxmlformats.org/officeDocument/2006/relationships/image" Target="media/image2.png"/><Relationship Id="rId16" Type="http://schemas.openxmlformats.org/officeDocument/2006/relationships/image" Target="media/image2.png"/><Relationship Id="rId17" Type="http://schemas.openxmlformats.org/officeDocument/2006/relationships/image" Target="media/image2.png"/><Relationship Id="rId18" Type="http://schemas.openxmlformats.org/officeDocument/2006/relationships/image" Target="media/image2.pn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3272</Words>
  <Characters>19369</Characters>
  <CharactersWithSpaces>22367</CharactersWithSpaces>
  <Paragraphs>623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