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4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9"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AMETEK,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incorporation or organization)</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1100 Cassatt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Identification No.)</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19312-1177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47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46"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233" w:right="339" w:bottom="28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AME</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number of shares of the registrant’s common stock outstanding as of the latest practicable date was: Common Stock, $0.01 Par Value, outstanding at July 30, 2021 was 231,205,619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340"/>
              <w:spacing w:after="0"/>
              <w:rPr>
                <w:sz w:val="20"/>
                <w:szCs w:val="20"/>
                <w:color w:val="auto"/>
              </w:rPr>
            </w:pPr>
            <w:r>
              <w:rPr>
                <w:rFonts w:ascii="Arial" w:cs="Arial" w:eastAsia="Arial" w:hAnsi="Arial"/>
                <w:sz w:val="14"/>
                <w:szCs w:val="14"/>
                <w:b w:val="1"/>
                <w:bCs w:val="1"/>
                <w:color w:val="auto"/>
              </w:rPr>
              <w:t>Page</w:t>
            </w:r>
          </w:p>
        </w:tc>
      </w:tr>
      <w:tr>
        <w:trPr>
          <w:trHeight w:val="270"/>
        </w:trPr>
        <w:tc>
          <w:tcPr>
            <w:tcW w:w="20" w:type="dxa"/>
            <w:vAlign w:val="bottom"/>
          </w:tcPr>
          <w:p>
            <w:pPr>
              <w:spacing w:after="0"/>
              <w:rPr>
                <w:sz w:val="23"/>
                <w:szCs w:val="23"/>
                <w:color w:val="auto"/>
              </w:rPr>
            </w:pPr>
          </w:p>
        </w:tc>
        <w:tc>
          <w:tcPr>
            <w:tcW w:w="9620" w:type="dxa"/>
            <w:vAlign w:val="bottom"/>
            <w:gridSpan w:val="18"/>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980" w:type="dxa"/>
            <w:vAlign w:val="bottom"/>
            <w:tcBorders>
              <w:top w:val="single" w:sz="8" w:color="auto"/>
            </w:tcBorders>
          </w:tcPr>
          <w:p>
            <w:pPr>
              <w:spacing w:after="0"/>
              <w:rPr>
                <w:sz w:val="23"/>
                <w:szCs w:val="23"/>
                <w:color w:val="auto"/>
              </w:rPr>
            </w:pPr>
          </w:p>
        </w:tc>
        <w:tc>
          <w:tcPr>
            <w:tcW w:w="620" w:type="dxa"/>
            <w:vAlign w:val="bottom"/>
          </w:tcPr>
          <w:p>
            <w:pPr>
              <w:spacing w:after="0"/>
              <w:rPr>
                <w:sz w:val="23"/>
                <w:szCs w:val="23"/>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1.Financial Statements</w:t>
              </w:r>
            </w:hyperlink>
          </w:p>
        </w:tc>
        <w:tc>
          <w:tcPr>
            <w:tcW w:w="6560" w:type="dxa"/>
            <w:vAlign w:val="bottom"/>
            <w:gridSpan w:val="9"/>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 of Income for the three and six months ended June 30, 2021 and 2020</w:t>
              </w:r>
            </w:hyperlink>
          </w:p>
        </w:tc>
        <w:tc>
          <w:tcPr>
            <w:tcW w:w="2180" w:type="dxa"/>
            <w:vAlign w:val="bottom"/>
            <w:gridSpan w:val="4"/>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6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 of Comprehensive Income for the three and six months ended June 30, 2021 and 2020</w:t>
              </w:r>
            </w:hyperlink>
          </w:p>
        </w:tc>
        <w:tc>
          <w:tcPr>
            <w:tcW w:w="160" w:type="dxa"/>
            <w:vAlign w:val="bottom"/>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6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6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Balance Sheet at June 30, 2021 and December 31, 2020</w:t>
              </w:r>
            </w:hyperlink>
          </w:p>
        </w:tc>
        <w:tc>
          <w:tcPr>
            <w:tcW w:w="9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6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6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 of Stockholders’ Equity for the three and six months ended June 30, 2021 and 2020</w:t>
              </w:r>
            </w:hyperlink>
          </w:p>
        </w:tc>
        <w:tc>
          <w:tcPr>
            <w:tcW w:w="9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6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tcBorders>
              <w:top w:val="single" w:sz="8" w:color="0000FF"/>
            </w:tcBorders>
            <w:gridSpan w:val="14"/>
          </w:tcPr>
          <w:p>
            <w:pPr>
              <w:spacing w:after="0"/>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 Statement of Cash Flows for the six months ended June 30, 2021 and 2020</w:t>
              </w:r>
            </w:hyperlink>
          </w:p>
        </w:tc>
        <w:tc>
          <w:tcPr>
            <w:tcW w:w="1200" w:type="dxa"/>
            <w:vAlign w:val="bottom"/>
            <w:gridSpan w:val="2"/>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6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20" w:type="dxa"/>
            <w:vAlign w:val="bottom"/>
            <w:tcBorders>
              <w:top w:val="single" w:sz="8" w:color="0000FF"/>
            </w:tcBorders>
            <w:gridSpan w:val="13"/>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w:t>
              </w:r>
            </w:hyperlink>
          </w:p>
        </w:tc>
        <w:tc>
          <w:tcPr>
            <w:tcW w:w="1740" w:type="dxa"/>
            <w:vAlign w:val="bottom"/>
            <w:gridSpan w:val="3"/>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6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2.Management’s Discussion and Analysis of Financial Condition and Results of Operations</w:t>
              </w:r>
            </w:hyperlink>
          </w:p>
        </w:tc>
        <w:tc>
          <w:tcPr>
            <w:tcW w:w="2200" w:type="dxa"/>
            <w:vAlign w:val="bottom"/>
            <w:gridSpan w:val="5"/>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22</w:t>
              </w:r>
            </w:hyperlink>
          </w:p>
        </w:tc>
        <w:tc>
          <w:tcPr>
            <w:tcW w:w="6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Item 4.Controls and Procedures</w:t>
              </w:r>
            </w:hyperlink>
          </w:p>
        </w:tc>
        <w:tc>
          <w:tcPr>
            <w:tcW w:w="6880" w:type="dxa"/>
            <w:vAlign w:val="bottom"/>
            <w:gridSpan w:val="11"/>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620" w:type="dxa"/>
            <w:vAlign w:val="bottom"/>
          </w:tcPr>
          <w:p>
            <w:pPr>
              <w:spacing w:after="0"/>
              <w:rPr>
                <w:sz w:val="18"/>
                <w:szCs w:val="18"/>
                <w:color w:val="auto"/>
              </w:rPr>
            </w:pPr>
          </w:p>
        </w:tc>
      </w:tr>
      <w:tr>
        <w:trPr>
          <w:trHeight w:val="304"/>
        </w:trPr>
        <w:tc>
          <w:tcPr>
            <w:tcW w:w="20" w:type="dxa"/>
            <w:vAlign w:val="bottom"/>
          </w:tcPr>
          <w:p>
            <w:pPr>
              <w:spacing w:after="0"/>
              <w:rPr>
                <w:sz w:val="24"/>
                <w:szCs w:val="24"/>
                <w:color w:val="auto"/>
              </w:rPr>
            </w:pPr>
          </w:p>
        </w:tc>
        <w:tc>
          <w:tcPr>
            <w:tcW w:w="9620" w:type="dxa"/>
            <w:vAlign w:val="bottom"/>
            <w:gridSpan w:val="18"/>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 OTHER INFORMATION</w:t>
              </w:r>
            </w:hyperlink>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5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1A.Risk Factors</w:t>
              </w:r>
            </w:hyperlink>
          </w:p>
        </w:tc>
        <w:tc>
          <w:tcPr>
            <w:tcW w:w="760" w:type="dxa"/>
            <w:vAlign w:val="bottom"/>
            <w:tcBorders>
              <w:top w:val="single" w:sz="8" w:color="0000FF"/>
            </w:tcBorders>
            <w:gridSpan w:val="3"/>
          </w:tcPr>
          <w:p>
            <w:pPr>
              <w:spacing w:after="0"/>
              <w:rPr>
                <w:sz w:val="24"/>
                <w:szCs w:val="24"/>
                <w:color w:val="auto"/>
              </w:rPr>
            </w:pPr>
          </w:p>
        </w:tc>
        <w:tc>
          <w:tcPr>
            <w:tcW w:w="6860" w:type="dxa"/>
            <w:vAlign w:val="bottom"/>
            <w:gridSpan w:val="10"/>
          </w:tcPr>
          <w:p>
            <w:pPr>
              <w:spacing w:after="0"/>
              <w:rPr>
                <w:sz w:val="24"/>
                <w:szCs w:val="24"/>
                <w:color w:val="auto"/>
              </w:rPr>
            </w:pPr>
          </w:p>
        </w:tc>
        <w:tc>
          <w:tcPr>
            <w:tcW w:w="9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6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2.Unregistered Sales of Equity Securities and Use of Proceeds</w:t>
              </w:r>
            </w:hyperlink>
          </w:p>
        </w:tc>
        <w:tc>
          <w:tcPr>
            <w:tcW w:w="9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6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1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6.Exhibits</w:t>
              </w:r>
            </w:hyperlink>
          </w:p>
        </w:tc>
        <w:tc>
          <w:tcPr>
            <w:tcW w:w="4320" w:type="dxa"/>
            <w:vAlign w:val="bottom"/>
            <w:gridSpan w:val="7"/>
          </w:tcPr>
          <w:p>
            <w:pPr>
              <w:spacing w:after="0"/>
              <w:rPr>
                <w:sz w:val="18"/>
                <w:szCs w:val="18"/>
                <w:color w:val="auto"/>
              </w:rPr>
            </w:pPr>
          </w:p>
        </w:tc>
        <w:tc>
          <w:tcPr>
            <w:tcW w:w="9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c>
          <w:tcPr>
            <w:tcW w:w="6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60" w:type="dxa"/>
            <w:vAlign w:val="bottom"/>
            <w:gridSpan w:val="1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620" w:type="dxa"/>
            <w:vAlign w:val="bottom"/>
            <w:gridSpan w:val="18"/>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SIGNATURES</w:t>
              </w:r>
            </w:hyperlink>
          </w:p>
        </w:tc>
        <w:tc>
          <w:tcPr>
            <w:tcW w:w="9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620" w:type="dxa"/>
            <w:vAlign w:val="bottom"/>
          </w:tcPr>
          <w:p>
            <w:pPr>
              <w:spacing w:after="0"/>
              <w:rPr>
                <w:sz w:val="24"/>
                <w:szCs w:val="24"/>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500" w:type="dxa"/>
            <w:vAlign w:val="bottom"/>
            <w:gridSpan w:val="9"/>
          </w:tcPr>
          <w:p>
            <w:pPr>
              <w:jc w:val="right"/>
              <w:ind w:right="20"/>
              <w:spacing w:after="0"/>
              <w:rPr>
                <w:sz w:val="20"/>
                <w:szCs w:val="20"/>
                <w:color w:val="auto"/>
              </w:rPr>
            </w:pPr>
            <w:r>
              <w:rPr>
                <w:rFonts w:ascii="Arial" w:cs="Arial" w:eastAsia="Arial" w:hAnsi="Arial"/>
                <w:sz w:val="18"/>
                <w:szCs w:val="18"/>
                <w:color w:val="auto"/>
              </w:rPr>
              <w:t>2</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1,386,346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1,011,922</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2,602,088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2,214,140</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912,712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669,195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1,702,104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1,493,842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157,023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115,737</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290,028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261,268</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1,069,735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784,932</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1,992,132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1,755,110</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316,611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226,990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609,956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459,030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(20,442)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(22,669)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(39,389)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(45,410)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143,907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291,755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206,452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564,211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557,527</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60,076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40,235</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113,299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110,694</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231,679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166,217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450,912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446,833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0.72</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230,828</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229,225</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230,632</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229,094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232,841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230,381</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230,626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Pr>
          <w:p>
            <w:pPr>
              <w:ind w:left="20"/>
              <w:spacing w:after="0" w:line="203" w:lineRule="exact"/>
              <w:rPr>
                <w:sz w:val="20"/>
                <w:szCs w:val="20"/>
                <w:color w:val="auto"/>
              </w:rPr>
            </w:pPr>
            <w:r>
              <w:rPr>
                <w:rFonts w:ascii="Arial" w:cs="Arial" w:eastAsia="Arial" w:hAnsi="Arial"/>
                <w:sz w:val="18"/>
                <w:szCs w:val="18"/>
                <w:color w:val="auto"/>
              </w:rPr>
              <w:t>Dividends declared and paid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0.20</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0.40</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220"/>
        <w:spacing w:after="0"/>
        <w:rPr>
          <w:sz w:val="20"/>
          <w:szCs w:val="20"/>
          <w:color w:val="auto"/>
        </w:rPr>
      </w:pPr>
      <w:r>
        <w:rPr>
          <w:rFonts w:ascii="Arial" w:cs="Arial" w:eastAsia="Arial" w:hAnsi="Arial"/>
          <w:sz w:val="15"/>
          <w:szCs w:val="15"/>
          <w:b w:val="1"/>
          <w:bCs w:val="1"/>
          <w:color w:val="auto"/>
        </w:rPr>
        <w:t>Condensed Consolidated Statement of Comprehensive Income</w:t>
      </w:r>
    </w:p>
    <w:p>
      <w:pPr>
        <w:spacing w:after="0" w:line="44"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280" w:type="dxa"/>
            <w:vAlign w:val="bottom"/>
            <w:gridSpan w:val="4"/>
          </w:tcPr>
          <w:p>
            <w:pPr>
              <w:jc w:val="center"/>
              <w:ind w:right="219"/>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r>
      <w:tr>
        <w:trPr>
          <w:trHeight w:val="224"/>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237,673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183,178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448,499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421,195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-187960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20" w:space="720"/>
            <w:col w:w="800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30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8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390,644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1,212,822</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754,045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597,472</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711,620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559,171</w:t>
            </w:r>
          </w:p>
        </w:tc>
      </w:tr>
      <w:tr>
        <w:trPr>
          <w:trHeight w:val="229"/>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185,772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153,005</w:t>
            </w:r>
          </w:p>
        </w:tc>
      </w:tr>
      <w:tr>
        <w:trPr>
          <w:trHeight w:val="223"/>
        </w:trPr>
        <w:tc>
          <w:tcPr>
            <w:tcW w:w="8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2,042,081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2,522,470</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598,827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526,530</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178,698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167,233</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5,139,807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4,224,906</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3,473,694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2,623,719</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322,157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292,625</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11,755,264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10,357,483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portion of long-term debt,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699,996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132,284</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446,532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360,370</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advanced payments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294,073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194,633</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24,380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38,896</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392,648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349,732</w:t>
            </w:r>
          </w:p>
        </w:tc>
      </w:tr>
      <w:tr>
        <w:trPr>
          <w:trHeight w:val="223"/>
        </w:trPr>
        <w:tc>
          <w:tcPr>
            <w:tcW w:w="804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1,857,629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1,075,915</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2,262,100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2,281,441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730,116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533,478</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562,120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517,303</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5,411,965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4,408,137</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2,676</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 excess of par value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964,791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921,752</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7,453,401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7,094,656</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(506,881)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(504,468)</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Treasury stock</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(1,570,696)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(1,565,270)</w:t>
            </w:r>
          </w:p>
        </w:tc>
      </w:tr>
      <w:tr>
        <w:trPr>
          <w:trHeight w:val="223"/>
        </w:trPr>
        <w:tc>
          <w:tcPr>
            <w:tcW w:w="8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6,343,299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5,949,346</w:t>
            </w:r>
          </w:p>
        </w:tc>
      </w:tr>
      <w:tr>
        <w:trPr>
          <w:trHeight w:val="223"/>
        </w:trPr>
        <w:tc>
          <w:tcPr>
            <w:tcW w:w="804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11,755,264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10,357,483</w:t>
            </w:r>
          </w:p>
        </w:tc>
      </w:tr>
      <w:tr>
        <w:trPr>
          <w:trHeight w:val="21"/>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28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6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stock</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Preferred stock, $0.01 par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$0.01 par value</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Shares issued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Balance at the end of the period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in excess of par value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928,412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837,755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921,752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832,821</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under employee stock plans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19,053</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Balance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964,791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860,771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964,791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860,771</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7,267,856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6,626,703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6,387,612</w:t>
            </w:r>
          </w:p>
        </w:tc>
        <w:tc>
          <w:tcPr>
            <w:tcW w:w="0" w:type="dxa"/>
            <w:vAlign w:val="bottom"/>
          </w:tcPr>
          <w:p>
            <w:pPr>
              <w:spacing w:after="0"/>
              <w:rPr>
                <w:sz w:val="1"/>
                <w:szCs w:val="1"/>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231,679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166,217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450,912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446,833</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(82,399)</w:t>
            </w:r>
          </w:p>
        </w:tc>
        <w:tc>
          <w:tcPr>
            <w:tcW w:w="0" w:type="dxa"/>
            <w:vAlign w:val="bottom"/>
          </w:tcPr>
          <w:p>
            <w:pPr>
              <w:spacing w:after="0"/>
              <w:rPr>
                <w:sz w:val="1"/>
                <w:szCs w:val="1"/>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Adoption of ASU 2016-13</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61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Balance at the end of the period</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7,453,401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6,751,686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7,453,401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6,751,686</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 income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(260,785)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(330,530)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(250,748)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(286,248)</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Translation adjustments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(49,025)</w:t>
            </w:r>
          </w:p>
        </w:tc>
        <w:tc>
          <w:tcPr>
            <w:tcW w:w="0" w:type="dxa"/>
            <w:vAlign w:val="bottom"/>
          </w:tcPr>
          <w:p>
            <w:pPr>
              <w:spacing w:after="0"/>
              <w:rPr>
                <w:sz w:val="1"/>
                <w:szCs w:val="1"/>
                <w:color w:val="auto"/>
              </w:rPr>
            </w:pPr>
          </w:p>
        </w:tc>
      </w:tr>
      <w:tr>
        <w:trPr>
          <w:trHeight w:val="230"/>
        </w:trPr>
        <w:tc>
          <w:tcPr>
            <w:tcW w:w="6120" w:type="dxa"/>
            <w:vAlign w:val="bottom"/>
          </w:tcPr>
          <w:p>
            <w:pPr>
              <w:ind w:left="680"/>
              <w:spacing w:after="0"/>
              <w:rPr>
                <w:sz w:val="20"/>
                <w:szCs w:val="20"/>
                <w:color w:val="auto"/>
              </w:rPr>
            </w:pPr>
            <w:r>
              <w:rPr>
                <w:rFonts w:ascii="Arial" w:cs="Arial" w:eastAsia="Arial" w:hAnsi="Arial"/>
                <w:sz w:val="18"/>
                <w:szCs w:val="18"/>
                <w:color w:val="auto"/>
              </w:rPr>
              <w:t>Change in long-term intercompany notes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6"/>
              </w:rPr>
              <w:t>Net investment hedge instruments (loss) gain, net of tax of $1,459 and</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4"/>
              </w:rPr>
              <w:t>$2,339 for the quarter ended June 30, 2021 and 2020, and $(4,479) and</w:t>
            </w: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(4,512)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13,846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21,045</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4"/>
              </w:rPr>
              <w:t>$(6,778) for the six months ended June 30, 2021 and 2020,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Balance at the end of the period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(256,421)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(315,252)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(256,421)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(315,252)</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pension plans: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(252,090)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(245,208)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(246,891)</w:t>
            </w: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Amortization of net actuarial loss and other, net of tax of $(527) and</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4"/>
              </w:rPr>
              <w:t>$(531) for the quarter ended June 30, 2021 and 2020, and $(1,054) and</w:t>
            </w: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1,630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4"/>
              </w:rPr>
              <w:t>$(1,062) for the six months ended June 30, 2021 and 2020,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Balance at the end of the period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(250,460)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(250,460)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(243,525)</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440"/>
              <w:spacing w:after="0"/>
              <w:rPr>
                <w:sz w:val="20"/>
                <w:szCs w:val="20"/>
                <w:color w:val="auto"/>
              </w:rPr>
            </w:pPr>
            <w:r>
              <w:rPr>
                <w:rFonts w:ascii="Arial" w:cs="Arial" w:eastAsia="Arial" w:hAnsi="Arial"/>
                <w:sz w:val="18"/>
                <w:szCs w:val="18"/>
                <w:color w:val="auto"/>
                <w:w w:val="92"/>
              </w:rPr>
              <w:t>Accumulated other comprehensive loss at the end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(506,881)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(558,777)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(506,881)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(558,777)</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(1,565,323)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(1,565,381)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(1,565,270)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(1,574,464)</w:t>
            </w:r>
          </w:p>
        </w:tc>
        <w:tc>
          <w:tcPr>
            <w:tcW w:w="0" w:type="dxa"/>
            <w:vAlign w:val="bottom"/>
          </w:tcPr>
          <w:p>
            <w:pPr>
              <w:spacing w:after="0"/>
              <w:rPr>
                <w:sz w:val="1"/>
                <w:szCs w:val="1"/>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Issuance of common stock under employee stock plans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treasury stock</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Balance at the end of the period</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(1,570,696)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(1,569,908)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(1,570,696)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(1,569,908)</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6,343,299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5,486,440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6,343,299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5,486,440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for):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450,912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446,833</w:t>
            </w:r>
          </w:p>
        </w:tc>
      </w:tr>
      <w:tr>
        <w:trPr>
          <w:trHeight w:val="230"/>
        </w:trPr>
        <w:tc>
          <w:tcPr>
            <w:tcW w:w="8040" w:type="dxa"/>
            <w:vAlign w:val="bottom"/>
          </w:tcPr>
          <w:p>
            <w:pPr>
              <w:ind w:left="680"/>
              <w:spacing w:after="0"/>
              <w:rPr>
                <w:sz w:val="20"/>
                <w:szCs w:val="20"/>
                <w:color w:val="auto"/>
              </w:rPr>
            </w:pPr>
            <w:r>
              <w:rPr>
                <w:rFonts w:ascii="Arial" w:cs="Arial" w:eastAsia="Arial" w:hAnsi="Arial"/>
                <w:sz w:val="18"/>
                <w:szCs w:val="18"/>
                <w:color w:val="auto"/>
              </w:rPr>
              <w:t>Adjustments to reconcile net income to total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139,814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127,404</w:t>
            </w:r>
          </w:p>
        </w:tc>
      </w:tr>
      <w:tr>
        <w:trPr>
          <w:trHeight w:val="229"/>
        </w:trPr>
        <w:tc>
          <w:tcPr>
            <w:tcW w:w="8040" w:type="dxa"/>
            <w:vAlign w:val="bottom"/>
          </w:tcPr>
          <w:p>
            <w:pPr>
              <w:ind w:left="11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27,482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(2,976)</w:t>
            </w:r>
          </w:p>
        </w:tc>
      </w:tr>
      <w:tr>
        <w:trPr>
          <w:trHeight w:val="230"/>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Share-based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19,053</w:t>
            </w:r>
          </w:p>
        </w:tc>
      </w:tr>
      <w:tr>
        <w:trPr>
          <w:trHeight w:val="229"/>
        </w:trPr>
        <w:tc>
          <w:tcPr>
            <w:tcW w:w="8040" w:type="dxa"/>
            <w:vAlign w:val="bottom"/>
          </w:tcPr>
          <w:p>
            <w:pPr>
              <w:ind w:left="1120"/>
              <w:spacing w:after="0"/>
              <w:rPr>
                <w:sz w:val="20"/>
                <w:szCs w:val="20"/>
                <w:color w:val="auto"/>
              </w:rPr>
            </w:pPr>
            <w:r>
              <w:rPr>
                <w:rFonts w:ascii="Arial" w:cs="Arial" w:eastAsia="Arial" w:hAnsi="Arial"/>
                <w:sz w:val="18"/>
                <w:szCs w:val="18"/>
                <w:color w:val="auto"/>
              </w:rPr>
              <w:t>Gain on sale of business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(141,020)</w:t>
            </w:r>
          </w:p>
        </w:tc>
      </w:tr>
      <w:tr>
        <w:trPr>
          <w:trHeight w:val="230"/>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Gain on sale of facilities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r>
      <w:tr>
        <w:trPr>
          <w:trHeight w:val="229"/>
        </w:trPr>
        <w:tc>
          <w:tcPr>
            <w:tcW w:w="8040" w:type="dxa"/>
            <w:vAlign w:val="bottom"/>
          </w:tcPr>
          <w:p>
            <w:pPr>
              <w:ind w:left="1120"/>
              <w:spacing w:after="0"/>
              <w:rPr>
                <w:sz w:val="20"/>
                <w:szCs w:val="20"/>
                <w:color w:val="auto"/>
              </w:rPr>
            </w:pPr>
            <w:r>
              <w:rPr>
                <w:rFonts w:ascii="Arial" w:cs="Arial" w:eastAsia="Arial" w:hAnsi="Arial"/>
                <w:sz w:val="18"/>
                <w:szCs w:val="18"/>
                <w:color w:val="auto"/>
              </w:rPr>
              <w:t>Net change in assets and liabilities, net of acquisitions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(58,497)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145,473</w:t>
            </w:r>
          </w:p>
        </w:tc>
      </w:tr>
      <w:tr>
        <w:trPr>
          <w:trHeight w:val="229"/>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Pension contributions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r>
      <w:tr>
        <w:trPr>
          <w:trHeight w:val="230"/>
        </w:trPr>
        <w:tc>
          <w:tcPr>
            <w:tcW w:w="80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r>
      <w:tr>
        <w:trPr>
          <w:trHeight w:val="223"/>
        </w:trPr>
        <w:tc>
          <w:tcPr>
            <w:tcW w:w="8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571,443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585,368</w:t>
            </w:r>
          </w:p>
        </w:tc>
      </w:tr>
      <w:tr>
        <w:trPr>
          <w:trHeight w:val="21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(27,017)</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Purchases of businesses, net of cash acquired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(1,840,845)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(116,509)</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business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245,311</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Proceeds from sale of facilities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5,463</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investing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(1,882,142)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104,791</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Net change in short-term borrowings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569,949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(374,771)</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borrowings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(12,878)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(4,496)</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(92,167)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(82,399)</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20,676</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financing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491,596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56,396</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(8,610)</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(822,178)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737,945</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1,212,822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393,030</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390,644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1,130,975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June 30, 2021, the consolidated results of its operations for the three and six months ended June 30, 2021 and 2020 and its cash flows for the six months ended June 30, 2021 and 2020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2020 as filed with the U.S. Securities and Exchange Commission.</w:t>
      </w:r>
    </w:p>
    <w:p>
      <w:pPr>
        <w:spacing w:after="0" w:line="2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simplifies the accounting for income taxes by removing certain exceptions to the general principles in ASC Topic 740. The Company prospectively adopted ASU 2019-12, effective January 1, 2021, and the adoption did not have a significant impact on the Company’s consolidated results of operations, financial position, cash flows and financial statement disclosures.</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contract asset and liability accounts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 June 30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73,853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215,093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167,306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June 30</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333,409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199,967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contract liabilities – increase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(118,316)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(32,661)</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(113,434)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net change for the six months ended June 30, 2021 was primarily driven by contract liabilities from the 2021 acquisitions' advance payments from customers. For the six months ended June 30, 2021 and 2020, the Company recognized revenue of $145.2 million and $105.3 million, respectively, that was previously included in the beginning balance of contract liabilities.</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Contract assets are reported as a component of Other current assets in the consolidated balance sheet. At June 30, 2021 and December 31, 2020, $39.4 million and $20.5 million of Customer advanced payments (contract liabilities), respectively, were recorded in Other long-term liabilities in the consolidated balance sheets.</w:t>
      </w:r>
    </w:p>
    <w:p>
      <w:pPr>
        <w:spacing w:after="0" w:line="18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remaining performance obligations exceeding one year as of June 30, 2021 and December 31, 2020 were $422.3 million and $300.8 million, respectively. The increase was primarily driven by the 2021 acquisitions.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Areas</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Net sales were attributed to geographic areas based on the location of the customer. Information about the Company’s operations in different geographic areas was as follows for the three and six months ended June 30: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7"/>
          </w:tcPr>
          <w:p>
            <w:pPr>
              <w:jc w:val="center"/>
              <w:ind w:right="174"/>
              <w:spacing w:after="0"/>
              <w:rPr>
                <w:sz w:val="20"/>
                <w:szCs w:val="20"/>
                <w:color w:val="auto"/>
              </w:rPr>
            </w:pPr>
            <w:r>
              <w:rPr>
                <w:rFonts w:ascii="Arial" w:cs="Arial" w:eastAsia="Arial" w:hAnsi="Arial"/>
                <w:sz w:val="14"/>
                <w:szCs w:val="14"/>
                <w:b w:val="1"/>
                <w:bCs w:val="1"/>
                <w:color w:val="auto"/>
                <w:w w:val="91"/>
              </w:rPr>
              <w:t>Three months ended June 30, 2021</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94"/>
              <w:spacing w:after="0"/>
              <w:rPr>
                <w:sz w:val="20"/>
                <w:szCs w:val="20"/>
                <w:color w:val="auto"/>
              </w:rPr>
            </w:pPr>
            <w:r>
              <w:rPr>
                <w:rFonts w:ascii="Arial" w:cs="Arial" w:eastAsia="Arial" w:hAnsi="Arial"/>
                <w:sz w:val="14"/>
                <w:szCs w:val="14"/>
                <w:b w:val="1"/>
                <w:bCs w:val="1"/>
                <w:color w:val="auto"/>
                <w:w w:val="90"/>
              </w:rPr>
              <w:t>Six months ended June 30, 2021</w:t>
            </w:r>
          </w:p>
        </w:tc>
        <w:tc>
          <w:tcPr>
            <w:tcW w:w="800" w:type="dxa"/>
            <w:vAlign w:val="bottom"/>
            <w:tcBorders>
              <w:bottom w:val="single" w:sz="8" w:color="auto"/>
            </w:tcBorders>
          </w:tcPr>
          <w:p>
            <w:pPr>
              <w:spacing w:after="0"/>
              <w:rPr>
                <w:sz w:val="16"/>
                <w:szCs w:val="16"/>
                <w:color w:val="auto"/>
              </w:rPr>
            </w:pPr>
          </w:p>
        </w:tc>
      </w:tr>
      <w:tr>
        <w:trPr>
          <w:trHeight w:val="209"/>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EMG</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0"/>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6"/>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495,039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225,912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720,951</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883,940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436,094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1,320,034</w:t>
            </w:r>
          </w:p>
        </w:tc>
      </w:tr>
      <w:tr>
        <w:trPr>
          <w:trHeight w:val="209"/>
        </w:trPr>
        <w:tc>
          <w:tcPr>
            <w:tcW w:w="3940" w:type="dxa"/>
            <w:vAlign w:val="bottom"/>
          </w:tcPr>
          <w:p>
            <w:pPr>
              <w:ind w:left="20"/>
              <w:spacing w:after="0" w:line="21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49,217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42,596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101,215</w:t>
            </w:r>
          </w:p>
        </w:tc>
      </w:tr>
      <w:tr>
        <w:trPr>
          <w:trHeight w:val="230"/>
        </w:trPr>
        <w:tc>
          <w:tcPr>
            <w:tcW w:w="3940" w:type="dxa"/>
            <w:vAlign w:val="bottom"/>
          </w:tcPr>
          <w:p>
            <w:pPr>
              <w:ind w:left="360"/>
              <w:spacing w:after="0"/>
              <w:rPr>
                <w:sz w:val="20"/>
                <w:szCs w:val="20"/>
                <w:color w:val="auto"/>
              </w:rPr>
            </w:pPr>
            <w:r>
              <w:rPr>
                <w:rFonts w:ascii="Arial" w:cs="Arial" w:eastAsia="Arial" w:hAnsi="Arial"/>
                <w:sz w:val="18"/>
                <w:szCs w:val="18"/>
                <w:color w:val="auto"/>
              </w:rPr>
              <w:t>European Union countries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117,856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103,604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221,460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221,521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198,901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420,422</w:t>
            </w:r>
          </w:p>
        </w:tc>
      </w:tr>
      <w:tr>
        <w:trPr>
          <w:trHeight w:val="229"/>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283,303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415,415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126,643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542,058</w:t>
            </w:r>
          </w:p>
        </w:tc>
      </w:tr>
      <w:tr>
        <w:trPr>
          <w:trHeight w:val="230"/>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111,415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161,386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56,973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218,359</w:t>
            </w:r>
          </w:p>
        </w:tc>
      </w:tr>
      <w:tr>
        <w:trPr>
          <w:trHeight w:val="223"/>
        </w:trPr>
        <w:tc>
          <w:tcPr>
            <w:tcW w:w="3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438,895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226,500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665,395</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840,918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441,136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1,282,054</w:t>
            </w: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933,934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452,412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1,386,346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1,724,858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877,230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2,602,088</w:t>
            </w: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U.S. export sales of $365.5 million and $696.4 million for the three and six months ended June 30, 2021, respectively.</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Three months ended June 30, 2020</w:t>
            </w:r>
          </w:p>
        </w:tc>
        <w:tc>
          <w:tcPr>
            <w:tcW w:w="220" w:type="dxa"/>
            <w:vAlign w:val="bottom"/>
          </w:tcPr>
          <w:p>
            <w:pPr>
              <w:spacing w:after="0"/>
              <w:rPr>
                <w:sz w:val="16"/>
                <w:szCs w:val="16"/>
                <w:color w:val="auto"/>
              </w:rPr>
            </w:pPr>
          </w:p>
        </w:tc>
        <w:tc>
          <w:tcPr>
            <w:tcW w:w="2600" w:type="dxa"/>
            <w:vAlign w:val="bottom"/>
            <w:gridSpan w:val="6"/>
          </w:tcPr>
          <w:p>
            <w:pPr>
              <w:jc w:val="center"/>
              <w:ind w:left="514"/>
              <w:spacing w:after="0"/>
              <w:rPr>
                <w:sz w:val="20"/>
                <w:szCs w:val="20"/>
                <w:color w:val="auto"/>
              </w:rPr>
            </w:pPr>
            <w:r>
              <w:rPr>
                <w:rFonts w:ascii="Arial" w:cs="Arial" w:eastAsia="Arial" w:hAnsi="Arial"/>
                <w:sz w:val="14"/>
                <w:szCs w:val="14"/>
                <w:b w:val="1"/>
                <w:bCs w:val="1"/>
                <w:color w:val="auto"/>
                <w:w w:val="90"/>
              </w:rPr>
              <w:t>Six months ended June 30, 2020</w:t>
            </w:r>
          </w:p>
        </w:tc>
        <w:tc>
          <w:tcPr>
            <w:tcW w:w="820" w:type="dxa"/>
            <w:vAlign w:val="bottom"/>
          </w:tcPr>
          <w:p>
            <w:pPr>
              <w:spacing w:after="0"/>
              <w:rPr>
                <w:sz w:val="16"/>
                <w:szCs w:val="16"/>
                <w:color w:val="auto"/>
              </w:rPr>
            </w:pPr>
          </w:p>
        </w:tc>
      </w:tr>
      <w:tr>
        <w:trPr>
          <w:trHeight w:val="187"/>
        </w:trPr>
        <w:tc>
          <w:tcPr>
            <w:tcW w:w="39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EMG</w:t>
            </w:r>
          </w:p>
        </w:tc>
        <w:tc>
          <w:tcPr>
            <w:tcW w:w="2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83"/>
        </w:trPr>
        <w:tc>
          <w:tcPr>
            <w:tcW w:w="3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338,757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189,369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528,126</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745,302</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424,058</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1,169,360</w:t>
            </w:r>
          </w:p>
        </w:tc>
      </w:tr>
      <w:tr>
        <w:trPr>
          <w:trHeight w:val="209"/>
        </w:trPr>
        <w:tc>
          <w:tcPr>
            <w:tcW w:w="3900" w:type="dxa"/>
            <w:vAlign w:val="bottom"/>
          </w:tcPr>
          <w:p>
            <w:pPr>
              <w:ind w:left="20"/>
              <w:spacing w:after="0" w:line="21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36,179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28,220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55,890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84,110</w:t>
            </w: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European Union countries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79,901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79,327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159,228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185,577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168,093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353,670</w:t>
            </w: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161,190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208,726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325,935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91,366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417,301</w:t>
            </w:r>
          </w:p>
        </w:tc>
      </w:tr>
      <w:tr>
        <w:trPr>
          <w:trHeight w:val="229"/>
        </w:trPr>
        <w:tc>
          <w:tcPr>
            <w:tcW w:w="3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79,663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137,073</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52,626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189,699</w:t>
            </w:r>
          </w:p>
        </w:tc>
      </w:tr>
      <w:tr>
        <w:trPr>
          <w:trHeight w:val="223"/>
        </w:trPr>
        <w:tc>
          <w:tcPr>
            <w:tcW w:w="3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309,125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174,671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483,796</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676,805</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367,975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1,044,780</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647,882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364,040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1,011,922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1,422,107</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792,033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2,214,140</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U.S. export sales of $257.9 million and $563.1 million for the three and six months ended June 30, 2020,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Products and Services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major products and services in the reportable segments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Three months ended June 30, 2021</w:t>
            </w:r>
          </w:p>
        </w:tc>
        <w:tc>
          <w:tcPr>
            <w:tcW w:w="220" w:type="dxa"/>
            <w:vAlign w:val="bottom"/>
          </w:tcPr>
          <w:p>
            <w:pPr>
              <w:spacing w:after="0"/>
              <w:rPr>
                <w:sz w:val="16"/>
                <w:szCs w:val="16"/>
                <w:color w:val="auto"/>
              </w:rPr>
            </w:pPr>
          </w:p>
        </w:tc>
        <w:tc>
          <w:tcPr>
            <w:tcW w:w="3300" w:type="dxa"/>
            <w:vAlign w:val="bottom"/>
            <w:gridSpan w:val="7"/>
          </w:tcPr>
          <w:p>
            <w:pPr>
              <w:jc w:val="center"/>
              <w:ind w:right="134"/>
              <w:spacing w:after="0"/>
              <w:rPr>
                <w:sz w:val="20"/>
                <w:szCs w:val="20"/>
                <w:color w:val="auto"/>
              </w:rPr>
            </w:pPr>
            <w:r>
              <w:rPr>
                <w:rFonts w:ascii="Arial" w:cs="Arial" w:eastAsia="Arial" w:hAnsi="Arial"/>
                <w:sz w:val="14"/>
                <w:szCs w:val="14"/>
                <w:b w:val="1"/>
                <w:bCs w:val="1"/>
                <w:color w:val="auto"/>
                <w:w w:val="90"/>
              </w:rPr>
              <w:t>Six months ended June 30, 2021</w:t>
            </w:r>
          </w:p>
        </w:tc>
      </w:tr>
      <w:tr>
        <w:trPr>
          <w:trHeight w:val="187"/>
        </w:trPr>
        <w:tc>
          <w:tcPr>
            <w:tcW w:w="40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183"/>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644,121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644,121</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1,220,680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1,220,680</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289,813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126,466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416,279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504,178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248,639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752,817</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325,946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628,591</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933,934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452,412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1,386,346</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1,724,858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877,230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2,602,088</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Three months ended June 30, 2020</w:t>
            </w:r>
          </w:p>
        </w:tc>
        <w:tc>
          <w:tcPr>
            <w:tcW w:w="220" w:type="dxa"/>
            <w:vAlign w:val="bottom"/>
          </w:tcPr>
          <w:p>
            <w:pPr>
              <w:spacing w:after="0"/>
              <w:rPr>
                <w:sz w:val="16"/>
                <w:szCs w:val="16"/>
                <w:color w:val="auto"/>
              </w:rPr>
            </w:pPr>
          </w:p>
        </w:tc>
        <w:tc>
          <w:tcPr>
            <w:tcW w:w="3300" w:type="dxa"/>
            <w:vAlign w:val="bottom"/>
            <w:gridSpan w:val="7"/>
          </w:tcPr>
          <w:p>
            <w:pPr>
              <w:jc w:val="center"/>
              <w:ind w:right="136"/>
              <w:spacing w:after="0"/>
              <w:rPr>
                <w:sz w:val="20"/>
                <w:szCs w:val="20"/>
                <w:color w:val="auto"/>
              </w:rPr>
            </w:pPr>
            <w:r>
              <w:rPr>
                <w:rFonts w:ascii="Arial" w:cs="Arial" w:eastAsia="Arial" w:hAnsi="Arial"/>
                <w:sz w:val="14"/>
                <w:szCs w:val="14"/>
                <w:b w:val="1"/>
                <w:bCs w:val="1"/>
                <w:color w:val="auto"/>
                <w:w w:val="90"/>
              </w:rPr>
              <w:t>Six months ended June 30, 2020</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1,031,980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1,031,980</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268,475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231,384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621,511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259,907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560,649</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647,882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364,040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1,011,922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1,422,107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792,033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2,214,140</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4"/>
                <w:szCs w:val="14"/>
                <w:b w:val="1"/>
                <w:bCs w:val="1"/>
                <w:color w:val="auto"/>
                <w:w w:val="91"/>
              </w:rPr>
              <w:t>Three months ended June 30, 2021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136"/>
              <w:spacing w:after="0"/>
              <w:rPr>
                <w:sz w:val="20"/>
                <w:szCs w:val="20"/>
                <w:color w:val="auto"/>
              </w:rPr>
            </w:pPr>
            <w:r>
              <w:rPr>
                <w:rFonts w:ascii="Arial" w:cs="Arial" w:eastAsia="Arial" w:hAnsi="Arial"/>
                <w:sz w:val="14"/>
                <w:szCs w:val="14"/>
                <w:b w:val="1"/>
                <w:bCs w:val="1"/>
                <w:color w:val="auto"/>
                <w:w w:val="90"/>
              </w:rPr>
              <w:t>Six months ended June 30, 2021</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4" w:lineRule="exact"/>
        <w:rPr>
          <w:sz w:val="20"/>
          <w:szCs w:val="20"/>
          <w:color w:val="auto"/>
        </w:rPr>
      </w:pPr>
    </w:p>
    <w:p>
      <w:pPr>
        <w:ind w:left="20" w:right="160"/>
        <w:spacing w:after="0" w:line="325" w:lineRule="auto"/>
        <w:rPr>
          <w:sz w:val="20"/>
          <w:szCs w:val="20"/>
          <w:color w:val="auto"/>
        </w:rPr>
      </w:pPr>
      <w:r>
        <w:rPr>
          <w:rFonts w:ascii="Arial" w:cs="Arial" w:eastAsia="Arial" w:hAnsi="Arial"/>
          <w:sz w:val="16"/>
          <w:szCs w:val="16"/>
          <w:color w:val="auto"/>
        </w:rPr>
        <w:t>Products transferred at a point in time Products and services transferred over time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767,514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408,569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9"/>
              </w:rPr>
              <w:t>1,176,083</w:t>
            </w:r>
          </w:p>
        </w:tc>
        <w:tc>
          <w:tcPr>
            <w:tcW w:w="2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1,414,766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791,600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2,206,366</w:t>
            </w:r>
          </w:p>
        </w:tc>
      </w:tr>
      <w:tr>
        <w:trPr>
          <w:trHeight w:val="234"/>
        </w:trPr>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166,420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43,843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210,263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310,092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85,630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395,722</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933,934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452,412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1,386,346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1,724,858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877,230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2,602,088</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-479425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-187960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2"/>
          </w:tcPr>
          <w:p>
            <w:pPr>
              <w:jc w:val="center"/>
              <w:ind w:right="248"/>
              <w:spacing w:after="0"/>
              <w:rPr>
                <w:sz w:val="20"/>
                <w:szCs w:val="20"/>
                <w:color w:val="auto"/>
              </w:rPr>
            </w:pPr>
            <w:r>
              <w:rPr>
                <w:rFonts w:ascii="Arial" w:cs="Arial" w:eastAsia="Arial" w:hAnsi="Arial"/>
                <w:sz w:val="14"/>
                <w:szCs w:val="14"/>
                <w:b w:val="1"/>
                <w:bCs w:val="1"/>
                <w:color w:val="auto"/>
                <w:w w:val="91"/>
              </w:rPr>
              <w:t>Three months ended June 30, 2020</w:t>
            </w: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Six months ended June 30, 2020</w:t>
            </w:r>
          </w:p>
        </w:tc>
        <w:tc>
          <w:tcPr>
            <w:tcW w:w="740" w:type="dxa"/>
            <w:vAlign w:val="bottom"/>
            <w:tcBorders>
              <w:bottom w:val="single" w:sz="8" w:color="auto"/>
            </w:tcBorders>
          </w:tcPr>
          <w:p>
            <w:pPr>
              <w:spacing w:after="0"/>
              <w:rPr>
                <w:sz w:val="16"/>
                <w:szCs w:val="16"/>
                <w:color w:val="auto"/>
              </w:rPr>
            </w:pPr>
          </w:p>
        </w:tc>
      </w:tr>
      <w:tr>
        <w:trPr>
          <w:trHeight w:val="209"/>
        </w:trPr>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9"/>
              </w:rPr>
              <w:t>EIG</w:t>
            </w:r>
          </w:p>
        </w:tc>
        <w:tc>
          <w:tcPr>
            <w:tcW w:w="16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EMG</w:t>
            </w:r>
          </w:p>
        </w:tc>
        <w:tc>
          <w:tcPr>
            <w:tcW w:w="7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EIG</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EMG</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r>
      <w:tr>
        <w:trPr>
          <w:trHeight w:val="190"/>
        </w:trPr>
        <w:tc>
          <w:tcPr>
            <w:tcW w:w="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26" w:lineRule="exact"/>
        <w:rPr>
          <w:sz w:val="20"/>
          <w:szCs w:val="20"/>
          <w:color w:val="auto"/>
        </w:rPr>
      </w:pPr>
    </w:p>
    <w:p>
      <w:pPr>
        <w:sectPr>
          <w:pgSz w:w="11900" w:h="16838" w:orient="portrait"/>
          <w:cols w:equalWidth="0" w:num="2">
            <w:col w:w="3300" w:space="720"/>
            <w:col w:w="72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849,670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1,158,708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1,862,269</w:t>
            </w: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Products and services transferred over time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162,252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351,871</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1,011,922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1,422,107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2,214,140</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accrued product warranty obligation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187"/>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r>
      <w:tr>
        <w:trPr>
          <w:trHeight w:val="185"/>
        </w:trPr>
        <w:tc>
          <w:tcPr>
            <w:tcW w:w="8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27,839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27,611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5,964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(6,620)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(7,605)</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Warranty accruals related to acquired businesses and other during the period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2,169</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29,352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27,206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June 30, 2021, the Company had $754.0 million of accounts receivable, net of allowances of $12.1 million. Changes in the allowance were not material for the three and six months ended June 30, 2021.</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Securities that are anti-dilutive have been excluded and are not significant. The number of weighted average shares used in the calculation of basic earnings per share and diluted earnings per share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080" w:type="dxa"/>
            <w:vAlign w:val="bottom"/>
            <w:gridSpan w:val="3"/>
          </w:tcPr>
          <w:p>
            <w:pPr>
              <w:jc w:val="right"/>
              <w:ind w:right="255"/>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87"/>
        </w:trPr>
        <w:tc>
          <w:tcPr>
            <w:tcW w:w="606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183"/>
        </w:trPr>
        <w:tc>
          <w:tcPr>
            <w:tcW w:w="6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3"/>
          </w:tcPr>
          <w:p>
            <w:pPr>
              <w:ind w:left="780"/>
              <w:spacing w:after="0"/>
              <w:rPr>
                <w:sz w:val="20"/>
                <w:szCs w:val="20"/>
                <w:color w:val="auto"/>
              </w:rPr>
            </w:pPr>
            <w:r>
              <w:rPr>
                <w:rFonts w:ascii="Arial" w:cs="Arial" w:eastAsia="Arial" w:hAnsi="Arial"/>
                <w:sz w:val="14"/>
                <w:szCs w:val="14"/>
                <w:b w:val="1"/>
                <w:bCs w:val="1"/>
                <w:color w:val="auto"/>
                <w:w w:val="97"/>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230,828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229,225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230,632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229,094</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plans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232,841</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230,381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232,569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230,626</w:t>
            </w:r>
          </w:p>
        </w:tc>
      </w:tr>
      <w:tr>
        <w:trPr>
          <w:trHeight w:val="21"/>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Company’s assets that are measured at fair value on a recurring basis, consistent with the fair value hierarchy,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December 31,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0"/>
              </w:rPr>
              <w:t>June 30,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December 31, 2020</w:t>
            </w:r>
          </w:p>
        </w:tc>
      </w:t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Fair Value</w:t>
            </w:r>
          </w:p>
        </w:tc>
      </w:tr>
      <w:tr>
        <w:trPr>
          <w:trHeight w:val="25"/>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184"/>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4"/>
          </w:tcPr>
          <w:p>
            <w:pPr>
              <w:jc w:val="right"/>
              <w:ind w:right="1202"/>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 investments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10,085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8,969</w:t>
            </w:r>
          </w:p>
        </w:tc>
      </w:tr>
    </w:tbl>
    <w:p>
      <w:pPr>
        <w:spacing w:after="0" w:line="202" w:lineRule="exact"/>
        <w:rPr>
          <w:sz w:val="20"/>
          <w:szCs w:val="20"/>
          <w:color w:val="auto"/>
        </w:rPr>
      </w:pPr>
    </w:p>
    <w:p>
      <w:pPr>
        <w:ind w:right="800" w:firstLine="567"/>
        <w:spacing w:after="0" w:line="277" w:lineRule="auto"/>
        <w:rPr>
          <w:sz w:val="20"/>
          <w:szCs w:val="20"/>
          <w:color w:val="auto"/>
        </w:rPr>
      </w:pPr>
      <w:r>
        <w:rPr>
          <w:rFonts w:ascii="Arial" w:cs="Arial" w:eastAsia="Arial" w:hAnsi="Arial"/>
          <w:sz w:val="18"/>
          <w:szCs w:val="18"/>
          <w:color w:val="auto"/>
        </w:rPr>
        <w:t>The fair value of mutual fund investments, which are valued as level 1 investments, was based on quoted market prices. The mutual fund investments are shown as a component of investments and other assets on the consolidated balance sheet.</w:t>
      </w:r>
    </w:p>
    <w:p>
      <w:pPr>
        <w:spacing w:after="0" w:line="170"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For the six months ended June 30, 2021 and 2020, gains and losses on the investments noted above were not significant. No transfers between level 1 and level 2 investments occurred during the six months ended June 30, 2021 and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Cash, cash equivalents and mutual fund investments are recorded at fair value at June 30, 2021 and December 31, 2020 in the accompanying consolidated balance sheet.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provides the estimated fair values of the Company’s financial instrument liabilities, for which fair value is measured for disclosure purposes only, compared to the recorded amounts at June 30, 2021 and December 31,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December 31, 2020</w:t>
            </w:r>
          </w:p>
        </w:tc>
      </w:tr>
      <w:tr>
        <w:trPr>
          <w:trHeight w:val="166"/>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264"/>
              <w:spacing w:after="0"/>
              <w:rPr>
                <w:sz w:val="20"/>
                <w:szCs w:val="20"/>
                <w:color w:val="auto"/>
              </w:rPr>
            </w:pPr>
            <w:r>
              <w:rPr>
                <w:rFonts w:ascii="Arial" w:cs="Arial" w:eastAsia="Arial" w:hAnsi="Arial"/>
                <w:sz w:val="14"/>
                <w:szCs w:val="14"/>
                <w:b w:val="1"/>
                <w:bCs w:val="1"/>
                <w:color w:val="auto"/>
                <w:w w:val="92"/>
              </w:rPr>
              <w:t>Recorded</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center"/>
              <w:ind w:right="404"/>
              <w:spacing w:after="0"/>
              <w:rPr>
                <w:sz w:val="20"/>
                <w:szCs w:val="20"/>
                <w:color w:val="auto"/>
              </w:rPr>
            </w:pPr>
            <w:r>
              <w:rPr>
                <w:rFonts w:ascii="Arial" w:cs="Arial" w:eastAsia="Arial" w:hAnsi="Arial"/>
                <w:sz w:val="14"/>
                <w:szCs w:val="14"/>
                <w:b w:val="1"/>
                <w:bCs w:val="1"/>
                <w:color w:val="auto"/>
                <w:w w:val="92"/>
              </w:rPr>
              <w:t>Recorded</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244"/>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6"/>
                <w:szCs w:val="16"/>
                <w:color w:val="auto"/>
              </w:rPr>
            </w:pPr>
          </w:p>
        </w:tc>
        <w:tc>
          <w:tcPr>
            <w:tcW w:w="1160" w:type="dxa"/>
            <w:vAlign w:val="bottom"/>
          </w:tcPr>
          <w:p>
            <w:pPr>
              <w:jc w:val="center"/>
              <w:ind w:right="424"/>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260" w:type="dxa"/>
            <w:vAlign w:val="bottom"/>
          </w:tcPr>
          <w:p>
            <w:pPr>
              <w:jc w:val="right"/>
              <w:ind w:right="379"/>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(including current portion)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(2,326,547)</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(2,485,398)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(2,347,587)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(2,550,956)</w:t>
            </w:r>
          </w:p>
        </w:tc>
      </w:tr>
    </w:tbl>
    <w:p>
      <w:pPr>
        <w:spacing w:after="0" w:line="202"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fair value of net short-term borrowings approximates the carrying value. Net short-term borrowings are valued as level 2 liabilities as they are corroborated by observable market data.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At June 30, 2020, the Company had a Canadian dollar forward contract for a total notional value of 24.0 million Canadian dollars and four British pound forward contracts for a total notional value of 40.0 million British pounds. For the six months ended June 30, 2020, realized and unrealized gains and losses on foreign currency forward contracts were not significant. The Company does not typically designate its foreign currency forward contracts as hedges.</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Hedging Activities</w:t>
      </w:r>
    </w:p>
    <w:p>
      <w:pPr>
        <w:spacing w:after="0" w:line="12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has designated certain foreign-currency-denominated long-term borrowings as hedges of the net investment in certain foreign operations. As of June 30, 2021, these net investment hedges included British-pound-and Euro-denominated long-term debt. These borrowings were designed to create net investment hedges in certain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6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At June 30, 2021, the Company had $310.7 million of British-pound-denominated loans, which were designated as a hedge against the net investment in British pound functional currency foreign subsidiaries. At June 30, 2021, the Company had $681.4 million in Euro-denominated loans, which were designated as a hedge against the net investment in Euro functional currency foreign subsidiaries. As a result of the British-pound- and Euro-denominated loans designated and 100% effective as net investment hedges, $18.3 million of pre-tax currency remeasurement gains have been included in the foreign currency translation component of other comprehensive income for the six months ended June 30, 2021.</w:t>
      </w:r>
    </w:p>
    <w:p>
      <w:pPr>
        <w:spacing w:after="0" w:line="2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Inventories,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and parts</w:t>
            </w:r>
          </w:p>
        </w:tc>
        <w:tc>
          <w:tcPr>
            <w:tcW w:w="4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97,921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138,949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purchased parts</w:t>
            </w:r>
          </w:p>
        </w:tc>
        <w:tc>
          <w:tcPr>
            <w:tcW w:w="4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474,750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40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711,620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000" w:type="dxa"/>
            <w:vAlign w:val="bottom"/>
            <w:vMerge w:val="restart"/>
          </w:tcPr>
          <w:p>
            <w:pPr>
              <w:jc w:val="right"/>
              <w:ind w:right="223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Leases</w:t>
      </w:r>
    </w:p>
    <w:p>
      <w:pPr>
        <w:spacing w:after="0" w:line="229"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The Company has commitments under operating leases for certain facilities, vehicles and equipment used in its operations. Cash used in operations for operating leases was not materially different from operating lease expense for the six months ended June 30, 2021 and June 30, 2020. The Company's leases have initial lease terms ranging from one month to 14 years. Certain lease agreements contain provisions for future rent increases.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18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185"/>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20,989</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36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5"/>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178,698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Lease liabilities included in Accrued Liabilities and other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48,159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44,948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included in 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135,930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128,173</w:t>
            </w: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184,089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173,121</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660"/>
              <w:spacing w:after="0"/>
              <w:rPr>
                <w:sz w:val="20"/>
                <w:szCs w:val="20"/>
                <w:color w:val="auto"/>
              </w:rPr>
            </w:pPr>
            <w:r>
              <w:rPr>
                <w:rFonts w:ascii="Arial" w:cs="Arial" w:eastAsia="Arial" w:hAnsi="Arial"/>
                <w:sz w:val="18"/>
                <w:szCs w:val="18"/>
                <w:color w:val="auto"/>
              </w:rPr>
              <w:t>Maturities of lease liabilities as of June 30, 2021 were as follows:</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Lease Liability Maturity Analysis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26,820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47,870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38,592</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26,227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19,084</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35,419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194,012</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9,923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184,089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significant leases that have not yet commenced.</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Acquisitions and Divestitu</w:t>
      </w:r>
      <w:r>
        <w:rPr>
          <w:rFonts w:ascii="Arial" w:cs="Arial" w:eastAsia="Arial" w:hAnsi="Arial"/>
          <w:sz w:val="16"/>
          <w:szCs w:val="16"/>
          <w:color w:val="auto"/>
        </w:rPr>
        <w:t>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spent $1,840.8 million in cash, net of cash acquired, to acquire Magnetrol International ("Magnetrol"), Crank Software, and EGS Automation ("EGS") in March 2021, and NSI-MI Technologies ("NSI-MI") and Abaco Systems, Inc. ("Abaco") in April 2021. Magnetrol is a leading provider of level and flow control solutions for challenging process applications across a diverse set of end markets including medical, pharmaceutical, oil and gas, food and beverage, and general industrial. Crank Software is a leading provider of embedded graphical user interface software and services. EGS is an automation solutions provider that designs and manufactures highly engineered, customized robotic solutions used in critical applications for the medical, food and beverage, and general industrial markets. NSI-MI is a leading provider of radio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frequency and microwave test and measurement systems for niche applications across the aerospace, defense, automotive, wireless communications, and research markets. Abaco specializes in open-architecture computing and electronic systems for aerospace, defense, and specialized industrial markets and is a leading provider of mission critical embedded computing systems. Magnetrol, Crank Software, NSI-MI, and Abaco are part of EIG. EGS is part of EMG.</w:t>
      </w:r>
    </w:p>
    <w:p>
      <w:pPr>
        <w:spacing w:after="0" w:line="28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represents the allocation of the purchase price for the net assets of the acquisitions based on the estimated fair values at acquisition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Abaco</w:t>
            </w: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Other Acquisitions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691.4</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231.4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922.8</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675.0</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267.3</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942.3</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(134.1)</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(164.5)</w:t>
            </w:r>
          </w:p>
        </w:tc>
      </w:tr>
      <w:tr>
        <w:trPr>
          <w:trHeight w:val="230"/>
        </w:trPr>
        <w:tc>
          <w:tcPr>
            <w:tcW w:w="6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working capital and other</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cash paid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1,345.9</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494.9</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1,840.8</w:t>
            </w:r>
          </w:p>
        </w:tc>
      </w:tr>
      <w:tr>
        <w:trPr>
          <w:trHeight w:val="21"/>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$66.8 million in accounts receivable, whose fair value, contractual cash flows and expected cash flows are approximately equal.</w:t>
      </w:r>
    </w:p>
    <w:p>
      <w:pPr>
        <w:spacing w:after="0" w:line="23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amount allocated to goodwill is reflective of the benefits the Company expects to realize from the 2021 acquisitions. Abaco's computing and electronic solutions expand and complement the Company's existing aerospace and defense businesses. NSI-MI strengthens the Company's test and measurement platform. Magnetrol's solutions combined with the Company’s existing Sensors, Test and Calibration business, becomes an industry leading differentiated sensor platform with a broad range of level and flow measurement solutions. Crank Software expands the Company's growing portfolio of software solutions. EGS complements the Company's existing Dunkermotoren business providing highly customizable engineering design and automation capabilities. The Company expects approximately $106 million of the goodwill relating to the 2021 acquisitions will be tax deductible in future years.</w:t>
      </w:r>
    </w:p>
    <w:p>
      <w:pPr>
        <w:spacing w:after="0" w:line="16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At June 30, 2021, the purchase price allocated to other intangible assets of $942.3 million consists of $145.3 million of indefinite-lived intangible trade names, which are not subject to amortization. The remaining $797.0 million of other intangible assets consists of $632.1 million of customer relationships, which are being amortized over a period of 15 to 20 years, and $164.9 million of purchased technology, which is being amortized over a period of 11 to 20 years. Amortization expense for each of the next five years for the 2021 acquisitions is expected to approximate $47 million per year.</w:t>
      </w:r>
    </w:p>
    <w:p>
      <w:pPr>
        <w:spacing w:after="0" w:line="157"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The Company is in the process of finalizing the measurement of certain tangible and intangible assets and liabilities for its 2021 acquisitions including inventory, property, plant and equipment, goodwill, trade names, customer relationships and purchased technology, and the accounting for income taxes.</w:t>
      </w:r>
    </w:p>
    <w:p>
      <w:pPr>
        <w:spacing w:after="0" w:line="18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acquisitions had an immaterial impact on reported net income and diluted earnings per share for the three and six months ended June 30, 2021. Had the acquisitions been made at the beginning of 2021 or 2020, pro forma net income and diluted earnings per share for the three and six months ended June 30, 2021 and 2020, would not have been materially different than the amounts reported. Pro forma net sales would not have been materially different than the amounts reported for the three and six months ended June 30, 2021 and would have been approximately 10% higher than the reported amounts for the three and six months ended June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17" w:lineRule="exact"/>
        <w:rPr>
          <w:sz w:val="20"/>
          <w:szCs w:val="20"/>
          <w:color w:val="auto"/>
        </w:rPr>
      </w:pPr>
    </w:p>
    <w:p>
      <w:pPr>
        <w:ind w:right="420" w:firstLine="648"/>
        <w:spacing w:after="0" w:line="291" w:lineRule="auto"/>
        <w:rPr>
          <w:sz w:val="20"/>
          <w:szCs w:val="20"/>
          <w:color w:val="auto"/>
        </w:rPr>
      </w:pPr>
      <w:r>
        <w:rPr>
          <w:rFonts w:ascii="Arial" w:cs="Arial" w:eastAsia="Arial" w:hAnsi="Arial"/>
          <w:sz w:val="16"/>
          <w:szCs w:val="16"/>
          <w:color w:val="auto"/>
        </w:rPr>
        <w:t>The Company completed its sale of Reading Alloys to Kymera International in March 2020 for net cash proceeds of $245.3 million. The sale resulted in a pretax gain of $141.0 million, recorded in Other income, net in the Consolidated Statement of Income, and income tax expense</w:t>
      </w:r>
    </w:p>
    <w:p>
      <w:pPr>
        <w:ind w:right="160"/>
        <w:spacing w:after="0" w:line="260" w:lineRule="auto"/>
        <w:rPr>
          <w:sz w:val="20"/>
          <w:szCs w:val="20"/>
          <w:color w:val="auto"/>
        </w:rPr>
      </w:pPr>
      <w:r>
        <w:rPr>
          <w:rFonts w:ascii="Arial" w:cs="Arial" w:eastAsia="Arial" w:hAnsi="Arial"/>
          <w:sz w:val="18"/>
          <w:szCs w:val="18"/>
          <w:color w:val="auto"/>
        </w:rPr>
        <w:t>of approximately $31.4 million in connection with the sale. Reading Alloys revenue and costs were reported within the EMG segment through the date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amounts of goodwill by segment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EIG</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EMG</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w:t>
            </w:r>
          </w:p>
        </w:tc>
      </w:tr>
      <w:tr>
        <w:trPr>
          <w:trHeight w:val="187"/>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3,050.3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4,224.9</w:t>
            </w: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Goodwill acquired</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916.9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922.8</w:t>
            </w: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price allocation adjustments and other</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r>
      <w:tr>
        <w:trPr>
          <w:trHeight w:val="23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3,963.0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5,139.8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At June 30, 2021, the Company had gross uncertain tax benefits of $132.3 million, of which $81.4 million, if recognized, would impact the effective tax rate.</w:t>
      </w:r>
    </w:p>
    <w:p>
      <w:pPr>
        <w:sectPr>
          <w:pgSz w:w="11900" w:h="16838" w:orient="portrait"/>
          <w:cols w:equalWidth="0" w:num="1">
            <w:col w:w="11220"/>
          </w:cols>
          <w:pgMar w:left="320" w:top="125" w:right="35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reconciliation of the liability for uncertain tax positions (in millions):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Reductions for tax positions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028" w:hanging="1028"/>
        <w:spacing w:after="0"/>
        <w:tabs>
          <w:tab w:leader="none" w:pos="1028"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100.7</w:t>
      </w:r>
    </w:p>
    <w:p>
      <w:pPr>
        <w:spacing w:after="0" w:line="23" w:lineRule="exact"/>
        <w:rPr>
          <w:rFonts w:ascii="Arial" w:cs="Arial" w:eastAsia="Arial" w:hAnsi="Arial"/>
          <w:sz w:val="18"/>
          <w:szCs w:val="18"/>
          <w:color w:val="auto"/>
        </w:rPr>
      </w:pPr>
    </w:p>
    <w:p>
      <w:pPr>
        <w:ind w:left="1128"/>
        <w:spacing w:after="0"/>
        <w:rPr>
          <w:rFonts w:ascii="Arial" w:cs="Arial" w:eastAsia="Arial" w:hAnsi="Arial"/>
          <w:sz w:val="18"/>
          <w:szCs w:val="18"/>
          <w:color w:val="auto"/>
        </w:rPr>
      </w:pPr>
      <w:r>
        <w:rPr>
          <w:rFonts w:ascii="Arial" w:cs="Arial" w:eastAsia="Arial" w:hAnsi="Arial"/>
          <w:sz w:val="18"/>
          <w:szCs w:val="18"/>
          <w:b w:val="1"/>
          <w:bCs w:val="1"/>
          <w:color w:val="auto"/>
        </w:rPr>
        <w:t>32.4</w:t>
      </w:r>
    </w:p>
    <w:p>
      <w:pPr>
        <w:spacing w:after="0" w:line="22" w:lineRule="exact"/>
        <w:rPr>
          <w:rFonts w:ascii="Arial" w:cs="Arial" w:eastAsia="Arial" w:hAnsi="Arial"/>
          <w:sz w:val="18"/>
          <w:szCs w:val="18"/>
          <w:color w:val="auto"/>
        </w:rPr>
      </w:pPr>
    </w:p>
    <w:p>
      <w:pPr>
        <w:ind w:left="1128"/>
        <w:spacing w:after="0"/>
        <w:rPr>
          <w:rFonts w:ascii="Arial" w:cs="Arial" w:eastAsia="Arial" w:hAnsi="Arial"/>
          <w:sz w:val="18"/>
          <w:szCs w:val="18"/>
          <w:color w:val="auto"/>
        </w:rPr>
      </w:pPr>
      <w:r>
        <w:rPr>
          <w:rFonts w:ascii="Arial" w:cs="Arial" w:eastAsia="Arial" w:hAnsi="Arial"/>
          <w:sz w:val="17"/>
          <w:szCs w:val="17"/>
          <w:b w:val="1"/>
          <w:bCs w:val="1"/>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683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3" w:lineRule="exact"/>
        <w:rPr>
          <w:sz w:val="20"/>
          <w:szCs w:val="20"/>
          <w:color w:val="auto"/>
        </w:rPr>
      </w:pPr>
    </w:p>
    <w:p>
      <w:pPr>
        <w:ind w:left="1028" w:hanging="1028"/>
        <w:spacing w:after="0"/>
        <w:tabs>
          <w:tab w:leader="none" w:pos="102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132.3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683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683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8972" w:space="720"/>
            <w:col w:w="1528"/>
          </w:cols>
          <w:pgMar w:left="320" w:top="125" w:right="359" w:bottom="1440" w:gutter="0" w:footer="0" w:header="0"/>
          <w:type w:val="continuous"/>
        </w:sectPr>
      </w:pPr>
    </w:p>
    <w:p>
      <w:pPr>
        <w:spacing w:after="0" w:line="52"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The additions above primarily reflect the tax positions included as a component of goodwill for businesses recently acquired. The Company recognizes interest and penalties accrued related to uncertain tax positions in income tax expense. The amounts recognized in income tax expense for interest and penalties during the three and six months ended June 30, 2021 and 2020 were not significant.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effective tax rate for the three months ended June 30, 2021 was 20.6%, compared with 19.5% for the three months ended June 30, 2020.</w:t>
      </w:r>
    </w:p>
    <w:p>
      <w:pPr>
        <w:spacing w:after="0" w:line="200" w:lineRule="exact"/>
        <w:rPr>
          <w:sz w:val="20"/>
          <w:szCs w:val="20"/>
          <w:color w:val="auto"/>
        </w:rPr>
      </w:pPr>
    </w:p>
    <w:p>
      <w:pPr>
        <w:spacing w:after="0" w:line="2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Debt</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26, 2021,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Truist Bank and Wells Fargo Bank, National Association, as Co-Syndication Agents. The credit agreement amends and restates the Company’s existing revolving credit facility to add a new five-year, delayed draw, term loan for up to $800 million. The credit agreement places certain restrictions on allowable additional indebtedness. At June 30, 2021, the Company had $150.0 million outstanding on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3"/>
              </w:rPr>
              <w:t>2020</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183"/>
        </w:trPr>
        <w:tc>
          <w:tcPr>
            <w:tcW w:w="4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3,326</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Restricted stock expense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5,690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4,586</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11,917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8,128</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pre-tax expense</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12,153</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11,205</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23,593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19,053</w:t>
            </w:r>
          </w:p>
        </w:tc>
      </w:tr>
      <w:tr>
        <w:trPr>
          <w:trHeight w:val="21"/>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 December 31,</w:t>
            </w:r>
          </w:p>
        </w:tc>
      </w:tr>
      <w:tr>
        <w:trPr>
          <w:trHeight w:val="188"/>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2021</w:t>
            </w: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4"/>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24.2 %</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0.85 %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0.52 %</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0.66 %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Black-Scholes-Merton fair value per stock option granted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25.63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11.01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stock option activity and related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20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19"/>
              <w:spacing w:after="0" w:line="13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94"/>
              </w:rPr>
              <w:t>Shares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399"/>
              <w:spacing w:after="0" w:line="135"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82"/>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ind w:left="399"/>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6"/>
              </w:rPr>
              <w:t>Life</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31"/>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3,950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65.16</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121.91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59.57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80.45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2021</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auto"/>
            </w:tcBorders>
            <w:shd w:val="clear" w:color="auto" w:fill="CCEEFF"/>
          </w:tcPr>
          <w:p>
            <w:pPr>
              <w:spacing w:after="0"/>
              <w:rPr>
                <w:sz w:val="21"/>
                <w:szCs w:val="21"/>
                <w:color w:val="auto"/>
              </w:rPr>
            </w:pPr>
          </w:p>
        </w:tc>
        <w:tc>
          <w:tcPr>
            <w:tcW w:w="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235.6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June 30, 2021</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3"/>
              </w:rPr>
              <w:t>2,567</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9"/>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88"/>
              </w:rPr>
              <w:t>64.78</w:t>
            </w: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Arial" w:cs="Arial" w:eastAsia="Arial" w:hAnsi="Arial"/>
                <w:sz w:val="18"/>
                <w:szCs w:val="18"/>
                <w:b w:val="1"/>
                <w:bCs w:val="1"/>
                <w:color w:val="auto"/>
              </w:rPr>
              <w:t>176.4</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aggregate intrinsic value of stock options exercised during the six months ended June 30, 2021 was $30.5 million. The total fair value of stock options vested during the six months ended June 30, 2021 was $13.6 million. As of June 30,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was approximately $22.6 million of expected future pre-tax compensation expense related to the 1.4 million non-vested stock options outstanding, which is expected to be recognized over a weighted average period of approximately two years.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non-vested restricted stock activity and related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8040" w:type="dxa"/>
            <w:vAlign w:val="bottom"/>
          </w:tcPr>
          <w:p>
            <w:pPr>
              <w:spacing w:after="0"/>
              <w:rPr>
                <w:sz w:val="15"/>
                <w:szCs w:val="15"/>
                <w:color w:val="auto"/>
              </w:rPr>
            </w:pPr>
          </w:p>
        </w:tc>
        <w:tc>
          <w:tcPr>
            <w:tcW w:w="15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122.01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68.06</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June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total fair value of restricted stock vested during the six months ended June 30, 2021 was $23.6 million. As of June 30, 2021, there was approximately $37.0 million of expected future pre-tax compensation expense related to the 0.5 million non-vested restricted shares outstanding, which is expected to be recognized over a weighted average period of approximately two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March 2021,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w:t>
      </w:r>
    </w:p>
    <w:p>
      <w:pPr>
        <w:spacing w:after="0" w:line="17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non-vested performance restricted stock activity and related information: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8040" w:type="dxa"/>
            <w:vAlign w:val="bottom"/>
          </w:tcPr>
          <w:p>
            <w:pPr>
              <w:spacing w:after="0"/>
              <w:rPr>
                <w:sz w:val="15"/>
                <w:szCs w:val="15"/>
                <w:color w:val="auto"/>
              </w:rPr>
            </w:pPr>
          </w:p>
        </w:tc>
        <w:tc>
          <w:tcPr>
            <w:tcW w:w="15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performance restricted stock outstanding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121.91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Performance assumption change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78.20</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Vested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78.20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81.76</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Non-vested performance restricted stock outstanding at June 30,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85.44</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ind w:left="120" w:hanging="112"/>
        <w:spacing w:after="0" w:line="217" w:lineRule="auto"/>
        <w:tabs>
          <w:tab w:leader="none" w:pos="1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Reflects the number of PRSUs above target levels based on performance metrics.</w:t>
      </w:r>
    </w:p>
    <w:p>
      <w:pPr>
        <w:spacing w:after="0" w:line="10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June 30, 2021, there was approximately $9.7 million of expected future pre-tax compensation expense related to the 0.3 million non-vested restricted shares outstanding, which is expected to be recognized over a weighted average period of less than one year.</w:t>
      </w:r>
    </w:p>
    <w:p>
      <w:pPr>
        <w:spacing w:after="0" w:line="2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periodic pension benefit expense (income)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3"/>
                <w:szCs w:val="13"/>
                <w:color w:val="auto"/>
              </w:rPr>
            </w:pPr>
          </w:p>
        </w:tc>
      </w:tr>
      <w:tr>
        <w:trPr>
          <w:trHeight w:val="188"/>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3"/>
              </w:rPr>
              <w:t>2020</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83"/>
        </w:trPr>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2,030</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1,929</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4,051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3,879</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(14,221)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(13,558)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(28,395)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(27,208)</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7,907</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7,961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6,882</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16,416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16,907</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10,084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20,773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20,780</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pension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defined benefit plans, the net periodic benefit income, other than the service cost component, is included in “Other (expense) income, net” in the consolidated statement of income.</w:t>
      </w:r>
    </w:p>
    <w:p>
      <w:pPr>
        <w:spacing w:after="0" w:line="170"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For the six months ended June 30, 2021 and 2020, contributions to the Company’s defined benefit pension plans were $4.1 million and $3.2 million, respectively. The Company’s current estimate of 2021 contributions to its worldwide defined benefit pension plans is in line with the range disclosed in Note 12 of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Certain historic processes in the manufacture of products have resulted in environmentally hazardous waste by-products as defined by federal and state laws and regulations. At June 30, 2021,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Total environmental reserves at June 30, 2021 and December 31, 2020 were $33.8 million and $32.4 million, respectively, for both non-owned and owned sites. For the six months ended June 30, 2021, the Company recorded $4.5 million in reserves. Additionally, the Company spent $3.1 million on environmental matters for the six months ended June 30, 2021. The Company’s reserves for environmental liabilities at June 30, 2021 and December 31, 2020 included reserves of $6.3 million and $7.4 million, respectively, for an owned site acquired in connection with the 2005 acquisition of HCC Industries (“HCC”). The Company is the designated performing party for the performance of remedial activities for one of several operating units making up a Superfund site in the San Gabriel Valley of California. The Company has obtained indemnifications and other financial assurances from the former owners of HCC related to the costs of the required remedial activities.</w:t>
      </w:r>
    </w:p>
    <w:p>
      <w:pPr>
        <w:spacing w:after="0" w:line="177"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 To date, these parties have met their obligations in all material respects.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believes it has established reserves for the environmental matters described above, which are sufficient to perform all known responsibilities under existing claims and consent orders. The Company has no reason to believe that other third parties would fail to perform their obligations in the future.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has been remediating groundwater contamination for several contaminants, including trichloroethylene (“TCE”), at a formerly owned site in El Cajon, California. Several lawsuits have been filed against the Company alleging damages resulting from the groundwater contamination, including property damages and funds for medical monitoring to detect causally related personal injury, and seeking compensatory and punitive damages. While the Company believes that it has good and valid defenses to each of these claims and intends to defend them vigorously if pursued through trial, the parties agreed to terms to globally settle the cases. After extensive negotiations, the Company finalized and paid in April 2021 a global settlement of these lawsuits for an aggregate amount of $6.8 million, for which the Company had previously established reserves sufficient to cover this settlement.</w:t>
      </w: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gridSpan w:val="7"/>
          </w:tcPr>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24"/>
        </w:trPr>
        <w:tc>
          <w:tcPr>
            <w:tcW w:w="53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8420" w:type="dxa"/>
            <w:vAlign w:val="bottom"/>
            <w:gridSpan w:val="7"/>
          </w:tcPr>
          <w:p>
            <w:pPr>
              <w:ind w:left="660"/>
              <w:spacing w:after="0"/>
              <w:rPr>
                <w:sz w:val="20"/>
                <w:szCs w:val="20"/>
                <w:color w:val="auto"/>
              </w:rPr>
            </w:pPr>
            <w:r>
              <w:rPr>
                <w:rFonts w:ascii="Arial" w:cs="Arial" w:eastAsia="Arial" w:hAnsi="Arial"/>
                <w:sz w:val="18"/>
                <w:szCs w:val="18"/>
                <w:color w:val="auto"/>
                <w:w w:val="94"/>
              </w:rPr>
              <w:t>The following table sets forth net sales and income by reportable segment and on a consolidated basis: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5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4"/>
                <w:szCs w:val="24"/>
                <w:color w:val="auto"/>
              </w:rPr>
            </w:pPr>
          </w:p>
        </w:tc>
        <w:tc>
          <w:tcPr>
            <w:tcW w:w="23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23"/>
        </w:trPr>
        <w:tc>
          <w:tcPr>
            <w:tcW w:w="5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3"/>
        </w:trPr>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Electronic Instruments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933,934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647,882</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9"/>
              </w:rPr>
              <w:t>1,724,858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1,422,107</w:t>
            </w: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Electromechanical</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452,412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364,040</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877,230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792,033</w:t>
            </w: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Consolidated 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1,386,346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1,011,922</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2,602,088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2,214,140</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and income before income taxes: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Electronic Instruments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226,637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159,593</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330,864</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Electromechanical</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84,287</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217,467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160,851</w:t>
            </w:r>
          </w:p>
        </w:tc>
      </w:tr>
      <w:tr>
        <w:trPr>
          <w:trHeight w:val="223"/>
        </w:trPr>
        <w:tc>
          <w:tcPr>
            <w:tcW w:w="5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segment operating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339,071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491,715</w:t>
            </w:r>
          </w:p>
        </w:tc>
      </w:tr>
      <w:tr>
        <w:trPr>
          <w:trHeight w:val="229"/>
        </w:trPr>
        <w:tc>
          <w:tcPr>
            <w:tcW w:w="5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Corporate administrative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(16,890)</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(32,685)</w:t>
            </w:r>
          </w:p>
        </w:tc>
      </w:tr>
      <w:tr>
        <w:trPr>
          <w:trHeight w:val="22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operating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316,611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226,990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609,956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459,030</w:t>
            </w: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(20,442)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(22,669)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(39,389)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(45,410)</w:t>
            </w: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143,907</w:t>
            </w: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Consolidated income before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291,755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206,452</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564,211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557,527</w:t>
            </w:r>
          </w:p>
        </w:tc>
      </w:tr>
      <w:tr>
        <w:trPr>
          <w:trHeight w:val="21"/>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For the quarter ended June 30, 2021, the Company posted record sales, operating income, backlog, and orders as well as strong operating cash flow. The Company achieved these results from organic sales growth in both EIG and EMG, contributions from the 2021 acquisitions of Abaco Systems, Inc., Magnetrol International, NSI-MI Technologies, Crank Software, and EGS Automation, as well as our Operational Excellence initiatives.</w:t>
      </w:r>
    </w:p>
    <w:p>
      <w:pPr>
        <w:spacing w:after="0" w:line="14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full year impact of the 2021 acquisitions, continued economic recovery, and benefits from its Operational Excellence initiatives are expected to have a positive impact on the remainder of the Company's 2021 results. While the ultimate duration and impact of the COVID-19 pandemic is unknown, the Company will continue to monitor and address the challenges of the pandemic throughout the remainder of the year.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COVID-19 Pandemic on our Business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COVID-19 pandemic resulted in significant global economic disruption and had an adverse impact on the Company's financial results throughout 2020. As the global economy has begun to recover, the Company eliminated certain of the temporary cost saving actions put in place in 2020, but continues to closely monitor its fixed costs, capital expenditure plans, inventory, and capital resources to respond to changing conditions and to ensure it has the resources to meet its future needs. The Company has seen sequential improvement in its financial results since the third quarter of 2020, and this trend has continued in the first six months of 2021. The recovery in customer demand has had business impacts, including increased material cost inflation, logistics challenges, and component part shortages. While the Company has not experienced significant or widespread disruption to its supply chain or distribution channels, the Company expects the impact of material cost inflation and logistics challenges to continue through the remainder of 2021 and has taken steps to mitigate such impacts.</w:t>
      </w:r>
    </w:p>
    <w:p>
      <w:pPr>
        <w:spacing w:after="0" w:line="17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Company's top priority during this pandemic is the health and safety of its employees. All global manufacturing facilities remained fully operational during the second quarter and continue to operate with safety protocols in place to ensure the health and safety of its employees and communities. The Company will continue to evaluate the nature and extent of future impacts of the COVID-19 pandemic on its business. See Risk Factors, included in Part I, Item 1A of our Annual Report on Form 10-K,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second quarter of 2021 compared with the second quarter of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sales for the second quarter of 2021 were a record $1,386.3 million, an increase of $374.4 million or 37.0%, compared with net sales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$1,011.9 million for the second quarter of 2020. The increase in net sales for the second quarter of 2021 was due to a 25% increase in organic sales, a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from acquisitions, and a favorable 2% effect of foreign currency translation.</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Total international sales for the second quarter of 2021 were $665.7 million or 48.0% of net sales, an increase of $181.9 million or 37.6%, compared with international sales of $483.8 million or 47.8% of net sales for the second quarter of 2020. The increase in international sales was primarily driven by strong demand in Europe and Asia during the quarter as well as contributions from recent acquisitions.</w:t>
      </w:r>
    </w:p>
    <w:p>
      <w:pPr>
        <w:spacing w:after="0" w:line="16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Orders for the second quarter of 2021 were a record $1,913.7 million, an increase of $915.7 million or 91.8%, compared with $998.0 million for the second quarter of 2020. The increase in orders for the second quarter of 2021 was due to a 44% increase in organic orders, a 46% increase from acquisitions, and a favorable 2% effect of foreign currency translation. As a result, the Company's backlog of unfilled orders at June 30, 2021 was a record $2,511.5 million, an increase of $709.3 million or 39.4% compared with $1,802.2 million at December 31, 2020.</w:t>
      </w:r>
    </w:p>
    <w:p>
      <w:pPr>
        <w:spacing w:after="0" w:line="171"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Segment operating income for the second quarter of 2021 was $339.1 million, an increase of $95.2 million or 39.0%, compared with segment operating income of $243.9 million for the second quarter of 2020. Segment operating margins, as a percentage of net sales, increased to 24.5% for the second quarter of 2021, compared with 24.1% for the second quarter of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sales for the second quarter of 2021 was $912.7 million or 65.8% of net sales, an increase of $243.5 million or 36.4%, compared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$669.2 million or 66.1% of net sales for the second quarter of 2020. The cost of sales increase was primarily due to the net sales increase discussed above.</w:t>
      </w:r>
    </w:p>
    <w:p>
      <w:pPr>
        <w:spacing w:after="0" w:line="23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Selling, general and administrative expenses for the second quarter of 2021 were $157.0 million or 11.3% of net sales, an increase of $41.3 million or 35.7%, compared with $115.7 million or 11.4% of net sales for the second quarter of 2020. Selling, general and administrative expenses increased primarily due to the net sales increase discussed above.</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Consolidated operating income was a record $316.6 million or 22.8% of net sales for the second quarter of 2021, an increase of $89.6 million or 39.5%, compared with $227.0 million or 22.4% of net sales for the second quarter of 2020.</w:t>
      </w:r>
    </w:p>
    <w:p>
      <w:pPr>
        <w:spacing w:after="0" w:line="170"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Other expense, net was $4.4 million for the second quarter of 2021, compared with $2.1 million of other income, net for the second quarter of 2020, a change of $6.5 million. The second quarter of 2021 includes higher acquisition-related due diligence expense compared to the second quarter of 2020.</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effective tax rate for the second quarter of 2021 was 20.6%, compared with 19.5% for the second quarter of 2020. The higher rate in 2021 primarily reflects the remeasurement of the deferred tax liabilities due to an increase in the UK tax rate.</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Net income for the second quarter of 2021 was $231.7 million, an increase of $65.5 million or 39.4%, compared with $166.2 million for the second quarter of 2020.</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Diluted earnings per share for the second quarter of 2021 were $1.00, an increase of $0.28 or 38.9%, compared with $0.72 per diluted share for the second quarter of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EIG</w:t>
      </w:r>
      <w:r>
        <w:rPr>
          <w:rFonts w:ascii="Arial" w:cs="Arial" w:eastAsia="Arial" w:hAnsi="Arial"/>
          <w:sz w:val="18"/>
          <w:szCs w:val="18"/>
          <w:b w:val="1"/>
          <w:bCs w:val="1"/>
          <w:i w:val="1"/>
          <w:iCs w:val="1"/>
          <w:color w:val="auto"/>
        </w:rPr>
        <w:t>’</w:t>
      </w:r>
      <w:r>
        <w:rPr>
          <w:rFonts w:ascii="Arial" w:cs="Arial" w:eastAsia="Arial" w:hAnsi="Arial"/>
          <w:sz w:val="18"/>
          <w:szCs w:val="18"/>
          <w:color w:val="auto"/>
        </w:rPr>
        <w:t>s net sales totaled a record $933.9 million for the second quarter of 2021, an increase of $286.0 million or 44.2%, compared 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$647.9 million for the second quarter of 2020. The net sales increase was due to a 27% increase in organic sales, a 16% increase from acquisitions, and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favorable 1% effect of foreign currency translation.</w:t>
      </w:r>
    </w:p>
    <w:p>
      <w:pPr>
        <w:spacing w:after="0" w:line="21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EIG’s operating income was $226.6 million for the second quarter of 2021, an increase of $67.0 million or 42.0%, compared with $159.6 million for the second quarter of 2020. EIG's operating income increased primarily due to the sales increase discussed above. EIG’s operating margins were 24.3% of net sales for the second quarter of 2021, compared with 24.6% for the second quarter of 2020. The 2021 acquisitions of Abaco, Magnetrol, NSI-MI, and Crank Software diluted operating margins by 200 basis points.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EMG’s </w:t>
      </w:r>
      <w:r>
        <w:rPr>
          <w:rFonts w:ascii="Arial" w:cs="Arial" w:eastAsia="Arial" w:hAnsi="Arial"/>
          <w:sz w:val="16"/>
          <w:szCs w:val="16"/>
          <w:color w:val="auto"/>
        </w:rPr>
        <w:t>net sales totaled $452.4 million for the second quarter of 2021, an increase of $88.4 million or 24.3%, compared with $364.0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second quarter of 2020. The net sales increase was due to a 21% organic sales increase, as well as a favorable 3% effect of foreign currency translation.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EMG’s operating income was a record $112.4 million for the second quarter of 2021, an increase of $28.1 million or 33.4%,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$84.3 million for the second quarter of 2020. EMG's operating income increased primarily due to the increase in sales discussed above. EMG’s operating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margins were a record 24.9% of net sales for the second quarter of 2021, compared with 23.2% for the second quarter of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first six months of 2021 compared with the first six months of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for the first six months of 2021 were $2,602.1 million, an increase of $388.0 million or 17.5%, compared with net sales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$2,214.1 million for the first six months of 2020. The increase in net sales for the first six months of 2021 was due to a 12% organic sales increase, a 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from acquisitions as well as a favorable 2% effect of foreign currency translation.</w:t>
      </w:r>
    </w:p>
    <w:p>
      <w:pPr>
        <w:spacing w:after="0" w:line="211"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Total international sales for the first six months of 2021 were $1,282.1 million or 49.3% of net sales, an increase of $237.3 million or 22.7%, compared with international sales of $1,044.8 million or 47.2% of net sales for the first six months of 2020. The increase in international sales was primarily driven by strong demand in Europe and Asia.</w:t>
      </w:r>
    </w:p>
    <w:p>
      <w:pPr>
        <w:spacing w:after="0" w:line="18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Orders for the first six months of 2021 were $3,311.4 million, an increase of $1,103.4 million or 50.0%, compared with $2,208.0 million for the first six months of 2020. The increase in orders for the first six months of 2021 was due to a 25% organic order increase, a favorable 2% effect of foreign currency translation, and a 23% increase from acquisitions.</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Segment operating income for the first six months of 2021 was $651.0 million, an increase of $159.3 million or 32.4%, compared with segment operating income of $491.7 million for the first six months of 2020. Segment operating margins, as a percentage of net sales, increased to 25.0% for the first six months of 2021, compared with 22.2% for the first six months of 2020. The Company recorded realignment costs of $43.7 million in the first quarter of 2020 in response to the impact of a weak global economy as a result of the COVID-19 pandemic. The 2020 realignment costs were composed of $35.3 million in severance costs for a reduction in workforce and $8.4 million of asset write-downs, primarily inventory, which decreased margins by 200 basis points for the first six months of 2020. Segment operating income and segment operating margins for the first six months of 2021 were positively impacted by the increase in net sales discussed above as well as the benefits of the Company's Operational Excellence initiatives, including the 2020 realignment actions.</w:t>
      </w:r>
    </w:p>
    <w:p>
      <w:pPr>
        <w:spacing w:after="0" w:line="19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Cost of sales for the first six months of 2021 was $1,702.1 million or 65.4% of net sales, an increase of $208.3 million or 13.9%, compared with $1,493.8 million or 67.5% of net sales for the first six months of 2020. The cost of sales increase was primarily due to the net sales increase discussed above. The first six months of 2020 included the realignment costs discussed above.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Selling, general and administrative expenses for the first six months of 2021 were $290.0 million or 11.1% of net sales, an increase of</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$28.7 million or 11.0%, compared with $261.3 million or 11.8% of net sales for the first six months of 2020. Selling, general and administrative expenses increased primarily due to the increase in net sales discussed above.</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Consolidated operating income was $610.0 million or 23.4% of net sales for the first six months of 2021, an increase of $151.0 million or 32.9%, compared with $459.0 million or 20.7% of net sales for the first six months of 2020. The consolidated operating income and operating income margins for the first six months of 2021 were positively impacted by the increase in net sales discussed above as well as the benefits of the Company's Operational Excellence initiatives. The first six months of 2020 included the realignment costs discussed above, which negatively impacted consolidated operating margins by 200 basis points.</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Other expense, net was $6.4 million for the first six months of 2021, compared with $143.9 million of other income, net for the first six months of 2020, a change of $150.3 million. In March 2020, the Company completed the sale of its Reading Alloys business ("Reading") to Kymera International for net proceeds of $245.3 million in cash. The sale resulted in a pre-tax gain of $141.0 million recorded in other income, net in the first quarter of 2020. The first six months of 2021 also includes higher acquisition-related due diligence expense compared to the first six months of 2020.</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effective tax rate for the first six months of 2021 was 20.1%, compared with 19.9% for the first six months of 2020. The higher effective tax rate in 2021 is primarily due to the remeasurement of the deferred tax liabilities due to an</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increase in the UK tax rate in 2021 offset by higher reported taxes in 2020 due to the gain on the sale of the Reading Alloys business in Q1 2020 which resulted in an additional $31.4 million of income tax expense at an effective tax rate of 22.3%.</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Net income for the first six months of 2021 was $450.9 million, an increase of $4.1 million or 0.9%, compared with $446.8 million for the first six months of 2020.</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Diluted earnings per share for the first six months of 2021 and 2020 were flat at $1.94. In the first six months of 2020, diluted earnings per share included $0.47 for the net gain on the sale of Reading and $0.15 for the net realignment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3"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EIG’</w:t>
      </w:r>
      <w:r>
        <w:rPr>
          <w:rFonts w:ascii="Arial" w:cs="Arial" w:eastAsia="Arial" w:hAnsi="Arial"/>
          <w:sz w:val="18"/>
          <w:szCs w:val="18"/>
          <w:color w:val="auto"/>
        </w:rPr>
        <w:t>s net sales totaled $1,724.9 million for the first six months of 2021, an increase of $302.8 million or 21.3%, compared with $1,422.1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six months of 2020. The net sales increase was due to a 12% organic sales increase, a 7% increase from acquisitions, and a favorable 2% effect of foreign currency translation.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EIG’s operating income was $433.5 million for the first six months of 2021, an increase of $102.6 million or 31.0%, compared with</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$330.9 million for the first six months of 2020. EIG’s operating margins were 25.1% of net sales for the first six months of 2021, compared with 23.3% for the first six months of 2020. EIG's operating income and operating margins in the first six months of 2021 were positively impacted by the sales increase discussed above as well as the Company's Operational Excellence initiatives. EIG’s operating margins were negatively impacted in the first six months of 2020 by 160 basis points due to the 2020 realignment costs discussed above.</w:t>
      </w:r>
    </w:p>
    <w:p>
      <w:pPr>
        <w:spacing w:after="0" w:line="189"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EMG’s </w:t>
      </w:r>
      <w:r>
        <w:rPr>
          <w:rFonts w:ascii="Arial" w:cs="Arial" w:eastAsia="Arial" w:hAnsi="Arial"/>
          <w:sz w:val="18"/>
          <w:szCs w:val="18"/>
          <w:color w:val="auto"/>
        </w:rPr>
        <w:t>net sales totaled $877.2 million for the first six months of 2021, an increase of $85.2 million or 10.8%, compared with $792.0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six months of 2020. The net sales increase was due to an 11% organic sales increase, a favorable 3% effect of foreign currency translation, partially offset by an unfavorable 3% impact from the Reading divestiture.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EMG’s operating income was $217.5 million for the first six months of 2021, an increase of $56.6 million or 35.2%, compared with</w:t>
      </w:r>
    </w:p>
    <w:p>
      <w:pPr>
        <w:spacing w:after="0" w:line="2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$160.9 million for the first six months of 2020. EMG’s operating margins were 24.8% of net sales for the first six months of 2021, compared with 20.3% for the first six months of 2020. EMG's operating income and operating margins in the first six months of 2021 were positively impacted by the sales increase discussed above as well as the Company's Operational Excellence initiatives. EMG’s operating margins were negatively impacted in the first six months of 2020 by 260 basis points due to the 2020 realignment costs discussed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Cash provided by operating activities totaled $571.4 million for the first six months of 2021, a decrease of $14.0 million or 2.4%, compared with $585.4 million for the first six months of 2020. The decrease in cash provided by operating activities for the first six months of 2021 was primarily due to higher working capital requirements, partially offset by higher net income, net of the gain on the sale of the Reading business in 2020.</w:t>
      </w:r>
    </w:p>
    <w:p>
      <w:pPr>
        <w:spacing w:after="0" w:line="14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Free cash flow (cash flow provided by operating activities less capital expenditures) was $530.4 million for the first six months of 2021, compared with $558.4 million for the first six months of 2020. EBITDA (earnings before interest, income taxes, depreciation and amortization) was $742.5 million for the first six months of 2021, compared with $728.9 million for the first six months of 2020, which included the gain on the sale of the Reading business. Free cash flow and EBITDA are presented because the Company is aware that they are measures used by third parties in evaluating the Company.</w:t>
      </w:r>
    </w:p>
    <w:p>
      <w:pPr>
        <w:spacing w:after="0" w:line="15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Cash used by investing activities totaled $1,882.1 million for the first six months of 2021, compared with cash provided by investing activities of $104.8 million for the first six months of 2020. For the first six months of 2021, the Company paid $1,840.8 million, net of cash acquired, to purchase Abaco Systems, Magnetrol International, NSI-MI Technologies, Crank Software, and EGS Automation compared to $116.5 million, net of cash acquired, to purchase IntelliPower in the first six months of 2020. For the first six months of 2020, the Company received proceeds of $245.3 million from the sale of its Reading business. Additions to property, plant and equipment totaled $41.0 million for the first six months of 2021, compared with $27.0 million for the first six months of 2020.</w:t>
      </w:r>
    </w:p>
    <w:p>
      <w:pPr>
        <w:spacing w:after="0" w:line="19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Cash provided by financing activities totaled $491.6 million for the first six months of 2021, compared with cash provided by financing activities of $56.4 million for the first six months of 2020. At June 30, 2021, total debt, net was $2,962.1 million, compared with $2,413.7 million at December 31, 2020. For the first six months of 2021, total borrowings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increased by $569.9 million, driven by the 2021 acquisitions, compared with a $125.2 million increase for the first six months of 2020. At June 30, 2021, the Company had available borrowing capacity of $2,123.7 million under its revolving credit facility and $800 million term loan, including the $500 million accordion feature.</w:t>
      </w:r>
    </w:p>
    <w:p>
      <w:pPr>
        <w:spacing w:after="0" w:line="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26, 2021,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Truist Bank and Wells Fargo Bank, National Association, as Co-Syndication Agents. The credit agreement amends and restates the Company’s existing revolving credit facility to add a new five-year, delayed draw, term loan for up to $800 million. The credit agreement places certain restrictions on allowable additional indebtedness. At June 30, 2021, the Company had $150.0 million outstanding on the term loan.</w:t>
      </w:r>
    </w:p>
    <w:p>
      <w:pPr>
        <w:spacing w:after="0" w:line="19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debt-to-capital ratio was 31.8% at June 30, 2021, compared with 28.9% at December 31, 2020. The net debt-to-capital ratio (total debt, net less cash and cash equivalents divided by the sum of net debt and stockholders’ equity) was 28.8% at June 30, 2021, compared with 16.8% at December 31, 2020. The net debt-to-capital ratio is presented because the Company is aware that this measure is used by third parties in evaluating the Company.</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Additional financing activities for the first six months of 2021 included cash dividends paid of $92.2 million, compared with $82.4 million for the first six months of 2020. Effective February 11, 2021, the Company’s Board of Directors approved an 11% increase in the quarterly cash dividend on the Company’s common stock to $0.20 per common share from $0.18 per common share. Proceeds from stock option exercises were $31.1 million for the first six months of 2021, compared with $20.7 million for the first six months of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result of all of the Company’s cash flow activities for the first six months of 2021, cash and cash equivalents at June 30, 2021 totaled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$390.6 million, compared with $1,212.8 million at December 31, 2020. At June 30, 2021, the Company had $318.7 million in cash outside the United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States, compared with $344.0 million at December 31, 2020. The Company utilizes this cash to fund its international operations, as well as to acquire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international businesses. The Company is in compliance with all covenants, including financial covenants, for all of its debt agreements.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believes it has sufficient cash-generating capabilities from domestic and unrestricted foreign sources, available credit facilities and access to long-term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funds to enable it to meet its operating needs and contractual obligations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Company’s critical accounting policies are detailed in Part II, Item 7, Management’s Discussion and Analysis of Financial Condition of its Annual Report on Form 10-K for the year ended December 31, 2020. Primary disclosure of the Company’s significant accounting policies is also included in Note 1 to the Consolidated Financial Statements included in Part II, Item 8 of its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COVID-19 pandemic and its potential impact on AMETEK’s operations, supply chain, and demand across key end markets; general economic conditions affecting the industries the Company serves; changes in the competitive environment or the effects of competition in the Company’s markets; risks associated with international sales and operations; the Company’s ability to consummate and successfully integrate future acquisitions; the Company’s ability to successfully develop new products, open new facilities or transfer product lines; the price and availability of raw materials; compliance with government regulations, including environmental regulations; and the ability to maintain adequate liquidity and financing sources. A detailed discussion of these and other factors that may affect the Company’s future results is contained in AMETEK’s filings with the U.S. Securities and Exchange Commission, including its most recent reports on Form 10-K,10-Q and 8-K.AMETEK disclaims any intention or obligation to update or revise any forward-looking statements, unless required by the securities laws to do 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June 30, 2021. Based on that evaluation, the Company’s principal executive officer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 concluded that the Company’s disclosure controls and procedures are effective at the reasonable assurance level.</w:t>
      </w:r>
    </w:p>
    <w:p>
      <w:pPr>
        <w:spacing w:after="0" w:line="1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Such evaluation did not identify any change in the Company’s internal control over financial reporting during the quarter ended June 30, 2021 that has materially affected, or is reasonably likely to materially affect,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disruption in, shortage of, or price increases for, supply of our components and raw materials may adversely impact our operations.</w:t>
      </w:r>
    </w:p>
    <w:p>
      <w:pPr>
        <w:spacing w:after="0" w:line="37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While we manufacture certain parts and components used in our products, we require substantial amounts of raw materials and purchase some parts and components, including semiconductor chips and other electronic components, from suppliers. The availability and prices for raw materials, parts and components may be subject to curtailment or change due to, among other things, supplier’s allocation to other purchasers, interruptions in production by suppliers, changes in exchange rates and prevailing price levels. In addition, our facilities, supply chains, distribution systems, and products may be impacted by natural or man-made disruptions, including armed conflict, damaging weather or other acts of nature, pandemics or other public health crises. A shutdown of, or inability to utilize, one or more of our facilities, our supply chain, or our distribution system could significantly disrupt our operations, delay production and shipments, damage our relationships and reputation with customers, suppliers, employees, stockholders and others, result in lost sales, result in the misappropriation or corruption of data, or result in legal exposure and large remediation or other expenses. Furthermore, certain items, including base metals and certain steel components, are available only from a limited number of suppliers and are subject to commodity market fluctuations. Shortages in raw materials or price increases therefore could affect the prices we charge, our operating costs and our competitive position, which could adversely affect our business, financial condition, results of operations and cash flows.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purchases of AMETEK, Inc. common stock by the Company during the three months ended June 30,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7"/>
              </w:rPr>
              <w:t>Purchased as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of Shares</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Purchased (1)</w:t>
            </w: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Paid per Share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the Plan</w:t>
            </w:r>
          </w:p>
        </w:tc>
        <w:tc>
          <w:tcPr>
            <w:tcW w:w="0" w:type="dxa"/>
            <w:vAlign w:val="bottom"/>
          </w:tcPr>
          <w:p>
            <w:pPr>
              <w:spacing w:after="0"/>
              <w:rPr>
                <w:sz w:val="1"/>
                <w:szCs w:val="1"/>
                <w:color w:val="auto"/>
              </w:rPr>
            </w:pPr>
          </w:p>
        </w:tc>
      </w:tr>
      <w:tr>
        <w:trPr>
          <w:trHeight w:val="25"/>
        </w:trPr>
        <w:tc>
          <w:tcPr>
            <w:tcW w:w="4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2021 to April 30,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476,377,916</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May 1, 2021 to May 31, 2021</w:t>
            </w:r>
          </w:p>
        </w:tc>
        <w:tc>
          <w:tcPr>
            <w:tcW w:w="1520" w:type="dxa"/>
            <w:vAlign w:val="bottom"/>
          </w:tcPr>
          <w:p>
            <w:pPr>
              <w:jc w:val="right"/>
              <w:spacing w:after="0"/>
              <w:rPr>
                <w:sz w:val="20"/>
                <w:szCs w:val="20"/>
                <w:color w:val="auto"/>
              </w:rPr>
            </w:pPr>
            <w:r>
              <w:rPr>
                <w:rFonts w:ascii="Arial" w:cs="Arial" w:eastAsia="Arial" w:hAnsi="Arial"/>
                <w:sz w:val="18"/>
                <w:szCs w:val="18"/>
                <w:color w:val="auto"/>
              </w:rPr>
              <w:t>35,123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137.09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Arial" w:cs="Arial" w:eastAsia="Arial" w:hAnsi="Arial"/>
                <w:sz w:val="18"/>
                <w:szCs w:val="18"/>
                <w:color w:val="auto"/>
              </w:rPr>
              <w:t>471,563,018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2021 to June 30, 2021</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471,563,018</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520" w:hanging="652"/>
        <w:spacing w:after="0" w:line="260" w:lineRule="auto"/>
        <w:tabs>
          <w:tab w:leader="none" w:pos="4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surrendered to the Company to satisfy tax withholding obligations in connection with employees’ share-based compensation awards.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440" w:type="dxa"/>
            <w:vAlign w:val="bottom"/>
            <w:gridSpan w:val="3"/>
            <w:vMerge w:val="restart"/>
          </w:tcPr>
          <w:p>
            <w:pPr>
              <w:ind w:left="4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cente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1*</w:t>
              </w:r>
            </w:hyperlink>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42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2*</w:t>
              </w:r>
            </w:hyperlink>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Certification of Chief Financial Officer, Pursuant to Section 302 of the Sarbanes-Oxley Act of 2002.</w:t>
              </w:r>
            </w:hyperlink>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jc w:val="center"/>
              <w:ind w:left="334"/>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hyperlink>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hyperlink>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Certification of Chief Financial Officer, Pursuant to Section 906 of the Sarbanes-Oxley Act of 2002.</w:t>
              </w:r>
            </w:hyperlink>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w w:val="97"/>
              </w:rPr>
              <w:t>101.INS*</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w w:val="92"/>
              </w:rPr>
              <w:t>101.SCH*</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w w:val="94"/>
              </w:rPr>
              <w:t>101.DEF*</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1740" w:type="dxa"/>
            <w:vAlign w:val="bottom"/>
            <w:gridSpan w:val="4"/>
          </w:tcPr>
          <w:p>
            <w:pPr>
              <w:jc w:val="center"/>
              <w:ind w:right="480"/>
              <w:spacing w:after="0"/>
              <w:rPr>
                <w:sz w:val="20"/>
                <w:szCs w:val="20"/>
                <w:color w:val="auto"/>
              </w:rPr>
            </w:pPr>
            <w:r>
              <w:rPr>
                <w:rFonts w:ascii="Arial" w:cs="Arial" w:eastAsia="Arial" w:hAnsi="Arial"/>
                <w:sz w:val="18"/>
                <w:szCs w:val="18"/>
                <w:color w:val="auto"/>
                <w:w w:val="93"/>
              </w:rPr>
              <w:t>101.PRE*</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760" w:right="640" w:hanging="1266"/>
        <w:spacing w:after="0" w:line="235" w:lineRule="auto"/>
        <w:tabs>
          <w:tab w:leader="none" w:pos="1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electronically herewith.</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7500"/>
        <w:spacing w:after="0"/>
        <w:rPr>
          <w:sz w:val="20"/>
          <w:szCs w:val="20"/>
          <w:color w:val="auto"/>
        </w:rPr>
      </w:pPr>
      <w:r>
        <w:rPr>
          <w:rFonts w:ascii="Arial" w:cs="Arial" w:eastAsia="Arial" w:hAnsi="Arial"/>
          <w:sz w:val="18"/>
          <w:szCs w:val="18"/>
          <w:u w:val="single" w:color="auto"/>
          <w:color w:val="auto"/>
        </w:rPr>
        <w:t>AMETEK, Inc.</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ind w:left="7040"/>
        <w:spacing w:after="0"/>
        <w:tabs>
          <w:tab w:leader="none" w:pos="7480" w:val="left"/>
        </w:tabs>
        <w:rPr>
          <w:sz w:val="20"/>
          <w:szCs w:val="20"/>
          <w:color w:val="auto"/>
        </w:rPr>
      </w:pPr>
      <w:r>
        <w:rPr>
          <w:rFonts w:ascii="Arial" w:cs="Arial" w:eastAsia="Arial" w:hAnsi="Arial"/>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749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M. Montgomery</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Senior Vice President – Comptroller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3,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320" w:top="125" w:right="6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AMETEK, Inc. (the “registrant”);</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2588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240"/>
          </w:cols>
          <w:pgMar w:left="320" w:top="99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Burke, certify that:</w:t>
      </w:r>
    </w:p>
    <w:p>
      <w:pPr>
        <w:spacing w:after="0" w:line="117" w:lineRule="exact"/>
        <w:rPr>
          <w:sz w:val="20"/>
          <w:szCs w:val="20"/>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8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2588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William J. Burke</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Vice President – Chief Financial Officer</w:t>
      </w:r>
    </w:p>
    <w:p>
      <w:pPr>
        <w:sectPr>
          <w:pgSz w:w="11900" w:h="16838" w:orient="portrait"/>
          <w:cols w:equalWidth="0" w:num="1">
            <w:col w:w="11240"/>
          </w:cols>
          <w:pgMar w:left="320" w:top="999"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AMETEK, Inc. (the “Company”) on Form 10-Q for the quarter ended June 30, 2021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00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AMETEK, Inc. (the “Company”) on Form 10-Q for the quarter ended June 30, 2021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5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6"/>
          <w:szCs w:val="16"/>
          <w:color w:val="auto"/>
        </w:rPr>
        <w:t>ILLIAM</w:t>
      </w:r>
      <w:r>
        <w:rPr>
          <w:rFonts w:ascii="Arial" w:cs="Arial" w:eastAsia="Arial" w:hAnsi="Arial"/>
          <w:sz w:val="18"/>
          <w:szCs w:val="18"/>
          <w:color w:val="auto"/>
        </w:rPr>
        <w:t xml:space="preserve"> J. B</w:t>
      </w:r>
      <w:r>
        <w:rPr>
          <w:rFonts w:ascii="Arial" w:cs="Arial" w:eastAsia="Arial" w:hAnsi="Arial"/>
          <w:sz w:val="16"/>
          <w:szCs w:val="16"/>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00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Burke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2021-08-03T13:22:02Z</dcterms:created>
  <dcterms:modified xsi:type="dcterms:W3CDTF">2021-08-03T13:22:02Z</dcterms:modified>
</cp:coreProperties>
</file>