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bidi w:val="0"/>
        <w:spacing w:lineRule="auto" w:line="288" w:before="120" w:after="283"/>
        <w:jc w:val="center"/>
        <w:rPr>
          <w:rFonts w:ascii="Times New Roman;sans-serif" w:hAnsi="Times New Roman;sans-serif"/>
          <w:b/>
          <w:color w:val="000000"/>
          <w:sz w:val="40"/>
        </w:rPr>
      </w:pPr>
      <w:r>
        <w:rPr>
          <w:rFonts w:ascii="Times New Roman;sans-serif" w:hAnsi="Times New Roman;sans-serif"/>
          <w:b/>
          <w:color w:val="000000"/>
          <w:sz w:val="40"/>
        </w:rPr>
        <w:t xml:space="preserve">FORM 10-Q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1-12981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AMETEK,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Delaware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1100 Cassatt Road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Berwyn, Pennsylvania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14-1682544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19312-1177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(610) 647-2121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8695" w:type="dxa"/>
        <w:jc w:val="left"/>
        <w:tblInd w:w="0" w:type="dxa"/>
        <w:tblLayout w:type="fixed"/>
        <w:tblCellMar>
          <w:top w:w="28" w:type="dxa"/>
          <w:left w:w="28" w:type="dxa"/>
          <w:bottom w:w="28" w:type="dxa"/>
          <w:right w:w="28" w:type="dxa"/>
        </w:tblCellMar>
      </w:tblPr>
      <w:tblGrid>
        <w:gridCol w:w="695"/>
        <w:gridCol w:w="611"/>
        <w:gridCol w:w="613"/>
        <w:gridCol w:w="1363"/>
        <w:gridCol w:w="1363"/>
        <w:gridCol w:w="1368"/>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4094"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4094" w:type="dxa"/>
            <w:gridSpan w:val="3"/>
            <w:tcBorders/>
            <w:tcMar>
              <w:top w:w="0" w:type="dxa"/>
              <w:left w:w="0" w:type="dxa"/>
              <w:bottom w:w="0" w:type="dxa"/>
              <w:right w:w="0" w:type="dxa"/>
            </w:tcMar>
            <w:vAlign w:val="center"/>
          </w:tcPr>
          <w:p>
            <w:pPr>
              <w:pStyle w:val="TableContents"/>
              <w:bidi w:val="0"/>
              <w:spacing w:lineRule="auto" w:line="240" w:before="120" w:after="283"/>
              <w:jc w:val="left"/>
              <w:rPr/>
            </w:pPr>
            <w:r>
              <w:rPr>
                <w:color w:val="000000"/>
              </w:rPr>
              <w:t xml:space="preserve">☐ </w:t>
            </w:r>
            <w:r>
              <w:rPr>
                <w:rFonts w:ascii="Times New Roman;sans-serif" w:hAnsi="Times New Roman;sans-serif"/>
                <w:b w:val="false"/>
                <w:color w:val="000000"/>
                <w:sz w:val="20"/>
              </w:rPr>
              <w:t>(Do not check if a smaller reporting company)</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bl>
    <w:p>
      <w:pPr>
        <w:pStyle w:val="TextBody"/>
        <w:bidi w:val="0"/>
        <w:spacing w:lineRule="auto" w:line="288" w:before="20" w:after="283"/>
        <w:ind w:left="0" w:right="0" w:firstLine="72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5273" w:type="dxa"/>
        <w:jc w:val="left"/>
        <w:tblInd w:w="0" w:type="dxa"/>
        <w:tblLayout w:type="fixed"/>
        <w:tblCellMar>
          <w:top w:w="28" w:type="dxa"/>
          <w:left w:w="28" w:type="dxa"/>
          <w:bottom w:w="28" w:type="dxa"/>
          <w:right w:w="28" w:type="dxa"/>
        </w:tblCellMar>
      </w:tblPr>
      <w:tblGrid>
        <w:gridCol w:w="510"/>
        <w:gridCol w:w="447"/>
        <w:gridCol w:w="453"/>
        <w:gridCol w:w="109"/>
        <w:gridCol w:w="109"/>
        <w:gridCol w:w="109"/>
        <w:gridCol w:w="274"/>
        <w:gridCol w:w="274"/>
        <w:gridCol w:w="276"/>
        <w:gridCol w:w="109"/>
        <w:gridCol w:w="109"/>
        <w:gridCol w:w="109"/>
        <w:gridCol w:w="698"/>
        <w:gridCol w:w="698"/>
        <w:gridCol w:w="989"/>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the registrant’s common stock outstanding as of the latest practicable date was: Common Stock, $0.01 Par Value, outstanding at October 27, 2023 was 230,798,657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29"/>
        <w:gridCol w:w="3075"/>
        <w:gridCol w:w="3089"/>
        <w:gridCol w:w="149"/>
        <w:gridCol w:w="149"/>
        <w:gridCol w:w="214"/>
      </w:tblGrid>
      <w:tr>
        <w:trPr/>
        <w:tc>
          <w:tcPr>
            <w:tcW w:w="3529"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54bd5f331c4e60a75eaabbb20444e9_10">
              <w:r>
                <w:rPr>
                  <w:rStyle w:val="InternetLink"/>
                  <w:rFonts w:ascii="Times New Roman;sans-serif" w:hAnsi="Times New Roman;sans-serif"/>
                  <w:b/>
                  <w:color w:val="0000FF"/>
                  <w:sz w:val="20"/>
                  <w:u w:val="single"/>
                </w:rPr>
                <w:t>PART I. FINANCIAL INFORMATION</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b154bd5f331c4e60a75eaabbb20444e9_13">
              <w:r>
                <w:rPr>
                  <w:rStyle w:val="InternetLink"/>
                  <w:rFonts w:ascii="Times New Roman;sans-serif" w:hAnsi="Times New Roman;sans-serif"/>
                  <w:b w:val="false"/>
                  <w:color w:val="0000FF"/>
                  <w:sz w:val="20"/>
                  <w:u w:val="single"/>
                </w:rPr>
                <w:t>Item 1.Financial Statements</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54bd5f331c4e60a75eaabbb20444e9_16">
              <w:r>
                <w:rPr>
                  <w:rStyle w:val="InternetLink"/>
                  <w:rFonts w:ascii="Times New Roman;sans-serif" w:hAnsi="Times New Roman;sans-serif"/>
                  <w:b w:val="false"/>
                  <w:color w:val="000080"/>
                  <w:sz w:val="20"/>
                  <w:u w:val="single"/>
                </w:rPr>
                <w:t xml:space="preserve">Consolidated Statement of Income for the three and </w:t>
              </w:r>
            </w:hyperlink>
            <w:hyperlink w:anchor="ib154bd5f331c4e60a75eaabbb20444e9_16">
              <w:r>
                <w:rPr>
                  <w:rStyle w:val="InternetLink"/>
                  <w:rFonts w:ascii="Times New Roman;sans-serif" w:hAnsi="Times New Roman;sans-serif"/>
                  <w:b w:val="false"/>
                  <w:color w:val="000080"/>
                  <w:sz w:val="20"/>
                  <w:u w:val="single"/>
                </w:rPr>
                <w:t>nine</w:t>
              </w:r>
            </w:hyperlink>
            <w:hyperlink w:anchor="ib154bd5f331c4e60a75eaabbb20444e9_16">
              <w:r>
                <w:rPr>
                  <w:rStyle w:val="InternetLink"/>
                  <w:rFonts w:ascii="Times New Roman;sans-serif" w:hAnsi="Times New Roman;sans-serif"/>
                  <w:b w:val="false"/>
                  <w:color w:val="000080"/>
                  <w:sz w:val="20"/>
                  <w:u w:val="single"/>
                </w:rPr>
                <w:t xml:space="preserve"> months ended </w:t>
              </w:r>
            </w:hyperlink>
            <w:hyperlink w:anchor="ib154bd5f331c4e60a75eaabbb20444e9_16">
              <w:r>
                <w:rPr>
                  <w:rStyle w:val="InternetLink"/>
                  <w:rFonts w:ascii="Times New Roman;sans-serif" w:hAnsi="Times New Roman;sans-serif"/>
                  <w:b w:val="false"/>
                  <w:color w:val="000080"/>
                  <w:sz w:val="20"/>
                  <w:u w:val="single"/>
                </w:rPr>
                <w:t>September</w:t>
              </w:r>
            </w:hyperlink>
            <w:hyperlink w:anchor="ib154bd5f331c4e60a75eaabbb20444e9_16">
              <w:r>
                <w:rPr>
                  <w:rStyle w:val="InternetLink"/>
                  <w:rFonts w:ascii="Times New Roman;sans-serif" w:hAnsi="Times New Roman;sans-serif"/>
                  <w:b w:val="false"/>
                  <w:color w:val="000080"/>
                  <w:sz w:val="20"/>
                  <w:u w:val="single"/>
                </w:rPr>
                <w:t xml:space="preserve">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4bd5f331c4e60a75eaabbb20444e9_16">
              <w:r>
                <w:rPr>
                  <w:rStyle w:val="InternetLink"/>
                  <w:rFonts w:ascii="Times New Roman;sans-serif" w:hAnsi="Times New Roman;sans-serif"/>
                  <w:b w:val="false"/>
                  <w:strike w:val="false"/>
                  <w:dstrike w:val="false"/>
                  <w:color w:val="000000"/>
                  <w:sz w:val="20"/>
                  <w:u w:val="none"/>
                  <w:effect w:val="none"/>
                </w:rPr>
                <w:t>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154bd5f331c4e60a75eaabbb20444e9_19">
              <w:r>
                <w:rPr>
                  <w:rStyle w:val="InternetLink"/>
                  <w:rFonts w:ascii="Times New Roman;sans-serif" w:hAnsi="Times New Roman;sans-serif"/>
                  <w:b w:val="false"/>
                  <w:color w:val="000080"/>
                  <w:sz w:val="20"/>
                  <w:u w:val="single"/>
                </w:rPr>
                <w:t xml:space="preserve">Condensed Consolidated Statement of Comprehensive Income for the three and </w:t>
              </w:r>
            </w:hyperlink>
            <w:hyperlink w:anchor="ib154bd5f331c4e60a75eaabbb20444e9_19">
              <w:r>
                <w:rPr>
                  <w:rStyle w:val="InternetLink"/>
                  <w:rFonts w:ascii="Times New Roman;sans-serif" w:hAnsi="Times New Roman;sans-serif"/>
                  <w:b w:val="false"/>
                  <w:color w:val="000080"/>
                  <w:sz w:val="20"/>
                  <w:u w:val="single"/>
                </w:rPr>
                <w:t>nine</w:t>
              </w:r>
            </w:hyperlink>
            <w:hyperlink w:anchor="ib154bd5f331c4e60a75eaabbb20444e9_19">
              <w:r>
                <w:rPr>
                  <w:rStyle w:val="InternetLink"/>
                  <w:rFonts w:ascii="Times New Roman;sans-serif" w:hAnsi="Times New Roman;sans-serif"/>
                  <w:b w:val="false"/>
                  <w:color w:val="000080"/>
                  <w:sz w:val="20"/>
                  <w:u w:val="single"/>
                </w:rPr>
                <w:t xml:space="preserve"> months ended </w:t>
              </w:r>
            </w:hyperlink>
            <w:hyperlink w:anchor="ib154bd5f331c4e60a75eaabbb20444e9_19">
              <w:r>
                <w:rPr>
                  <w:rStyle w:val="InternetLink"/>
                  <w:rFonts w:ascii="Times New Roman;sans-serif" w:hAnsi="Times New Roman;sans-serif"/>
                  <w:b w:val="false"/>
                  <w:color w:val="000080"/>
                  <w:sz w:val="20"/>
                  <w:u w:val="single"/>
                </w:rPr>
                <w:t>September</w:t>
              </w:r>
            </w:hyperlink>
            <w:hyperlink w:anchor="ib154bd5f331c4e60a75eaabbb20444e9_19">
              <w:r>
                <w:rPr>
                  <w:rStyle w:val="InternetLink"/>
                  <w:rFonts w:ascii="Times New Roman;sans-serif" w:hAnsi="Times New Roman;sans-serif"/>
                  <w:b w:val="false"/>
                  <w:color w:val="000080"/>
                  <w:sz w:val="20"/>
                  <w:u w:val="single"/>
                </w:rPr>
                <w:t xml:space="preserve">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4bd5f331c4e60a75eaabbb20444e9_19">
              <w:r>
                <w:rPr>
                  <w:rStyle w:val="InternetLink"/>
                  <w:rFonts w:ascii="Times New Roman;sans-serif" w:hAnsi="Times New Roman;sans-serif"/>
                  <w:b w:val="false"/>
                  <w:strike w:val="false"/>
                  <w:dstrike w:val="false"/>
                  <w:color w:val="000000"/>
                  <w:sz w:val="20"/>
                  <w:u w:val="none"/>
                  <w:effect w:val="none"/>
                </w:rPr>
                <w:t>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54bd5f331c4e60a75eaabbb20444e9_22">
              <w:r>
                <w:rPr>
                  <w:rStyle w:val="InternetLink"/>
                  <w:rFonts w:ascii="Times New Roman;sans-serif" w:hAnsi="Times New Roman;sans-serif"/>
                  <w:b w:val="false"/>
                  <w:color w:val="000080"/>
                  <w:sz w:val="20"/>
                  <w:u w:val="single"/>
                </w:rPr>
                <w:t xml:space="preserve">Consolidated Balance Sheet at </w:t>
              </w:r>
            </w:hyperlink>
            <w:hyperlink w:anchor="ib154bd5f331c4e60a75eaabbb20444e9_22">
              <w:r>
                <w:rPr>
                  <w:rStyle w:val="InternetLink"/>
                  <w:rFonts w:ascii="Times New Roman;sans-serif" w:hAnsi="Times New Roman;sans-serif"/>
                  <w:b w:val="false"/>
                  <w:color w:val="000080"/>
                  <w:sz w:val="20"/>
                  <w:u w:val="single"/>
                </w:rPr>
                <w:t>September</w:t>
              </w:r>
            </w:hyperlink>
            <w:hyperlink w:anchor="ib154bd5f331c4e60a75eaabbb20444e9_22">
              <w:r>
                <w:rPr>
                  <w:rStyle w:val="InternetLink"/>
                  <w:rFonts w:ascii="Times New Roman;sans-serif" w:hAnsi="Times New Roman;sans-serif"/>
                  <w:b w:val="false"/>
                  <w:color w:val="000080"/>
                  <w:sz w:val="20"/>
                  <w:u w:val="single"/>
                </w:rPr>
                <w:t xml:space="preserve"> 30, 2023 and December 31,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4bd5f331c4e60a75eaabbb20444e9_22">
              <w:r>
                <w:rPr>
                  <w:rStyle w:val="InternetLink"/>
                  <w:rFonts w:ascii="Times New Roman;sans-serif" w:hAnsi="Times New Roman;sans-serif"/>
                  <w:b w:val="false"/>
                  <w:strike w:val="false"/>
                  <w:dstrike w:val="false"/>
                  <w:color w:val="000000"/>
                  <w:sz w:val="20"/>
                  <w:u w:val="none"/>
                  <w:effect w:val="none"/>
                </w:rPr>
                <w:t>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154bd5f331c4e60a75eaabbb20444e9_25">
              <w:r>
                <w:rPr>
                  <w:rStyle w:val="InternetLink"/>
                  <w:rFonts w:ascii="Times New Roman;sans-serif" w:hAnsi="Times New Roman;sans-serif"/>
                  <w:b w:val="false"/>
                  <w:color w:val="000080"/>
                  <w:sz w:val="20"/>
                  <w:u w:val="single"/>
                </w:rPr>
                <w:t xml:space="preserve">Consolidated Statement of Stockholders’ Equity for the three and </w:t>
              </w:r>
            </w:hyperlink>
            <w:hyperlink w:anchor="ib154bd5f331c4e60a75eaabbb20444e9_25">
              <w:r>
                <w:rPr>
                  <w:rStyle w:val="InternetLink"/>
                  <w:rFonts w:ascii="Times New Roman;sans-serif" w:hAnsi="Times New Roman;sans-serif"/>
                  <w:b w:val="false"/>
                  <w:color w:val="000080"/>
                  <w:sz w:val="20"/>
                  <w:u w:val="single"/>
                </w:rPr>
                <w:t>nine</w:t>
              </w:r>
            </w:hyperlink>
            <w:hyperlink w:anchor="ib154bd5f331c4e60a75eaabbb20444e9_25">
              <w:r>
                <w:rPr>
                  <w:rStyle w:val="InternetLink"/>
                  <w:rFonts w:ascii="Times New Roman;sans-serif" w:hAnsi="Times New Roman;sans-serif"/>
                  <w:b w:val="false"/>
                  <w:color w:val="000080"/>
                  <w:sz w:val="20"/>
                  <w:u w:val="single"/>
                </w:rPr>
                <w:t xml:space="preserve"> months ended </w:t>
              </w:r>
            </w:hyperlink>
            <w:hyperlink w:anchor="ib154bd5f331c4e60a75eaabbb20444e9_25">
              <w:r>
                <w:rPr>
                  <w:rStyle w:val="InternetLink"/>
                  <w:rFonts w:ascii="Times New Roman;sans-serif" w:hAnsi="Times New Roman;sans-serif"/>
                  <w:b w:val="false"/>
                  <w:color w:val="000080"/>
                  <w:sz w:val="20"/>
                  <w:u w:val="single"/>
                </w:rPr>
                <w:t>Se</w:t>
              </w:r>
            </w:hyperlink>
            <w:hyperlink w:anchor="ib154bd5f331c4e60a75eaabbb20444e9_25">
              <w:r>
                <w:rPr>
                  <w:rStyle w:val="InternetLink"/>
                  <w:rFonts w:ascii="Times New Roman;sans-serif" w:hAnsi="Times New Roman;sans-serif"/>
                  <w:b w:val="false"/>
                  <w:color w:val="000080"/>
                  <w:sz w:val="20"/>
                  <w:u w:val="single"/>
                </w:rPr>
                <w:t>ptember</w:t>
              </w:r>
            </w:hyperlink>
            <w:hyperlink w:anchor="ib154bd5f331c4e60a75eaabbb20444e9_25">
              <w:r>
                <w:rPr>
                  <w:rStyle w:val="InternetLink"/>
                  <w:rFonts w:ascii="Times New Roman;sans-serif" w:hAnsi="Times New Roman;sans-serif"/>
                  <w:b w:val="false"/>
                  <w:color w:val="000080"/>
                  <w:sz w:val="20"/>
                  <w:u w:val="single"/>
                </w:rPr>
                <w:t xml:space="preserve">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4bd5f331c4e60a75eaabbb20444e9_25">
              <w:r>
                <w:rPr>
                  <w:rStyle w:val="InternetLink"/>
                  <w:rFonts w:ascii="Times New Roman;sans-serif" w:hAnsi="Times New Roman;sans-serif"/>
                  <w:b w:val="false"/>
                  <w:strike w:val="false"/>
                  <w:dstrike w:val="false"/>
                  <w:color w:val="000000"/>
                  <w:sz w:val="20"/>
                  <w:u w:val="none"/>
                  <w:effect w:val="none"/>
                </w:rPr>
                <w:t>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154bd5f331c4e60a75eaabbb20444e9_28">
              <w:r>
                <w:rPr>
                  <w:rStyle w:val="InternetLink"/>
                  <w:rFonts w:ascii="Times New Roman;sans-serif" w:hAnsi="Times New Roman;sans-serif"/>
                  <w:b w:val="false"/>
                  <w:color w:val="000080"/>
                  <w:sz w:val="20"/>
                  <w:u w:val="single"/>
                </w:rPr>
                <w:t xml:space="preserve">Condensed Consolidated Statement of Cash Flows for the </w:t>
              </w:r>
            </w:hyperlink>
            <w:hyperlink w:anchor="ib154bd5f331c4e60a75eaabbb20444e9_28">
              <w:r>
                <w:rPr>
                  <w:rStyle w:val="InternetLink"/>
                  <w:rFonts w:ascii="Times New Roman;sans-serif" w:hAnsi="Times New Roman;sans-serif"/>
                  <w:b w:val="false"/>
                  <w:color w:val="000080"/>
                  <w:sz w:val="20"/>
                  <w:u w:val="single"/>
                </w:rPr>
                <w:t>nine</w:t>
              </w:r>
            </w:hyperlink>
            <w:hyperlink w:anchor="ib154bd5f331c4e60a75eaabbb20444e9_28">
              <w:r>
                <w:rPr>
                  <w:rStyle w:val="InternetLink"/>
                  <w:rFonts w:ascii="Times New Roman;sans-serif" w:hAnsi="Times New Roman;sans-serif"/>
                  <w:b w:val="false"/>
                  <w:color w:val="000080"/>
                  <w:sz w:val="20"/>
                  <w:u w:val="single"/>
                </w:rPr>
                <w:t xml:space="preserve"> months ended </w:t>
              </w:r>
            </w:hyperlink>
            <w:hyperlink w:anchor="ib154bd5f331c4e60a75eaabbb20444e9_28">
              <w:r>
                <w:rPr>
                  <w:rStyle w:val="InternetLink"/>
                  <w:rFonts w:ascii="Times New Roman;sans-serif" w:hAnsi="Times New Roman;sans-serif"/>
                  <w:b w:val="false"/>
                  <w:color w:val="000080"/>
                  <w:sz w:val="20"/>
                  <w:u w:val="single"/>
                </w:rPr>
                <w:t>September</w:t>
              </w:r>
            </w:hyperlink>
            <w:hyperlink w:anchor="ib154bd5f331c4e60a75eaabbb20444e9_28">
              <w:r>
                <w:rPr>
                  <w:rStyle w:val="InternetLink"/>
                  <w:rFonts w:ascii="Times New Roman;sans-serif" w:hAnsi="Times New Roman;sans-serif"/>
                  <w:b w:val="false"/>
                  <w:color w:val="000080"/>
                  <w:sz w:val="20"/>
                  <w:u w:val="single"/>
                </w:rPr>
                <w:t xml:space="preserve"> 30,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4bd5f331c4e60a75eaabbb20444e9_28">
              <w:r>
                <w:rPr>
                  <w:rStyle w:val="InternetLink"/>
                  <w:rFonts w:ascii="Times New Roman;sans-serif" w:hAnsi="Times New Roman;sans-serif"/>
                  <w:b w:val="false"/>
                  <w:strike w:val="false"/>
                  <w:dstrike w:val="false"/>
                  <w:color w:val="000000"/>
                  <w:sz w:val="20"/>
                  <w:u w:val="none"/>
                  <w:effect w:val="none"/>
                </w:rPr>
                <w:t>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54bd5f331c4e60a75eaabbb20444e9_31">
              <w:r>
                <w:rPr>
                  <w:rStyle w:val="InternetLink"/>
                  <w:rFonts w:ascii="Times New Roman;sans-serif" w:hAnsi="Times New Roman;sans-serif"/>
                  <w:b w:val="false"/>
                  <w:color w:val="0000FF"/>
                  <w:sz w:val="20"/>
                  <w:u w:val="single"/>
                </w:rPr>
                <w:t>Notes to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4bd5f331c4e60a75eaabbb20444e9_31">
              <w:r>
                <w:rPr>
                  <w:rStyle w:val="InternetLink"/>
                  <w:rFonts w:ascii="Times New Roman;sans-serif" w:hAnsi="Times New Roman;sans-serif"/>
                  <w:b w:val="false"/>
                  <w:strike w:val="false"/>
                  <w:dstrike w:val="false"/>
                  <w:color w:val="000000"/>
                  <w:sz w:val="20"/>
                  <w:u w:val="none"/>
                  <w:effect w:val="none"/>
                </w:rPr>
                <w:t>8</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b154bd5f331c4e60a75eaabbb20444e9_85">
              <w:r>
                <w:rPr>
                  <w:rStyle w:val="InternetLink"/>
                  <w:rFonts w:ascii="Times New Roman;sans-serif" w:hAnsi="Times New Roman;sans-serif"/>
                  <w:b w:val="false"/>
                  <w:color w:val="0000FF"/>
                  <w:sz w:val="20"/>
                  <w:u w:val="single"/>
                </w:rPr>
                <w:t>Item 2.Management’s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4bd5f331c4e60a75eaabbb20444e9_85">
              <w:r>
                <w:rPr>
                  <w:rStyle w:val="InternetLink"/>
                  <w:rFonts w:ascii="Times New Roman;sans-serif" w:hAnsi="Times New Roman;sans-serif"/>
                  <w:b w:val="false"/>
                  <w:strike w:val="false"/>
                  <w:dstrike w:val="false"/>
                  <w:color w:val="000000"/>
                  <w:sz w:val="20"/>
                  <w:u w:val="none"/>
                  <w:effect w:val="none"/>
                </w:rPr>
                <w:t>20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b154bd5f331c4e60a75eaabbb20444e9_103">
              <w:r>
                <w:rPr>
                  <w:rStyle w:val="InternetLink"/>
                  <w:rFonts w:ascii="Times New Roman;sans-serif" w:hAnsi="Times New Roman;sans-serif"/>
                  <w:b w:val="false"/>
                  <w:color w:val="0000FF"/>
                  <w:sz w:val="20"/>
                  <w:u w:val="single"/>
                </w:rPr>
                <w:t>Item 4.Controls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4bd5f331c4e60a75eaabbb20444e9_103">
              <w:r>
                <w:rPr>
                  <w:rStyle w:val="InternetLink"/>
                  <w:rFonts w:ascii="Times New Roman;sans-serif" w:hAnsi="Times New Roman;sans-serif"/>
                  <w:b w:val="false"/>
                  <w:strike w:val="false"/>
                  <w:dstrike w:val="false"/>
                  <w:color w:val="000000"/>
                  <w:sz w:val="20"/>
                  <w:u w:val="none"/>
                  <w:effect w:val="none"/>
                </w:rPr>
                <w:t>24</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54bd5f331c4e60a75eaabbb20444e9_106">
              <w:r>
                <w:rPr>
                  <w:rStyle w:val="InternetLink"/>
                  <w:rFonts w:ascii="Times New Roman;sans-serif" w:hAnsi="Times New Roman;sans-serif"/>
                  <w:b/>
                  <w:color w:val="0000FF"/>
                  <w:sz w:val="20"/>
                  <w:u w:val="single"/>
                </w:rPr>
                <w:t>PART II. OTHER INFORMATION</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b154bd5f331c4e60a75eaabbb20444e9_112">
              <w:r>
                <w:rPr>
                  <w:rStyle w:val="InternetLink"/>
                  <w:rFonts w:ascii="Times New Roman;sans-serif" w:hAnsi="Times New Roman;sans-serif"/>
                  <w:b w:val="false"/>
                  <w:color w:val="0000FF"/>
                  <w:sz w:val="20"/>
                  <w:u w:val="single"/>
                </w:rPr>
                <w:t>Item 2.Unregistered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4bd5f331c4e60a75eaabbb20444e9_112">
              <w:r>
                <w:rPr>
                  <w:rStyle w:val="InternetLink"/>
                  <w:rFonts w:ascii="Times New Roman;sans-serif" w:hAnsi="Times New Roman;sans-serif"/>
                  <w:b w:val="false"/>
                  <w:strike w:val="false"/>
                  <w:dstrike w:val="false"/>
                  <w:color w:val="000000"/>
                  <w:sz w:val="20"/>
                  <w:u w:val="none"/>
                  <w:effect w:val="none"/>
                </w:rPr>
                <w:t>25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r>
              <w:rPr>
                <w:color w:val="000000"/>
              </w:rPr>
              <w:t> </w:t>
            </w:r>
            <w:hyperlink w:anchor="ib154bd5f331c4e60a75eaabbb20444e9_115">
              <w:r>
                <w:rPr>
                  <w:rStyle w:val="InternetLink"/>
                  <w:rFonts w:ascii="Times New Roman;sans-serif" w:hAnsi="Times New Roman;sans-serif"/>
                  <w:b w:val="false"/>
                  <w:color w:val="0000FF"/>
                  <w:sz w:val="20"/>
                  <w:u w:val="single"/>
                </w:rPr>
                <w:t>Item 5.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4bd5f331c4e60a75eaabbb20444e9_112">
              <w:r>
                <w:rPr>
                  <w:rStyle w:val="InternetLink"/>
                  <w:rFonts w:ascii="Times New Roman;sans-serif" w:hAnsi="Times New Roman;sans-serif"/>
                  <w:b w:val="false"/>
                  <w:strike w:val="false"/>
                  <w:dstrike w:val="false"/>
                  <w:color w:val="000000"/>
                  <w:sz w:val="20"/>
                  <w:u w:val="none"/>
                  <w:effect w:val="none"/>
                </w:rPr>
                <w:t>25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b154bd5f331c4e60a75eaabbb20444e9_118">
              <w:r>
                <w:rPr>
                  <w:rStyle w:val="InternetLink"/>
                  <w:rFonts w:ascii="Times New Roman;sans-serif" w:hAnsi="Times New Roman;sans-serif"/>
                  <w:b w:val="false"/>
                  <w:color w:val="0000FF"/>
                  <w:sz w:val="20"/>
                  <w:u w:val="single"/>
                </w:rPr>
                <w:t>Item 6.Exhibits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4bd5f331c4e60a75eaabbb20444e9_118">
              <w:r>
                <w:rPr>
                  <w:rStyle w:val="InternetLink"/>
                  <w:rFonts w:ascii="Times New Roman;sans-serif" w:hAnsi="Times New Roman;sans-serif"/>
                  <w:b w:val="false"/>
                  <w:strike w:val="false"/>
                  <w:dstrike w:val="false"/>
                  <w:color w:val="000000"/>
                  <w:sz w:val="20"/>
                  <w:u w:val="none"/>
                  <w:effect w:val="none"/>
                </w:rPr>
                <w:t>26</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54bd5f331c4e60a75eaabbb20444e9_121">
              <w:r>
                <w:rPr>
                  <w:rStyle w:val="InternetLink"/>
                  <w:rFonts w:ascii="Times New Roman;sans-serif" w:hAnsi="Times New Roman;sans-serif"/>
                  <w:b/>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4bd5f331c4e60a75eaabbb20444e9_121">
              <w:r>
                <w:rPr>
                  <w:rStyle w:val="InternetLink"/>
                  <w:rFonts w:ascii="Times New Roman;sans-serif" w:hAnsi="Times New Roman;sans-serif"/>
                  <w:b w:val="false"/>
                  <w:strike w:val="false"/>
                  <w:dstrike w:val="false"/>
                  <w:color w:val="000000"/>
                  <w:sz w:val="20"/>
                  <w:u w:val="none"/>
                  <w:effect w:val="non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0" w:type="dxa"/>
        <w:jc w:val="left"/>
        <w:tblInd w:w="0" w:type="dxa"/>
        <w:tblLayout w:type="fixed"/>
        <w:tblCellMar>
          <w:top w:w="28" w:type="dxa"/>
          <w:left w:w="28" w:type="dxa"/>
          <w:bottom w:w="28" w:type="dxa"/>
          <w:right w:w="28" w:type="dxa"/>
        </w:tblCellMar>
      </w:tblPr>
      <w:tblGrid>
        <w:gridCol w:w="1429"/>
        <w:gridCol w:w="1255"/>
        <w:gridCol w:w="1276"/>
        <w:gridCol w:w="211"/>
        <w:gridCol w:w="991"/>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1,622,837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4,866,065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1,020,920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3,096,635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2,941,604 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163,782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506,963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1,184,702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3,603,598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3,422,261 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438,135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1,262,467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413,493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1,189,476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219,152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340,370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970,324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4.21</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4.19</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230,691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230,431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231,751</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231,414</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231,675 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and paid per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0.25</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0.75</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205" w:type="dxa"/>
        <w:jc w:val="left"/>
        <w:tblInd w:w="0" w:type="dxa"/>
        <w:tblLayout w:type="fixed"/>
        <w:tblCellMar>
          <w:top w:w="28" w:type="dxa"/>
          <w:left w:w="28" w:type="dxa"/>
          <w:bottom w:w="28" w:type="dxa"/>
          <w:right w:w="28" w:type="dxa"/>
        </w:tblCellMar>
      </w:tblPr>
      <w:tblGrid>
        <w:gridCol w:w="930"/>
        <w:gridCol w:w="816"/>
        <w:gridCol w:w="819"/>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294,757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977,660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528" w:type="dxa"/>
        <w:jc w:val="left"/>
        <w:tblInd w:w="0" w:type="dxa"/>
        <w:tblLayout w:type="fixed"/>
        <w:tblCellMar>
          <w:top w:w="28" w:type="dxa"/>
          <w:left w:w="28" w:type="dxa"/>
          <w:bottom w:w="28" w:type="dxa"/>
          <w:right w:w="28" w:type="dxa"/>
        </w:tblCellMar>
      </w:tblPr>
      <w:tblGrid>
        <w:gridCol w:w="1931"/>
        <w:gridCol w:w="1701"/>
        <w:gridCol w:w="1707"/>
        <w:gridCol w:w="211"/>
        <w:gridCol w:w="1096"/>
        <w:gridCol w:w="109"/>
        <w:gridCol w:w="109"/>
        <w:gridCol w:w="109"/>
        <w:gridCol w:w="109"/>
        <w:gridCol w:w="211"/>
        <w:gridCol w:w="1081"/>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841,901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936,803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1,087,584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252,407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3,118,695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631,692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5,479,025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3,283,846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and other assets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414,668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13,093,376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and current portion of long-term 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304,480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486,581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advanced payments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362,985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457,874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1,673,720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1,564,202 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1,856,129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629,590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591,428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4,750,867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4,954,608 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1,148,107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9,655,114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(567,609)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(1,895,811)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8,342,509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13,093,376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12,431,120 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86"/>
        <w:gridCol w:w="1086"/>
        <w:gridCol w:w="1091"/>
        <w:gridCol w:w="211"/>
        <w:gridCol w:w="991"/>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6"/>
      </w:tblGrid>
      <w:tr>
        <w:trPr/>
        <w:tc>
          <w:tcPr>
            <w:tcW w:w="17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stock</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in excess of par value</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plans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1,148,107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1,148,107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340,370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970,324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(172,693)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9,655,114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9,655,114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8,600,938 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 income</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long-term intercompany notes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hedge instruments gain (loss), net of tax of $(7,126) and $(14,604) for the quarter ended September 30, 2023 and 2022 and $(1,004) and $(34,212) for the nine months ended September 30, 2023 and 2022,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(365,564)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(365,564)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(435,924)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plans:</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loss and other, net of tax of $(518) and $(326) for the quarter ended September 30, 2023 and 2022 and $(1,554) and $(977) for the nine months ended September 30, 2023 and 2022,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(192,079)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at the end of the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(567,609)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(567,609)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(628,003)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Treasury stock</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plans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(1,895,811)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(1,902,037)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(1,895,811)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(1,902,037)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8,342,509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7,132,672 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8,342,509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7,132,672 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079" w:type="dxa"/>
        <w:jc w:val="left"/>
        <w:tblInd w:w="0" w:type="dxa"/>
        <w:tblLayout w:type="fixed"/>
        <w:tblCellMar>
          <w:top w:w="28" w:type="dxa"/>
          <w:left w:w="28" w:type="dxa"/>
          <w:bottom w:w="28" w:type="dxa"/>
          <w:right w:w="28" w:type="dxa"/>
        </w:tblCellMar>
      </w:tblPr>
      <w:tblGrid>
        <w:gridCol w:w="1956"/>
        <w:gridCol w:w="1719"/>
        <w:gridCol w:w="1725"/>
        <w:gridCol w:w="211"/>
        <w:gridCol w:w="841"/>
        <w:gridCol w:w="109"/>
        <w:gridCol w:w="109"/>
        <w:gridCol w:w="109"/>
        <w:gridCol w:w="109"/>
        <w:gridCol w:w="211"/>
        <w:gridCol w:w="826"/>
        <w:gridCol w:w="154"/>
      </w:tblGrid>
      <w:tr>
        <w:trPr/>
        <w:tc>
          <w:tcPr>
            <w:tcW w:w="19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for):</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970,324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total operating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245,713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35,773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business/investment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facilities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assets and liabilities, net of acquisitions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contributions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1,194,639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businesses, net of cash acquired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(246,656)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business/investment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facilities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(326,311)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short-term borrowings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(220,555)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(172,693)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option exercises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(364,774)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and cash equivalents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496,515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841,901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unaudited. AMETEK, Inc. (the “Company”) believes that all adjustments (which primarily consist of normal recurring accruals) necessary for a fair presentation of the consolidated financial position of the Company at September 30, 2023, the consolidated results of its operations for the three and nine months ended September 30, 2023 and 2022 and its cash flows for the nine months ended September 30, 2023 and 2022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2022 as filed with the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    Revenues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outstanding contract asset and liability accounts were as follows:</w:t>
      </w:r>
    </w:p>
    <w:tbl>
      <w:tblPr>
        <w:tblW w:w="6834" w:type="dxa"/>
        <w:jc w:val="left"/>
        <w:tblInd w:w="0" w:type="dxa"/>
        <w:tblLayout w:type="fixed"/>
        <w:tblCellMar>
          <w:top w:w="28" w:type="dxa"/>
          <w:left w:w="28" w:type="dxa"/>
          <w:bottom w:w="28" w:type="dxa"/>
          <w:right w:w="28" w:type="dxa"/>
        </w:tblCellMar>
      </w:tblPr>
      <w:tblGrid>
        <w:gridCol w:w="1521"/>
        <w:gridCol w:w="1336"/>
        <w:gridCol w:w="1343"/>
        <w:gridCol w:w="211"/>
        <w:gridCol w:w="826"/>
        <w:gridCol w:w="109"/>
        <w:gridCol w:w="109"/>
        <w:gridCol w:w="109"/>
        <w:gridCol w:w="109"/>
        <w:gridCol w:w="211"/>
        <w:gridCol w:w="796"/>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 September 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139,771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contract assets – increase (decrease)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 January 1</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328,816 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 September 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422,415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contract liabilities – (increase) decrease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change for the nine months ended September 30, 2023 was primarily driven by contract liabilities, specifically growth in advance payments from customers. For the nine months ended September 30, 2023 and 2022, the Company recognized revenue of $297.7 million and $252.4 million, respectively, that was previously included in the beginning balance of contract liabilities.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are reported as a component of Other current assets in the consolidated balance sheet. At September 30, 2023 and December 31, 2022, $59.4 million and $41.0 million of Customer advanced payments (contract liabilities), respectively, were recorded in Other long-term liabilities in the consolidated balance sheets.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performance obligations not expected to be completed within one year as of September 30, 2023 and December 31, 2022 were $570.7 million and $526.0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pStyle w:val="TextBody"/>
        <w:bidi w:val="0"/>
        <w:spacing w:before="360" w:after="283"/>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Geographic Areas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were attributed to geographic areas based on the location of the customer. Information about the Company’s operations in different geographic areas was as follows for the three and nine months ended September 30:</w:t>
      </w:r>
    </w:p>
    <w:tbl>
      <w:tblPr>
        <w:tblW w:w="10612" w:type="dxa"/>
        <w:jc w:val="left"/>
        <w:tblInd w:w="0" w:type="dxa"/>
        <w:tblLayout w:type="fixed"/>
        <w:tblCellMar>
          <w:top w:w="28" w:type="dxa"/>
          <w:left w:w="28" w:type="dxa"/>
          <w:bottom w:w="28" w:type="dxa"/>
          <w:right w:w="28" w:type="dxa"/>
        </w:tblCellMar>
      </w:tblPr>
      <w:tblGrid>
        <w:gridCol w:w="440"/>
        <w:gridCol w:w="386"/>
        <w:gridCol w:w="390"/>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616,988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274,146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891,134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1,754,165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805,876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2,560,041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74,515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164,327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 countries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115,026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99,931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214,957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381,495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327,614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709,109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271,922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47,699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319,621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846,450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151,357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997,807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countries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108,867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34,583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143,450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331,398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434,781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519,142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212,561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731,703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1,633,858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672,166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2,306,024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1,136,130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486,707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1,622,837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3,388,023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1,478,042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4,866,065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Includes U.S. export sales of $391.7 million and $1,265.0 million for the three and nine months ended September 30, 2023, respectively.</w:t>
      </w:r>
    </w:p>
    <w:p>
      <w:pPr>
        <w:pStyle w:val="TextBody"/>
        <w:bidi w:val="0"/>
        <w:spacing w:before="0" w:after="0"/>
        <w:ind w:left="0" w:right="0" w:hanging="720"/>
        <w:jc w:val="left"/>
        <w:rPr/>
      </w:pPr>
      <w:r>
        <w:rPr/>
      </w:r>
    </w:p>
    <w:tbl>
      <w:tblPr>
        <w:tblW w:w="10522" w:type="dxa"/>
        <w:jc w:val="left"/>
        <w:tblInd w:w="0" w:type="dxa"/>
        <w:tblLayout w:type="fixed"/>
        <w:tblCellMar>
          <w:top w:w="28" w:type="dxa"/>
          <w:left w:w="28" w:type="dxa"/>
          <w:bottom w:w="28" w:type="dxa"/>
          <w:right w:w="28" w:type="dxa"/>
        </w:tblCellMar>
      </w:tblPr>
      <w:tblGrid>
        <w:gridCol w:w="440"/>
        <w:gridCol w:w="386"/>
        <w:gridCol w:w="390"/>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 countries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countries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4,524,863 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Includes U.S. export sales of $415.4 million and $1,217.2 million for the three and nine months ended September 30, 2022, respectively.</w:t>
      </w:r>
    </w:p>
    <w:p>
      <w:pPr>
        <w:pStyle w:val="TextBody"/>
        <w:bidi w:val="0"/>
        <w:spacing w:before="360" w:after="283"/>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Major Products and Services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major products and services in the reportable segments were as follows:</w:t>
      </w:r>
    </w:p>
    <w:tbl>
      <w:tblPr>
        <w:tblW w:w="10807" w:type="dxa"/>
        <w:jc w:val="left"/>
        <w:tblInd w:w="0" w:type="dxa"/>
        <w:tblLayout w:type="fixed"/>
        <w:tblCellMar>
          <w:top w:w="28" w:type="dxa"/>
          <w:left w:w="28" w:type="dxa"/>
          <w:bottom w:w="28" w:type="dxa"/>
          <w:right w:w="28" w:type="dxa"/>
        </w:tblCellMar>
      </w:tblPr>
      <w:tblGrid>
        <w:gridCol w:w="511"/>
        <w:gridCol w:w="449"/>
        <w:gridCol w:w="451"/>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analytical instrumentation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801,027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801,027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2,394,127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2,394,127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 and power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481,946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993,896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439,685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1,433,581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Automation and engineered solutions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339,864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339,864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1,038,357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1,038,357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1,136,130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486,707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1,622,837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3,388,023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1,478,042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4,866,065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717" w:type="dxa"/>
        <w:jc w:val="left"/>
        <w:tblInd w:w="0" w:type="dxa"/>
        <w:tblLayout w:type="fixed"/>
        <w:tblCellMar>
          <w:top w:w="28" w:type="dxa"/>
          <w:left w:w="28" w:type="dxa"/>
          <w:bottom w:w="28" w:type="dxa"/>
          <w:right w:w="28" w:type="dxa"/>
        </w:tblCellMar>
      </w:tblPr>
      <w:tblGrid>
        <w:gridCol w:w="511"/>
        <w:gridCol w:w="449"/>
        <w:gridCol w:w="451"/>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analytical instrumentation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 and power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Automation and engineered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4,524,863 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Timing of Revenue Recognition</w:t>
      </w:r>
    </w:p>
    <w:tbl>
      <w:tblPr>
        <w:tblW w:w="10612" w:type="dxa"/>
        <w:jc w:val="left"/>
        <w:tblInd w:w="0" w:type="dxa"/>
        <w:tblLayout w:type="fixed"/>
        <w:tblCellMar>
          <w:top w:w="28" w:type="dxa"/>
          <w:left w:w="28" w:type="dxa"/>
          <w:bottom w:w="28" w:type="dxa"/>
          <w:right w:w="28" w:type="dxa"/>
        </w:tblCellMar>
      </w:tblPr>
      <w:tblGrid>
        <w:gridCol w:w="593"/>
        <w:gridCol w:w="311"/>
        <w:gridCol w:w="312"/>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transferred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937,382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437,542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1,374,924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2,809,624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1,314,761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4,124,385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 transferred over time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198,748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578,399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163,281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741,680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1,136,130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486,707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1,622,837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3,388,023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1,478,042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4,866,065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522" w:type="dxa"/>
        <w:jc w:val="left"/>
        <w:tblInd w:w="0" w:type="dxa"/>
        <w:tblLayout w:type="fixed"/>
        <w:tblCellMar>
          <w:top w:w="28" w:type="dxa"/>
          <w:left w:w="28" w:type="dxa"/>
          <w:bottom w:w="28" w:type="dxa"/>
          <w:right w:w="28" w:type="dxa"/>
        </w:tblCellMar>
      </w:tblPr>
      <w:tblGrid>
        <w:gridCol w:w="593"/>
        <w:gridCol w:w="311"/>
        <w:gridCol w:w="312"/>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transferred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 transferred over time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4,524,863 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60" w:after="283"/>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Warranties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accrued product warranty obligation were as follows:</w:t>
      </w:r>
    </w:p>
    <w:tbl>
      <w:tblPr>
        <w:tblW w:w="8935" w:type="dxa"/>
        <w:jc w:val="left"/>
        <w:tblInd w:w="0" w:type="dxa"/>
        <w:tblLayout w:type="fixed"/>
        <w:tblCellMar>
          <w:top w:w="28" w:type="dxa"/>
          <w:left w:w="28" w:type="dxa"/>
          <w:bottom w:w="28" w:type="dxa"/>
          <w:right w:w="28" w:type="dxa"/>
        </w:tblCellMar>
      </w:tblPr>
      <w:tblGrid>
        <w:gridCol w:w="2281"/>
        <w:gridCol w:w="2005"/>
        <w:gridCol w:w="2013"/>
        <w:gridCol w:w="225"/>
        <w:gridCol w:w="787"/>
        <w:gridCol w:w="116"/>
        <w:gridCol w:w="116"/>
        <w:gridCol w:w="116"/>
        <w:gridCol w:w="116"/>
        <w:gridCol w:w="225"/>
        <w:gridCol w:w="771"/>
        <w:gridCol w:w="164"/>
      </w:tblGrid>
      <w:tr>
        <w:trPr/>
        <w:tc>
          <w:tcPr>
            <w:tcW w:w="2281"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warranties issued during the period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15,711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made during the period</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(10,868)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accruals related to acquired businesses and other during the period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31,351</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$936.8 million of accounts receivable, net of allowances of $13.9 million. Changes in the allowance were not material for the three and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Earnings Per Share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w:t>
      </w:r>
    </w:p>
    <w:tbl>
      <w:tblPr>
        <w:tblW w:w="9668" w:type="dxa"/>
        <w:jc w:val="left"/>
        <w:tblInd w:w="0" w:type="dxa"/>
        <w:tblLayout w:type="fixed"/>
        <w:tblCellMar>
          <w:top w:w="28" w:type="dxa"/>
          <w:left w:w="28" w:type="dxa"/>
          <w:bottom w:w="28" w:type="dxa"/>
          <w:right w:w="28" w:type="dxa"/>
        </w:tblCellMar>
      </w:tblPr>
      <w:tblGrid>
        <w:gridCol w:w="1037"/>
        <w:gridCol w:w="911"/>
        <w:gridCol w:w="917"/>
        <w:gridCol w:w="584"/>
        <w:gridCol w:w="298"/>
        <w:gridCol w:w="298"/>
        <w:gridCol w:w="298"/>
        <w:gridCol w:w="298"/>
        <w:gridCol w:w="298"/>
        <w:gridCol w:w="573"/>
        <w:gridCol w:w="298"/>
        <w:gridCol w:w="298"/>
        <w:gridCol w:w="109"/>
        <w:gridCol w:w="109"/>
        <w:gridCol w:w="109"/>
        <w:gridCol w:w="584"/>
        <w:gridCol w:w="280"/>
        <w:gridCol w:w="280"/>
        <w:gridCol w:w="280"/>
        <w:gridCol w:w="280"/>
        <w:gridCol w:w="280"/>
        <w:gridCol w:w="573"/>
        <w:gridCol w:w="280"/>
        <w:gridCol w:w="396"/>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w:t>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230,691</w:t>
            </w: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230,431</w:t>
            </w: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230,360 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plans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1,060</w:t>
            </w: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983</w:t>
            </w: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8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231,751</w:t>
            </w:r>
            <w:r>
              <w:rPr>
                <w:color w:val="000000"/>
              </w:rPr>
              <w:t>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230,714 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231,414</w:t>
            </w:r>
            <w:r>
              <w:rPr>
                <w:color w:val="000000"/>
              </w:rPr>
              <w:t>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231,675 </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assets that are measured at fair value on a recurring basis, consistent with the fair value hierarchy, at September 30, 2023 and December 31, 2022:</w:t>
      </w:r>
    </w:p>
    <w:tbl>
      <w:tblPr>
        <w:tblW w:w="7602" w:type="dxa"/>
        <w:jc w:val="left"/>
        <w:tblInd w:w="0" w:type="dxa"/>
        <w:tblLayout w:type="fixed"/>
        <w:tblCellMar>
          <w:top w:w="28" w:type="dxa"/>
          <w:left w:w="28" w:type="dxa"/>
          <w:bottom w:w="28" w:type="dxa"/>
          <w:right w:w="28" w:type="dxa"/>
        </w:tblCellMar>
      </w:tblPr>
      <w:tblGrid>
        <w:gridCol w:w="1064"/>
        <w:gridCol w:w="936"/>
        <w:gridCol w:w="939"/>
        <w:gridCol w:w="211"/>
        <w:gridCol w:w="736"/>
        <w:gridCol w:w="109"/>
        <w:gridCol w:w="109"/>
        <w:gridCol w:w="109"/>
        <w:gridCol w:w="109"/>
        <w:gridCol w:w="211"/>
        <w:gridCol w:w="736"/>
        <w:gridCol w:w="109"/>
        <w:gridCol w:w="109"/>
        <w:gridCol w:w="109"/>
        <w:gridCol w:w="109"/>
        <w:gridCol w:w="235"/>
        <w:gridCol w:w="455"/>
        <w:gridCol w:w="109"/>
        <w:gridCol w:w="109"/>
        <w:gridCol w:w="109"/>
        <w:gridCol w:w="109"/>
        <w:gridCol w:w="211"/>
        <w:gridCol w:w="40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89" w:type="dxa"/>
        <w:jc w:val="left"/>
        <w:tblInd w:w="0" w:type="dxa"/>
        <w:tblLayout w:type="fixed"/>
        <w:tblCellMar>
          <w:top w:w="28" w:type="dxa"/>
          <w:left w:w="28" w:type="dxa"/>
          <w:bottom w:w="28" w:type="dxa"/>
          <w:right w:w="28" w:type="dxa"/>
        </w:tblCellMar>
      </w:tblPr>
      <w:tblGrid>
        <w:gridCol w:w="1064"/>
        <w:gridCol w:w="936"/>
        <w:gridCol w:w="93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mutual fund investments is based on quoted market prices. The mutual fund investments are shown as a component of investments and other assets on the consolidated balance sheet.</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gains and losses on the investments noted above were not significant. No transfers between level 1 and level 2 investments occurred during the nine months ended September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the Company had a Euro forward contract for a total notional value of 40.0 million Euros. The foreign currency forward contract is valued as a level 2 liability as it is corroborated by foreign currency exchange rates and shown as a component of other current liabilities on the consolidated balance sheet. For the nine months ended September 30, 2023, realized and unrealized gains and losses on the foreign currency forward contracts were not significant.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mutual fund investments are recorded at fair value at September 30, 2023 and December 31, 2022 in the accompanying consolidated balance sheet.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estimated fair values of the Company’s financial instrument liabilities, for which fair value is measured for disclosure purposes only, compared to the recorded amounts at September 30, 2023 and December 31, 2022:</w:t>
      </w:r>
    </w:p>
    <w:tbl>
      <w:tblPr>
        <w:tblW w:w="10110" w:type="dxa"/>
        <w:jc w:val="left"/>
        <w:tblInd w:w="0" w:type="dxa"/>
        <w:tblLayout w:type="fixed"/>
        <w:tblCellMar>
          <w:top w:w="28" w:type="dxa"/>
          <w:left w:w="28" w:type="dxa"/>
          <w:bottom w:w="28" w:type="dxa"/>
          <w:right w:w="28" w:type="dxa"/>
        </w:tblCellMar>
      </w:tblPr>
      <w:tblGrid>
        <w:gridCol w:w="1302"/>
        <w:gridCol w:w="1147"/>
        <w:gridCol w:w="1151"/>
        <w:gridCol w:w="211"/>
        <w:gridCol w:w="1051"/>
        <w:gridCol w:w="109"/>
        <w:gridCol w:w="109"/>
        <w:gridCol w:w="109"/>
        <w:gridCol w:w="109"/>
        <w:gridCol w:w="211"/>
        <w:gridCol w:w="1051"/>
        <w:gridCol w:w="109"/>
        <w:gridCol w:w="109"/>
        <w:gridCol w:w="109"/>
        <w:gridCol w:w="109"/>
        <w:gridCol w:w="211"/>
        <w:gridCol w:w="1051"/>
        <w:gridCol w:w="109"/>
        <w:gridCol w:w="109"/>
        <w:gridCol w:w="109"/>
        <w:gridCol w:w="109"/>
        <w:gridCol w:w="211"/>
        <w:gridCol w:w="105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Recorded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Recorded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(2,158,388)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(1,989,002)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(2,010,867)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net short-term borrowings approximates the carrying value. The Company’s net long-term debt is all privately held with no public market for this debt, therefore, the fair value of net long-term debt was computed based on comparable current market data for similar debt instruments and is considered a level 3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5.    Hedging Activities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designated certain foreign-currency-denominated long-term borrowings as hedges of the net investment in certain foreign operations. As of September 30, 2023, these net investment hedges included British-pound-and Euro-denominated long-term debt. These borrowings were designed to create net investment hedges in certain designated foreign subsidiaries. The Company designated the British-pound- and Euro-denominated loans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$274.8 million of British-pound-denominated loans, which were designated as a hedge against the net investment in British pound functional currency foreign subsidiaries. At September 30, 2023, the Company had $562.1 million in Euro-denominated loans, which were designated as a hedge against the net investment in Euro functional currency foreign subsidiaries. As a result of the British-pound- and Euro-denominated loans designated and 100% effective as net investment hedges, $4.1 million of pre-tax currency remeasurement gains have been included in the foreign currency translation component of other comprehensive income for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6.    Inventories, net</w:t>
      </w:r>
    </w:p>
    <w:tbl>
      <w:tblPr>
        <w:tblW w:w="5889" w:type="dxa"/>
        <w:jc w:val="left"/>
        <w:tblInd w:w="0" w:type="dxa"/>
        <w:tblLayout w:type="fixed"/>
        <w:tblCellMar>
          <w:top w:w="28" w:type="dxa"/>
          <w:left w:w="28" w:type="dxa"/>
          <w:bottom w:w="28" w:type="dxa"/>
          <w:right w:w="28" w:type="dxa"/>
        </w:tblCellMar>
      </w:tblPr>
      <w:tblGrid>
        <w:gridCol w:w="1053"/>
        <w:gridCol w:w="927"/>
        <w:gridCol w:w="930"/>
        <w:gridCol w:w="211"/>
        <w:gridCol w:w="991"/>
        <w:gridCol w:w="109"/>
        <w:gridCol w:w="109"/>
        <w:gridCol w:w="109"/>
        <w:gridCol w:w="109"/>
        <w:gridCol w:w="211"/>
        <w:gridCol w:w="97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 and parts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116,143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150,317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purchased parts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821,124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1,087,584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commitments under operating leases for certain facilities, vehicles and equipment used in its operations. Cash used in operations for operating leases was not materially different from operating lease expense for the nine months ended September 30, 2023 and 2022. The Company's leases have a weighted average remaining lease term of approximately 5 years. Certain lease agreements contain provisions for future rent increases.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6975" w:type="dxa"/>
        <w:jc w:val="left"/>
        <w:tblInd w:w="0" w:type="dxa"/>
        <w:tblLayout w:type="fixed"/>
        <w:tblCellMar>
          <w:top w:w="28" w:type="dxa"/>
          <w:left w:w="28" w:type="dxa"/>
          <w:bottom w:w="28" w:type="dxa"/>
          <w:right w:w="28" w:type="dxa"/>
        </w:tblCellMar>
      </w:tblPr>
      <w:tblGrid>
        <w:gridCol w:w="635"/>
        <w:gridCol w:w="558"/>
        <w:gridCol w:w="562"/>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54,930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w:t>
      </w:r>
    </w:p>
    <w:tbl>
      <w:tblPr>
        <w:tblW w:w="7478" w:type="dxa"/>
        <w:jc w:val="left"/>
        <w:tblInd w:w="0" w:type="dxa"/>
        <w:tblLayout w:type="fixed"/>
        <w:tblCellMar>
          <w:top w:w="28" w:type="dxa"/>
          <w:left w:w="28" w:type="dxa"/>
          <w:bottom w:w="28" w:type="dxa"/>
          <w:right w:w="28" w:type="dxa"/>
        </w:tblCellMar>
      </w:tblPr>
      <w:tblGrid>
        <w:gridCol w:w="1734"/>
        <w:gridCol w:w="1529"/>
        <w:gridCol w:w="1536"/>
        <w:gridCol w:w="211"/>
        <w:gridCol w:w="841"/>
        <w:gridCol w:w="109"/>
        <w:gridCol w:w="109"/>
        <w:gridCol w:w="109"/>
        <w:gridCol w:w="109"/>
        <w:gridCol w:w="211"/>
        <w:gridCol w:w="826"/>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Accrued Liabilities and other</w:t>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44,932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Other long-term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124,462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169,394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as of September 30, 2023 were as follows:</w:t>
      </w:r>
    </w:p>
    <w:tbl>
      <w:tblPr>
        <w:tblW w:w="3945" w:type="dxa"/>
        <w:jc w:val="left"/>
        <w:tblInd w:w="0" w:type="dxa"/>
        <w:tblLayout w:type="fixed"/>
        <w:tblCellMar>
          <w:top w:w="28" w:type="dxa"/>
          <w:left w:w="28" w:type="dxa"/>
          <w:bottom w:w="28" w:type="dxa"/>
          <w:right w:w="28" w:type="dxa"/>
        </w:tblCellMar>
      </w:tblPr>
      <w:tblGrid>
        <w:gridCol w:w="918"/>
        <w:gridCol w:w="805"/>
        <w:gridCol w:w="811"/>
        <w:gridCol w:w="246"/>
        <w:gridCol w:w="983"/>
        <w:gridCol w:w="182"/>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Lease Liability Maturity Analysis</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12,834</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47,997</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2025</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38,110</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2026</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29,112</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2027</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19,317</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40,340</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187,710</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18,316</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169,394</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significant leases that have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    Acquisitions</w:t>
      </w:r>
    </w:p>
    <w:p>
      <w:pPr>
        <w:pStyle w:val="TextBody"/>
        <w:bidi w:val="0"/>
        <w:spacing w:lineRule="auto" w:line="288" w:before="240" w:after="283"/>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spent $246.7 million in cash, net of cash acquired, to acquire Bison Gear &amp; Engineering Corp. ("Bison") in March 2023 and United Electronic Industries ("UEI") in August 2023. Bison is a leading manufacturer of highly engineered motion control solutions serving diverse markets and applications. Bison is part of EMG. UEI is a leading provider of data acquisition and control solutions for the aerospace, defense, energy and semiconductor industries. UEI is part of EIG.</w:t>
      </w:r>
    </w:p>
    <w:p>
      <w:pPr>
        <w:pStyle w:val="TextBody"/>
        <w:bidi w:val="0"/>
        <w:spacing w:before="120" w:after="283"/>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allocation of the purchase price for the net assets of the 2023 acquisitions based on the estimated fair values at acquisition (in millions):</w:t>
      </w:r>
    </w:p>
    <w:tbl>
      <w:tblPr>
        <w:tblW w:w="4132" w:type="dxa"/>
        <w:jc w:val="left"/>
        <w:tblInd w:w="0" w:type="dxa"/>
        <w:tblLayout w:type="fixed"/>
        <w:tblCellMar>
          <w:top w:w="28" w:type="dxa"/>
          <w:left w:w="28" w:type="dxa"/>
          <w:bottom w:w="28" w:type="dxa"/>
          <w:right w:w="28" w:type="dxa"/>
        </w:tblCellMar>
      </w:tblPr>
      <w:tblGrid>
        <w:gridCol w:w="978"/>
        <w:gridCol w:w="858"/>
        <w:gridCol w:w="864"/>
        <w:gridCol w:w="109"/>
        <w:gridCol w:w="109"/>
        <w:gridCol w:w="109"/>
        <w:gridCol w:w="109"/>
        <w:gridCol w:w="211"/>
        <w:gridCol w:w="631"/>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working capital and other</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246.7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(1)Includes $12.9 million in accounts receivable, whose fair value, contractual cash flows and expected cash flows are approximately equal.</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The amount allocated to goodwill is reflective of the benefits the Company expects to realize from the acquisitions. Bison's engineering expertise and broad product portfolio complement the Company's existing motion control and automation solutions business. UEI's innovative solutions complement the Company's existing testing and data acquisition expertise. </w:t>
      </w:r>
      <w:r>
        <w:rPr>
          <w:rFonts w:ascii="Times New Roman;sans-serif" w:hAnsi="Times New Roman;sans-serif"/>
          <w:b w:val="false"/>
          <w:color w:val="000000"/>
          <w:sz w:val="20"/>
          <w:shd w:fill="FFFFFF" w:val="clear"/>
        </w:rPr>
        <w:t xml:space="preserve">The Company expects approximately </w:t>
      </w:r>
      <w:r>
        <w:rPr>
          <w:rFonts w:ascii="Times New Roman;sans-serif" w:hAnsi="Times New Roman;sans-serif"/>
          <w:b w:val="false"/>
          <w:color w:val="000000"/>
          <w:sz w:val="20"/>
        </w:rPr>
        <w:t>$73.5 million</w:t>
      </w:r>
      <w:r>
        <w:rPr>
          <w:color w:val="000000"/>
          <w:shd w:fill="FFFFFF" w:val="clear"/>
        </w:rPr>
        <w:t xml:space="preserve"> </w:t>
      </w:r>
      <w:r>
        <w:rPr>
          <w:rFonts w:ascii="Times New Roman;sans-serif" w:hAnsi="Times New Roman;sans-serif"/>
          <w:b w:val="false"/>
          <w:color w:val="000000"/>
          <w:sz w:val="20"/>
          <w:shd w:fill="FFFFFF" w:val="clear"/>
        </w:rPr>
        <w:t>of the goodwill relating to the acquisitions will be tax deductible in future years.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purchase price allocated to other intangible assets of $124.0 million consists of $23.8 million of indefinite-lived intangible trade names, which are not subject to amortization. The remaining $100.2 million of other intangible assets consists of $75.8 million of customer relationships, which are being amortized over a period of 20 years, and $24.4 million of purchased technology, which is being amortized over a period of 10 to 20 years. Amortization expense for each of the next five years for the 2023 acquisition is expected to approximate $5 million per year.</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finalized its measurements of certain tangible and intangible assets and liabilities for its September 2022 acquisition of Navitar, Inc. and its October 2022 acquisition of RTDS Technologies, which had no material impact to the consolidated statement of income and balance sheet. The Company has substantially completed its purchase accounting, however it is in the process of finalizing the accounting for income taxes, for its acquisition of Bison. The Company is in the process of finalizing the measurement of the intangible assets and tangible assets and liabilities for its acquisition of UEI.</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acquisitions had an immaterial impact on reported net sales, net income, and diluted earnings per share for the three and nine months ended September 30, 2023. Had the acquisitions been made at the beginning of 2023 or 2022, pro forma net sales, net income, and diluted earnings per share for the three and nine months ended September 30, 2023 and 2022, would not have been materially different than the amounts reported.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 Subsequent to September 30, 2023</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Company acquired Amplifier Research Corp., for approximately $105 million in cash. Amplifier Research has estimated annual sales of approximately $60 million. Amplifier Research is a leading manufacturer of radio frequency and microwave amplifiers and electromagnetic compatibility testing equipment. Amplifier Research has joined EIG.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Company entered into a definitive agreement to acquire Paragon Medical, for approximately $1.9 billion in cash. Paragon Medical has estimated annual sales of approximately $500 million. Paragon Medical is a leading provider of medical components and instruments. Paragon Medical serves a wide range of specialty applications including orthopedics, minimally invasive surgery, robotic surgery, and drug delivery. Paragon's product portfolio includes single-use and consumable surgical instruments and implantable components sold to a diverse blue-chip customer base of leading medical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device manufacturers. The transaction is subject to customary closing conditions, including applicable regulatory approvals. Paragon Medical will join EMG.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    Goodwill</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amounts of goodwill by segment were as follows:</w:t>
      </w:r>
    </w:p>
    <w:tbl>
      <w:tblPr>
        <w:tblW w:w="7991" w:type="dxa"/>
        <w:jc w:val="left"/>
        <w:tblInd w:w="0" w:type="dxa"/>
        <w:tblLayout w:type="fixed"/>
        <w:tblCellMar>
          <w:top w:w="28" w:type="dxa"/>
          <w:left w:w="28" w:type="dxa"/>
          <w:bottom w:w="28" w:type="dxa"/>
          <w:right w:w="28" w:type="dxa"/>
        </w:tblCellMar>
      </w:tblPr>
      <w:tblGrid>
        <w:gridCol w:w="1445"/>
        <w:gridCol w:w="1268"/>
        <w:gridCol w:w="1276"/>
        <w:gridCol w:w="211"/>
        <w:gridCol w:w="781"/>
        <w:gridCol w:w="109"/>
        <w:gridCol w:w="109"/>
        <w:gridCol w:w="109"/>
        <w:gridCol w:w="109"/>
        <w:gridCol w:w="211"/>
        <w:gridCol w:w="781"/>
        <w:gridCol w:w="109"/>
        <w:gridCol w:w="109"/>
        <w:gridCol w:w="109"/>
        <w:gridCol w:w="109"/>
        <w:gridCol w:w="211"/>
        <w:gridCol w:w="78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from 2023 acquisitions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allocation adjustments and 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4,317.0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5,479.0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gross uncertain tax benefits of $207.4 million, of which $153.9 million, if recognized, would impact the effective tax rate.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liability for uncertain tax positions (in millions):</w:t>
      </w:r>
    </w:p>
    <w:tbl>
      <w:tblPr>
        <w:tblW w:w="3636" w:type="dxa"/>
        <w:jc w:val="left"/>
        <w:tblInd w:w="0" w:type="dxa"/>
        <w:tblLayout w:type="fixed"/>
        <w:tblCellMar>
          <w:top w:w="28" w:type="dxa"/>
          <w:left w:w="28" w:type="dxa"/>
          <w:bottom w:w="28" w:type="dxa"/>
          <w:right w:w="28" w:type="dxa"/>
        </w:tblCellMar>
      </w:tblPr>
      <w:tblGrid>
        <w:gridCol w:w="956"/>
        <w:gridCol w:w="839"/>
        <w:gridCol w:w="845"/>
        <w:gridCol w:w="211"/>
        <w:gridCol w:w="63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and nine months ended September 30, 2023 and 2022 were not significant.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the three months ended September 30, 2023 was 17.7%, compared with 19.0% for the three months ended September 30, 2022. The lower effective tax rate in the third quarter of 2023 primarily reflects greater utilization of research and development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11.    Share-Based Compensation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share-based compensation plans are described in Note 11, Share-Based Compensation, to the consolidated financial statements in Part II, Item 8, filed on the Company’s Annual Report on Form 10-K for the year ended December 31, 2022.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Based Compensation Expense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was as follows:</w:t>
      </w:r>
    </w:p>
    <w:tbl>
      <w:tblPr>
        <w:tblW w:w="8699" w:type="dxa"/>
        <w:jc w:val="left"/>
        <w:tblInd w:w="0" w:type="dxa"/>
        <w:tblLayout w:type="fixed"/>
        <w:tblCellMar>
          <w:top w:w="28" w:type="dxa"/>
          <w:left w:w="28" w:type="dxa"/>
          <w:bottom w:w="28" w:type="dxa"/>
          <w:right w:w="28" w:type="dxa"/>
        </w:tblCellMar>
      </w:tblPr>
      <w:tblGrid>
        <w:gridCol w:w="1261"/>
        <w:gridCol w:w="1104"/>
        <w:gridCol w:w="1114"/>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restricted stock unit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35,773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Pre-tax share-based compensation expense is included in the consolidated statement of income in either Cost of sales or Selling, general and administrative expenses, depending on where the recipient’s cash compensation is reported.</w:t>
      </w:r>
    </w:p>
    <w:p>
      <w:pPr>
        <w:pStyle w:val="TextBody"/>
        <w:bidi w:val="0"/>
        <w:spacing w:before="240" w:after="283"/>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tbl>
      <w:tblPr>
        <w:tblW w:w="9102" w:type="dxa"/>
        <w:jc w:val="left"/>
        <w:tblInd w:w="0" w:type="dxa"/>
        <w:tblLayout w:type="fixed"/>
        <w:tblCellMar>
          <w:top w:w="28" w:type="dxa"/>
          <w:left w:w="28" w:type="dxa"/>
          <w:bottom w:w="28" w:type="dxa"/>
          <w:right w:w="28" w:type="dxa"/>
        </w:tblCellMar>
      </w:tblPr>
      <w:tblGrid>
        <w:gridCol w:w="1734"/>
        <w:gridCol w:w="1521"/>
        <w:gridCol w:w="1530"/>
        <w:gridCol w:w="285"/>
        <w:gridCol w:w="853"/>
        <w:gridCol w:w="407"/>
        <w:gridCol w:w="109"/>
        <w:gridCol w:w="109"/>
        <w:gridCol w:w="109"/>
        <w:gridCol w:w="451"/>
        <w:gridCol w:w="1318"/>
        <w:gridCol w:w="676"/>
      </w:tblGrid>
      <w:tr>
        <w:trPr/>
        <w:tc>
          <w:tcPr>
            <w:tcW w:w="17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w:t>
            </w:r>
            <w:r>
              <w:rPr>
                <w:color w:val="000000"/>
              </w:rPr>
              <w:t>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w:t>
            </w: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0.72</w:t>
            </w: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Black-Scholes-Merton fair value per stock option granted</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38.11</w:t>
            </w: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720"/>
        <w:jc w:val="lef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stock option activity and related information:</w:t>
      </w:r>
    </w:p>
    <w:tbl>
      <w:tblPr>
        <w:tblW w:w="8065" w:type="dxa"/>
        <w:jc w:val="left"/>
        <w:tblInd w:w="0" w:type="dxa"/>
        <w:tblLayout w:type="fixed"/>
        <w:tblCellMar>
          <w:top w:w="28" w:type="dxa"/>
          <w:left w:w="28" w:type="dxa"/>
          <w:bottom w:w="28" w:type="dxa"/>
          <w:right w:w="28" w:type="dxa"/>
        </w:tblCellMar>
      </w:tblPr>
      <w:tblGrid>
        <w:gridCol w:w="1081"/>
        <w:gridCol w:w="949"/>
        <w:gridCol w:w="954"/>
        <w:gridCol w:w="378"/>
        <w:gridCol w:w="378"/>
        <w:gridCol w:w="383"/>
        <w:gridCol w:w="109"/>
        <w:gridCol w:w="109"/>
        <w:gridCol w:w="109"/>
        <w:gridCol w:w="211"/>
        <w:gridCol w:w="631"/>
        <w:gridCol w:w="109"/>
        <w:gridCol w:w="109"/>
        <w:gridCol w:w="109"/>
        <w:gridCol w:w="109"/>
        <w:gridCol w:w="330"/>
        <w:gridCol w:w="330"/>
        <w:gridCol w:w="331"/>
        <w:gridCol w:w="109"/>
        <w:gridCol w:w="109"/>
        <w:gridCol w:w="109"/>
        <w:gridCol w:w="216"/>
        <w:gridCol w:w="646"/>
        <w:gridCol w:w="157"/>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453</w:t>
            </w: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(551)</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2,897</w:t>
            </w: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138.4</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30, 2023</w:t>
            </w:r>
          </w:p>
        </w:tc>
        <w:tc>
          <w:tcPr>
            <w:tcW w:w="75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1,976</w:t>
            </w:r>
            <w:r>
              <w:rPr>
                <w:color w:val="000000"/>
              </w:rPr>
              <w:t> </w:t>
            </w:r>
          </w:p>
        </w:tc>
        <w:tc>
          <w:tcPr>
            <w:tcW w:w="3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83.88</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126.3</w:t>
            </w:r>
            <w:r>
              <w:rPr>
                <w:color w:val="000000"/>
              </w:rPr>
              <w:t>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stock options exercised during the nine months ended September 30, 2023 was $42.5 million. The total fair value of stock options vested during the nine months ended September 30, 2023 was $12.8 million. As of September 30, 2023, there was approximately $21.9 million of expected future pre-tax compensation expense related to the 0.9 million non-vested stock options outstanding, which is expected to be recognized over a weighted average period of approximately two years.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non-vested restricted stock activity and related information:</w:t>
      </w:r>
    </w:p>
    <w:tbl>
      <w:tblPr>
        <w:tblW w:w="7771" w:type="dxa"/>
        <w:jc w:val="left"/>
        <w:tblInd w:w="0" w:type="dxa"/>
        <w:tblLayout w:type="fixed"/>
        <w:tblCellMar>
          <w:top w:w="28" w:type="dxa"/>
          <w:left w:w="28" w:type="dxa"/>
          <w:bottom w:w="28" w:type="dxa"/>
          <w:right w:w="28" w:type="dxa"/>
        </w:tblCellMar>
      </w:tblPr>
      <w:tblGrid>
        <w:gridCol w:w="1885"/>
        <w:gridCol w:w="1657"/>
        <w:gridCol w:w="1662"/>
        <w:gridCol w:w="378"/>
        <w:gridCol w:w="378"/>
        <w:gridCol w:w="383"/>
        <w:gridCol w:w="109"/>
        <w:gridCol w:w="109"/>
        <w:gridCol w:w="109"/>
        <w:gridCol w:w="211"/>
        <w:gridCol w:w="736"/>
        <w:gridCol w:w="154"/>
      </w:tblGrid>
      <w:tr>
        <w:trPr/>
        <w:tc>
          <w:tcPr>
            <w:tcW w:w="188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Grant Date</w:t>
              <w:br/>
              <w:t>Fair Value</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outstanding at December 31, 2022</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w:t>
            </w: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138.63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outstanding at September 30, 2023</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328</w:t>
            </w:r>
            <w:r>
              <w:rPr>
                <w:color w:val="000000"/>
              </w:rPr>
              <w:t>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132.61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restricted stock vested during the nine months ended September 30, 2023 was $16.3 million. As of September 30, 2023, there was approximately $28.8 million of expected future pre-tax compensation expense related to the 0.3 million non-vested restricted shares outstanding, which is expected to be recognized over a weighted average period of approximately two years.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Restricted Stock Units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granted performance restricted stock units ("PRSU") to officers and certain key management-level employees.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to December 31 of the third year.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 </w:t>
      </w:r>
    </w:p>
    <w:p>
      <w:pPr>
        <w:pStyle w:val="TextBody"/>
        <w:bidi w:val="0"/>
        <w:spacing w:before="240" w:after="283"/>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non-vested performance restricted stock activity and related information:</w:t>
      </w:r>
    </w:p>
    <w:tbl>
      <w:tblPr>
        <w:tblW w:w="8822" w:type="dxa"/>
        <w:jc w:val="left"/>
        <w:tblInd w:w="0" w:type="dxa"/>
        <w:tblLayout w:type="fixed"/>
        <w:tblCellMar>
          <w:top w:w="28" w:type="dxa"/>
          <w:left w:w="28" w:type="dxa"/>
          <w:bottom w:w="28" w:type="dxa"/>
          <w:right w:w="28" w:type="dxa"/>
        </w:tblCellMar>
      </w:tblPr>
      <w:tblGrid>
        <w:gridCol w:w="2267"/>
        <w:gridCol w:w="1988"/>
        <w:gridCol w:w="2000"/>
        <w:gridCol w:w="378"/>
        <w:gridCol w:w="378"/>
        <w:gridCol w:w="383"/>
        <w:gridCol w:w="109"/>
        <w:gridCol w:w="109"/>
        <w:gridCol w:w="109"/>
        <w:gridCol w:w="211"/>
        <w:gridCol w:w="736"/>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Grant Date</w:t>
              <w:br/>
              <w:t>Fair Value</w:t>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 restricted stock outstanding at December 31, 2022</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w:t>
            </w: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138.46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Performance assumption change </w:t>
            </w:r>
            <w:r>
              <w:rPr>
                <w:rFonts w:ascii="Times New Roman;sans-serif" w:hAnsi="Times New Roman;sans-serif"/>
                <w:b w:val="false"/>
                <w:color w:val="000000"/>
                <w:sz w:val="13"/>
              </w:rPr>
              <w:t>1</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w:t>
            </w: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63.37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63.37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 restricted stock outstanding at September 30, 2023</w:t>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239</w:t>
            </w:r>
            <w:r>
              <w:rPr>
                <w:color w:val="000000"/>
              </w:rPr>
              <w:t>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Reflects the number of PRSUs above target levels based on performance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approximately $7.6 million of expected future pre-tax compensation expense related to the 0.2 million non-vested restricted shares outstanding, which is expected to be recognized over a weighted average period of approximately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Retirement and Pension Plans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pension benefit expense (income) were as follows:</w:t>
      </w:r>
    </w:p>
    <w:tbl>
      <w:tblPr>
        <w:tblW w:w="8744" w:type="dxa"/>
        <w:jc w:val="left"/>
        <w:tblInd w:w="0" w:type="dxa"/>
        <w:tblLayout w:type="fixed"/>
        <w:tblCellMar>
          <w:top w:w="28" w:type="dxa"/>
          <w:left w:w="28" w:type="dxa"/>
          <w:bottom w:w="28" w:type="dxa"/>
          <w:right w:w="28" w:type="dxa"/>
        </w:tblCellMar>
      </w:tblPr>
      <w:tblGrid>
        <w:gridCol w:w="1313"/>
        <w:gridCol w:w="1155"/>
        <w:gridCol w:w="1161"/>
        <w:gridCol w:w="211"/>
        <w:gridCol w:w="736"/>
        <w:gridCol w:w="109"/>
        <w:gridCol w:w="109"/>
        <w:gridCol w:w="109"/>
        <w:gridCol w:w="109"/>
        <w:gridCol w:w="211"/>
        <w:gridCol w:w="616"/>
        <w:gridCol w:w="109"/>
        <w:gridCol w:w="109"/>
        <w:gridCol w:w="109"/>
        <w:gridCol w:w="109"/>
        <w:gridCol w:w="211"/>
        <w:gridCol w:w="736"/>
        <w:gridCol w:w="109"/>
        <w:gridCol w:w="109"/>
        <w:gridCol w:w="109"/>
        <w:gridCol w:w="109"/>
        <w:gridCol w:w="211"/>
        <w:gridCol w:w="721"/>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Defined benefit plans: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22,655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loss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plans: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contribution plans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plans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plans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40,517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pension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34,759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defined benefit plans, the net periodic benefit income, other than the service cost component, is included in “Other (expense) income, net” in the consolidated statement of income.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contributions to the Company’s defined benefit pension plans were $3.9 million and $5.2 million, respectively. The Company’s current estimate of 2023 contributions to its worldwide defined benefit pension plans is in line with the range disclosed in Note 12 of the Company’s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Contingencies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Asbestos Litigation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Environmental Matters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historic processes in the manufacture of products have resulted in environmentally hazardous waste by-products as defined by federal and state laws and regulations. At September 30, 2023,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environmental reserves at September 30, 2023 and December 31, 2022 were $39.7 million and $41.1 million, respectively, for both non-owned and owned sites. For the nine months ended September 30, 2023, the Company recorded $4.7 million in reserves. Additionally, the Company spent $6.1 million on environmental matters for the nine months ended September 30, 2023.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net sales and income by reportable segment and on a consolidated basis:</w:t>
      </w:r>
    </w:p>
    <w:tbl>
      <w:tblPr>
        <w:tblW w:w="10205" w:type="dxa"/>
        <w:jc w:val="left"/>
        <w:tblInd w:w="0" w:type="dxa"/>
        <w:tblLayout w:type="fixed"/>
        <w:tblCellMar>
          <w:top w:w="28" w:type="dxa"/>
          <w:left w:w="28" w:type="dxa"/>
          <w:bottom w:w="28" w:type="dxa"/>
          <w:right w:w="28" w:type="dxa"/>
        </w:tblCellMar>
      </w:tblPr>
      <w:tblGrid>
        <w:gridCol w:w="1451"/>
        <w:gridCol w:w="1269"/>
        <w:gridCol w:w="1243"/>
        <w:gridCol w:w="211"/>
        <w:gridCol w:w="991"/>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6"/>
      </w:tblGrid>
      <w:tr>
        <w:trPr/>
        <w:tc>
          <w:tcPr>
            <w:tcW w:w="14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1,136,130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3,388,023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Electromechanical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486,707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1,478,042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1,622,837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4,866,065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4,524,863 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and income before income taxes:</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951,970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782,603 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Electromechanical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127,534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384,253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462,705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1,336,223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1,171,650 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administrative expenses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438,135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1,262,467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413,493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1,189,476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1,050,189 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left"/>
        <w:rPr/>
      </w:pPr>
      <w:r>
        <w:rPr/>
      </w:r>
    </w:p>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 ended September 30, 2023, the Company posted record operating income, operating margins, net income, and diluted earnings per share. We achieved these results from contributions from the acquisitions of Navitar in September 2022, RTDS in October 2022, Bison Gear &amp; Engineering Corp. ("Bison") in March 2023, and United Electronic Industries ("UEI") in August 2023, as well as our Operational Excellence initiatives. We continue to experience heightened levels of inflation in material costs, supply chain constraints, as well as continued uncertainty in the global economy, including inventory normalization on short-term customer demand. We continue to evaluate the extent to which these factors will impact our business, financial condition, and results of operations. For 2023, our strong backlog, the full year impact of the 2022 acquisitions, the 2023 acquisitions of Bison and UEI, and continued focus on and implementation of our Operational Excellence initiatives are expected to have a positive impact on the remainder of our 2023 results.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Results of operations for the third quarter of 2023 compared with the third quarter of 2022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third quarter of 2023 were $1,622.8 million, an increase of $71.0 million or 4.6%, compared with net sales of $1,551.8 million for the third quarter of 2022. The increase in net sales for the third quarter of 2023 was due to a 4% increase from acquisitions and a 1% favorable effect of foreign currency translation.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 sales for the third quarter of 2023 were $731.7 million or 45.1% of net sales, a decrease of $1.3 million or 0.2%, compared with international sales of $733.0 million or 47.2% of net sales for the third quarter of 2022.</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Orders for the third quarter of 2023 were $1,550.6 million, a decrease of $107.3 million or 6.5%, compared with $1,657.9 million for the third quarter of 2022. The decrease in orders for the third quarter of 2023 was due to a 10% decline in organic orders, partially offset by a 1% increase from acquisitions and a 3% favorable effect of foreign currency translation. The Company's backlog of unfilled orders at September 30, 2023 was $3,369.7 million, an increase of $151.1 million or 4.7% compared with</w:t>
      </w:r>
      <w:r>
        <w:rPr>
          <w:color w:val="000000"/>
          <w:shd w:fill="FFFFFF" w:val="clear"/>
        </w:rPr>
        <w:t xml:space="preserve"> </w:t>
      </w:r>
      <w:r>
        <w:rPr>
          <w:rFonts w:ascii="Times New Roman;sans-serif" w:hAnsi="Times New Roman;sans-serif"/>
          <w:b w:val="false"/>
          <w:color w:val="000000"/>
          <w:sz w:val="20"/>
          <w:shd w:fill="FFFFFF" w:val="clear"/>
        </w:rPr>
        <w:t>$3,218.6 million</w:t>
      </w:r>
      <w:r>
        <w:rPr>
          <w:color w:val="000000"/>
        </w:rPr>
        <w:t xml:space="preserve"> </w:t>
      </w:r>
      <w:r>
        <w:rPr>
          <w:rFonts w:ascii="Times New Roman;sans-serif" w:hAnsi="Times New Roman;sans-serif"/>
          <w:b w:val="false"/>
          <w:color w:val="000000"/>
          <w:sz w:val="20"/>
        </w:rPr>
        <w:t>at December 31, 2022.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 for the third quarter of 2023 was $462.7 million, an increase of $53.5 million or 13.1%, compared with segment operating income of $409.2 million for the third quarter of 2022. Segment operating margins, as a percentage of net sales, increased to 28.5% for the third quarter of 2023, compared with 26.4% for the third quarter of 2022. Segment operating income and operating margins were positively impacted in 2023 by increased sales in our higher margin businesses, as well as continued benefits from the Company's Operational Excellence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for the third quarter of 2023 was $1,020.9 million or 62.9% of net sales, an increase of $16.3 million or 1.6%, compared with $1,004.6 million or 64.7% of net sales for the third quarter of 2022. The cost of sales increase was primarily due to the net sales increase discussed above.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for the third quarter of 2023 were $163.8 million or 10.1% of net sales, an increase of $1.1 million or 0.7%, compared with $162.7 million or 10.5% of net sales for the third quarter of 2022. General and administrative expenses for the third quarter of 2023 were $24.6 million, compared with $24.7 million for the third quarter of 2022.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operating income was a record $438.1 million or a record 27.0% of net sales for the third quarter of 2023, an increase of $53.6 million or 13.9%, compared with $384.5 million or 24.8% of net sales for the third quarter of 2022.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was $6.3 million for the third quarter of 2023, compared with $3.2 million of other income, net for the third quarter of 2022, a change of $9.5 million. The third quarter of 2023 includes lower pension income of $5.1 million and higher acquisition-related due diligence expense compared to the third quarter of 2022.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third quarter of 2023 was 17.7%, compared with 19.0% for the third quarter of 2022. The lower effective tax rate in the third quarter of 2023 primarily reflects greater utilization of research and development credits.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third quarter of 2023 was a record $340.4 million, an increase of $42.8 million or 14.4%, compared with $297.6 million for the third quarter of 2022.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share for the third quarter of 2023 were a record $1.47, an increase of $0.18 or 14.0%, compared with $1.29 per diluted share for the third quarter of 2022.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240" w:after="283"/>
        <w:ind w:left="0" w:right="0" w:firstLine="720"/>
        <w:jc w:val="left"/>
        <w:rPr/>
      </w:pPr>
      <w:r>
        <w:rPr>
          <w:rFonts w:ascii="Times New Roman;sans-serif" w:hAnsi="Times New Roman;sans-serif"/>
          <w:b/>
          <w:color w:val="000000"/>
          <w:sz w:val="20"/>
        </w:rPr>
        <w:t>EIG</w:t>
      </w:r>
      <w:r>
        <w:rPr>
          <w:color w:val="000000"/>
        </w:rPr>
        <w:t>’</w:t>
      </w:r>
      <w:r>
        <w:rPr>
          <w:rFonts w:ascii="Times New Roman;sans-serif" w:hAnsi="Times New Roman;sans-serif"/>
          <w:b w:val="false"/>
          <w:color w:val="000000"/>
          <w:sz w:val="20"/>
        </w:rPr>
        <w:t>s net sales totaled $1,136.1 million for the third quarter of 2023, an increase of $82.0 million or 7.8%, compared with $1,054.1 million for the third quarter of 2022. The net sales increase was due to a 3% increase in organic sales, a 4% increase from the recent acquisitions, and a 1% favorable effect of foreign currency translation.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EIG’s operating income was a record $335.2 million for the third quarter of 2023, an increase of $62.5 million or 22.9%, compared with $272.7 million for the third quarter of 2022. EIG’s operating margins were a record 29.5% of net sales for the third quarter of 2023, compared with 25.9% for the third quarter of 2022. EIG's operating margins increased in the third quarter of 2023 compared to the third quarter of 2022 due to the sales increase discussed above, which was primarily driven by our higher margin businesses, as well as continued benefits from the Company's Operational Excellence initiatives.</w:t>
      </w:r>
    </w:p>
    <w:p>
      <w:pPr>
        <w:pStyle w:val="TextBody"/>
        <w:bidi w:val="0"/>
        <w:spacing w:lineRule="auto" w:line="288" w:before="240" w:after="283"/>
        <w:ind w:left="0" w:right="0" w:firstLine="720"/>
        <w:jc w:val="left"/>
        <w:rPr/>
      </w:pPr>
      <w:r>
        <w:rPr>
          <w:rFonts w:ascii="Times New Roman;sans-serif" w:hAnsi="Times New Roman;sans-serif"/>
          <w:b/>
          <w:color w:val="000000"/>
          <w:sz w:val="20"/>
        </w:rPr>
        <w:t xml:space="preserve">EMG’s </w:t>
      </w:r>
      <w:r>
        <w:rPr>
          <w:rFonts w:ascii="Times New Roman;sans-serif" w:hAnsi="Times New Roman;sans-serif"/>
          <w:b w:val="false"/>
          <w:color w:val="000000"/>
          <w:sz w:val="20"/>
        </w:rPr>
        <w:t>net sales totaled $486.7 million for the third quarter of 2023, a decrease of $11.0 million or 2.2%, compared with $497.7 million for the third quarter of 2022. The net sales decrease was due to an 8% organic sales decrease, partially offset by a 4% increase from the 2023 acquisition and a 2% favorable effect of foreign currency translation.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EMG’s operating income was $127.5 million for the third quarter of 2023, a decrease of $9.0 million or 6.6%, compared with $136.5 million for the third quarter of 2022. EMG’s operating margins were 26.2% of net sales for the third quarter of 2023, compared with 27.4% for the third quarter of 2022. EMG's operating margins decreased in the third quarter of 2023 compared to the third quarter of 2022 due to the sales decrease discussed above. EMG's operating margins in the third quarter of 2023 were negatively impacted 40 basis points by the dilutive impact of the 2023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Results of operations for the first nine months of 2023 compared with the first nine months of 2022</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first nine months of 2023 were $4,866.1 million, an increase of $341.2 million or 7.5%, compared with net sales of $4,524.9 million for the first nine months of 2022. The increase in net sales for the first nine months of 2023 was due to a 4% organic sales increase and a 3% increase from acquisitions.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 sales for the first nine months of 2023 were $2,306.0 million or 47.4% of net sales, an increase of $107.4 million or 4.9%, compared with international sales of $2,198.6 million or 48.6% of net sales for the first nine months of 2022. The increase in international sales was primarily driven by strong demand in Europe and Asia as well as contributions from the 2022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Orders for the first nine months of 2023 were $5,017.1 million, an increase of $11.8 million or 0.2%, compared with $5,005.3 million for the first nine months of 2022. The increase in orders for the first nine months of 2023 was due to a 3% increase from acquisitions and a 2% favorable effect of foreign currency translation, partially offset by an organic order decrease.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operating income for the first nine months of 2023 was $1,336.2 million, an increase of $164.5 million or 14.0%, compared with segment operating income of $1,171.7 million for the first nine months of 2022. Segment operating margins, as a percentage of net sales, increased to 27.5% for the first nine months of 2023, compared with 25.9% for the first nine months of 2022. Segment operating income and operating margins were positively impacted in 2023 by the increase in sales discussed above, which was primarily driven by our higher margin businesses, as well as continued benefits from the Company's Operational Excellence initiatives. In the first nine months of 2022, segment operating income included a $7.1 million gain on the sale of a facility which increased operating margins by 20 basis points.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for the first nine months of 2023 was $3,096.6 million or 63.6% of net sales, an increase of $155.0 million or 5.3%, compared with $2,941.6 million or 65.0% of net sales for the first nine months of 2022. The cost of sales increase was primarily due to the net sales increase discussed above.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first nine months of 2023 were $507.0 million or 10.4% of net sales, an increase of $26.3 million or 5.5%, compared with $480.7 million or 10.6% of net sales for the first nine months of 2022. Selling expenses increased primarily due to the net sales increase discussed above. General and administrative expenses for the first nine months of 2023 were $73.8 million, compared with $69.0 million for the first nine months of 2022. The general and administrative expenses in the first nine months of 2023 include higher employee compensation costs compared to the first nine months of 2022.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operating income was $1,262.5 million or 25.9% of net sales for the first nine months of 2023, an increase of $159.9 million or 14.5%, compared with $1,102.6 million or 24.4% of net sales for the first nine months of 2022.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net was $15.3 million for the first nine months of 2023, compared with $7.8 million of other income, net for the first nine months of 2022, a change of $23.1 million. The first nine months of 2023 includes $15.4 million of lower pension income and higher acquisition-related due diligence expense compared to the first nine months of 2022. </w:t>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first nine months of 2023 was 18.4%, compared with 18.8% for the first nine months of 2022. The lower effective rate for the nine months of 2023 primarily reflects greater utilization of research and development credits.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first nine months of 2023 was $970.3 million, an increase of $117.8 million or 13.8%, compared with $852.5 million for the first nine months of 2022.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share for the first nine months of 2023 were $4.19, an increase of $0.51 or 13.9%, compared with $3.68 per diluted share for the first nine months of 2022.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120" w:after="283"/>
        <w:ind w:left="0" w:right="0" w:firstLine="720"/>
        <w:jc w:val="left"/>
        <w:rPr/>
      </w:pPr>
      <w:r>
        <w:rPr>
          <w:rFonts w:ascii="Times New Roman;sans-serif" w:hAnsi="Times New Roman;sans-serif"/>
          <w:b/>
          <w:color w:val="000000"/>
          <w:sz w:val="20"/>
        </w:rPr>
        <w:t>EIG’</w:t>
      </w:r>
      <w:r>
        <w:rPr>
          <w:rFonts w:ascii="Times New Roman;sans-serif" w:hAnsi="Times New Roman;sans-serif"/>
          <w:b w:val="false"/>
          <w:color w:val="000000"/>
          <w:sz w:val="20"/>
        </w:rPr>
        <w:t>s net sales totaled $3,388.0 million for the first nine months of 2023, an increase of $317.9 million or 10.4%, compared with $3,070.1 million for the first nine months of 2022. The net sales increase was due to a 7% organic sales increase and a 3% increase from acquisitions.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EIG’s operating income was $952.0 million for the first nine months of 2023, an increase of $169.4 million or 21.6%, compared with $782.6 million for the first nine months of 2022. EIG’s operating margins were 28.1% of net sales for the first nine months of 2023, compared with 25.5% for the first nine months of 2022. EIG operating margins increased in the first nine months of 2023 compared to the first nine months of 2022, due to the increase in net sales discussed above, as well as continued benefits from the Company's Operational Excellence initiatives. </w:t>
      </w:r>
    </w:p>
    <w:p>
      <w:pPr>
        <w:pStyle w:val="TextBody"/>
        <w:bidi w:val="0"/>
        <w:spacing w:lineRule="auto" w:line="288" w:before="240" w:after="283"/>
        <w:ind w:left="0" w:right="0" w:firstLine="720"/>
        <w:jc w:val="left"/>
        <w:rPr/>
      </w:pPr>
      <w:r>
        <w:rPr>
          <w:rFonts w:ascii="Times New Roman;sans-serif" w:hAnsi="Times New Roman;sans-serif"/>
          <w:b/>
          <w:color w:val="000000"/>
          <w:sz w:val="20"/>
        </w:rPr>
        <w:t xml:space="preserve">EMG’s </w:t>
      </w:r>
      <w:r>
        <w:rPr>
          <w:rFonts w:ascii="Times New Roman;sans-serif" w:hAnsi="Times New Roman;sans-serif"/>
          <w:b w:val="false"/>
          <w:color w:val="000000"/>
          <w:sz w:val="20"/>
        </w:rPr>
        <w:t>net sales totaled $1,478.0 million for the first nine months of 2023, an increase of $23.3 million or 1.6%, compared with $1,454.7 million for the first nine months of 2022. The net sales increase was due to a 3% increase from acquisitions, partially offset by an organic sales decrease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EMG’s operating income was $384.3 million for the first nine months of 2023, a decrease of $4.7 million or 1.2%, compared with $389.0 million for the first nine months of 2022. EMG’s operating margins were 26.0% of net sales for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nine months of 2023, compared with 26.7% for the first nine months of 2022. EMG's operating margins were negatively impacted by the dilutive impact of the 2023 acquisition. For the first nine months of 2022, EMG's operating income included a $7.1 million gain on the sale of a facility, which increased EMG operating margins by 40 basis points. Excluding the dilutive impact of the 2023 acquisition and the gain on the sale of a facility, EMG operating margins for the first nine months of 2023 increased 50 basis points compared to the first nine months of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12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totaled $1,194.6 million for the first nine months of 2023, an increase of $430.2 million or 56.3%, compared with $764.4 million for the first nine months of 2022. The increase in cash provided by operating activities for the first nine months of 2023 was primarily due to improved working capital management and higher net income.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(cash flow provided by operating activities less capital expenditures) was $1,118.1 million for the first nine months of 2023, compared with $683.5 million for the first nine months of 2022. EBITDA (earnings before interest, income taxes, depreciation and amortization) was $1,488.3 million for the first nine months of 2023, compared with $1,340.3 million for the first nine months of 2022. Free cash flow and EBITDA are presented because the Company is aware that they are measures used by third parties in evaluating the Company.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by investing activities totaled $326.3 million for the first nine months of 2023, compared with cash used by investing activities of $255.5 million for the first nine months of 2022. For the first nine months of 2023, the Company paid $246.7 million, net of cash acquired, to purchase Bison and UEI. For the first nine months of 2022, the Company received $11.8 million from the sale of a facility. Additions to property, plant and equipment totaled $76.5 million for the first nine months of 2023, compared with $80.8 million for the first nine months of 2022.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used by financing activities totaled $364.8 million for the first nine months of 2023, compared with cash used by financing activities of $501.2 million for the first nine months of 2022. At September 30, 2023, total debt, net was $2,160.6 million, compared with $2,385.0 million at December 31, 2022. For the first nine months of 2023, total borrowings decreased by $220.6 million compared with a $26.3 million decrease for the first nine months of 2022. At September 30, 2023, the Company had available borrowing capacity of $2,972.3 million under its revolving credit facility, including the $700 million accordion feature.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debt-to-capital ratio was 20.6% at September 30, 2023, compared with 24.2% at December 31, 2022. The net debt-to-capital ratio (total debt, net less cash and cash equivalents divided by the sum of net debt and stockholders’ equity) was 13.6% at September 30, 2023, compared with 21.4% at December 31, 2022. The net debt-to-capital ratio is presented because the Company is aware that this measure is used by third parties in evaluating the Company.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financing activities for the first nine months of 2023 included cash dividends paid of $172.7 million, compared with $151.6 million for the first nine months of 2022. Effective February 9, 2023, the Company’s Board of Directors approved a 14% increase in the quarterly cash dividend on the Company’s common stock to $0.25 per common share from $0.22 per common share. The Company repurchased $6.6 million of its common stock for the first nine months of 2023, compared with $331.4 million for the first nine months of 2022. Proceeds from stock option exercises were $40.1 million for the first nine months of 2023, compared with $23.2 million for the first nine months of 2022.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all of the Company’s cash flow activities for the first nine months of 2023, cash and cash equivalents at September 30, 2023 totaled $841.9 million, compared with $345.4 million at December 31, 2022. At September 30, 2023, the Company had $354.1 million in cash outside the United States, compared with $334.1 million at December 31, 2022.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 Subsequent to September 30, 2023</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Company acquired Amplifier Research Corp., for approximately $105 million in cash. Amplifier Research has estimated annual sales of approximately $60 million. Amplifier Research is a leading manufacturer of radio frequency and microwave amplifiers and electromagnetic compatibility testing equipment. Amplifier Research will join EIG.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critical accounting policies are detailed in Part II, Item 7, Management’s Discussion and Analysis of Financial Condition of its Annual Report on Form 10-K for the year ended December 31, 2022. Primary disclosure of the Company’s significant accounting policies is also included in Note 1 to the Consolidated Financial Statements included in Part II, Item 8 of its Annual Report on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Forward-Looking Information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Company’s ability to consummate and successfully integrate future acquisitions; risks associated with international sales and operations, including supply chain disruptions; the Company’s ability to successfully develop new products, open new facilities or transfer product lines; the price and availability of raw materials; compliance with government regulations, including environmental regulations; changes in the competitive environment or the effects of competition in the Company’s markets; the ability to maintain adequate liquidity and financing sources; and general economic conditions affecting the industries the Company serves.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September 30, 2023. Based on that evaluation, the Company’s principal executive officer and principal financial officer concluded that the Company’s disclosure controls and procedures are effective at the reasonable assurance level.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Such evaluation did not identify any change in the Company’s internal control over financial reporting during the quarter ended September 30, 2023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Purchase of equity securities by the issuer and affiliated purchasers.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purchases of AMETEK, Inc. common stock by the Company during the three months ended September 30, 2023:</w:t>
      </w:r>
    </w:p>
    <w:tbl>
      <w:tblPr>
        <w:tblW w:w="9804" w:type="dxa"/>
        <w:jc w:val="left"/>
        <w:tblInd w:w="0" w:type="dxa"/>
        <w:tblLayout w:type="fixed"/>
        <w:tblCellMar>
          <w:top w:w="28" w:type="dxa"/>
          <w:left w:w="28" w:type="dxa"/>
          <w:bottom w:w="28" w:type="dxa"/>
          <w:right w:w="28" w:type="dxa"/>
        </w:tblCellMar>
      </w:tblPr>
      <w:tblGrid>
        <w:gridCol w:w="1268"/>
        <w:gridCol w:w="1115"/>
        <w:gridCol w:w="1126"/>
        <w:gridCol w:w="439"/>
        <w:gridCol w:w="439"/>
        <w:gridCol w:w="441"/>
        <w:gridCol w:w="109"/>
        <w:gridCol w:w="109"/>
        <w:gridCol w:w="109"/>
        <w:gridCol w:w="240"/>
        <w:gridCol w:w="821"/>
        <w:gridCol w:w="124"/>
        <w:gridCol w:w="109"/>
        <w:gridCol w:w="109"/>
        <w:gridCol w:w="109"/>
        <w:gridCol w:w="419"/>
        <w:gridCol w:w="419"/>
        <w:gridCol w:w="421"/>
        <w:gridCol w:w="109"/>
        <w:gridCol w:w="109"/>
        <w:gridCol w:w="109"/>
        <w:gridCol w:w="211"/>
        <w:gridCol w:w="1186"/>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w:t>
              <w:br/>
              <w:t>of Shares</w:t>
              <w:br/>
              <w:t>Purchased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 Price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w:t>
              <w:br/>
              <w:t>of Shares</w:t>
              <w:br/>
              <w:t>Purchased as</w:t>
              <w:br/>
              <w:t>Part of Publicly</w:t>
              <w:br/>
              <w:t>Announced</w:t>
              <w:br/>
              <w:t>Plan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Approximate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 Value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 that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May Yet Be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the Plan</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to July 31, 2023</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817,378,870 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2023 to August 31, 2023</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817,325,034 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 to September 30, 2023</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817,325,034 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159.75 </w:t>
            </w:r>
          </w:p>
        </w:tc>
        <w:tc>
          <w:tcPr>
            <w:tcW w:w="1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Represents shares surrendered to the Company to satisfy tax withholding obligations in connection with employees’ share-based compensation awards.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Consists of the number of shares purchased pursuant to the Company’s Board of Directors $1 billion authorization for the repurchase of its common stock announced in May 2022. Such purchases may be effected from time to time in the open market or in private transactions, subject to market conditions and at management’s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120" w:after="283"/>
        <w:jc w:val="left"/>
        <w:rPr>
          <w:rFonts w:ascii="Times New Roman;sans-serif" w:hAnsi="Times New Roman;sans-serif"/>
          <w:b/>
          <w:color w:val="000000"/>
          <w:sz w:val="20"/>
        </w:rPr>
      </w:pPr>
      <w:r>
        <w:rPr>
          <w:rFonts w:ascii="Times New Roman;sans-serif" w:hAnsi="Times New Roman;sans-serif"/>
          <w:b/>
          <w:color w:val="000000"/>
          <w:sz w:val="20"/>
        </w:rPr>
        <w:t>Insider Trading Arrangements and Policies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2023,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9"/>
        <w:gridCol w:w="291"/>
        <w:gridCol w:w="292"/>
        <w:gridCol w:w="109"/>
        <w:gridCol w:w="109"/>
        <w:gridCol w:w="109"/>
        <w:gridCol w:w="2615"/>
        <w:gridCol w:w="2615"/>
        <w:gridCol w:w="3736"/>
      </w:tblGrid>
      <w:tr>
        <w:trPr/>
        <w:tc>
          <w:tcPr>
            <w:tcW w:w="3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20230930xex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20230930xex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20230930xex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20230930xex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20230930xex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20230930xexx321.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20230930xexx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20230930xexx322.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electronically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154bd5f331c4e60a75eaabbb20444e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008" w:type="dxa"/>
        <w:jc w:val="left"/>
        <w:tblInd w:w="0" w:type="dxa"/>
        <w:tblLayout w:type="fixed"/>
        <w:tblCellMar>
          <w:top w:w="28" w:type="dxa"/>
          <w:left w:w="28" w:type="dxa"/>
          <w:bottom w:w="28" w:type="dxa"/>
          <w:right w:w="28" w:type="dxa"/>
        </w:tblCellMar>
      </w:tblPr>
      <w:tblGrid>
        <w:gridCol w:w="553"/>
        <w:gridCol w:w="487"/>
        <w:gridCol w:w="489"/>
        <w:gridCol w:w="134"/>
        <w:gridCol w:w="134"/>
        <w:gridCol w:w="136"/>
        <w:gridCol w:w="898"/>
        <w:gridCol w:w="898"/>
        <w:gridCol w:w="1279"/>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AMETEK, Inc.</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M. MONTGOMERY</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M. Montgomery</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Comptroller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David A. Zapico,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AMETEK, Inc. (the “registrant”);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31, 2023 </w:t>
      </w:r>
    </w:p>
    <w:tbl>
      <w:tblPr>
        <w:tblW w:w="4646" w:type="dxa"/>
        <w:jc w:val="left"/>
        <w:tblInd w:w="0" w:type="dxa"/>
        <w:tblLayout w:type="fixed"/>
        <w:tblCellMar>
          <w:top w:w="28" w:type="dxa"/>
          <w:left w:w="28" w:type="dxa"/>
          <w:bottom w:w="28" w:type="dxa"/>
          <w:right w:w="28" w:type="dxa"/>
        </w:tblCellMar>
      </w:tblPr>
      <w:tblGrid>
        <w:gridCol w:w="124"/>
        <w:gridCol w:w="109"/>
        <w:gridCol w:w="109"/>
        <w:gridCol w:w="1261"/>
        <w:gridCol w:w="1261"/>
        <w:gridCol w:w="17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D</w:t>
            </w:r>
            <w:r>
              <w:rPr>
                <w:rFonts w:ascii="Times New Roman;sans-serif" w:hAnsi="Times New Roman;sans-serif"/>
                <w:b w:val="false"/>
                <w:color w:val="000000"/>
                <w:sz w:val="18"/>
              </w:rPr>
              <w:t>AVID</w:t>
            </w:r>
            <w:r>
              <w:rPr>
                <w:color w:val="000000"/>
              </w:rPr>
              <w:t xml:space="preserve"> </w:t>
            </w:r>
            <w:r>
              <w:rPr>
                <w:rFonts w:ascii="Times New Roman;sans-serif" w:hAnsi="Times New Roman;sans-serif"/>
                <w:b w:val="false"/>
                <w:color w:val="000000"/>
                <w:sz w:val="20"/>
              </w:rPr>
              <w:t>A. Z</w:t>
            </w:r>
            <w:r>
              <w:rPr>
                <w:rFonts w:ascii="Times New Roman;sans-serif" w:hAnsi="Times New Roman;sans-serif"/>
                <w:b w:val="false"/>
                <w:color w:val="000000"/>
                <w:sz w:val="18"/>
              </w:rPr>
              <w:t>APICO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Zapico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J. Burke,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31, 2023</w:t>
      </w:r>
    </w:p>
    <w:tbl>
      <w:tblPr>
        <w:tblW w:w="4586" w:type="dxa"/>
        <w:jc w:val="left"/>
        <w:tblInd w:w="0" w:type="dxa"/>
        <w:tblLayout w:type="fixed"/>
        <w:tblCellMar>
          <w:top w:w="28" w:type="dxa"/>
          <w:left w:w="28" w:type="dxa"/>
          <w:bottom w:w="28" w:type="dxa"/>
          <w:right w:w="28" w:type="dxa"/>
        </w:tblCellMar>
      </w:tblPr>
      <w:tblGrid>
        <w:gridCol w:w="124"/>
        <w:gridCol w:w="109"/>
        <w:gridCol w:w="109"/>
        <w:gridCol w:w="1240"/>
        <w:gridCol w:w="1240"/>
        <w:gridCol w:w="17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BURKE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Burke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AMETEK, Inc. (the “Company”) on Form 10-Q for the quarter ended September 30, 2023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4646" w:type="dxa"/>
        <w:jc w:val="left"/>
        <w:tblInd w:w="0" w:type="dxa"/>
        <w:tblLayout w:type="fixed"/>
        <w:tblCellMar>
          <w:top w:w="28" w:type="dxa"/>
          <w:left w:w="28" w:type="dxa"/>
          <w:bottom w:w="28" w:type="dxa"/>
          <w:right w:w="28" w:type="dxa"/>
        </w:tblCellMar>
      </w:tblPr>
      <w:tblGrid>
        <w:gridCol w:w="1547"/>
        <w:gridCol w:w="1358"/>
        <w:gridCol w:w="1369"/>
        <w:gridCol w:w="109"/>
        <w:gridCol w:w="109"/>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D</w:t>
            </w:r>
            <w:r>
              <w:rPr>
                <w:rFonts w:ascii="Times New Roman;sans-serif" w:hAnsi="Times New Roman;sans-serif"/>
                <w:b w:val="false"/>
                <w:color w:val="000000"/>
                <w:sz w:val="18"/>
              </w:rPr>
              <w:t>AVID</w:t>
            </w:r>
            <w:r>
              <w:rPr>
                <w:color w:val="000000"/>
              </w:rPr>
              <w:t xml:space="preserve"> </w:t>
            </w:r>
            <w:r>
              <w:rPr>
                <w:rFonts w:ascii="Times New Roman;sans-serif" w:hAnsi="Times New Roman;sans-serif"/>
                <w:b w:val="false"/>
                <w:color w:val="000000"/>
                <w:sz w:val="20"/>
              </w:rPr>
              <w:t>A. Z</w:t>
            </w:r>
            <w:r>
              <w:rPr>
                <w:rFonts w:ascii="Times New Roman;sans-serif" w:hAnsi="Times New Roman;sans-serif"/>
                <w:b w:val="false"/>
                <w:color w:val="000000"/>
                <w:sz w:val="18"/>
              </w:rPr>
              <w:t>APICO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Zapico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31, 2023 </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AMETEK, Inc. and will be retained by AMETEK,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AMETEK, Inc. (the “Company”) on Form 10-Q for the quarter ended September 30, 2023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4586" w:type="dxa"/>
        <w:jc w:val="left"/>
        <w:tblInd w:w="0" w:type="dxa"/>
        <w:tblLayout w:type="fixed"/>
        <w:tblCellMar>
          <w:top w:w="28" w:type="dxa"/>
          <w:left w:w="28" w:type="dxa"/>
          <w:bottom w:w="28" w:type="dxa"/>
          <w:right w:w="28" w:type="dxa"/>
        </w:tblCellMar>
      </w:tblPr>
      <w:tblGrid>
        <w:gridCol w:w="1526"/>
        <w:gridCol w:w="1341"/>
        <w:gridCol w:w="1347"/>
        <w:gridCol w:w="109"/>
        <w:gridCol w:w="109"/>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W</w:t>
            </w:r>
            <w:r>
              <w:rPr>
                <w:rFonts w:ascii="Times New Roman;sans-serif" w:hAnsi="Times New Roman;sans-serif"/>
                <w:b w:val="false"/>
                <w:color w:val="000000"/>
                <w:sz w:val="18"/>
              </w:rPr>
              <w:t>ILLIAM</w:t>
            </w:r>
            <w:r>
              <w:rPr>
                <w:color w:val="000000"/>
              </w:rPr>
              <w:t xml:space="preserve"> </w:t>
            </w:r>
            <w:r>
              <w:rPr>
                <w:rFonts w:ascii="Times New Roman;sans-serif" w:hAnsi="Times New Roman;sans-serif"/>
                <w:b w:val="false"/>
                <w:color w:val="000000"/>
                <w:sz w:val="20"/>
              </w:rPr>
              <w:t>J. B</w:t>
            </w:r>
            <w:r>
              <w:rPr>
                <w:rFonts w:ascii="Times New Roman;sans-serif" w:hAnsi="Times New Roman;sans-serif"/>
                <w:b w:val="false"/>
                <w:color w:val="000000"/>
                <w:sz w:val="18"/>
              </w:rPr>
              <w:t>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31, 2023</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AMETEK, Inc. and will be retained by AMETEK,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11982</Words>
  <Characters>66570</Characters>
  <CharactersWithSpaces>77487</CharactersWithSpaces>
  <Paragraphs>1849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