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6"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5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2"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27"/>
          <w:szCs w:val="27"/>
          <w:color w:val="auto"/>
        </w:rPr>
      </w:pP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2"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23"/>
          <w:szCs w:val="23"/>
          <w:color w:val="auto"/>
        </w:rPr>
      </w:pPr>
      <w:r>
        <w:rPr>
          <w:rFonts w:ascii="Times New Roman" w:cs="Times New Roman" w:eastAsia="Times New Roman" w:hAnsi="Times New Roman"/>
          <w:sz w:val="20"/>
          <w:szCs w:val="20"/>
          <w:b w:val="1"/>
          <w:bCs w:val="1"/>
          <w:color w:val="auto"/>
        </w:rPr>
        <w:t>TRANSITION</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ind w:left="34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1-12981</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AMETEK,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Cassatt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Berwyn, Pennsylvania</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14-1682544</w:t>
      </w:r>
    </w:p>
    <w:p>
      <w:pPr>
        <w:spacing w:after="0" w:line="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19312-1177</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(610) 647-2121</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21" w:lineRule="exact"/>
        <w:rPr>
          <w:sz w:val="24"/>
          <w:szCs w:val="24"/>
          <w:color w:val="auto"/>
        </w:rPr>
      </w:pPr>
    </w:p>
    <w:p>
      <w:pPr>
        <w:jc w:val="both"/>
        <w:ind w:right="6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right="6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7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78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4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4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ind w:right="16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2"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229" w:right="339" w:bottom="19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27"/>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3760" w:type="dxa"/>
            <w:vAlign w:val="bottom"/>
            <w:gridSpan w:val="2"/>
            <w:vMerge w:val="continue"/>
          </w:tcPr>
          <w:p>
            <w:pPr>
              <w:spacing w:after="0"/>
              <w:rPr>
                <w:sz w:val="16"/>
                <w:szCs w:val="16"/>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7"/>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AME</w:t>
            </w:r>
          </w:p>
        </w:tc>
        <w:tc>
          <w:tcPr>
            <w:tcW w:w="1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the registrant’s common stock outstanding as of the latest practicable date was: Common Stock, $0.01 Par Value, outstanding at July 29, 2022 was 229,578,316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2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9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gridSpan w:val="18"/>
            <w:vMerge w:val="continue"/>
          </w:tcPr>
          <w:p>
            <w:pPr>
              <w:spacing w:after="0"/>
              <w:rPr>
                <w:sz w:val="22"/>
                <w:szCs w:val="22"/>
                <w:color w:val="auto"/>
              </w:rPr>
            </w:pPr>
          </w:p>
        </w:tc>
        <w:tc>
          <w:tcPr>
            <w:tcW w:w="9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6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1.Financial Statements</w:t>
            </w:r>
          </w:p>
        </w:tc>
        <w:tc>
          <w:tcPr>
            <w:tcW w:w="6160" w:type="dxa"/>
            <w:vAlign w:val="bottom"/>
            <w:gridSpan w:val="9"/>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 of Income for the three and six months ended June 30, 2022 and 2021</w:t>
            </w:r>
          </w:p>
        </w:tc>
        <w:tc>
          <w:tcPr>
            <w:tcW w:w="1780" w:type="dxa"/>
            <w:vAlign w:val="bottom"/>
            <w:gridSpan w:val="4"/>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 of Comprehensive Income for the three and six months ended June 30, 2022 and</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8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2021</w:t>
            </w:r>
          </w:p>
        </w:tc>
        <w:tc>
          <w:tcPr>
            <w:tcW w:w="1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Balance Sheet at June 30, 2022 and December 31,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 of Stockholders’ Equity for the three and six months ended June 30, 2022 and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Cash Flows for the six months ended June 30, 2022 and 2021</w:t>
            </w:r>
          </w:p>
        </w:tc>
        <w:tc>
          <w:tcPr>
            <w:tcW w:w="540" w:type="dxa"/>
            <w:vAlign w:val="bottom"/>
            <w:tcBorders>
              <w:top w:val="single" w:sz="8" w:color="0000FF"/>
            </w:tcBorders>
          </w:tcPr>
          <w:p>
            <w:pPr>
              <w:spacing w:after="0"/>
              <w:rPr>
                <w:sz w:val="18"/>
                <w:szCs w:val="18"/>
                <w:color w:val="auto"/>
              </w:rPr>
            </w:pPr>
          </w:p>
        </w:tc>
        <w:tc>
          <w:tcPr>
            <w:tcW w:w="800" w:type="dxa"/>
            <w:vAlign w:val="bottom"/>
            <w:gridSpan w:val="2"/>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2.Management’s Discussion and Analysis of Financial Condition and Results of Operations</w:t>
            </w:r>
          </w:p>
        </w:tc>
        <w:tc>
          <w:tcPr>
            <w:tcW w:w="180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4.Controls and Procedures</w:t>
            </w:r>
          </w:p>
        </w:tc>
        <w:tc>
          <w:tcPr>
            <w:tcW w:w="6480" w:type="dxa"/>
            <w:vAlign w:val="bottom"/>
            <w:gridSpan w:val="11"/>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92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2.Unregistered Sales of Equity Securities and Use of Proceeds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6.Exhibits</w:t>
            </w:r>
          </w:p>
        </w:tc>
        <w:tc>
          <w:tcPr>
            <w:tcW w:w="3920" w:type="dxa"/>
            <w:vAlign w:val="bottom"/>
            <w:gridSpan w:val="7"/>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60" w:type="dxa"/>
            <w:vAlign w:val="bottom"/>
            <w:gridSpan w:val="1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160" w:type="dxa"/>
            <w:vAlign w:val="bottom"/>
            <w:tcBorders>
              <w:top w:val="single" w:sz="8" w:color="0000FF"/>
            </w:tcBorders>
            <w:gridSpan w:val="4"/>
          </w:tcPr>
          <w:p>
            <w:pPr>
              <w:spacing w:after="0"/>
              <w:rPr>
                <w:sz w:val="24"/>
                <w:szCs w:val="24"/>
                <w:color w:val="auto"/>
              </w:rPr>
            </w:pPr>
          </w:p>
        </w:tc>
        <w:tc>
          <w:tcPr>
            <w:tcW w:w="45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1,514,552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1,386,346</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2,973,077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2,602,088</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988,175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912,712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1,937,008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1,702,104</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161,535</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157,023</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317,987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290,028</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1,149,710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1,069,735</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2,254,995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1,992,132</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364,842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316,611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718,082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609,956</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(20,350)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(39,389)</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346,465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291,755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682,687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564,211</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64,092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60,076</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127,867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113,299</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282,373</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231,679</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554,820</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450,912</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1.22</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2.39</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shares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230,100</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230,828</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230,790</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230,632</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shares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231,247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232,841</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232,156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232,569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Dividends declared and paid per share</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0.22</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0.20</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0.44</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Comprehensive Income</w:t>
      </w:r>
    </w:p>
    <w:p>
      <w:pPr>
        <w:spacing w:after="0" w:line="21"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240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280" w:type="dxa"/>
            <w:vAlign w:val="bottom"/>
            <w:gridSpan w:val="4"/>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196"/>
        </w:trPr>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222,033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237,673</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479,334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448,499</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-187960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520" w:space="720"/>
            <w:col w:w="800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348,653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346,772</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885,080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829,213</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966,609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769,175</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211,272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183,605</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2,411,614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2,128,765</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597,153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617,138</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168,829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169,924</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5,173,411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5,238,726</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3,234,443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3,368,629</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399,521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375,005</w:t>
            </w: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11,984,971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11,898,187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354,791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315,093</w:t>
            </w: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540,667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470,252</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advanced payments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327,537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298,728</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35,216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35,904</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374,818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443,337</w:t>
            </w: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1,633,029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1,563,314</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2,147,362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2,229,148</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711,541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719,675</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542,948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514,166</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5,034,880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5,026,303</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1,040,951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1,012,526</w:t>
            </w: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8,353,735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7,900,113</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(545,930)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(470,444)</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Treasury stock</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(1,901,360)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(1,573,000)</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6,950,091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6,871,884</w:t>
            </w: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11,984,971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11,898,187</w:t>
            </w:r>
          </w:p>
        </w:tc>
      </w:tr>
      <w:tr>
        <w:trPr>
          <w:trHeight w:val="20"/>
        </w:trPr>
        <w:tc>
          <w:tcPr>
            <w:tcW w:w="8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6"/>
                <w:szCs w:val="16"/>
                <w:color w:val="auto"/>
              </w:rPr>
            </w:pPr>
          </w:p>
        </w:tc>
        <w:tc>
          <w:tcPr>
            <w:tcW w:w="226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stock</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Shares issued</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0" w:type="dxa"/>
            <w:vAlign w:val="bottom"/>
          </w:tcPr>
          <w:p>
            <w:pPr>
              <w:spacing w:after="0"/>
              <w:rPr>
                <w:sz w:val="1"/>
                <w:szCs w:val="1"/>
                <w:color w:val="auto"/>
              </w:rPr>
            </w:pPr>
          </w:p>
        </w:tc>
      </w:tr>
      <w:tr>
        <w:trPr>
          <w:trHeight w:val="20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in excess of par value</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921,752</w:t>
            </w:r>
          </w:p>
        </w:tc>
        <w:tc>
          <w:tcPr>
            <w:tcW w:w="0" w:type="dxa"/>
            <w:vAlign w:val="bottom"/>
          </w:tcPr>
          <w:p>
            <w:pPr>
              <w:spacing w:after="0"/>
              <w:rPr>
                <w:sz w:val="1"/>
                <w:szCs w:val="1"/>
                <w:color w:val="auto"/>
              </w:rPr>
            </w:pPr>
          </w:p>
        </w:tc>
      </w:tr>
      <w:tr>
        <w:trPr>
          <w:trHeight w:val="230"/>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 under employee stock plans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19,446</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22,527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23,593</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1,040,951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964,791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1,040,951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964,791</w:t>
            </w: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8,121,781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7,267,856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7,900,113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7,094,656</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282,373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554,820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450,912</w:t>
            </w:r>
          </w:p>
        </w:tc>
        <w:tc>
          <w:tcPr>
            <w:tcW w:w="0" w:type="dxa"/>
            <w:vAlign w:val="bottom"/>
          </w:tcPr>
          <w:p>
            <w:pPr>
              <w:spacing w:after="0"/>
              <w:rPr>
                <w:sz w:val="1"/>
                <w:szCs w:val="1"/>
                <w:color w:val="auto"/>
              </w:rPr>
            </w:pPr>
          </w:p>
        </w:tc>
      </w:tr>
      <w:tr>
        <w:trPr>
          <w:trHeight w:val="229"/>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dividends paid</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(50,419)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(101,197)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(92,167)</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8,353,735</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7,453,401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8,353,735</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7,453,401</w:t>
            </w: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income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(250,748)</w:t>
            </w:r>
          </w:p>
        </w:tc>
        <w:tc>
          <w:tcPr>
            <w:tcW w:w="0" w:type="dxa"/>
            <w:vAlign w:val="bottom"/>
          </w:tcPr>
          <w:p>
            <w:pPr>
              <w:spacing w:after="0"/>
              <w:rPr>
                <w:sz w:val="1"/>
                <w:szCs w:val="1"/>
                <w:color w:val="auto"/>
              </w:rPr>
            </w:pPr>
          </w:p>
        </w:tc>
      </w:tr>
      <w:tr>
        <w:trPr>
          <w:trHeight w:val="229"/>
        </w:trPr>
        <w:tc>
          <w:tcPr>
            <w:tcW w:w="6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Translation adjustments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(87,391)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(114,576)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long-term intercompany notes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0" w:type="dxa"/>
            <w:vAlign w:val="bottom"/>
          </w:tcPr>
          <w:p>
            <w:pPr>
              <w:spacing w:after="0"/>
              <w:rPr>
                <w:sz w:val="1"/>
                <w:szCs w:val="1"/>
                <w:color w:val="auto"/>
              </w:rPr>
            </w:pPr>
          </w:p>
        </w:tc>
      </w:tr>
      <w:tr>
        <w:trPr>
          <w:trHeight w:val="175"/>
        </w:trPr>
        <w:tc>
          <w:tcPr>
            <w:tcW w:w="622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Net investment hedge instruments gain (loss), net of tax of $(13,777) and</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$1,459 for the quarter ended June 30, 2022 and 2021 and $(19,608) and</w:t>
            </w: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42,303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60,209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$(4,479) for the six months ended June 30, 2022 and 2021, respectively</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(352,851)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(352,851)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(256,421)</w:t>
            </w:r>
          </w:p>
        </w:tc>
        <w:tc>
          <w:tcPr>
            <w:tcW w:w="0" w:type="dxa"/>
            <w:vAlign w:val="bottom"/>
          </w:tcPr>
          <w:p>
            <w:pPr>
              <w:spacing w:after="0"/>
              <w:rPr>
                <w:sz w:val="1"/>
                <w:szCs w:val="1"/>
                <w:color w:val="auto"/>
              </w:rPr>
            </w:pPr>
          </w:p>
        </w:tc>
      </w:tr>
      <w:tr>
        <w:trPr>
          <w:trHeight w:val="209"/>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(253,720)</w:t>
            </w:r>
          </w:p>
        </w:tc>
        <w:tc>
          <w:tcPr>
            <w:tcW w:w="0" w:type="dxa"/>
            <w:vAlign w:val="bottom"/>
          </w:tcPr>
          <w:p>
            <w:pPr>
              <w:spacing w:after="0"/>
              <w:rPr>
                <w:sz w:val="1"/>
                <w:szCs w:val="1"/>
                <w:color w:val="auto"/>
              </w:rPr>
            </w:pPr>
          </w:p>
        </w:tc>
      </w:tr>
      <w:tr>
        <w:trPr>
          <w:trHeight w:val="175"/>
        </w:trPr>
        <w:tc>
          <w:tcPr>
            <w:tcW w:w="622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Amortization of net actuarial loss and other, net of tax of $(326) and $(527)</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for the quarter ended June 30, 2022 and 2021 and $(652) and $(1,054) for</w:t>
            </w: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the six months ended June 30, 2022 and 2021, respectively</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(193,079)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(193,079)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(250,460)</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Accumulated other comprehensive loss at the end of the period</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(545,930)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(545,930)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(506,881)</w:t>
            </w: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(1,725,629)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(1,565,323)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(1,565,270)</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 under employee stock plans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(174,655)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(331,379)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(12,878)</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(1,901,360)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(1,570,696)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(1,901,360)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(1,570,696)</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6,950,091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6,343,299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6,950,091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6,343,299</w:t>
            </w:r>
          </w:p>
        </w:tc>
        <w:tc>
          <w:tcPr>
            <w:tcW w:w="0" w:type="dxa"/>
            <w:vAlign w:val="bottom"/>
          </w:tcPr>
          <w:p>
            <w:pPr>
              <w:spacing w:after="0"/>
              <w:rPr>
                <w:sz w:val="1"/>
                <w:szCs w:val="1"/>
                <w:color w:val="auto"/>
              </w:rPr>
            </w:pPr>
          </w:p>
        </w:tc>
      </w:tr>
      <w:tr>
        <w:trPr>
          <w:trHeight w:val="21"/>
        </w:trPr>
        <w:tc>
          <w:tcPr>
            <w:tcW w:w="6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for):</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554,820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450,912</w:t>
            </w:r>
          </w:p>
        </w:tc>
      </w:tr>
      <w:tr>
        <w:trPr>
          <w:trHeight w:val="229"/>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Adjustments to reconcile net income to total 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155,218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139,814</w:t>
            </w:r>
          </w:p>
        </w:tc>
      </w:tr>
      <w:tr>
        <w:trPr>
          <w:trHeight w:val="230"/>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27,482</w:t>
            </w: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23,593</w:t>
            </w:r>
          </w:p>
        </w:tc>
      </w:tr>
      <w:tr>
        <w:trPr>
          <w:trHeight w:val="230"/>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Gain on sale of facilities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change in assets and liabilities, net of acquisitions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(245,958)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(58,497)</w:t>
            </w:r>
          </w:p>
        </w:tc>
      </w:tr>
      <w:tr>
        <w:trPr>
          <w:trHeight w:val="229"/>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Pension contributions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w:t>
            </w:r>
          </w:p>
        </w:tc>
      </w:tr>
      <w:tr>
        <w:trPr>
          <w:trHeight w:val="230"/>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(18,973)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activities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437,237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571,443</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(52,540)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(41,005)</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businesses, net of cash acquired</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(1,840,845)</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facilities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investing activities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(41,033)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(1,882,142)</w:t>
            </w: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56,490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569,949</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(331,379)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(12,878)</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dividends paid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(101,197)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(92,167)</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31,112</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(12,134)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(370,393)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491,596</w:t>
            </w: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(23,930)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(822,178)</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1,212,822</w:t>
            </w: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348,653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390,644</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2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are unaudited. AMETEK, Inc. (the “Company”) believes that all adjustments (which primarily consist of normal recurring accruals) necessary for a fair presentation of the consolidated financial position of the Company at June 30, 2022, the consolidated results of its operations for the three and six months ended June 30, 2022 and 2021 and its cash flows for the six months ended June 30, 2022 and 2021 have been included. Quarterly results of operations are not necessarily indicative of results for the full year. The accompanying consolidated financial statements should be read in conjunction with the audited consolidated financial statements and related notes presented in the Company’s Annual Report on Form 10-K for the year ended December 31, 2021 as filed with the U.S. Securities and Exchange Commission.</w:t>
      </w:r>
    </w:p>
    <w:p>
      <w:pPr>
        <w:spacing w:after="0" w:line="2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w:t>
      </w:r>
    </w:p>
    <w:p>
      <w:pPr>
        <w:spacing w:after="0" w:line="106" w:lineRule="exact"/>
        <w:rPr>
          <w:sz w:val="20"/>
          <w:szCs w:val="20"/>
          <w:color w:val="auto"/>
        </w:rPr>
      </w:pPr>
    </w:p>
    <w:p>
      <w:pPr>
        <w:ind w:right="40" w:firstLine="324"/>
        <w:spacing w:after="0" w:line="242"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805): Accounting for Contract Assets and Contract Liabilities from Contracts with Customers ("ASU 2021-08"), which provides a single comprehensive accounting model for the acquisition of contract balances under ASC 805. ASU 2021-08 is effective for fiscal years beginning after December 15, 2022. Early adoption is permitted. The Company early adopted the ASU on January 1, 2022, and the amendments in this ASU were applied on a prospective basis to all periods presented. The adoption of ASU 2021-08 did not impact the Company's consolidated results of operations, financial position, cash flows, or financial statement disclosures.</w:t>
      </w:r>
    </w:p>
    <w:p>
      <w:pPr>
        <w:spacing w:after="0" w:line="30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contract asset and liability accounts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assets—January 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68,971</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assets – June 30</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107,902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73,853</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contract assets – increase (decrease)</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Contract liabilities – January 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328,816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215,093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June 30</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369,926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333,409</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contract liabilities – (increase) decrease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(41,110)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(118,316)</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(28,482)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(113,434)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net change for the six months ended June 30, 2022 was primarily driven by contract liabilities, specifically broad-based growth in advance payments from customers. For the six months ended June 30, 2022 and 2021, the Company recognized revenue of $219.3 million and $145.2 million, respectively, that was previously included in the beginning balance of contract liabilities.</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Contract assets are reported as a component of Other current assets in the consolidated balance sheet. At June 30, 2022 and December 31, 2021, $42.4 million and $30.1 million of Customer advanced payments (contract liabilities), respectively, were recorded in Other long-term liabilities in the consolidated balance sheets.</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remaining performance obligations not expected to be completed within one year as of June 30, 2022 and December 31, 2021 were $422.1 million and $342.5 million, respectively. Remaining performance obligations represent the transaction price of firm, non-cancelable orders, with expected delivery dates to customers greater than one year from the balance sheet date, for which the performance obligation is unsatisfied or partially unsatisfied. These performance obligations will be substantially satisfied within two to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Areas</w:t>
      </w:r>
    </w:p>
    <w:p>
      <w:pPr>
        <w:spacing w:after="0" w:line="11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Net sales were attributed to geographic areas based on the location of the customer. Information about the Company’s operations in different geographic areas was as follows for the three and six months ended June 30:</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2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220" w:type="dxa"/>
            <w:vAlign w:val="bottom"/>
          </w:tcPr>
          <w:p>
            <w:pPr>
              <w:spacing w:after="0"/>
              <w:rPr>
                <w:sz w:val="16"/>
                <w:szCs w:val="16"/>
                <w:color w:val="auto"/>
              </w:rPr>
            </w:pPr>
          </w:p>
        </w:tc>
        <w:tc>
          <w:tcPr>
            <w:tcW w:w="2560" w:type="dxa"/>
            <w:vAlign w:val="bottom"/>
            <w:gridSpan w:val="6"/>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800" w:type="dxa"/>
            <w:vAlign w:val="bottom"/>
          </w:tcPr>
          <w:p>
            <w:pPr>
              <w:spacing w:after="0"/>
              <w:rPr>
                <w:sz w:val="16"/>
                <w:szCs w:val="16"/>
                <w:color w:val="auto"/>
              </w:rPr>
            </w:pPr>
          </w:p>
        </w:tc>
      </w:tr>
      <w:tr>
        <w:trPr>
          <w:trHeight w:val="23"/>
        </w:trPr>
        <w:tc>
          <w:tcPr>
            <w:tcW w:w="3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0"/>
        </w:trPr>
        <w:tc>
          <w:tcPr>
            <w:tcW w:w="3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7"/>
                <w:szCs w:val="17"/>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Pr>
          <w:p>
            <w:pPr>
              <w:spacing w:after="0"/>
              <w:rPr>
                <w:sz w:val="17"/>
                <w:szCs w:val="17"/>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EMG</w:t>
            </w:r>
          </w:p>
        </w:tc>
        <w:tc>
          <w:tcPr>
            <w:tcW w:w="300" w:type="dxa"/>
            <w:vAlign w:val="bottom"/>
          </w:tcPr>
          <w:p>
            <w:pPr>
              <w:spacing w:after="0"/>
              <w:rPr>
                <w:sz w:val="17"/>
                <w:szCs w:val="17"/>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6"/>
        </w:trPr>
        <w:tc>
          <w:tcPr>
            <w:tcW w:w="3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
        </w:trPr>
        <w:tc>
          <w:tcPr>
            <w:tcW w:w="3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551,967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240,436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792,403</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1,035,593</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471,813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1,507,406</w:t>
            </w:r>
          </w:p>
        </w:tc>
      </w:tr>
      <w:tr>
        <w:trPr>
          <w:trHeight w:val="210"/>
        </w:trPr>
        <w:tc>
          <w:tcPr>
            <w:tcW w:w="394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50,670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47,005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60,251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107,256</w:t>
            </w:r>
          </w:p>
        </w:tc>
      </w:tr>
      <w:tr>
        <w:trPr>
          <w:trHeight w:val="230"/>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European Union countries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109,425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108,031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217,456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230,139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222,193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452,332</w:t>
            </w:r>
          </w:p>
        </w:tc>
      </w:tr>
      <w:tr>
        <w:trPr>
          <w:trHeight w:val="22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255,232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325,457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511,652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133,064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644,716</w:t>
            </w:r>
          </w:p>
        </w:tc>
      </w:tr>
      <w:tr>
        <w:trPr>
          <w:trHeight w:val="229"/>
        </w:trPr>
        <w:tc>
          <w:tcPr>
            <w:tcW w:w="3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foreign countries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92,574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35,992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128,566</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191,618</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69,749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261,367</w:t>
            </w:r>
          </w:p>
        </w:tc>
      </w:tr>
      <w:tr>
        <w:trPr>
          <w:trHeight w:val="223"/>
        </w:trPr>
        <w:tc>
          <w:tcPr>
            <w:tcW w:w="3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international</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476,281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245,868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722,149</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980,414</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485,257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1,465,671</w:t>
            </w: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1,028,248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486,304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1,514,552</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2,016,007</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957,070</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2,973,077</w:t>
            </w:r>
          </w:p>
        </w:tc>
      </w:tr>
      <w:tr>
        <w:trPr>
          <w:trHeight w:val="20"/>
        </w:trPr>
        <w:tc>
          <w:tcPr>
            <w:tcW w:w="3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export sales of $394.7 million and $801.2 million for the three and six months ended June 30, 2022.</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gridSpan w:val="8"/>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220" w:type="dxa"/>
            <w:vAlign w:val="bottom"/>
          </w:tcPr>
          <w:p>
            <w:pPr>
              <w:spacing w:after="0"/>
              <w:rPr>
                <w:sz w:val="16"/>
                <w:szCs w:val="16"/>
                <w:color w:val="auto"/>
              </w:rPr>
            </w:pPr>
          </w:p>
        </w:tc>
        <w:tc>
          <w:tcPr>
            <w:tcW w:w="2600" w:type="dxa"/>
            <w:vAlign w:val="bottom"/>
            <w:gridSpan w:val="6"/>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820" w:type="dxa"/>
            <w:vAlign w:val="bottom"/>
          </w:tcPr>
          <w:p>
            <w:pPr>
              <w:spacing w:after="0"/>
              <w:rPr>
                <w:sz w:val="16"/>
                <w:szCs w:val="16"/>
                <w:color w:val="auto"/>
              </w:rPr>
            </w:pPr>
          </w:p>
        </w:tc>
      </w:tr>
      <w:tr>
        <w:trPr>
          <w:trHeight w:val="23"/>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0"/>
        </w:trPr>
        <w:tc>
          <w:tcPr>
            <w:tcW w:w="39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EMG</w:t>
            </w:r>
          </w:p>
        </w:tc>
        <w:tc>
          <w:tcPr>
            <w:tcW w:w="2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3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495,039</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225,912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720,951</w:t>
            </w:r>
          </w:p>
        </w:tc>
        <w:tc>
          <w:tcPr>
            <w:tcW w:w="2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883,940</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436,094</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1,320,034</w:t>
            </w:r>
          </w:p>
        </w:tc>
      </w:tr>
      <w:tr>
        <w:trPr>
          <w:trHeight w:val="209"/>
        </w:trPr>
        <w:tc>
          <w:tcPr>
            <w:tcW w:w="390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101,215</w:t>
            </w:r>
          </w:p>
        </w:tc>
      </w:tr>
      <w:tr>
        <w:trPr>
          <w:trHeight w:val="230"/>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European Union countries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221,460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221,521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198,901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420,422</w:t>
            </w:r>
          </w:p>
        </w:tc>
      </w:tr>
      <w:tr>
        <w:trPr>
          <w:trHeight w:val="230"/>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283,303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415,415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542,058</w:t>
            </w:r>
          </w:p>
        </w:tc>
      </w:tr>
      <w:tr>
        <w:trPr>
          <w:trHeight w:val="229"/>
        </w:trPr>
        <w:tc>
          <w:tcPr>
            <w:tcW w:w="3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foreign countries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111,415</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161,386</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56,973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218,359</w:t>
            </w:r>
          </w:p>
        </w:tc>
      </w:tr>
      <w:tr>
        <w:trPr>
          <w:trHeight w:val="223"/>
        </w:trPr>
        <w:tc>
          <w:tcPr>
            <w:tcW w:w="3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international</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438,895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665,395</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840,918</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441,136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1,282,054</w:t>
            </w: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933,934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1,386,346</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1,724,858</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877,230</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2,602,088</w:t>
            </w: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7"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export sales of $365.5 million and $696.4 million for the three and six months ended June 30, 2021.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1"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Products and Services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major products and services in the reportable segments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220" w:type="dxa"/>
            <w:vAlign w:val="bottom"/>
          </w:tcPr>
          <w:p>
            <w:pPr>
              <w:spacing w:after="0"/>
              <w:rPr>
                <w:sz w:val="16"/>
                <w:szCs w:val="16"/>
                <w:color w:val="auto"/>
              </w:rPr>
            </w:pPr>
          </w:p>
        </w:tc>
        <w:tc>
          <w:tcPr>
            <w:tcW w:w="3300" w:type="dxa"/>
            <w:vAlign w:val="bottom"/>
            <w:gridSpan w:val="7"/>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r>
      <w:tr>
        <w:trPr>
          <w:trHeight w:val="23"/>
        </w:trPr>
        <w:tc>
          <w:tcPr>
            <w:tcW w:w="4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40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analytical instrumentation</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768,261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768,261</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1,460,953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1,460,953</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and power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259,987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397,327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555,054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264,082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819,136</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Automation and engineered solutions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348,964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348,964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692,988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692,988</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1,028,248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486,304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1,514,552</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2,016,007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957,070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2,973,077</w:t>
            </w:r>
          </w:p>
        </w:tc>
      </w:tr>
      <w:tr>
        <w:trPr>
          <w:trHeight w:val="21"/>
        </w:trPr>
        <w:tc>
          <w:tcPr>
            <w:tcW w:w="4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523"/>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220" w:type="dxa"/>
            <w:vAlign w:val="bottom"/>
          </w:tcPr>
          <w:p>
            <w:pPr>
              <w:spacing w:after="0"/>
              <w:rPr>
                <w:sz w:val="24"/>
                <w:szCs w:val="24"/>
                <w:color w:val="auto"/>
              </w:rPr>
            </w:pPr>
          </w:p>
        </w:tc>
        <w:tc>
          <w:tcPr>
            <w:tcW w:w="3300" w:type="dxa"/>
            <w:vAlign w:val="bottom"/>
            <w:gridSpan w:val="7"/>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r>
      <w:tr>
        <w:trPr>
          <w:trHeight w:val="23"/>
        </w:trPr>
        <w:tc>
          <w:tcPr>
            <w:tcW w:w="4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4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analytical instrumentation</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644,121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644,121</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1,220,680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1,220,680</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and power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416,279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752,817</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Automation and engineered solutions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325,946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628,591</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933,934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452,412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1,386,346</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1,724,858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877,230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2,602,088</w:t>
            </w:r>
          </w:p>
        </w:tc>
      </w:tr>
      <w:tr>
        <w:trPr>
          <w:trHeight w:val="21"/>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Timing of Revenue Recognition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right="140"/>
        <w:spacing w:after="0" w:line="289" w:lineRule="auto"/>
        <w:rPr>
          <w:sz w:val="20"/>
          <w:szCs w:val="20"/>
          <w:color w:val="auto"/>
        </w:rPr>
      </w:pPr>
      <w:r>
        <w:rPr>
          <w:rFonts w:ascii="Times New Roman" w:cs="Times New Roman" w:eastAsia="Times New Roman" w:hAnsi="Times New Roman"/>
          <w:sz w:val="18"/>
          <w:szCs w:val="18"/>
          <w:color w:val="auto"/>
        </w:rPr>
        <w:t>Products transferred at a point in time Products and services transferred over time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220" w:type="dxa"/>
            <w:vAlign w:val="bottom"/>
          </w:tcPr>
          <w:p>
            <w:pPr>
              <w:spacing w:after="0"/>
              <w:rPr>
                <w:sz w:val="16"/>
                <w:szCs w:val="16"/>
                <w:color w:val="auto"/>
              </w:rPr>
            </w:pPr>
          </w:p>
        </w:tc>
        <w:tc>
          <w:tcPr>
            <w:tcW w:w="3300" w:type="dxa"/>
            <w:vAlign w:val="bottom"/>
            <w:gridSpan w:val="7"/>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r>
      <w:tr>
        <w:trPr>
          <w:trHeight w:val="23"/>
        </w:trPr>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Pr>
          <w:p>
            <w:pPr>
              <w:spacing w:after="0"/>
              <w:rPr>
                <w:sz w:val="17"/>
                <w:szCs w:val="17"/>
                <w:color w:val="auto"/>
              </w:rPr>
            </w:pPr>
          </w:p>
        </w:tc>
        <w:tc>
          <w:tcPr>
            <w:tcW w:w="90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8"/>
        </w:trPr>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839,948</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423,506</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1,263,454</w:t>
            </w:r>
          </w:p>
        </w:tc>
        <w:tc>
          <w:tcPr>
            <w:tcW w:w="2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1,652,896</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836,160</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2,489,056</w:t>
            </w:r>
          </w:p>
        </w:tc>
      </w:tr>
      <w:tr>
        <w:trPr>
          <w:trHeight w:val="238"/>
        </w:trPr>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188,300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62,798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251,098</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363,111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120,910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484,021</w:t>
            </w:r>
          </w:p>
        </w:tc>
      </w:tr>
      <w:tr>
        <w:trPr>
          <w:trHeight w:val="223"/>
        </w:trPr>
        <w:tc>
          <w:tcPr>
            <w:tcW w:w="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1,028,248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486,304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1,514,552</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2,016,007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957,070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2,973,077</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53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220" w:type="dxa"/>
            <w:vAlign w:val="bottom"/>
          </w:tcPr>
          <w:p>
            <w:pPr>
              <w:spacing w:after="0"/>
              <w:rPr>
                <w:sz w:val="24"/>
                <w:szCs w:val="24"/>
                <w:color w:val="auto"/>
              </w:rPr>
            </w:pPr>
          </w:p>
        </w:tc>
        <w:tc>
          <w:tcPr>
            <w:tcW w:w="3300" w:type="dxa"/>
            <w:vAlign w:val="bottom"/>
            <w:gridSpan w:val="7"/>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r>
      <w:tr>
        <w:trPr>
          <w:trHeight w:val="23"/>
        </w:trPr>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Pr>
          <w:p>
            <w:pPr>
              <w:spacing w:after="0"/>
              <w:rPr>
                <w:sz w:val="17"/>
                <w:szCs w:val="17"/>
                <w:color w:val="auto"/>
              </w:rPr>
            </w:pPr>
          </w:p>
        </w:tc>
        <w:tc>
          <w:tcPr>
            <w:tcW w:w="90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-1124585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-833120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3280" w:space="720"/>
            <w:col w:w="72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1,176,083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1,414,766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2,206,366</w:t>
            </w:r>
          </w:p>
        </w:tc>
      </w:tr>
      <w:tr>
        <w:trPr>
          <w:trHeight w:val="23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Products and services transferred over time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210,263</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395,722</w:t>
            </w: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1,386,346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2,602,088</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11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and other in the consolidated balance sheet.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accrued product warranty obligation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56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r>
      <w:tr>
        <w:trPr>
          <w:trHeight w:val="192"/>
        </w:trPr>
        <w:tc>
          <w:tcPr>
            <w:tcW w:w="8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6"/>
                <w:szCs w:val="16"/>
                <w:color w:val="auto"/>
              </w:rPr>
            </w:pPr>
          </w:p>
        </w:tc>
      </w:tr>
      <w:tr>
        <w:trPr>
          <w:trHeight w:val="37"/>
        </w:trPr>
        <w:tc>
          <w:tcPr>
            <w:tcW w:w="8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27,478</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27,839</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for warranties issued during the period</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5,143</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Warranty accruals related to acquired businesses and other during the period</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25,966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allowances for estimated losses resulting from the inability of customers to meet their financial obligations to the Company. The Company recognizes an allowance for credit losses, on all accounts receivable and contract assets, which considers risk of future credit losses based on factors such as historical experience, contract terms, as well as general and market business conditions, country, and political risk. Balances are written off when determined to be uncollectible.</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At June 30, 2022, the Company had $885.1 million of accounts receivable, net of allowances of $11.2 million. Changes in the allowance were not material for the three and six months ended June 30, 2022.</w:t>
      </w:r>
    </w:p>
    <w:p>
      <w:pPr>
        <w:spacing w:after="0" w:line="2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Securities that are anti-dilutive have been excluded and are not significant. The number of weighted average shares used in the calculation of basic earnings per share and diluted earnings per share was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31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80" w:type="dxa"/>
            <w:vAlign w:val="bottom"/>
            <w:gridSpan w:val="3"/>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060" w:type="dxa"/>
            <w:vAlign w:val="bottom"/>
          </w:tcPr>
          <w:p>
            <w:pPr>
              <w:spacing w:after="0"/>
              <w:rPr>
                <w:sz w:val="16"/>
                <w:szCs w:val="16"/>
                <w:color w:val="auto"/>
              </w:rPr>
            </w:pPr>
          </w:p>
        </w:tc>
        <w:tc>
          <w:tcPr>
            <w:tcW w:w="12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230,100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230,828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230,790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230,632</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 plans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1,147</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231,247</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232,841</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232,156</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232,569</w:t>
            </w: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utilizes a valuation hierarchy for disclosure of the inputs to the valuations used to measure fair value. This hierarchy prioritizes the inputs into three broad levels as follows. Level 1 inputs are quoted prices (unadjusted) in active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Company’s assets that are measured at fair value on a recurring basis, consistent with the fair value hierarchy,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December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6"/>
                <w:szCs w:val="16"/>
                <w:color w:val="auto"/>
              </w:rPr>
            </w:pPr>
          </w:p>
        </w:tc>
        <w:tc>
          <w:tcPr>
            <w:tcW w:w="14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6"/>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6"/>
                <w:szCs w:val="16"/>
                <w:color w:val="auto"/>
              </w:rPr>
            </w:pPr>
          </w:p>
        </w:tc>
        <w:tc>
          <w:tcPr>
            <w:tcW w:w="14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37"/>
        </w:trPr>
        <w:tc>
          <w:tcPr>
            <w:tcW w:w="78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3"/>
          </w:tcPr>
          <w:p>
            <w:pPr>
              <w:spacing w:after="0"/>
              <w:rPr>
                <w:sz w:val="3"/>
                <w:szCs w:val="3"/>
                <w:color w:val="auto"/>
              </w:rPr>
            </w:pPr>
          </w:p>
        </w:tc>
      </w:tr>
      <w:tr>
        <w:trPr>
          <w:trHeight w:val="186"/>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80" w:type="dxa"/>
            <w:vAlign w:val="bottom"/>
            <w:gridSpan w:val="4"/>
          </w:tcPr>
          <w:p>
            <w:pPr>
              <w:jc w:val="right"/>
              <w:ind w:right="120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 investments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11,365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10,703</w:t>
            </w:r>
          </w:p>
        </w:tc>
      </w:tr>
    </w:tbl>
    <w:p>
      <w:pPr>
        <w:spacing w:after="0" w:line="198" w:lineRule="exact"/>
        <w:rPr>
          <w:sz w:val="20"/>
          <w:szCs w:val="20"/>
          <w:color w:val="auto"/>
        </w:rPr>
      </w:pPr>
    </w:p>
    <w:p>
      <w:pPr>
        <w:ind w:right="800" w:firstLine="567"/>
        <w:spacing w:after="0" w:line="282" w:lineRule="auto"/>
        <w:rPr>
          <w:sz w:val="20"/>
          <w:szCs w:val="20"/>
          <w:color w:val="auto"/>
        </w:rPr>
      </w:pPr>
      <w:r>
        <w:rPr>
          <w:rFonts w:ascii="Times New Roman" w:cs="Times New Roman" w:eastAsia="Times New Roman" w:hAnsi="Times New Roman"/>
          <w:sz w:val="18"/>
          <w:szCs w:val="18"/>
          <w:color w:val="auto"/>
        </w:rPr>
        <w:t>The fair value of mutual fund investments, which are valued as level 1 investments, was based on quoted market prices. The mutual fund investments are shown as a component of investments and other assets on the consolidated balance sheet.</w:t>
      </w:r>
    </w:p>
    <w:p>
      <w:pPr>
        <w:spacing w:after="0" w:line="162" w:lineRule="exact"/>
        <w:rPr>
          <w:sz w:val="20"/>
          <w:szCs w:val="20"/>
          <w:color w:val="auto"/>
        </w:rPr>
      </w:pPr>
    </w:p>
    <w:p>
      <w:pPr>
        <w:ind w:right="440" w:firstLine="567"/>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gains and losses on the investments noted above were not significant. No transfers between level 1 and level 2 investments occurred during the six months ended June 30, 2022 and 2021.</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1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Cash, cash equivalents and mutual fund investments are recorded at fair value at June 30, 2022 and December 31, 2021 in the accompanying consolidated balance sheet.</w:t>
      </w:r>
    </w:p>
    <w:p>
      <w:pPr>
        <w:spacing w:after="0" w:line="16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estimated fair values of the Company’s financial instrument liabilities, for which fair value is measured for disclosure purposes only, compared to the recorded amounts at June 30, 2022 and December 31, 2021: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60" w:type="dxa"/>
            <w:vAlign w:val="bottom"/>
            <w:gridSpan w:val="3"/>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71"/>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center"/>
              <w:ind w:right="404"/>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40" w:type="dxa"/>
            <w:vAlign w:val="bottom"/>
          </w:tcPr>
          <w:p>
            <w:pPr>
              <w:spacing w:after="0"/>
              <w:rPr>
                <w:sz w:val="16"/>
                <w:szCs w:val="16"/>
                <w:color w:val="auto"/>
              </w:rPr>
            </w:pPr>
          </w:p>
        </w:tc>
        <w:tc>
          <w:tcPr>
            <w:tcW w:w="1160" w:type="dxa"/>
            <w:vAlign w:val="bottom"/>
          </w:tcPr>
          <w:p>
            <w:pPr>
              <w:jc w:val="center"/>
              <w:ind w:right="4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6"/>
                <w:szCs w:val="16"/>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47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4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(2,150,381)</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(2,071,751)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(2,233,705)</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(2,378,930)</w:t>
            </w:r>
          </w:p>
        </w:tc>
      </w:tr>
    </w:tbl>
    <w:p>
      <w:pPr>
        <w:spacing w:after="0" w:line="19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net short-term borrowings approximates the carrying value. Net short-term borrowings are valued as level 2 liabilities as they are corroborated by observable market data. The Company’s net long-term debt is all privately held with no public market for this debt, therefore, the fair value of net long-term debt was computed based on comparable current market data for similar debt instruments and is considered a level 3 liability.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At June 30, 2022, the Company had a Euro forward contract for a total notional value of 40.0 million Euros and a Canadian dollar forward contract for a notional value of 8.0 million Canadian dollars. For the six months ended June 30, 2022, realized and unrealized gains and losses on the foreign currency forward contracts were not significant.</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Hedging Activities</w:t>
      </w:r>
    </w:p>
    <w:p>
      <w:pPr>
        <w:spacing w:after="0" w:line="1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has designated certain foreign-currency-denominated long-term borrowings as hedges of the net investment in certain foreign operations. As of June 30, 2022, these net investment hedges included British-pound-and Euro-denominated long-term debt. These borrowings were designed to create net investment hedges in certain designated foreign subsidiaries. The Company designated the British-pound- and Euro-denominated loans referred to above as hedging instruments to offset translation gains or losses on the net investment due to changes in the British pound and Euro exchange rates. These net investment hedges are evidenced by management’s contemporaneous documentation supporting the hedge designation. Any gain or loss on the hedging instruments (the debt) following hedge designation is reported in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accumulated other comprehensive income in the same manner as the translation adjustment on the hedged investment based on changes in the spot rate, which is used to measure hedge effectiveness.</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At June 30, 2022, the Company had $273.6 million of British-pound-denominated loans, which were designated as a hedge against the net investment in British pound functional currency foreign subsidiaries. At June 30, 2022, the Company had $559.9 million in Euro-denominated loans, which were designated as a hedge against the net investment in Euro functional currency foreign subsidiaries. As a result of the British-pound- and Euro-denominated loans designated and 100% effective as net investment hedges, $79.8 million of pre-tax currency remeasurement gains have been included in the foreign currency translation component of other comprehensive income for the six months ended June 30, 2022.</w:t>
      </w:r>
    </w:p>
    <w:p>
      <w:pPr>
        <w:spacing w:after="0" w:line="2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Inventories, net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2"/>
        </w:trPr>
        <w:tc>
          <w:tcPr>
            <w:tcW w:w="8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105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8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and parts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117,959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89,985</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148,998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122,356</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purchased parts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699,652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556,834</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966,609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769,175</w:t>
            </w:r>
          </w:p>
        </w:tc>
      </w:tr>
      <w:tr>
        <w:trPr>
          <w:trHeight w:val="21"/>
        </w:trPr>
        <w:tc>
          <w:tcPr>
            <w:tcW w:w="8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Leases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has commitments under operating leases for certain facilities, vehicles and equipment used in its operations. Cash used in operations for operating leases was not materially different from operating lease expense for the six months ended June 30, 2022 and 2021. The Company's leases have initial lease terms ranging from four months to 16 years. Certain lease agreements contain provisions for future rent increases.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218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95"/>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2"/>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5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23,523</w:t>
            </w:r>
          </w:p>
        </w:tc>
      </w:tr>
      <w:tr>
        <w:trPr>
          <w:trHeight w:val="229"/>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13,408</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2"/>
        </w:trPr>
        <w:tc>
          <w:tcPr>
            <w:tcW w:w="8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10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168,829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Accrued Liabilities and other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47,398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47,353</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127,174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129,101</w:t>
            </w:r>
          </w:p>
        </w:tc>
        <w:tc>
          <w:tcPr>
            <w:tcW w:w="0" w:type="dxa"/>
            <w:vAlign w:val="bottom"/>
          </w:tcPr>
          <w:p>
            <w:pPr>
              <w:spacing w:after="0"/>
              <w:rPr>
                <w:sz w:val="1"/>
                <w:szCs w:val="1"/>
                <w:color w:val="auto"/>
              </w:rPr>
            </w:pPr>
          </w:p>
        </w:tc>
      </w:tr>
      <w:tr>
        <w:trPr>
          <w:trHeight w:val="22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174,572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176,454</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lease liabilities as of June 30, 2022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Lease Liability Maturity Analysis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37"/>
        </w:trPr>
        <w:tc>
          <w:tcPr>
            <w:tcW w:w="6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6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27,042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46,817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35,024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28,245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181,497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6,925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174,572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The Company does not have any significant leases that have not yet commenced.</w:t>
            </w: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76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Goodwill</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amounts of goodwill by segment were as follows: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EIG</w:t>
            </w:r>
          </w:p>
        </w:tc>
        <w:tc>
          <w:tcPr>
            <w:tcW w:w="260" w:type="dxa"/>
            <w:vAlign w:val="bottom"/>
          </w:tcPr>
          <w:p>
            <w:pPr>
              <w:spacing w:after="0"/>
              <w:rPr>
                <w:sz w:val="24"/>
                <w:szCs w:val="24"/>
                <w:color w:val="auto"/>
              </w:rPr>
            </w:pPr>
          </w:p>
        </w:tc>
        <w:tc>
          <w:tcPr>
            <w:tcW w:w="14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EMG</w:t>
            </w:r>
          </w:p>
        </w:tc>
        <w:tc>
          <w:tcPr>
            <w:tcW w:w="16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price allocation adjustments and other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4,039.2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1,134.2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finalized its measurements of certain tangible and intangible assets and liabilities for its November 2021 acquisition of Alphasense, which had no material impact to the consolidated statement of income and balance sheet.</w:t>
      </w:r>
    </w:p>
    <w:p>
      <w:pPr>
        <w:spacing w:after="0" w:line="29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At June 30, 2022, the Company had gross uncertain tax benefits of $161.2 million, of which $118.7 million, if recognized, would impact the effective tax rate.</w:t>
      </w:r>
    </w:p>
    <w:p>
      <w:pPr>
        <w:sectPr>
          <w:pgSz w:w="11900" w:h="16838" w:orient="portrait"/>
          <w:cols w:equalWidth="0" w:num="1">
            <w:col w:w="11200"/>
          </w:cols>
          <w:pgMar w:left="320" w:top="121" w:right="379" w:bottom="1440" w:gutter="0" w:footer="0" w:header="0"/>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is a reconciliation of the liability for uncertain tax positions (in millions):</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Additions for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Reductions for tax positions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June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1028" w:hanging="1028"/>
        <w:spacing w:after="0"/>
        <w:tabs>
          <w:tab w:leader="none" w:pos="10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147.0</w:t>
      </w:r>
    </w:p>
    <w:p>
      <w:pPr>
        <w:spacing w:after="0" w:line="27" w:lineRule="exact"/>
        <w:rPr>
          <w:rFonts w:ascii="Times New Roman" w:cs="Times New Roman" w:eastAsia="Times New Roman" w:hAnsi="Times New Roman"/>
          <w:sz w:val="18"/>
          <w:szCs w:val="18"/>
          <w:color w:val="auto"/>
        </w:rPr>
      </w:pPr>
    </w:p>
    <w:p>
      <w:pPr>
        <w:ind w:left="11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14.6</w:t>
      </w:r>
    </w:p>
    <w:p>
      <w:pPr>
        <w:spacing w:after="0" w:line="22" w:lineRule="exact"/>
        <w:rPr>
          <w:rFonts w:ascii="Times New Roman" w:cs="Times New Roman" w:eastAsia="Times New Roman" w:hAnsi="Times New Roman"/>
          <w:sz w:val="18"/>
          <w:szCs w:val="18"/>
          <w:color w:val="auto"/>
        </w:rPr>
      </w:pPr>
    </w:p>
    <w:p>
      <w:pPr>
        <w:ind w:left="11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683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7" w:lineRule="exact"/>
        <w:rPr>
          <w:sz w:val="20"/>
          <w:szCs w:val="20"/>
          <w:color w:val="auto"/>
        </w:rPr>
      </w:pPr>
    </w:p>
    <w:p>
      <w:pPr>
        <w:ind w:left="1028" w:hanging="1028"/>
        <w:spacing w:after="0"/>
        <w:tabs>
          <w:tab w:leader="none" w:pos="1028"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683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9683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8972" w:space="720"/>
            <w:col w:w="1508"/>
          </w:cols>
          <w:pgMar w:left="320" w:top="121" w:right="379" w:bottom="1440" w:gutter="0" w:footer="0" w:header="0"/>
          <w:type w:val="continuous"/>
        </w:sectPr>
      </w:pPr>
    </w:p>
    <w:p>
      <w:pPr>
        <w:spacing w:after="0" w:line="5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additions above primarily reflect the tax positions for foreign tax planning initiatives. The Company recognizes interest and penalties accrued related to uncertain tax positions in income tax expense. The amounts recognized in income tax expense for interest and penalties during the three and six months ended June 30, 2022 and 2021 were not significant.</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three months ended June 30, 2022 was 18.5%, compared with 20.6% for the three months ended June 30, 2021. The lower effective tax rate in the second quarter of 2022 is primarily due to improved foreign-derived intangible income ("FDII") benefits on exported products and favorable foreign deferred taxes. The higher effective tax rate in 2021 included an increase in the foreign rate differential and the remeasurement of the deferred tax liabilities due to an increase in the UK tax rate in 2021.</w:t>
      </w:r>
    </w:p>
    <w:p>
      <w:pPr>
        <w:sectPr>
          <w:pgSz w:w="11900" w:h="16838" w:orient="portrait"/>
          <w:cols w:equalWidth="0" w:num="1">
            <w:col w:w="11200"/>
          </w:cols>
          <w:pgMar w:left="320" w:top="121" w:right="37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On May 12, 2022, the Company along with certain of its foreign subsidiaries amended and restated its credit agreement dated as of September 22, 2011, as amended and restated as of March 10, 2016 and as further amended and restated as of October 30, 2018, with the lenders, JPMorgan Chase Bank, N.A., as Administrative Agent and Bank of America, N.A., PNC Bank, National Association, Trust Bank and Wells Fargo Bank, National Association, as Co-Syndication Agents. The credit agreement amends and restates the Company’s existing revolving credit facility to increase the size from $1.5 billion to $2.3 billion and terminates the $800 million term loan. The credit agreement places certain restrictions on allowable additional indebtedness. At June 30, 2022, the Company had $360.0 million outstanding on the revolver with a maturity date of May 2027.</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Company's share-based compensation plans are described in Note 11, Share-Based Compensation, to the consolidated financial statements in Part II, Item 8, filed on the Company’s Annual Report on Form 10-K for the year ended December 31,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Based Compensation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share-based compensation expense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13"/>
                <w:szCs w:val="13"/>
                <w:color w:val="auto"/>
              </w:rPr>
            </w:pPr>
          </w:p>
        </w:tc>
      </w:tr>
      <w:tr>
        <w:trPr>
          <w:trHeight w:val="196"/>
        </w:trPr>
        <w:tc>
          <w:tcPr>
            <w:tcW w:w="47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196"/>
        </w:trPr>
        <w:tc>
          <w:tcPr>
            <w:tcW w:w="47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expense</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3,383</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6,823</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expense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5,253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10,031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11,917</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 expense</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expense</w:t>
            </w: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12,956</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12,153</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22,527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23,593</w:t>
            </w: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Pre-tax share-based compensation expense is included in the consolidated statement of income in either Cost of sales or Selling, general and administrative expenses, depending on where the recipient’s cash compensation is reported.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right="62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grant date using a Black-Scholes-Merton option pricing model. The following weighted average assumptions were used in the Black-Scholes-Merton model to estimate the fair values of stock options granted during the periods indicated: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5"/>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20" w:type="dxa"/>
            <w:vAlign w:val="bottom"/>
          </w:tcPr>
          <w:p>
            <w:pPr>
              <w:spacing w:after="0"/>
              <w:rPr>
                <w:sz w:val="16"/>
                <w:szCs w:val="16"/>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24.5 %</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0.85 %</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0.65 %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0.66 %</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Black-Scholes-Merton fair value per stock option granted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32.54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stock option activity and related information: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200" w:type="dxa"/>
            <w:vAlign w:val="bottom"/>
          </w:tcPr>
          <w:p>
            <w:pPr>
              <w:jc w:val="center"/>
              <w:ind w:left="22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vMerge w:val="restart"/>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41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39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54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76.08</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608</w:t>
            </w:r>
          </w:p>
        </w:tc>
        <w:tc>
          <w:tcPr>
            <w:tcW w:w="1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134.69</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62.97</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99.43</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86.64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auto"/>
            </w:tcBorders>
            <w:shd w:val="clear" w:color="auto" w:fill="CCEEFF"/>
          </w:tcPr>
          <w:p>
            <w:pPr>
              <w:spacing w:after="0"/>
              <w:rPr>
                <w:sz w:val="21"/>
                <w:szCs w:val="21"/>
                <w:color w:val="auto"/>
              </w:rPr>
            </w:pPr>
          </w:p>
        </w:tc>
        <w:tc>
          <w:tcPr>
            <w:tcW w:w="3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CCEEFF"/>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104.8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June 30, 2022</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2,438</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59"/>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8"/>
              </w:rPr>
              <w:t>72.77</w:t>
            </w:r>
          </w:p>
        </w:tc>
        <w:tc>
          <w:tcPr>
            <w:tcW w:w="1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2"/>
              <w:spacing w:after="0" w:line="203" w:lineRule="exact"/>
              <w:rPr>
                <w:sz w:val="20"/>
                <w:szCs w:val="20"/>
                <w:color w:val="auto"/>
              </w:rPr>
            </w:pPr>
            <w:r>
              <w:rPr>
                <w:rFonts w:ascii="Times New Roman" w:cs="Times New Roman" w:eastAsia="Times New Roman" w:hAnsi="Times New Roman"/>
                <w:sz w:val="18"/>
                <w:szCs w:val="18"/>
                <w:b w:val="1"/>
                <w:bCs w:val="1"/>
                <w:color w:val="auto"/>
              </w:rPr>
              <w:t>92.6</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stock options exercised during the six months ended June 30, 2022 was $18.3 million. The total fair value of stock options vested during the six months ended June 30, 2022 was $11.2 million. As of June 30, 2022, there was approximately $24.3 million of expected future pre-tax compensation expense related to the 1.2 million non-vested stock options outstanding, which is expected to be recognized over a weighted average period of approximately two years.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non-vested restricted stock activity and related information: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126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15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December 31,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134.63</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85.97</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105.34</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June 30,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116.13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total fair value of restricted stock vested during the six months ended June 30, 2022 was $13.3 million. As of June 30, 2022, there was approximately $37.9 million of expected future pre-tax compensation expense related to the 0.4 million non-vested restricted shares outstanding, which is expected to be recognized over a weighted average period of approximately two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March 2022, the Company granted performance restricted stock units ("PRSU") to officers and certain key management-level employees. The PRSUs vest over a period up to three years from the grant date based on continuous service, with the number of shares earned (0% to 200% of the target award) depending upon the extent to which the Company achieves certain financial and market performance targets measured over the period from January 1 of the year of grant to December 31 of the third year. Half of the PRSUs were valued in a manner similar to restricted stock as the financial targets are based on the Company’s operating results, which represents a performance condition. The grant date fair value of these PRSUs are recognized as compensation expense over the vesting period based on the probable number of awards to vest at each reporting date.</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other half of the PRSUs were valued using a Monte Carlo model as the performance target is related to the Company’s total shareholder return compared to a group of peer companies, which represents a market condition. The Company recognizes the grant date fair value of these awards as compensation expense ratably over the vesting period.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non-vested performance restricted stock activity and related information: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9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8040" w:type="dxa"/>
            <w:vAlign w:val="bottom"/>
          </w:tcPr>
          <w:p>
            <w:pPr>
              <w:spacing w:after="0"/>
              <w:rPr>
                <w:sz w:val="11"/>
                <w:szCs w:val="11"/>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1"/>
                <w:szCs w:val="11"/>
                <w:color w:val="auto"/>
              </w:rPr>
            </w:pPr>
          </w:p>
        </w:tc>
        <w:tc>
          <w:tcPr>
            <w:tcW w:w="1260" w:type="dxa"/>
            <w:vAlign w:val="bottom"/>
          </w:tcPr>
          <w:p>
            <w:pPr>
              <w:jc w:val="center"/>
              <w:ind w:right="157"/>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5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performance restricted stock outstanding at December 31,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134.69</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Performance assumption change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81.76</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81.76</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96.93</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performance restricted stock outstanding at June 30, 2022</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101.95</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ind w:left="120" w:hanging="112"/>
        <w:spacing w:after="0" w:line="220" w:lineRule="auto"/>
        <w:tabs>
          <w:tab w:leader="none" w:pos="1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number of PRSUs above target levels based on performance metrics.</w:t>
      </w:r>
    </w:p>
    <w:p>
      <w:pPr>
        <w:spacing w:after="0" w:line="10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there was approximately $13.2 million of expected future pre-tax compensation expense related to the 0.3 million non-vested restricted shares outstanding, which is expected to be recognized over a weighted average period of less than one year.</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Retirement and Pension Plans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net periodic pension benefit expense (income)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13"/>
                <w:szCs w:val="13"/>
                <w:color w:val="auto"/>
              </w:rPr>
            </w:pPr>
          </w:p>
        </w:tc>
      </w:tr>
      <w:tr>
        <w:trPr>
          <w:trHeight w:val="196"/>
        </w:trPr>
        <w:tc>
          <w:tcPr>
            <w:tcW w:w="4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196"/>
        </w:trPr>
        <w:tc>
          <w:tcPr>
            <w:tcW w:w="4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1,331</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(15,033)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(14,221)</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(30,301)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(28,395)</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w:t>
            </w:r>
          </w:p>
        </w:tc>
      </w:tr>
      <w:tr>
        <w:trPr>
          <w:trHeight w:val="223"/>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Pension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(6,547)</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(13,147)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(6,464)</w:t>
            </w: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plans: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9,811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16,416</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plans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r>
      <w:tr>
        <w:trPr>
          <w:trHeight w:val="223"/>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plans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10,084</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27,467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20,773</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pension expense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14,320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For defined benefit plans, the net periodic benefit income, other than the service cost component, is included in “Other (expense) income, net” in the consolidated statement of income.</w:t>
      </w:r>
    </w:p>
    <w:p>
      <w:pPr>
        <w:spacing w:after="0" w:line="162"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and 2021, contributions to the Company’s defined benefit pension plans were $3.9 million and $4.1 million, respectively. The Company’s current estimate of 2022 contributions to its worldwide defined benefit pension plans is in line with the range disclosed in Note 12 of the Company’s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tab/>
        <w:t>Contingencies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 Litigation</w:t>
      </w:r>
    </w:p>
    <w:p>
      <w:pPr>
        <w:spacing w:after="0" w:line="11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Certain historic processes in the manufacture of products have resulted in environmentally hazardous waste by-products as defined by federal and state laws and regulations. At June 30, 2022, the Company is named a Potentially Responsible Party (“PRP”) at 13 non-AMETEK-owned former waste disposal or treatment sites (the “non-owned” sites). The Company is identified as a “de minimis” party in 12 of these sites based on the low volume of waste attributed to the Company relative to the amounts attributed to other named PRPs. In eight of these sites, the Company has reached a tentative agreement on the cost of the de minimis settlement to satisfy its obligation and is awaiting executed agreements. The tentatively agreed-to settlement amounts are fully reserved. In the other four sites, the Company is continuing to investigate the accuracy of the alleged volume attributed to the Company as estimated by the parties primarily responsible for remedial activity at the sites to establish an appropriate settlement amount. At the remaining site where the Company is a non-de minimis PRP, the Company is participating in the investigation and/or related required remediation as part of a PRP Group and reserves have been established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 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 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spacing w:after="0" w:line="19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Total environmental reserves at June 30, 2022 and December 31, 2021 were $37.6 million and $37.2 million, respectively, for both non-owned and owned sites. For the six months ended June 30, 2022, the Company recorded $4.5 million in reserves. Additionally, the Company spent $4.1 million on environmental matters for the six months ended June 30, 2022.</w:t>
      </w:r>
    </w:p>
    <w:p>
      <w:pPr>
        <w:spacing w:after="0" w:line="176"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The Company has agreements with other former owners of certain of its acquired businesses, as well as new owners of previously owned businesses. Under certain of the agreements, the former or new owners retained, or assumed and agreed to indemnify the Company against, certain environmental and other liabilities under certain circumstances. The Company and some of these other parties also carry insurance coverage for some environmental matters.</w:t>
      </w:r>
    </w:p>
    <w:p>
      <w:pPr>
        <w:spacing w:after="0" w:line="18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it has established reserves for the environmental matters described above, which are sufficient to perform all known responsibilities under existing claims and consent orders. In the opinion of management, based on presently available information and the Company’s historical experience related to such matters, an adequate provision for probable costs has been made and the ultimate cost resulting from these actions is not expected to materially affect the consolidated results of operations, financial position or cash flows of the Company.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net sales and income by reportable segment and on a consolidated basis: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r>
      <w:tr>
        <w:trPr>
          <w:trHeight w:val="196"/>
        </w:trPr>
        <w:tc>
          <w:tcPr>
            <w:tcW w:w="5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r>
      <w:tr>
        <w:trPr>
          <w:trHeight w:val="196"/>
        </w:trPr>
        <w:tc>
          <w:tcPr>
            <w:tcW w:w="5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6"/>
        </w:trPr>
        <w:tc>
          <w:tcPr>
            <w:tcW w:w="5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Instruments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1,028,248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933,934</w:t>
            </w:r>
          </w:p>
        </w:tc>
        <w:tc>
          <w:tcPr>
            <w:tcW w:w="2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2,016,007</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1,724,858</w:t>
            </w: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Electromechanical</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486,304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452,412</w:t>
            </w:r>
          </w:p>
        </w:tc>
        <w:tc>
          <w:tcPr>
            <w:tcW w:w="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957,070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877,230</w:t>
            </w:r>
          </w:p>
        </w:tc>
      </w:tr>
      <w:tr>
        <w:trPr>
          <w:trHeight w:val="223"/>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sales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1,514,552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1,386,346</w:t>
            </w:r>
          </w:p>
        </w:tc>
        <w:tc>
          <w:tcPr>
            <w:tcW w:w="2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2,973,077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2,602,088</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7"/>
        </w:trPr>
        <w:tc>
          <w:tcPr>
            <w:tcW w:w="53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and income before income taxes: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Electronic Instruments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265,115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226,637</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509,889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433,534</w:t>
            </w:r>
          </w:p>
        </w:tc>
      </w:tr>
      <w:tr>
        <w:trPr>
          <w:trHeight w:val="229"/>
        </w:trPr>
        <w:tc>
          <w:tcPr>
            <w:tcW w:w="53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Electromechanical</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124,371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112,434</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252,580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217,467</w:t>
            </w:r>
          </w:p>
        </w:tc>
      </w:tr>
      <w:tr>
        <w:trPr>
          <w:trHeight w:val="223"/>
        </w:trPr>
        <w:tc>
          <w:tcPr>
            <w:tcW w:w="5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389,486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339,071</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762,469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651,001</w:t>
            </w:r>
          </w:p>
        </w:tc>
      </w:tr>
      <w:tr>
        <w:trPr>
          <w:trHeight w:val="229"/>
        </w:trPr>
        <w:tc>
          <w:tcPr>
            <w:tcW w:w="53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Corporate administrative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(24,644)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(22,460)</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(44,387)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(41,045)</w:t>
            </w:r>
          </w:p>
        </w:tc>
      </w:tr>
      <w:tr>
        <w:trPr>
          <w:trHeight w:val="223"/>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364,842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316,611</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718,082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609,956</w:t>
            </w: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(20,442)</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(39,389)</w:t>
            </w: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r>
      <w:tr>
        <w:trPr>
          <w:trHeight w:val="223"/>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346,465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291,755</w:t>
            </w:r>
          </w:p>
        </w:tc>
        <w:tc>
          <w:tcPr>
            <w:tcW w:w="2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682,687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564,211</w:t>
            </w:r>
          </w:p>
        </w:tc>
      </w:tr>
      <w:tr>
        <w:trPr>
          <w:trHeight w:val="21"/>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Events and Market Conditions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Recent events and market conditions impacting our business include the COVID-19 pandemic, increased material and transportation cost inflation, supply chain constraints, and the ongoing conflict in Ukraine. As a result of these events and conditions, we anticipate a challenging global economic environment for the remainder of 2022. There still remains uncertainty around the COVID-19 pandemic, its effect on labor, government mandated lockdowns and other restrictive measures, and the pandemic's ultimate duration. The recent lockdowns in China limited our ability to access customer sites, operate certain facilities, and placed additional constraints on our supply chain during the second quarter. Depending on the course of the pandemic, additional lockdowns in China or elsewhere could impact our operations and results of operations. Beginning in 2021, we experienced heightened levels of inflation in material and transportation costs and we expect elevated levels of cost inflation to persist throughout 2022. We have taken steps to mitigate the impacts of inflation by implementing pricing actions. We experienced additional pressure in our supply chain due to component shortages and strained transportation capacity, as well as the impact of continued elevated customer demand. In response to these supply chain pressures, we have taken actions to build inventory and seek alternative sources of supply to support sales and backlog growth. The invasion of Ukraine by Russia and the sanctions imposed in response to this conflict have increased global economic and political uncertainty. Russia and Ukraine represent an insignificant portion of our business, but a significant expansion of the conflict's current scope could further complicate the economic environment. While the ultimate impact of these events remains uncertain, we will continue to evaluate the extent to which these factors will impact our business, financial condition, and results of operations.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second quarter of 2022 compared with the second quarter of 2021</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For the quarter ended June 30, 2022, the Company posted record sales, operating income, and backlog as well as strong orders. The Company achieved these results from organic sales growth in both EIG and EMG, as well as the Company's Operational Excellence initiatives.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for the second quarter of 2022 were a record $1,514.6 million, an increase of $128.3 million or 9.2%, compared with net sales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$1,386.3 million for the second quarter of 2021. The increase in net sales for the second quarter of 2022 was due to a 12% increase in organic sales, a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from acquisitions, partially offset by an unfavorable 3% effect of foreign currency translation.</w:t>
      </w:r>
    </w:p>
    <w:p>
      <w:pPr>
        <w:spacing w:after="0" w:line="20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Total international sales for the second quarter of 2022 were $721.4 million or 47.6% of net sales, an increase of $55.7 million or 8.4%, compared with international sales of $665.7 million or 48.0% of net sales for the second quarter of 2021. The increase in international sales was primarily driven by strong demand in Asia during the quarter as well as contributions from recent acquisitions.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Orders for the second quarter of 2022 were $1,644.5 million, a decrease of $269.2 million or 14.1%, compared with $1,913.7 million for the second quarter of 2021. The decrease in orders for the second quarter of 2022 was due to a 20% decrease from $371 million of acquired backlog from the 2021 acquisitions, an unfavorable 5% effect of foreign currency translation, partially offset by an 11% increase in organic orders. As a result, the Company's backlog of unfilled orders at June 30, 2022 was a record $3,104.4 million, an increase of $374.3 million or 13.7% compared with $2,730.1 million at December 31, 2021.</w:t>
      </w:r>
    </w:p>
    <w:p>
      <w:pPr>
        <w:spacing w:after="0" w:line="18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Segment operating income for the second quarter of 2022 was $389.5 million, an increase of $50.4 million or 14.9%, compared with segment operating income of $339.1 million for the second quarter of 2021. Segment operating income was positively impacted in 2022 by the increase in sales discussed above. Segment operating margins, as a percentage of net sales, increased to 25.7% for the second quarter of 2022, compared with 24.5% for the second quarter of 2021. Excluding the dilutive impact of the 2021 acquisitions, segment operating margins for the core businesses increased 130 basis points compared to the second quarter of 2021, due to benefits from the Company's Operational Excellence initiatives.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sales for the second quarter of 2022 was $988.2 million or 65.2% of net sales, an increase of $75.5 million or 8.3%, compared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$912.7 million or 65.8% of net sales for the second quarter of 2021. The cost of sales increase was primarily due to the net sales increase discussed above.</w:t>
      </w:r>
    </w:p>
    <w:p>
      <w:pPr>
        <w:spacing w:after="0" w:line="20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the second quarter of 2022 were $161.5 million or 10.7% of net sales, an increase of $4.5 million or 2.9%, compared with $157.0 million or 11.3% of net sales for the second quarter of 2021.</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Consolidated operating income was a record $364.8 million or 24.1% of net sales for the second quarter of 2022, an increase of $48.2 million or 15.2%, compared with $316.6 million or 22.8% of net sales for the second quarter of 2021.</w:t>
      </w:r>
    </w:p>
    <w:p>
      <w:pPr>
        <w:spacing w:after="0" w:line="16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Other income, net was $2.0 million for the second quarter of 2022, compared with $4.4 million of other expense, net for the second quarter of 2021, a change of $6.4 million. The second quarter of 2022 includes higher pension income of $2.5 million and lower due diligence expense compared to the second quarter of 2021.</w:t>
      </w:r>
    </w:p>
    <w:p>
      <w:pPr>
        <w:spacing w:after="0" w:line="17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for the second quarter of 2022 was 18.5%, compared with 20.6% for the second quarter of 2021. The lower effective tax rate in the second quarter of 2022 is primarily due to improved foreign-derived intangible income ("FDII") benefits on exported products and favorable foreign deferred taxes.</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Net income for the second quarter of 2022 was a record $282.4 million, an increase of $50.7 million or 21.9%, compared with $231.7 million for the second quarter of 2021.</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Diluted earnings per share for the second quarter of 2022 were $1.22, an increase of $0.22 or 22.0%, compared with $1.00 per diluted share for the second quarter of 2021.</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5"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EIG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 net sales totaled $1,028.2 million for the second quarter of 2022, an increase of $94.3 million or 10.1%, compared with $933.9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second quarter of 2021. The net sales increase was due to a 12% increase in organic sales, a 1% increase from acquisitions, partially offset by an unfavorable 3% effect of foreign currency translation.</w:t>
      </w:r>
    </w:p>
    <w:p>
      <w:pPr>
        <w:spacing w:after="0" w:line="17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EIG’s operating income was $265.1 million for the second quarter of 2022, an increase of $38.5 million or 17.0%, compared with $226.6 million for the second quarter of 2021. EIG’s operating margins were 25.8% of net sales for the second quarter of 2022, compared with 24.3% for the second quarter of 2021. Excluding the dilutive impact of recent acquisitions, EIG operating margins for the core business increased 170 basis points compared to the second quarter of 2021, due to benefits from the Company's Operational Excellence initiatives.</w:t>
      </w:r>
    </w:p>
    <w:p>
      <w:pPr>
        <w:spacing w:after="0" w:line="176"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EMG’s </w:t>
      </w:r>
      <w:r>
        <w:rPr>
          <w:rFonts w:ascii="Times New Roman" w:cs="Times New Roman" w:eastAsia="Times New Roman" w:hAnsi="Times New Roman"/>
          <w:sz w:val="18"/>
          <w:szCs w:val="18"/>
          <w:color w:val="auto"/>
        </w:rPr>
        <w:t>net sales totaled $486.3 million for the second quarter of 2022, an increase of $33.9 million or 7.5%, compared with $452.4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quarter of 2021. The net sales increase was due to an 11% organic sales increase, partially offset by an unfavorable 3% effect of foreign currency translation.</w:t>
      </w:r>
    </w:p>
    <w:p>
      <w:pPr>
        <w:spacing w:after="0" w:line="17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EMG’s operating income was $124.4 million for the second quarter of 2022, an increase of $12.0 million or 10.6%, compared with $112.4 million for the second quarter of 2021. EMG’s operating margins were 25.6% of net sales for the second quarter of 2022, compared with 24.9% for the second quarter of 2021. EMG operating margins increased compared to the second quarter of 2021 due to benefits from the Company's Operational Excellence initiatives.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first six months of 2022 compared with the first six months of 2021</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for the first six months of 2022 were $2,973.1 million, an increase of $371.0 million or 14.3%, compared with net sales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$2,602.1 million for the first six months of 2021. The increase in net sales for the first six months of 2022 was due to a 13% organic sales increase, a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from acquisitions, partially offset by an unfavorable 2% effect of foreign currency translation.</w:t>
      </w:r>
    </w:p>
    <w:p>
      <w:pPr>
        <w:spacing w:after="0" w:line="207"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Total international sales for the first six months of 2022 were $1,465.7 million or 49.3% of net sales, an increase of $183.6 million or 14.3%, compared with international sales of $1,282.1 million or 49.3% of net sales for the first six months of 2021. The increase in international sales was primarily driven by strong demand in Europe and Asia as well as contributions from recent acquisitions.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Orders for the first six months of 2022 were $3,347.4 million, an increase of $36.0 million or 1.1%, compared with $3,311.4 million for the first six months of 2021. The increase in orders for the first six months of 2022 was due to a 14% organic order increase, partially offset by a 10% decrease from acquisitions, as well as a 3% unfavorable effect of foreign currency translation.</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Segment operating income for the first six months of 2022 was $762.5 million, an increase of $111.5 million or 17.1%, compared with segment operating income of $651.0 million for the first six months of 2021. Segment operating income was positively impacted in 2022 by the increase in sales discussed above, as well as a $7.1 million gain on the sale of a facility. Segment operating margins, as a percentage of net sales, increased to 25.6% for the first six months of 2022, compared with 25.0% for the first six months of 2021. Segment operating margins for the first six months of 2022 were negatively impacted by the dilutive impact of recent acquisitions. Excluding the dilutive impact of recent acquisitions and the gain on the sale of a facility, segment operating margins for the core businesses increased 140 basis points compared to the first six months of 2021, due to the Company's Operational Excellence initiatives.</w:t>
      </w:r>
    </w:p>
    <w:p>
      <w:pPr>
        <w:spacing w:after="0" w:line="18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Cost of sales for the first six months of 2022 was $1,937.0 million or 65.2% of net sales, an increase of $234.9 million or 13.8%, compared with $1,702.1 million or 65.4% of net sales for the first six months of 2021. The cost of sales increase was primarily due to the net sales increase discussed above.</w:t>
      </w:r>
    </w:p>
    <w:p>
      <w:pPr>
        <w:spacing w:after="0" w:line="17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Selling, general and administrative expenses for the first six months of 2022 were $318.0 million or 10.7% of net sales, an increase of</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$28.0 million or 9.6%, compared with $290.0 million or 11.1% of net sales for the first six months of 2021. Selling, general and administrative expenses increased primarily due to the net sales increase discussed above.</w:t>
      </w:r>
    </w:p>
    <w:p>
      <w:pPr>
        <w:spacing w:after="0" w:line="18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Consolidated operating income was $718.1 million or 24.2% of net sales for the first six months of 2022, an increase of $108.1 million or 17.7%, compared with $610.0 million or 23.4% of net sales for the first six months of 2021. The consolidated operating income and operating income margins for the first six months of 2022 were positively impacted by the increase in net sales discussed above as well as the benefits of the Company's Operational Excellence initiatives.</w:t>
      </w:r>
    </w:p>
    <w:p>
      <w:pPr>
        <w:spacing w:after="0" w:line="180"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Other income, net was $4.5 million for the first six months of 2022, compared with $6.4 million of other expense, net for the first six months of 2021, a change of $10.9 million. The first six months of 2022 includes higher pension income of $5.0 million and lower acquisition-related due diligence expense compared to the first six months of 2021.</w:t>
      </w:r>
    </w:p>
    <w:p>
      <w:pPr>
        <w:spacing w:after="0" w:line="16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for the first six months of 2022 was 18.7%, compared with 20.1% for the first six months of 2021. The lower effective tax rate in 2022 is primarily due to improved FDII benefits and a favorable foreign tax rate differential.</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Net income for the first six months of 2022 was $554.8 million, an increase of $103.9 million or 23.0%, compared with $450.9 million for the first six months of 2021.</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Diluted earnings per share for the first six months of 2022 were $2.39, an increase of $0.45 or 23.2%, compared with $1.94 per diluted share for the first six months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7"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EIG’</w:t>
      </w:r>
      <w:r>
        <w:rPr>
          <w:rFonts w:ascii="Times New Roman" w:cs="Times New Roman" w:eastAsia="Times New Roman" w:hAnsi="Times New Roman"/>
          <w:sz w:val="18"/>
          <w:szCs w:val="18"/>
          <w:color w:val="auto"/>
        </w:rPr>
        <w:t>s net sales totaled $2,016.0 million for the first six months of 2022, an increase of $291.1 million or 16.9%, compared with $1,724.9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first six months of 2021. The net sales increase was due to a 14% organic sales increase, a 5% increase from acquisitions, partially offset by an unfavorable 2% effect of foreign currency translation.</w:t>
      </w:r>
    </w:p>
    <w:p>
      <w:pPr>
        <w:spacing w:after="0" w:line="17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EIG’s operating income was $509.9 million for the first six months of 2022, an increase of $76.4 million or 17.6%, compared with $433.5 million for the first six months of 2021. EIG’s operating margins were 25.3% of net sales for the first six months of 2022, compared with 25.1% for the first six months of 2021. EIG's operating margins in the first six months of 2022 were negatively impacted by the dilutive impact of the 2021 acquisitions. Excluding the dilutive impact of recent acquisitions, EIG operating margins increased 160 basis points compared to the first six months of 2021, due to benefits from the Company's Operational Excellence initiatives.</w:t>
      </w:r>
    </w:p>
    <w:p>
      <w:pPr>
        <w:spacing w:after="0" w:line="179"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EMG’s </w:t>
      </w:r>
      <w:r>
        <w:rPr>
          <w:rFonts w:ascii="Times New Roman" w:cs="Times New Roman" w:eastAsia="Times New Roman" w:hAnsi="Times New Roman"/>
          <w:sz w:val="18"/>
          <w:szCs w:val="18"/>
          <w:color w:val="auto"/>
        </w:rPr>
        <w:t>net sales totaled $957.1 million for the first six months of 2022, an increase of $79.9 million or 9.1%, compared with $877.2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six months of 2021. The net sales increase was due to an 11% organic sales increase, partially offset by an unfavorable 2% effect of foreign currency translation.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EMG’s operating income was $252.6 million for the first six months of 2022, an increase of $35.1 million or 16.1%, compared with</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$217.5 million for the first six months of 2021. EMG's operating income included a $7.1 million gain on the sale of a facility during the first six months of 2022. EMG’s operating margins were 26.4% of net sales for the first six months of 2022, compared with 24.8% for the first six months of 2021. Excluding the gain on the sale of a facility, EMG operating margins increased 90 basis points compared to the first six months of 2021, due to the Company's Operational Excellence initiatives.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totaled $437.2 million for the first six months of 2022, a decrease of $134.2 million or 23.5%, compared with $571.4 million for the first six months of 2021. The decrease in cash provided by operating activities for the first six months of 2022 was primarily due to higher investments in inventory to support sales and backlog growth, and to mitigate inventory supply chain constraints, partially offset by higher net income.</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Free cash flow (cash flow provided by operating activities less capital expenditures) was $384.7 million for the first six months of 2022, compared with $530.4 million for the first six months of 2021. EBITDA (earnings before interest, income taxes, depreciation and amortization) was $877.2 million for the first six months of 2022, compared with $742.5 million for the first six months of 2021. Free cash flow and EBITDA are presented because the Company is aware that they are measures used by third parties in evaluating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used by investing activities totaled $41.0 million for the first six months of 2022, compared with cash used by investing activities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$1,882.1 million for the first six months of 2021. For the first six months of 2022, the Company received proceeds of $11.8 million from the sale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For the first six months of 2021, the Company paid $1,840.8 million, net of cash acquired, to purchase Abaco Systems, Magnetrol 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NSI-MI Technologies, Crank Software, and EGS Automation. Additions to property, plant and equipment totaled $52.5 million for the first six months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compared with $41.0 million for the first six months of 2021.</w:t>
      </w:r>
    </w:p>
    <w:p>
      <w:pPr>
        <w:spacing w:after="0" w:line="207" w:lineRule="exact"/>
        <w:rPr>
          <w:sz w:val="20"/>
          <w:szCs w:val="20"/>
          <w:color w:val="auto"/>
        </w:rPr>
      </w:pPr>
    </w:p>
    <w:p>
      <w:pPr>
        <w:jc w:val="both"/>
        <w:ind w:right="220" w:firstLine="648"/>
        <w:spacing w:after="0" w:line="272" w:lineRule="auto"/>
        <w:rPr>
          <w:sz w:val="20"/>
          <w:szCs w:val="20"/>
          <w:color w:val="auto"/>
        </w:rPr>
      </w:pPr>
      <w:r>
        <w:rPr>
          <w:rFonts w:ascii="Times New Roman" w:cs="Times New Roman" w:eastAsia="Times New Roman" w:hAnsi="Times New Roman"/>
          <w:sz w:val="17"/>
          <w:szCs w:val="17"/>
          <w:color w:val="auto"/>
        </w:rPr>
        <w:t>Cash used by financing activities totaled $370.4 million for the first six months of 2022, compared with cash provided by financing activities of $491.6 million for the first six months of 2021. At June 30, 2022, total debt, net was $2,502.2 million, compared with $2,544.2 million at December 31, 2021. For the first six months of 2022, total borrowings increased by $56.5 million compared with a $569.9 million increase for the first six months of</w:t>
      </w:r>
    </w:p>
    <w:p>
      <w:pPr>
        <w:spacing w:after="0" w:line="2" w:lineRule="exact"/>
        <w:rPr>
          <w:sz w:val="20"/>
          <w:szCs w:val="20"/>
          <w:color w:val="auto"/>
        </w:rPr>
      </w:pPr>
    </w:p>
    <w:p>
      <w:pPr>
        <w:jc w:val="both"/>
        <w:ind w:right="200"/>
        <w:spacing w:after="0" w:line="260" w:lineRule="auto"/>
        <w:rPr>
          <w:sz w:val="20"/>
          <w:szCs w:val="20"/>
          <w:color w:val="auto"/>
        </w:rPr>
      </w:pPr>
      <w:r>
        <w:rPr>
          <w:rFonts w:ascii="Times New Roman" w:cs="Times New Roman" w:eastAsia="Times New Roman" w:hAnsi="Times New Roman"/>
          <w:sz w:val="18"/>
          <w:szCs w:val="18"/>
          <w:color w:val="auto"/>
        </w:rPr>
        <w:t>2021. At June 30, 2022, the Company had available borrowing capacity of $2,600.1 million under its revolving credit facility, including the $700 million accordion feature.</w:t>
      </w:r>
    </w:p>
    <w:p>
      <w:pPr>
        <w:spacing w:after="0" w:line="73"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18"/>
          <w:szCs w:val="18"/>
          <w:color w:val="auto"/>
        </w:rPr>
        <w:t>On May 12, 2022, the Company along with certain of its foreign subsidiaries amended and restated its credit agreement dated as of September 22, 2011, as amended and restated as of March 10, 2016 and as further amended and restated as of October 30, 2018, with the lenders, JPMorgan Chase Bank, N.A., as Administrative Agent and Bank of America, N.A., PNC Bank, National Association, Trust Bank and Wells Fargo Bank, National Association, as Co-Syndication Agents. The credit agreement amends and restates the Company’s existing revolving credit facility to increase the size from $1.5 billion to $2.3 billion and terminates the $800 million term loan. The credit agreement places certain restrictions on allowable additional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At June 30, 2022, the Company had $360.0 million outstanding on the revolver with a maturity date of May 2027.</w:t>
      </w:r>
    </w:p>
    <w:p>
      <w:pPr>
        <w:spacing w:after="0" w:line="225"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debt-to-capital ratio was 26.5% at June 30, 2022, compared with 27.0% at December 31, 2021. The net debt-to-capital ratio (total debt, net less cash and cash equivalents divided by the sum of net debt and stockholders’ equity) was 23.7% at June 30, 2022, compared with 24.2% at December 31, 2021. The net debt-to-capital ratio is presented because the Company is aware that this measure is used by third parties in evaluating the Company.</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Additional financing activities for the first six months of 2022 included cash dividends paid of $101.2 million, compared with $92.2 million for the first six months of 2021. Effective February 9, 2022, the Company’s Board of Directors approved a 10% increase in the quarterly cash dividend on the Company’s common stock to $0.22 per common share from $0.20 per common share. The Company repurchased $331.4 million of its common stock for the first six months of 2022, compared with $12.9 million for the first six months of 2021. Effective May 5, 2022, the Company's Board of Directors approved a $1 billion share repurchase authorization. This authorization replaces an earlier $500 million share repurchase authorization approved by the Board in February 2019. Proceeds from stock option exercises were $17.8 million for the first six months of 2022, compared with $31.1 million for the first six months of 2021.</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all of the Company’s cash flow activities for the first six months of 2022, cash and cash equivalents at June 30, 2022 totaled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$348.7 million, compared with $346.8 million at December 31, 2021. At June 30, 2022, the Company had $326.8 million in cash outside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with $334.0 million at December 31, 2021. The Company utilizes this cash to fund its international operations, as well as to acquire 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businesses. The Company is in compliance with all covenants, including financial covenants, for all of its debt agreements. The Company believes it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sufficient cash-generating capabilities from domestic and unrestricted foreign sources, available credit facilities and access to long-term capital funds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enable it to meet its operating needs and contractual obligations in the foreseeable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Company’s critical accounting policies are detailed in Part II, Item 7, Management’s Discussion and Analysis of Financial Condition of its Annual Report on Form 10-K for the year ended December 31, 2021. Primary disclosure of the Company’s significant accounting policies is also included in Note 1 to the Consolidated Financial Statements included in Part II, Item 8 of its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Information contained in this discussion, other than historical information, is considered “forward-looking statements” and is subject to various factors and uncertainties that may cause actual results to differ significantly from expectations. These factors and uncertainties include risks related to the COVID-19 pandemic and its potential impact on AMETEK’s operations, supply chain, and demand across key end markets; general economic conditions affecting the industries the Company serves; changes in the competitive environment or the effects of competition in the Company’s markets; risks associated with international sales and operations; the Company’s ability to consummate and successfully integrate future acquisitions; the Company’s ability to successfully develop new products, open new facilities or transfer product lines; the price and availability of raw materials; compliance with government regulations, including environmental regulations; and the ability to maintain adequate liquidity and financing sources. A detailed discussion of these and other factors that may affect the Company’s future results is contained in AMETEK’s filings with the U.S. Securities and Exchange Commission, including its most recent reports on Form 10-K, 10-Q, and 8-K. AMETEK disclaims any intention or obligation to update or revise any forward-looking statements, unless required by the securities laws to do so.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June 30, 2022. Based on that evaluation, the Company’s principal executive officer and principal financial officer concluded that the Company’s disclosure controls and procedures are effective at the reasonable assurance level.</w:t>
      </w:r>
    </w:p>
    <w:p>
      <w:pPr>
        <w:spacing w:after="0" w:line="79"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Such evaluation did not identify any change in the Company’s internal control over financial reporting during the quarter ended June 30, 2022 that has materially affected, or is reasonably likely to materially affect, the Company’s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Purchase of equity securities by the issuer and affiliated purchasers.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purchases of AMETEK, Inc. common stock by the Company during the three months ended June 30,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Purchased as</w:t>
            </w:r>
          </w:p>
        </w:tc>
        <w:tc>
          <w:tcPr>
            <w:tcW w:w="13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2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204"/>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 (1)(2)</w:t>
            </w: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2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Plan (2)</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the Plan</w:t>
            </w:r>
          </w:p>
        </w:tc>
        <w:tc>
          <w:tcPr>
            <w:tcW w:w="0" w:type="dxa"/>
            <w:vAlign w:val="bottom"/>
          </w:tcPr>
          <w:p>
            <w:pPr>
              <w:spacing w:after="0"/>
              <w:rPr>
                <w:sz w:val="1"/>
                <w:szCs w:val="1"/>
                <w:color w:val="auto"/>
              </w:rPr>
            </w:pPr>
          </w:p>
        </w:tc>
      </w:tr>
      <w:tr>
        <w:trPr>
          <w:trHeight w:val="37"/>
        </w:trPr>
        <w:tc>
          <w:tcPr>
            <w:tcW w:w="472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2022 to April 30,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313,006,100</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2022 to May 31, 2022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1,444,565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1,444,565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825,344,405</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2022 to June 30, 2022</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825,344,405</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1,444,565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1,444,565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72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180" w:hanging="652"/>
        <w:spacing w:after="0" w:line="260" w:lineRule="auto"/>
        <w:tabs>
          <w:tab w:leader="none" w:pos="40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14,945 shares surrendered to the Company to satisfy tax withholding obligations in connection with employees’ share-based compensation awards.</w:t>
      </w:r>
    </w:p>
    <w:p>
      <w:pPr>
        <w:spacing w:after="0" w:line="194" w:lineRule="exact"/>
        <w:rPr>
          <w:rFonts w:ascii="Times New Roman" w:cs="Times New Roman" w:eastAsia="Times New Roman" w:hAnsi="Times New Roman"/>
          <w:sz w:val="18"/>
          <w:szCs w:val="18"/>
          <w:color w:val="auto"/>
        </w:rPr>
      </w:pPr>
    </w:p>
    <w:p>
      <w:pPr>
        <w:ind w:left="660" w:hanging="652"/>
        <w:spacing w:after="0" w:line="245" w:lineRule="auto"/>
        <w:tabs>
          <w:tab w:leader="none" w:pos="4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number of shares purchased pursuant to the Company’s Board of Directors $1 billion authorization for the repurchase of its common stock announced in May 2022, which replaces the previous $500 million authorization for the repurchase of its common stock announced in February 2019. Such purchases may be effected from time to time in the open market or in private transactions, subject to market conditions and at management’s discretion.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440" w:type="dxa"/>
            <w:vAlign w:val="bottom"/>
            <w:gridSpan w:val="3"/>
            <w:vMerge w:val="restart"/>
          </w:tcPr>
          <w:p>
            <w:pPr>
              <w:ind w:left="4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4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4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42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gridSpan w:val="2"/>
          </w:tcPr>
          <w:p>
            <w:pPr>
              <w:jc w:val="center"/>
              <w:ind w:left="334"/>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906 of the Sarbanes-Oxley Act of 2002.</w:t>
            </w:r>
          </w:p>
        </w:tc>
        <w:tc>
          <w:tcPr>
            <w:tcW w:w="40" w:type="dxa"/>
            <w:vAlign w:val="bottom"/>
            <w:tcBorders>
              <w:top w:val="single" w:sz="8" w:color="0000FF"/>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7"/>
              </w:rPr>
              <w:t>101.SCH*</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9"/>
              </w:rPr>
              <w:t>101.DEF*</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4"/>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760" w:right="640" w:hanging="1266"/>
        <w:spacing w:after="0" w:line="237" w:lineRule="auto"/>
        <w:tabs>
          <w:tab w:leader="none" w:pos="1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Filed electronically herewith.</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u w:val="single" w:color="auto"/>
          <w:color w:val="auto"/>
        </w:rPr>
        <w:t>AMETEK, Inc.</w:t>
      </w:r>
    </w:p>
    <w:p>
      <w:pPr>
        <w:spacing w:after="0" w:line="200" w:lineRule="exact"/>
        <w:rPr>
          <w:sz w:val="20"/>
          <w:szCs w:val="20"/>
          <w:color w:val="auto"/>
        </w:rPr>
      </w:pPr>
    </w:p>
    <w:p>
      <w:pPr>
        <w:spacing w:after="0" w:line="336"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WILLIAM J.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William J. Burke</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2, 2022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20"/>
          </w:cols>
          <w:pgMar w:left="320" w:top="121" w:right="65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Zapico, certify that:</w:t>
      </w:r>
    </w:p>
    <w:p>
      <w:pPr>
        <w:spacing w:after="0" w:line="11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AMETEK, Inc. (the “registrant”);</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6"/>
          <w:szCs w:val="16"/>
          <w:color w:val="auto"/>
        </w:rPr>
        <w:t>AVID</w:t>
      </w:r>
      <w:r>
        <w:rPr>
          <w:rFonts w:ascii="Times New Roman" w:cs="Times New Roman" w:eastAsia="Times New Roman" w:hAnsi="Times New Roman"/>
          <w:sz w:val="18"/>
          <w:szCs w:val="18"/>
          <w:color w:val="auto"/>
        </w:rPr>
        <w:t xml:space="preserve"> A. Z</w:t>
      </w:r>
      <w:r>
        <w:rPr>
          <w:rFonts w:ascii="Times New Roman" w:cs="Times New Roman" w:eastAsia="Times New Roman" w:hAnsi="Times New Roman"/>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17145</wp:posOffset>
            </wp:positionV>
            <wp:extent cx="25888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David A. Zapico</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ectPr>
          <w:pgSz w:w="11900" w:h="16838" w:orient="portrait"/>
          <w:cols w:equalWidth="0" w:num="1">
            <w:col w:w="11240"/>
          </w:cols>
          <w:pgMar w:left="320" w:top="995"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Burke, certify that:</w:t>
      </w:r>
    </w:p>
    <w:p>
      <w:pPr>
        <w:spacing w:after="0" w:line="117" w:lineRule="exact"/>
        <w:rPr>
          <w:sz w:val="20"/>
          <w:szCs w:val="20"/>
          <w:color w:val="auto"/>
        </w:rPr>
      </w:pPr>
    </w:p>
    <w:p>
      <w:pPr>
        <w:jc w:val="both"/>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WILLIAM J.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17145</wp:posOffset>
            </wp:positionV>
            <wp:extent cx="2588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William J. Burke</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ectPr>
          <w:pgSz w:w="11900" w:h="16838" w:orient="portrait"/>
          <w:cols w:equalWidth="0" w:num="1">
            <w:col w:w="11240"/>
          </w:cols>
          <w:pgMar w:left="320" w:top="995"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AMETEK, Inc. (the “Company”) on Form 10-Q for the quarter ended June 30, 2022 as filed with the Securities and Exchange Commission on the date hereof (the “Report”), I, David A. Zapico, Chairman of the Board and Chief Executive Officer of the Company, certify, pursuant to 18 U.S.C. Section 1350, as adopted pursuant to Section 906 of the Sarbanes-Oxley Act of 2002, that:</w:t>
      </w:r>
    </w:p>
    <w:p>
      <w:pPr>
        <w:spacing w:after="0" w:line="68"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6"/>
          <w:szCs w:val="16"/>
          <w:color w:val="auto"/>
        </w:rPr>
        <w:t>AVID</w:t>
      </w:r>
      <w:r>
        <w:rPr>
          <w:rFonts w:ascii="Times New Roman" w:cs="Times New Roman" w:eastAsia="Times New Roman" w:hAnsi="Times New Roman"/>
          <w:sz w:val="18"/>
          <w:szCs w:val="18"/>
          <w:color w:val="auto"/>
        </w:rPr>
        <w:t xml:space="preserve"> A. Z</w:t>
      </w:r>
      <w:r>
        <w:rPr>
          <w:rFonts w:ascii="Times New Roman" w:cs="Times New Roman" w:eastAsia="Times New Roman" w:hAnsi="Times New Roman"/>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00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A. Zapico</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pacing w:after="0" w:line="200" w:lineRule="exact"/>
        <w:rPr>
          <w:sz w:val="20"/>
          <w:szCs w:val="20"/>
          <w:color w:val="auto"/>
        </w:rPr>
      </w:pPr>
    </w:p>
    <w:p>
      <w:pPr>
        <w:spacing w:after="0" w:line="2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AMETEK, Inc. and will be retained by AMETEK, Inc. and furnished to the Securities and Exchange Commission or its staff upon request.</w:t>
      </w:r>
    </w:p>
    <w:p>
      <w:pPr>
        <w:sectPr>
          <w:pgSz w:w="11900" w:h="16838" w:orient="portrait"/>
          <w:cols w:equalWidth="0" w:num="1">
            <w:col w:w="11240"/>
          </w:cols>
          <w:pgMar w:left="320" w:top="995"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AMETEK, Inc. (the “Company”) on Form 10-Q for the quarter ended June 30, 2022 as filed with the Securities and Exchange Commission on the date hereof (the “Report”), I, William J. Burke, Executive Vice President – Chief Financial Officer of the Company, certify, pursuant to 18 U.S.C. Section 1350, as adopted pursuant to Section 906 of the Sarbanes-Oxley Act of 2002, that:</w:t>
      </w:r>
    </w:p>
    <w:p>
      <w:pPr>
        <w:spacing w:after="0" w:line="68"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6"/>
          <w:szCs w:val="16"/>
          <w:color w:val="auto"/>
        </w:rPr>
        <w:t>ILLIAM</w:t>
      </w:r>
      <w:r>
        <w:rPr>
          <w:rFonts w:ascii="Times New Roman" w:cs="Times New Roman" w:eastAsia="Times New Roman" w:hAnsi="Times New Roman"/>
          <w:sz w:val="18"/>
          <w:szCs w:val="18"/>
          <w:color w:val="auto"/>
        </w:rPr>
        <w:t xml:space="preserve"> J. B</w:t>
      </w:r>
      <w:r>
        <w:rPr>
          <w:rFonts w:ascii="Times New Roman" w:cs="Times New Roman" w:eastAsia="Times New Roman" w:hAnsi="Times New Roman"/>
          <w:sz w:val="16"/>
          <w:szCs w:val="16"/>
          <w:color w:val="auto"/>
        </w:rPr>
        <w:t>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00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J. Burke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pacing w:after="0" w:line="200" w:lineRule="exact"/>
        <w:rPr>
          <w:sz w:val="20"/>
          <w:szCs w:val="20"/>
          <w:color w:val="auto"/>
        </w:rPr>
      </w:pPr>
    </w:p>
    <w:p>
      <w:pPr>
        <w:spacing w:after="0" w:line="2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AMETEK, Inc. and will be retained by AMETEK, Inc. and furnished to the Securities and Exchange Commission or its staff upon request.</w:t>
      </w: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1"/>
    </w:lvl>
  </w:abstractNum>
  <w:abstractNum w:abstractNumId="7">
    <w:nsid w:val="1F16E9E8"/>
    <w:multiLevelType w:val="hybridMultilevel"/>
    <w:lvl w:ilvl="0">
      <w:lvlJc w:val="left"/>
      <w:lvlText w:val="1"/>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04"/>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2022-08-02T13:07:33Z</dcterms:created>
  <dcterms:modified xsi:type="dcterms:W3CDTF">2022-08-02T13:07:33Z</dcterms:modified>
</cp:coreProperties>
</file>