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229" w:right="339" w:bottom="19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April 29, 2022 was 230,910,009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2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240" w:type="dxa"/>
            <w:vAlign w:val="bottom"/>
            <w:gridSpan w:val="17"/>
            <w:vMerge w:val="continue"/>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18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months ended March 31, 2022 and 2021</w:t>
            </w:r>
          </w:p>
        </w:tc>
        <w:tc>
          <w:tcPr>
            <w:tcW w:w="32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months ended March 31, 2022 and 2021</w:t>
            </w:r>
          </w:p>
        </w:tc>
        <w:tc>
          <w:tcPr>
            <w:tcW w:w="1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Balance Sheet at March 31, 2022 and December 31,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 of Stockholders’ Equity for the three months ended March 31,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 of Cash Flows for the three months ended March 31, 2022 and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080" w:type="dxa"/>
            <w:vAlign w:val="bottom"/>
            <w:gridSpan w:val="2"/>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82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50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4940" w:type="dxa"/>
            <w:vAlign w:val="bottom"/>
            <w:gridSpan w:val="7"/>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8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6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1,458,525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1,215,742</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948,833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789,392</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156,452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133,005</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1,105,285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922,397</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353,240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336,222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272,456</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53,223</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272,447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219,233</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231,481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230,435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233,065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232,296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0.22</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22225</wp:posOffset>
            </wp:positionV>
            <wp:extent cx="1602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7" w:lineRule="exact"/>
        <w:rPr>
          <w:sz w:val="20"/>
          <w:szCs w:val="20"/>
          <w:color w:val="auto"/>
        </w:rPr>
      </w:pPr>
    </w:p>
    <w:p>
      <w:pPr>
        <w:ind w:left="9200"/>
        <w:spacing w:after="0"/>
        <w:tabs>
          <w:tab w:leader="none" w:pos="104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44" w:lineRule="exact"/>
        <w:rPr>
          <w:sz w:val="20"/>
          <w:szCs w:val="20"/>
          <w:color w:val="auto"/>
        </w:rPr>
      </w:pPr>
    </w:p>
    <w:p>
      <w:pPr>
        <w:ind w:left="20"/>
        <w:spacing w:after="0"/>
        <w:tabs>
          <w:tab w:leader="none" w:pos="8720" w:val="left"/>
          <w:tab w:leader="none" w:pos="9280" w:val="left"/>
          <w:tab w:leader="none" w:pos="10060" w:val="left"/>
          <w:tab w:leader="none" w:pos="10560" w:val="left"/>
        </w:tabs>
        <w:rPr>
          <w:sz w:val="20"/>
          <w:szCs w:val="20"/>
          <w:color w:val="auto"/>
        </w:rPr>
      </w:pPr>
      <w:r>
        <w:rPr>
          <w:rFonts w:ascii="Times New Roman" w:cs="Times New Roman" w:eastAsia="Times New Roman" w:hAnsi="Times New Roman"/>
          <w:sz w:val="18"/>
          <w:szCs w:val="18"/>
          <w:b w:val="1"/>
          <w:bCs w:val="1"/>
          <w:color w:val="auto"/>
        </w:rPr>
        <w:t>Total comprehensive income</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257,301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210,826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340,304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346,772</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854,457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829,213</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866,472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769,175</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211,582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183,605</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2,272,815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2,128,765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617,138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169,924</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5,218,920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5,238,726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3,312,384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3,368,629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387,621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375,005</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11,972,029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11,898,187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331,426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315,093</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504,249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470,252</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322,887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298,728</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35,904</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443,337</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1,590,735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1,563,314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2,204,592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2,229,148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715,645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719,675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529,369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514,166</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5,040,341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5,026,303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1,012,526</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8,121,781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7,900,113</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(470,444)</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(1,725,629)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(1,573,000)</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6,931,688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6,871,884</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11,972,029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11,898,187</w:t>
            </w: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Shares issued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0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921,752</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1,018,433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928,412</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7,094,656</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219,233</w:t>
            </w: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(46,033)</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8,121,781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7,267,856</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(250,748)</w:t>
            </w:r>
          </w:p>
        </w:tc>
        <w:tc>
          <w:tcPr>
            <w:tcW w:w="0" w:type="dxa"/>
            <w:vAlign w:val="bottom"/>
          </w:tcPr>
          <w:p>
            <w:pPr>
              <w:spacing w:after="0"/>
              <w:rPr>
                <w:sz w:val="1"/>
                <w:szCs w:val="1"/>
                <w:color w:val="auto"/>
              </w:rPr>
            </w:pPr>
          </w:p>
        </w:tc>
      </w:tr>
      <w:tr>
        <w:trPr>
          <w:trHeight w:val="229"/>
        </w:trPr>
        <w:tc>
          <w:tcPr>
            <w:tcW w:w="8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0" w:type="dxa"/>
            <w:vAlign w:val="bottom"/>
          </w:tcPr>
          <w:p>
            <w:pPr>
              <w:spacing w:after="0"/>
              <w:rPr>
                <w:sz w:val="1"/>
                <w:szCs w:val="1"/>
                <w:color w:val="auto"/>
              </w:rPr>
            </w:pPr>
          </w:p>
        </w:tc>
      </w:tr>
      <w:tr>
        <w:trPr>
          <w:trHeight w:val="175"/>
        </w:trPr>
        <w:tc>
          <w:tcPr>
            <w:tcW w:w="87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investment hedge instruments gain, net of tax of $(5,831) and $(5,938) for the quarter ended March 31,</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17,906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2022 and 2021, respectively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18,358</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(291,511)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(260,785)</w:t>
            </w:r>
          </w:p>
        </w:tc>
        <w:tc>
          <w:tcPr>
            <w:tcW w:w="0" w:type="dxa"/>
            <w:vAlign w:val="bottom"/>
          </w:tcPr>
          <w:p>
            <w:pPr>
              <w:spacing w:after="0"/>
              <w:rPr>
                <w:sz w:val="1"/>
                <w:szCs w:val="1"/>
                <w:color w:val="auto"/>
              </w:rPr>
            </w:pPr>
          </w:p>
        </w:tc>
      </w:tr>
      <w:tr>
        <w:trPr>
          <w:trHeight w:val="209"/>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(253,720)</w:t>
            </w:r>
          </w:p>
        </w:tc>
        <w:tc>
          <w:tcPr>
            <w:tcW w:w="0" w:type="dxa"/>
            <w:vAlign w:val="bottom"/>
          </w:tcPr>
          <w:p>
            <w:pPr>
              <w:spacing w:after="0"/>
              <w:rPr>
                <w:sz w:val="1"/>
                <w:szCs w:val="1"/>
                <w:color w:val="auto"/>
              </w:rPr>
            </w:pPr>
          </w:p>
        </w:tc>
      </w:tr>
      <w:tr>
        <w:trPr>
          <w:trHeight w:val="175"/>
        </w:trPr>
        <w:tc>
          <w:tcPr>
            <w:tcW w:w="872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and other, net of tax of $(326) and $(527) for the quarter ended March 31,</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2022 and 2021, respectively</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(252,090)</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Accumulated other comprehensive loss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(485,590)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(512,875)</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(1,565,270)</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(156,724)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(1,725,629)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(1,565,323)</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6,931,688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6,120,748</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219,233</w:t>
            </w: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78,121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64,617</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Gain on sale of facilities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w:t>
            </w:r>
          </w:p>
        </w:tc>
      </w:tr>
      <w:tr>
        <w:trPr>
          <w:trHeight w:val="229"/>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3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284,407</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(263,948)</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(284,502)</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(32,950)</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(156,724)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(46,033)</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(187,443)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(84,006)</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(89,162)</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1,212,822</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340,304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1,123,660</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March 31, 2022, the consolidated results of its operations for the three months ended March 31, 2022 and 2021 and its cash flows for the three months ended March 31, 2022 and 2021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2021 as filed with the U.S. Securities and Exchange Commission.</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w:t>
      </w:r>
    </w:p>
    <w:p>
      <w:pPr>
        <w:spacing w:after="0" w:line="11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which provides a single comprehensive accounting model for the acquisition of contract balances under ASC 805. ASU 2021-08 is effective for fiscal years beginning after December 15, 2022. Early adoption is permitted. The Company early adopted the ASU on January 1, 2022, and the amendments in this ASU were applied on a prospective basis to all periods presented. The adoption of ASU 2021-08 did not impact the Company's consolidated results of operations, financial position, cash flows, or financial statement disclosures.</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March 31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102,703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71,415</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328,816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215,093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March 31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351,053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(increase) decrease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(22,237)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net change for the three months ended March 31, 2022 was primarily driven by contract liabilities, specifically broad-based growth in advance payments from customers. For the three months ended March 31, 2022 and 2021, the Company recognized revenue of $181.6 million and $132.0 million, respectively, that was previously included in the beginning balance of contract liabilities.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March 31, 2022 and December 31, 2021, $28.3 million and $30.1 million of Customer advanced payments (contract liabilities), respectively, were recorded in Other long-term liabilities in the consolidated balance sheets.</w:t>
      </w:r>
    </w:p>
    <w:p>
      <w:pPr>
        <w:spacing w:after="0" w:line="176"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March 31, 2022 and December 31, 2021 were $305.9 million and $342.5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months ended March 31: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7"/>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6"/>
                <w:szCs w:val="16"/>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7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7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483,626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230,641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714,267</w:t>
            </w:r>
          </w:p>
        </w:tc>
      </w:tr>
      <w:tr>
        <w:trPr>
          <w:trHeight w:val="210"/>
        </w:trPr>
        <w:tc>
          <w:tcPr>
            <w:tcW w:w="77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56,712</w:t>
            </w:r>
          </w:p>
        </w:tc>
      </w:tr>
      <w:tr>
        <w:trPr>
          <w:trHeight w:val="229"/>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120,714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234,863</w:t>
            </w: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256,420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319,826</w:t>
            </w:r>
          </w:p>
        </w:tc>
      </w:tr>
      <w:tr>
        <w:trPr>
          <w:trHeight w:val="229"/>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132,857</w:t>
            </w:r>
          </w:p>
        </w:tc>
      </w:tr>
      <w:tr>
        <w:trPr>
          <w:trHeight w:val="22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504,133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240,125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744,258</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987,759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470,766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1,458,525</w:t>
            </w:r>
          </w:p>
        </w:tc>
      </w:tr>
      <w:tr>
        <w:trPr>
          <w:trHeight w:val="21"/>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$409.2 million for the three months ended March 31, 2022.</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7"/>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388,901</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599,083</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51,998</w:t>
            </w:r>
          </w:p>
        </w:tc>
        <w:tc>
          <w:tcPr>
            <w:tcW w:w="0" w:type="dxa"/>
            <w:vAlign w:val="bottom"/>
          </w:tcPr>
          <w:p>
            <w:pPr>
              <w:spacing w:after="0"/>
              <w:rPr>
                <w:sz w:val="1"/>
                <w:szCs w:val="1"/>
                <w:color w:val="auto"/>
              </w:rPr>
            </w:pPr>
          </w:p>
        </w:tc>
      </w:tr>
      <w:tr>
        <w:trPr>
          <w:trHeight w:val="229"/>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198,962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258,755</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106,944</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616,659</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790,924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1,215,742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7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(1)  Includes U.S. export sales of $331.2 million for the three months ended March 31, 2021.</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gridSpan w:val="7"/>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692,692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692,692</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295,067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126,742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421,809</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344,024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344,024</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987,759</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470,766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1,458,525</w:t>
            </w: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Aerospace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EIG</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EMG</w:t>
            </w: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3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576,559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576,559</w:t>
            </w:r>
          </w:p>
        </w:tc>
      </w:tr>
      <w:tr>
        <w:trPr>
          <w:trHeight w:val="229"/>
        </w:trPr>
        <w:tc>
          <w:tcPr>
            <w:tcW w:w="26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214,365</w:t>
            </w:r>
          </w:p>
        </w:tc>
        <w:tc>
          <w:tcPr>
            <w:tcW w:w="180" w:type="dxa"/>
            <w:vAlign w:val="bottom"/>
          </w:tcPr>
          <w:p>
            <w:pPr>
              <w:spacing w:after="0"/>
              <w:rPr>
                <w:sz w:val="19"/>
                <w:szCs w:val="19"/>
                <w:color w:val="auto"/>
              </w:rPr>
            </w:pP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122,173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336,538</w:t>
            </w:r>
          </w:p>
        </w:tc>
      </w:tr>
      <w:tr>
        <w:trPr>
          <w:trHeight w:val="234"/>
        </w:trPr>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302,645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2459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ind w:left="460" w:hanging="439"/>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790,924  $424,818  $   1,215,742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24599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59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22459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9" w:lineRule="exact"/>
        <w:rPr>
          <w:sz w:val="20"/>
          <w:szCs w:val="20"/>
          <w:color w:val="auto"/>
        </w:rPr>
      </w:pPr>
    </w:p>
    <w:p>
      <w:pPr>
        <w:ind w:left="420"/>
        <w:spacing w:after="0"/>
        <w:tabs>
          <w:tab w:leader="none" w:pos="1580" w:val="left"/>
          <w:tab w:leader="none" w:pos="2800" w:val="left"/>
        </w:tabs>
        <w:rPr>
          <w:sz w:val="20"/>
          <w:szCs w:val="20"/>
          <w:color w:val="auto"/>
        </w:rPr>
      </w:pPr>
      <w:r>
        <w:rPr>
          <w:rFonts w:ascii="Times New Roman" w:cs="Times New Roman" w:eastAsia="Times New Roman" w:hAnsi="Times New Roman"/>
          <w:sz w:val="14"/>
          <w:szCs w:val="14"/>
          <w:b w:val="1"/>
          <w:bCs w:val="1"/>
          <w:color w:val="auto"/>
        </w:rPr>
        <w:t>EIG</w:t>
      </w:r>
      <w:r>
        <w:rPr>
          <w:sz w:val="20"/>
          <w:szCs w:val="20"/>
          <w:color w:val="auto"/>
        </w:rPr>
        <w:tab/>
      </w:r>
      <w:r>
        <w:rPr>
          <w:rFonts w:ascii="Times New Roman" w:cs="Times New Roman" w:eastAsia="Times New Roman" w:hAnsi="Times New Roman"/>
          <w:sz w:val="14"/>
          <w:szCs w:val="14"/>
          <w:b w:val="1"/>
          <w:bCs w:val="1"/>
          <w:color w:val="auto"/>
        </w:rPr>
        <w:t>EMG</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2459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7" w:lineRule="exact"/>
        <w:rPr>
          <w:sz w:val="20"/>
          <w:szCs w:val="20"/>
          <w:color w:val="auto"/>
        </w:rPr>
      </w:pPr>
    </w:p>
    <w:p>
      <w:pPr>
        <w:ind w:left="460" w:hanging="439"/>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812,948  $    412,654  $  1,225,602</w:t>
      </w:r>
    </w:p>
    <w:p>
      <w:pPr>
        <w:spacing w:after="0" w:line="31" w:lineRule="exact"/>
        <w:rPr>
          <w:sz w:val="20"/>
          <w:szCs w:val="20"/>
          <w:color w:val="auto"/>
        </w:rPr>
      </w:pPr>
    </w:p>
    <w:p>
      <w:pPr>
        <w:jc w:val="both"/>
        <w:ind w:left="460"/>
        <w:spacing w:after="0"/>
        <w:tabs>
          <w:tab w:leader="none" w:pos="1740" w:val="left"/>
          <w:tab w:leader="none" w:pos="2860" w:val="left"/>
        </w:tabs>
        <w:rPr>
          <w:sz w:val="20"/>
          <w:szCs w:val="20"/>
          <w:color w:val="auto"/>
        </w:rPr>
      </w:pPr>
      <w:r>
        <w:rPr>
          <w:rFonts w:ascii="Times New Roman" w:cs="Times New Roman" w:eastAsia="Times New Roman" w:hAnsi="Times New Roman"/>
          <w:sz w:val="18"/>
          <w:szCs w:val="18"/>
          <w:b w:val="1"/>
          <w:bCs w:val="1"/>
          <w:color w:val="auto"/>
        </w:rPr>
        <w:t>174,811</w:t>
      </w:r>
      <w:r>
        <w:rPr>
          <w:sz w:val="20"/>
          <w:szCs w:val="20"/>
          <w:color w:val="auto"/>
        </w:rPr>
        <w:tab/>
      </w:r>
      <w:r>
        <w:rPr>
          <w:rFonts w:ascii="Times New Roman" w:cs="Times New Roman" w:eastAsia="Times New Roman" w:hAnsi="Times New Roman"/>
          <w:sz w:val="18"/>
          <w:szCs w:val="18"/>
          <w:b w:val="1"/>
          <w:bCs w:val="1"/>
          <w:color w:val="auto"/>
        </w:rPr>
        <w:t>58,112</w:t>
      </w:r>
      <w:r>
        <w:rPr>
          <w:sz w:val="20"/>
          <w:szCs w:val="20"/>
          <w:color w:val="auto"/>
        </w:rPr>
        <w:tab/>
      </w:r>
      <w:r>
        <w:rPr>
          <w:rFonts w:ascii="Times New Roman" w:cs="Times New Roman" w:eastAsia="Times New Roman" w:hAnsi="Times New Roman"/>
          <w:sz w:val="17"/>
          <w:szCs w:val="17"/>
          <w:b w:val="1"/>
          <w:bCs w:val="1"/>
          <w:color w:val="auto"/>
        </w:rPr>
        <w:t>232,923</w:t>
      </w:r>
    </w:p>
    <w:p>
      <w:pPr>
        <w:spacing w:after="0" w:line="27" w:lineRule="exact"/>
        <w:rPr>
          <w:sz w:val="20"/>
          <w:szCs w:val="20"/>
          <w:color w:val="auto"/>
        </w:rPr>
      </w:pPr>
    </w:p>
    <w:p>
      <w:pPr>
        <w:ind w:left="460" w:hanging="439"/>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987,759  $    470,766  $  1,458,525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2245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22459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9" w:lineRule="exact"/>
        <w:rPr>
          <w:sz w:val="20"/>
          <w:szCs w:val="20"/>
          <w:color w:val="auto"/>
        </w:rPr>
      </w:pPr>
    </w:p>
    <w:p>
      <w:pPr>
        <w:ind w:left="420"/>
        <w:spacing w:after="0"/>
        <w:tabs>
          <w:tab w:leader="none" w:pos="1580" w:val="left"/>
          <w:tab w:leader="none" w:pos="2800" w:val="left"/>
        </w:tabs>
        <w:rPr>
          <w:sz w:val="20"/>
          <w:szCs w:val="20"/>
          <w:color w:val="auto"/>
        </w:rPr>
      </w:pPr>
      <w:r>
        <w:rPr>
          <w:rFonts w:ascii="Times New Roman" w:cs="Times New Roman" w:eastAsia="Times New Roman" w:hAnsi="Times New Roman"/>
          <w:sz w:val="14"/>
          <w:szCs w:val="14"/>
          <w:b w:val="1"/>
          <w:bCs w:val="1"/>
          <w:color w:val="auto"/>
        </w:rPr>
        <w:t>EIG</w:t>
      </w:r>
      <w:r>
        <w:rPr>
          <w:sz w:val="20"/>
          <w:szCs w:val="20"/>
          <w:color w:val="auto"/>
        </w:rPr>
        <w:tab/>
      </w:r>
      <w:r>
        <w:rPr>
          <w:rFonts w:ascii="Times New Roman" w:cs="Times New Roman" w:eastAsia="Times New Roman" w:hAnsi="Times New Roman"/>
          <w:sz w:val="14"/>
          <w:szCs w:val="14"/>
          <w:b w:val="1"/>
          <w:bCs w:val="1"/>
          <w:color w:val="auto"/>
        </w:rPr>
        <w:t>EMG</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2459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1" w:lineRule="exact"/>
        <w:rPr>
          <w:sz w:val="20"/>
          <w:szCs w:val="20"/>
          <w:color w:val="auto"/>
        </w:rPr>
      </w:pPr>
    </w:p>
    <w:p>
      <w:pPr>
        <w:ind w:left="460" w:hanging="439"/>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647,252  $383,031  $   1,030,283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185,459</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790,924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1,215,742</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29" w:lineRule="exact"/>
        <w:rPr>
          <w:sz w:val="20"/>
          <w:szCs w:val="20"/>
          <w:color w:val="auto"/>
        </w:rPr>
      </w:pPr>
    </w:p>
    <w:p>
      <w:pPr>
        <w:sectPr>
          <w:pgSz w:w="11900" w:h="16838" w:orient="portrait"/>
          <w:cols w:equalWidth="0" w:num="2">
            <w:col w:w="7300" w:space="400"/>
            <w:col w:w="3540"/>
          </w:cols>
          <w:pgMar w:left="320" w:top="121" w:right="339" w:bottom="1440" w:gutter="0" w:footer="0" w:header="0"/>
        </w:sect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192"/>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27,839</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27,042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27,228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At March 31, 2022, the Company had $854.5 million of accounts receivable, net of allowances of $10.9 million. Changes in the allowance were not material for the three months ended March 31, 2022.</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6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640" w:type="dxa"/>
            <w:vAlign w:val="bottom"/>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640" w:type="dxa"/>
            <w:vAlign w:val="bottom"/>
          </w:tcPr>
          <w:p>
            <w:pPr>
              <w:spacing w:after="0"/>
              <w:rPr>
                <w:sz w:val="17"/>
                <w:szCs w:val="17"/>
                <w:color w:val="auto"/>
              </w:rPr>
            </w:pPr>
          </w:p>
        </w:tc>
        <w:tc>
          <w:tcPr>
            <w:tcW w:w="1800" w:type="dxa"/>
            <w:vAlign w:val="bottom"/>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r>
      <w:tr>
        <w:trPr>
          <w:trHeight w:val="23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231,481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230,435</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233,065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232,296</w:t>
            </w:r>
          </w:p>
        </w:tc>
      </w:tr>
      <w:tr>
        <w:trPr>
          <w:trHeight w:val="21"/>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December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120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11,283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10,703</w:t>
            </w:r>
          </w:p>
        </w:tc>
      </w:tr>
    </w:tbl>
    <w:p>
      <w:pPr>
        <w:spacing w:after="0" w:line="198" w:lineRule="exact"/>
        <w:rPr>
          <w:sz w:val="20"/>
          <w:szCs w:val="20"/>
          <w:color w:val="auto"/>
        </w:rPr>
      </w:pPr>
    </w:p>
    <w:p>
      <w:pPr>
        <w:ind w:right="800"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62" w:lineRule="exact"/>
        <w:rPr>
          <w:sz w:val="20"/>
          <w:szCs w:val="20"/>
          <w:color w:val="auto"/>
        </w:rPr>
      </w:pPr>
    </w:p>
    <w:p>
      <w:pPr>
        <w:ind w:right="140" w:firstLine="567"/>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gains and losses on the investments noted above were not significant. No transfers between level 1 and level 2 investments occurred during the three months ended March 31, 2022 and 2021.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March 31, 2022 and December 31, 2021 in the accompanying consolidated balance sheet.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March 31, 2022 and December 31,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6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40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4"/>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7"/>
                <w:szCs w:val="17"/>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(2,208,928)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(2,243,340)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(2,233,705)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(2,378,930)</w:t>
            </w: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March 31, 2022, these net investment hedges included British-pound-and Euro-denominated long-term debt. These borrowings were designed to create net investment hedges in certain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March 31, 2022, the Company had $295.9 million of British-pound-denominated loans, which were designated as a hedge against the net investment in British pound functional currency foreign subsidiaries. At March 31, 2022, the Company had $596.2 million in Euro-denominated loans, which were designated as a hedge against the net investment in Euro functional currency foreign subsidiaries. As a result of the British-pound- and Euro-denominated loans designated and 100% effective as net investment hedges, $23.7 million of pre-tax currency remeasurement gains have been included in the foreign currency translation component of other comprehensive income for the three months ended March 31, 2022.</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404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4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40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617,333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40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866,472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769,175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400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229" w:lineRule="exact"/>
        <w:rPr>
          <w:sz w:val="20"/>
          <w:szCs w:val="20"/>
          <w:color w:val="auto"/>
        </w:rPr>
      </w:pPr>
    </w:p>
    <w:p>
      <w:pPr>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three months ended March 31, 2022 and 2021. The Company's leases have initial lease terms ranging from one month to 16 years. Certain lease agreements contain provisions for future rent increases.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0"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15,378</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040" w:type="dxa"/>
            <w:vAlign w:val="bottom"/>
          </w:tcPr>
          <w:p>
            <w:pPr>
              <w:spacing w:after="0"/>
              <w:rPr>
                <w:sz w:val="21"/>
                <w:szCs w:val="21"/>
                <w:color w:val="auto"/>
              </w:rPr>
            </w:pPr>
          </w:p>
        </w:tc>
        <w:tc>
          <w:tcPr>
            <w:tcW w:w="146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16"/>
                <w:szCs w:val="16"/>
                <w:color w:val="auto"/>
              </w:rPr>
            </w:pPr>
          </w:p>
        </w:tc>
        <w:tc>
          <w:tcPr>
            <w:tcW w:w="14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6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169,279</w:t>
            </w: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47,473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47,353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6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127,620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6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175,093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March 31, 2022 were as follows:</w:t>
            </w: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8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2022</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182,690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r>
      <w:tr>
        <w:trPr>
          <w:trHeight w:val="229"/>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4,063.0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5,218.9</w:t>
            </w:r>
          </w:p>
        </w:tc>
      </w:tr>
      <w:tr>
        <w:trPr>
          <w:trHeight w:val="21"/>
        </w:trPr>
        <w:tc>
          <w:tcPr>
            <w:tcW w:w="6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finalizing its measurements of certain tangible and intangible assets and liabilities for its November 2021 acquisition of Alphasense.</w:t>
      </w:r>
    </w:p>
    <w:p>
      <w:pPr>
        <w:spacing w:after="0" w:line="2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At March 31, 2022, the Company had gross uncertain tax benefits of $154.1 million, of which $113.8 million, if recognized, would impact the effective tax rate.</w:t>
      </w:r>
    </w:p>
    <w:p>
      <w:pPr>
        <w:sectPr>
          <w:pgSz w:w="11900" w:h="16838" w:orient="portrait"/>
          <w:cols w:equalWidth="0" w:num="1">
            <w:col w:w="11220"/>
          </w:cols>
          <w:pgMar w:left="320" w:top="121" w:right="35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28" w:hanging="1028"/>
        <w:spacing w:after="0"/>
        <w:tabs>
          <w:tab w:leader="none" w:pos="102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147.0</w:t>
      </w:r>
    </w:p>
    <w:p>
      <w:pPr>
        <w:spacing w:after="0" w:line="38" w:lineRule="exact"/>
        <w:rPr>
          <w:rFonts w:ascii="Times New Roman" w:cs="Times New Roman" w:eastAsia="Times New Roman" w:hAnsi="Times New Roman"/>
          <w:sz w:val="17"/>
          <w:szCs w:val="17"/>
          <w:color w:val="auto"/>
        </w:rPr>
      </w:pPr>
    </w:p>
    <w:p>
      <w:pPr>
        <w:ind w:left="12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7.1</w:t>
      </w:r>
    </w:p>
    <w:p>
      <w:pPr>
        <w:spacing w:after="0" w:line="34" w:lineRule="exact"/>
        <w:rPr>
          <w:rFonts w:ascii="Times New Roman" w:cs="Times New Roman" w:eastAsia="Times New Roman" w:hAnsi="Times New Roman"/>
          <w:sz w:val="17"/>
          <w:szCs w:val="17"/>
          <w:color w:val="auto"/>
        </w:rPr>
      </w:pPr>
    </w:p>
    <w:p>
      <w:pPr>
        <w:ind w:left="124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9683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52705</wp:posOffset>
            </wp:positionV>
            <wp:extent cx="9683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8972" w:space="720"/>
            <w:col w:w="1528"/>
          </w:cols>
          <w:pgMar w:left="320" w:top="121" w:right="359" w:bottom="1440" w:gutter="0" w:footer="0" w:header="0"/>
          <w:type w:val="continuous"/>
        </w:sectPr>
      </w:pPr>
    </w:p>
    <w:p>
      <w:pPr>
        <w:spacing w:after="0" w:line="5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months ended March 31, 2022 and 2021 were not significant.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effective tax rate for the three months ended March 31, 2022 was 19.0%, compared with 19.5% for the three months ended March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lower effective tax rate in 2022 is primarily due to a favorable foreign tax rate differential.</w:t>
      </w:r>
    </w:p>
    <w:p>
      <w:pPr>
        <w:spacing w:after="0" w:line="200" w:lineRule="exact"/>
        <w:rPr>
          <w:sz w:val="20"/>
          <w:szCs w:val="20"/>
          <w:color w:val="auto"/>
        </w:rPr>
      </w:pPr>
    </w:p>
    <w:p>
      <w:pPr>
        <w:spacing w:after="0" w:line="24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April 26, 2021,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and restates the Company’s existing revolving credit facility to add a new five-year, delayed draw, term loan for up to $800 million. The credit agreement places certain restrictions on allowable additional indebtedness. At March 31, 2022, the Company had $150.0 million outstanding on the term loan with a maturity date of June 2026. The Company's ability to draw on the term loan expired on April 26, 2022, with no additional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3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9,571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w:t>
            </w:r>
          </w:p>
        </w:tc>
      </w:tr>
      <w:tr>
        <w:trPr>
          <w:trHeight w:val="20"/>
        </w:trPr>
        <w:tc>
          <w:tcPr>
            <w:tcW w:w="8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24.5 %</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0.85 %</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0.65 %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0.66 %</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32.54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25.63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The following is a summary of the Company’s stock option activity and related information:</w:t>
      </w: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p>
      <w:pPr>
        <w:ind w:left="6900"/>
        <w:spacing w:after="0" w:line="209" w:lineRule="auto"/>
        <w:rPr>
          <w:sz w:val="20"/>
          <w:szCs w:val="20"/>
          <w:color w:val="auto"/>
        </w:rPr>
      </w:pPr>
      <w:r>
        <w:rPr>
          <w:rFonts w:ascii="Times New Roman" w:cs="Times New Roman" w:eastAsia="Times New Roman" w:hAnsi="Times New Roman"/>
          <w:sz w:val="14"/>
          <w:szCs w:val="14"/>
          <w:b w:val="1"/>
          <w:bCs w:val="1"/>
          <w:color w:val="auto"/>
        </w:rPr>
        <w:t>Average</w:t>
      </w:r>
    </w:p>
    <w:p>
      <w:pPr>
        <w:ind w:left="6880"/>
        <w:spacing w:after="0" w:line="221" w:lineRule="auto"/>
        <w:rPr>
          <w:sz w:val="20"/>
          <w:szCs w:val="20"/>
          <w:color w:val="auto"/>
        </w:rPr>
      </w:pPr>
      <w:r>
        <w:rPr>
          <w:rFonts w:ascii="Times New Roman" w:cs="Times New Roman" w:eastAsia="Times New Roman" w:hAnsi="Times New Roman"/>
          <w:sz w:val="14"/>
          <w:szCs w:val="14"/>
          <w:b w:val="1"/>
          <w:bCs w:val="1"/>
          <w:color w:val="auto"/>
        </w:rPr>
        <w:t>Exercise</w:t>
      </w:r>
    </w:p>
    <w:p>
      <w:pPr>
        <w:spacing w:after="0" w:line="1" w:lineRule="exact"/>
        <w:rPr>
          <w:sz w:val="20"/>
          <w:szCs w:val="20"/>
          <w:color w:val="auto"/>
        </w:rPr>
      </w:pPr>
    </w:p>
    <w:p>
      <w:pPr>
        <w:ind w:left="5300"/>
        <w:spacing w:after="0"/>
        <w:tabs>
          <w:tab w:leader="none" w:pos="696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22225</wp:posOffset>
            </wp:positionV>
            <wp:extent cx="20142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16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6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9"/>
        </w:trPr>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440" w:space="580"/>
            <w:col w:w="3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91.75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2,361</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70.86</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147.1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three months ended March 31, 2022 was $8.9 million. The total fair value of stock options vested during the three months ended March 31, 2022 was $7.3 million. As of March 31, 2022, there was approximately $28.0 million of expected future pre-tax compensation expense related to the 1.4</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134.71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86.05</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100.34</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three months ended March 31, 2022 was $9.3 million. As of March 31, 2022, there was approximately $44.2 million of expected future pre-tax compensation expense related to the 0.5 million non-vested restricted shares outstanding, which is expected to be recognized over a weighted average period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March 2022,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81.76</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81.76</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89.73</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March 31,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101.97</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2022, there was approximately $17.3 million of expected future pre-tax compensation expense related to the 0.3 million non-vested restricted shares outstanding, which is expected to be recognized over a weighted average period of less than one year.</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3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(15,268)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(6,600)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contributions to the Company’s defined benefit pension plans were $2.1 million and $2.0 million, respectively. The Company’s current estimate of 2022 contributions to its worldwide defined benefit pension plans is in line with the range disclosed in Note 12 of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tab/>
        <w:t>Contingencies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March 31, 2022,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9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March 31, 2022 and December 31, 2021 were $36.9 million and $37.2 million, respectively, for both non-owned and owned sites. For the three months ended March 31, 2022, the Company recorded $2.3 million in reserves. Additionally, the Company spent $2.6 million on environmental matters for the three months ended March 31, 2022.</w:t>
      </w:r>
    </w:p>
    <w:p>
      <w:pPr>
        <w:spacing w:after="0" w:line="176"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net sales and income by reportable segment and on a consolidated basis:</w:t>
      </w:r>
    </w:p>
    <w:p>
      <w:pPr>
        <w:spacing w:after="0" w:line="13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3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987,759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790,924</w:t>
            </w: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470,766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424,818</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1,458,525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1,215,742</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8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and income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Electronic Instruments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244,774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206,897</w:t>
            </w:r>
          </w:p>
        </w:tc>
      </w:tr>
      <w:tr>
        <w:trPr>
          <w:trHeight w:val="229"/>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Electromechanical</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128,209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105,033</w:t>
            </w:r>
          </w:p>
        </w:tc>
      </w:tr>
      <w:tr>
        <w:trPr>
          <w:trHeight w:val="223"/>
        </w:trPr>
        <w:tc>
          <w:tcPr>
            <w:tcW w:w="8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372,983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311,930</w:t>
            </w:r>
          </w:p>
        </w:tc>
      </w:tr>
      <w:tr>
        <w:trPr>
          <w:trHeight w:val="229"/>
        </w:trPr>
        <w:tc>
          <w:tcPr>
            <w:tcW w:w="8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Corporate administrative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(18,585)</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353,240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293,345</w:t>
            </w:r>
          </w:p>
        </w:tc>
      </w:tr>
      <w:tr>
        <w:trPr>
          <w:trHeight w:val="229"/>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(18,947)</w:t>
            </w:r>
          </w:p>
        </w:tc>
      </w:tr>
      <w:tr>
        <w:trPr>
          <w:trHeight w:val="230"/>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income before income taxes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336,222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272,456</w:t>
            </w: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Events and Market Conditions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Recent events and market conditions impacting our business include the COVID-19 pandemic, increased material and transportation cost inflation, supply chain constraints, and Russia’s invasion of Ukraine. As a result of these events and conditions, we anticipate a challenging global economic environment for the remainder of 2022. There still remains uncertainty around the COVID-19 pandemic, its effect on labor, government mandated lockdowns and other restrictive measures, and the pandemic's ultimate duration. The recent lockdowns in China have limited our ability to access customer sites, operate certain facilities, and place additional constraints on our supply chain. Beginning in 2021, we experienced inflationary cost increases in material and transportation costs and we expect elevated levels of cost inflation to persist throughout 2022. We have taken steps to mitigate the impacts of inflation by implementing pricing actions. The invasion of Ukraine by Russia and the sanctions imposed in response to this conflict have increased global economic and political uncertainty. Russia and Ukraine represent an insignificant portion of our business, but a significant expansion of the conflict's current scope could further complicate the economic environment. While the ultimate impact of these events remains uncertain, we will continue to evaluate the extent to which these factors will impact our business, financial condition, or results of operations.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quarter of 2022 compared with the first quarter of 2021</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2022, the Company posted a record backlog as well as strong sales, operating income, net income, and orders. The Company achieved these results from organic sales growth in both EIG and EMG, contributions from the 2021 acquisitions of Abaco Systems, Inc., Magnetrol International, and NSI-MI Technologies, as well as the Company's Operational Excellence initiatives.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sales for the first quarter of 2022 were $1,458.5 million, an increase of $242.8 million or 20.0%, compared with net sales of $1,215.7 million for the first quarter of 2021. The increase in net sales for the first quarter of 2022 was due to a 14% increase in organic sales, a 7% increase from acquisitions, partially offset by an unfavorable 1% effect of foreign currency translation.</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quarter of 2022 were $744.4 million or 51.0% of net sales, an increase of $127.7 million or 20.7%, compared with international sales of $616.7 million or 50.7% of net sales for the first quarter of 2021. The increase in international sales was primarily driven by strong demand in Europe and Asia during the quarter as well as contributions from recent acquisitions.</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Orders for the first quarter of 2022 were $1,702.8 million, an increase of $305.2 million or 21.8%, compared with $1,397.6 million for the first quarter of 2021. The increase in orders for the first quarter of 2022 was due to an 18% increase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organic orders, a 5% increase from acquisitions, partially offset by an unfavorable 1% effect of foreign currency translation. As a result, the Company's backlog of unfilled orders at March 31, 2022 was a record $2,974.4 million, an increase of $244.3 million or 8.9% compared with $2,730.1 million at December 31, 2021.</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Segment operating income for the first quarter of 2022 was $373.0 million, an increase of $61.1 million or 19.6%, compared with segment operating income of $311.9 million for the first quarter of 2021. Segment operating income was positively impacted in 2022 by the increase in sales discussed above, as well as a $7.1 million gain on the sale of a facility. Segment operating margins, as a percentage of net sales, decreased slightly at 25.6% for the first quarter of 2022, compared with 25.7% for the first quarter of 2021. Segment operating margins were negatively impacted in the first quarter of 2022 by the dilutive impact of the 2021 acquisitions. Excluding the dilutive impact of recent acquisitions and the gain on sale of a facility, segment operating margins for the core businesses increased 120 basis points compared to the first quarter of 2021, due to benefits from the Company's Operational Excellence initiatives.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sales for the first quarter of 2022 was $948.8 million or 65.1% of net sales, an increase of $159.4 million or 20.2%, compared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$789.4 million or 64.9% of net sales for the first quarter of 2021. The cost of sales increase was primarily due to the net sales increase discussed above.</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first quarter of 2022 were $156.5 million or 10.7% of net sales, an increase of $23.5 million or 17.6%, compared with $133.0 million or 10.9% of net sales for the first quarter of 2021. Selling, general and administrative expenses increased primarily due to the net sales increase discussed above.</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$353.2 million or 24.2% of net sales for the first quarter of 2022, an increase of $59.9 million or 20.4%, compared with $293.3 million or 24.1% of net sales for the first quarter of 2021.</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$2.6 million for the first quarter of 2022, compared with $1.9 million of other expense, net for the first quarter of 2021, a change of $4.5 million. The first quarter of 2022 includes higher pension income of $2.5 million and lower due diligence expense compared to the first quarter of 2021.</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first quarter of 2022 was 19.0%, compared with 19.5% for the first quarter of 2021. The lower effective tax rate in 2022 is primarily due to a favorable foreign tax rate differential.</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quarter of 2022 was $272.4 million, an increase of $53.2 million or 24.3%, compared with $219.2 million for the first quarter of 2021.</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quarter of 2022 were $1.17, an increase of $0.23 or 24.5%, compared with $0.94 per diluted share for the first quarter of 2021.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$987.8 million for the first quarter of 2022, an increase of $196.8 million or 24.9%, compared with $790.9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2021. The net sales increase was due to a 15% increase in organic sales, and an 11% increase from acquisitions, partially offset by an unfavorable 1% effect of foreign currency translation.</w:t>
      </w:r>
    </w:p>
    <w:p>
      <w:pPr>
        <w:spacing w:after="0" w:line="17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EIG’s operating income was $244.8 million for the first quarter of 2022, an increase of $37.9 million or 18.3%, compared with $206.9 million for the first quarter of 2021. EIG’s operating margins were 24.8% of net sales for the first quarter of 2022, compared with 26.2% for the first quarter of 2021. EIG's operating margins were negatively impacted in the first quarter of 2022 by the dilutive impact of the 2021 acquisitions. Excluding the dilutive impact of recent acquisitions, EIG operating margins for the core business increased 130 basis points compared to the first quarter of 2021, due to benefits from the Company's Operational Excellence initiatives.</w:t>
      </w:r>
    </w:p>
    <w:p>
      <w:pPr>
        <w:spacing w:after="0" w:line="179"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$470.8 million for the first quarter of 2022, an increase of $46.0 million or 10.8%, compared with $424.8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2021. The net sales increase was due to a 12% organic sales increase, partially offset by an unfavorable 1% effect of foreign currency translation.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EMG’s operating income was a record $128.2 million for the first quarter of 2022, an increase of $23.2 million or 22.1%, compared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$105.0 million for the first quarter of 2021. EMG's operating income included a $7.1 million gain on the sale of a facility during the first quarter of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EMG’s operating margins were a record 27.2% of net sales for the first quarter of 2022, compared with 24.7% for the first quarter of 2021. Excluding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the sale of a facility, EMG operating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margins increased 100 basis points compared to the first quarter of 2021, due to benefits from the Company's Operational Excellence initiatives.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$201.3 million for the first three months of 2022, a decrease of $83.1 million or 29.2%, compared with $284.4 million for the first three months of 2021. The decrease in cash provided by operating activities for the first three months of 2022 was primarily due to higher investments in inventory to support sales and backlog growth, and also to mitigate inventory supply chain constraints.</w:t>
      </w:r>
    </w:p>
    <w:p>
      <w:pPr>
        <w:spacing w:after="0" w:line="176"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$175.0 million for the first three months of 2022, compared with $266.9 million for the first three months of 2021. EBITDA (earnings before interest, income taxes, depreciation and amortization) was $433.6 million for the first three months of 2022, compared with $355.5 million for the first three months of 2021. Free cash flow and EBITDA are presented because the Company is aware that they are measures used by third parties in evaluating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by investing activities totaled $14.9 million for the first three months of 2022, compared with cash used by investing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$284.5 million for the first three months of 2021. For the first three months of 2022, the Company received proceeds of $11.8 million from the sale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For the first three months of 2021, the Company paid $263.9 million, net of cash acquired, to purchase Magnetrol International, Crank 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EGS Automation. Additions to property, plant and equipment totaled $26.4 million for the first three months of 2022, compared with $17.5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three months of 2021.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used by financing activities totaled $187.4 million for the first three months of 2022, compared with cash used by financing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$84.0 million for the first three months of 2021. At March 31, 2022, total debt, net was $2,536.0 million, compared with $2,544.2 million at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For the first three months of 2022, total borrowings increased by $20.0 million compared with a $33.0 million decrease for the first three months of</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2021. At March 31, 2022, the Company had available borrowing capacity of $2,431.3 million under its revolving credit facility and term loan, including the $500 million accordion feature.</w:t>
      </w:r>
    </w:p>
    <w:p>
      <w:pPr>
        <w:spacing w:after="0" w:line="7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April 26, 2021,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Trust Bank and Wells Fargo Bank, National Association, as Co-Syndication Agents. The credit agreement amends and restates the Company’s existing revolving credit facility to add a new five-year, delayed draw, term loan for up to $800 million. The credit agreement places certain restrictions on allowable additional indebtedness. At March 31, 2022, the Company had $150.0 million outstanding on the term loan with a maturity date of June 2026. The Company's ability to draw on the term loan expired on April 26, 2022, with no additional borrowings.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debt-to-capital ratio was 26.8% at March 31, 2022, compared with 27.0% at December 31, 2021. The net debt-to-capital ratio (total debt, net less cash and cash equivalents divided by the sum of net debt and stockholders’ equity) was 24.1% at March 31, 2022, compared with 24.2% at December 31, 2021. The net debt-to-capital ratio is presented because the Company is aware that this measure is used by third parties in evaluating the Company.</w:t>
      </w:r>
    </w:p>
    <w:p>
      <w:pPr>
        <w:spacing w:after="0" w:line="180"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Additional financing activities for the first three months of 2022 included cash dividends paid of $50.8 million, compared with $46.0 million for the first three months of 2021. Effective February 9, 2022, the Company’s Board of Directors approved a 10% increase in the quarterly cash dividend on the Company’s common stock to $0.22 per common share from $0.20 per common share. The Company repurchased $156.7 million of its common stock for the first three months of 2022, compared with $8.0 million for the first three months of 2021. Proceeds from stock option exercises were $8.3 million for the first three months of 2022, compared with $6.9 million for the first three months of 2021.</w:t>
      </w:r>
    </w:p>
    <w:p>
      <w:pPr>
        <w:spacing w:after="0" w:line="183"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three months of 2022, cash and cash equivalents at March 31, 2022 totaled $340.3 million, compared with $346.8 million at December 31, 2021. At March 31, 2022, the Company had $326.4 million in cash outside the United States, compared with $334.0 million at December 31, 2021. The Company utilizes this cash to fund its international operations, as well as to acquire international businesses. The Company is in compliance with all covenants, including financial covenants, for all of its debt agreements. The Company believes it has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2021. Primary disclosure of the Company’s significant accounting policies is also included in Note 1 to the Consolidated Financial Statements included in Part II, Item 8 of its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March 31, 2022.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March 31, 2022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March 31,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4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to January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469,729,729</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2022 to February 28,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451,235,513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to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313,006,100</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120" w:hanging="652"/>
        <w:spacing w:after="0" w:line="260"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34,205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660" w:right="400" w:hanging="652"/>
        <w:spacing w:after="0" w:line="250" w:lineRule="auto"/>
        <w:tabs>
          <w:tab w:leader="none" w:pos="4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purchased pursuant to the Company’s Board of Directors $500 million authorization for the repurchase of its common stock announced in February 2019. Such purchases may be effected from time to time in the open market or in private transactions, subject to market conditions and at management’s discretion.</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40" w:type="dxa"/>
            <w:vAlign w:val="bottom"/>
            <w:gridSpan w:val="6"/>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 w:type="dxa"/>
            <w:vAlign w:val="bottom"/>
            <w:tcBorders>
              <w:top w:val="single" w:sz="8" w:color="auto"/>
            </w:tcBorders>
            <w:gridSpan w:val="2"/>
          </w:tcPr>
          <w:p>
            <w:pPr>
              <w:jc w:val="center"/>
              <w:ind w:left="333"/>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4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0000FF"/>
              </w:rPr>
              <w:t>AMETEK, Inc. 2020 Omnibus Incentive Compensation Plan Form of Global Non-Qualified Stock Option Award Agreement for</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non-US Employees</w:t>
            </w:r>
          </w:p>
        </w:tc>
        <w:tc>
          <w:tcPr>
            <w:tcW w:w="7860" w:type="dxa"/>
            <w:vAlign w:val="bottom"/>
            <w:tcBorders>
              <w:top w:val="single" w:sz="8" w:color="0000FF"/>
            </w:tcBorders>
            <w:gridSpan w:val="5"/>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AMETEK, Inc. 2020 Omnibus Incentive Compensation Plan Form of Restricted Stock Unit Award Agreement for non-US</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Employees</w:t>
            </w:r>
          </w:p>
        </w:tc>
        <w:tc>
          <w:tcPr>
            <w:tcW w:w="8020" w:type="dxa"/>
            <w:vAlign w:val="bottom"/>
            <w:tcBorders>
              <w:top w:val="single" w:sz="8" w:color="0000FF"/>
            </w:tcBorders>
            <w:gridSpan w:val="4"/>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AMETEK, Inc. 2020 Omnibus Incentive Compensation Plan Form of Performance Restricted Stock Unit Award Agreement for</w:t>
            </w: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non-US Employees</w:t>
            </w:r>
          </w:p>
        </w:tc>
        <w:tc>
          <w:tcPr>
            <w:tcW w:w="7780" w:type="dxa"/>
            <w:vAlign w:val="bottom"/>
            <w:tcBorders>
              <w:top w:val="single" w:sz="8" w:color="0000FF"/>
            </w:tcBorders>
            <w:gridSpan w:val="4"/>
          </w:tcPr>
          <w:p>
            <w:pPr>
              <w:spacing w:after="0"/>
              <w:rPr>
                <w:sz w:val="13"/>
                <w:szCs w:val="13"/>
                <w:color w:val="auto"/>
              </w:rPr>
            </w:pPr>
          </w:p>
        </w:tc>
        <w:tc>
          <w:tcPr>
            <w:tcW w:w="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jc w:val="center"/>
              <w:ind w:left="333"/>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p>
      <w:pPr>
        <w:ind w:left="7040"/>
        <w:spacing w:after="0"/>
        <w:tabs>
          <w:tab w:leader="none" w:pos="7480" w:val="left"/>
        </w:tabs>
        <w:rPr>
          <w:sz w:val="20"/>
          <w:szCs w:val="20"/>
          <w:color w:val="auto"/>
        </w:rPr>
      </w:pPr>
      <w:r>
        <w:rPr>
          <w:rFonts w:ascii="Times New Roman" w:cs="Times New Roman" w:eastAsia="Times New Roman" w:hAnsi="Times New Roman"/>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749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Thomas M. Montgomery</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Senior Vice President – Comptroller</w:t>
      </w:r>
    </w:p>
    <w:p>
      <w:pPr>
        <w:spacing w:after="0" w:line="2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3,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320" w:top="121" w:right="659" w:bottom="1440" w:gutter="0" w:footer="0" w:header="0"/>
        </w:sectPr>
      </w:pPr>
    </w:p>
    <w:bookmarkStart w:id="26" w:name="page27"/>
    <w:bookmarkEnd w:id="26"/>
    <w:p>
      <w:pPr>
        <w:ind w:left="7100"/>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AMETEK, INC.</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2020 OMNIBUS INCENTIVE COMPENSATION PLAN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 xml:space="preserve">2020 FRANCE OPTION SUB-PLAN </w:t>
      </w:r>
      <w:r>
        <w:rPr>
          <w:rFonts w:ascii="Times New Roman" w:cs="Times New Roman" w:eastAsia="Times New Roman" w:hAnsi="Times New Roman"/>
          <w:sz w:val="20"/>
          <w:szCs w:val="20"/>
          <w:b w:val="1"/>
          <w:bCs w:val="1"/>
          <w:u w:val="single" w:color="auto"/>
          <w:color w:val="auto"/>
        </w:rPr>
        <w:t>OPTION</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94" w:lineRule="exact"/>
        <w:rPr>
          <w:sz w:val="20"/>
          <w:szCs w:val="20"/>
          <w:color w:val="auto"/>
        </w:rPr>
      </w:pPr>
    </w:p>
    <w:p>
      <w:pPr>
        <w:ind w:left="60"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THIS CERTIFIES THAT </w:t>
      </w:r>
      <w:r>
        <w:rPr>
          <w:rFonts w:ascii="Times New Roman" w:cs="Times New Roman" w:eastAsia="Times New Roman" w:hAnsi="Times New Roman"/>
          <w:sz w:val="19"/>
          <w:szCs w:val="19"/>
          <w:color w:val="auto"/>
        </w:rPr>
        <w:t>the French Participant as defined in the 2020 France Option Sub-Plan is hereby granted the option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(“Option”) under the 2020 Omnibus Incentive Compensation Plan of AMETEK, Inc. (the “Plan”) and the 2020 France Option Sub-Plan to</w:t>
      </w:r>
    </w:p>
    <w:p>
      <w:pPr>
        <w:spacing w:after="0" w:line="1"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color w:val="auto"/>
        </w:rPr>
        <w:t>purchase shares of the common stock, $.01 par value, (the “Common Stock”) of AMETEK, Inc., a Delaware corporation (the “Company”), upon and subject to the Plan, the 2020 France Option Sub-Plan and the following terms and conditions, being specified that capitalized</w:t>
      </w:r>
    </w:p>
    <w:p>
      <w:pPr>
        <w:ind w:left="60"/>
        <w:spacing w:after="0" w:line="228" w:lineRule="auto"/>
        <w:rPr>
          <w:sz w:val="20"/>
          <w:szCs w:val="20"/>
          <w:color w:val="auto"/>
        </w:rPr>
      </w:pPr>
      <w:r>
        <w:rPr>
          <w:rFonts w:ascii="Times New Roman" w:cs="Times New Roman" w:eastAsia="Times New Roman" w:hAnsi="Times New Roman"/>
          <w:sz w:val="20"/>
          <w:szCs w:val="20"/>
          <w:color w:val="auto"/>
        </w:rPr>
        <w:t>terms not otherwise defined in this Option agreement (the “Agreement”) shall have the same meanings as defined in the Plan and the 2020 France Option Sub-Plan.</w:t>
      </w:r>
    </w:p>
    <w:p>
      <w:pPr>
        <w:spacing w:after="0" w:line="203" w:lineRule="exact"/>
        <w:rPr>
          <w:sz w:val="20"/>
          <w:szCs w:val="20"/>
          <w:color w:val="auto"/>
        </w:rPr>
      </w:pPr>
    </w:p>
    <w:p>
      <w:pPr>
        <w:ind w:left="60" w:firstLine="652"/>
        <w:spacing w:after="0" w:line="236" w:lineRule="auto"/>
        <w:tabs>
          <w:tab w:leader="none" w:pos="124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Options granted pursuant to this Agreement are intended to qualify for special tax and social security treatment in France applicable to rights to shares granted for no consideration under Sections L. 225-177 to</w:t>
      </w:r>
    </w:p>
    <w:p>
      <w:pPr>
        <w:spacing w:after="0" w:line="1" w:lineRule="exact"/>
        <w:rPr>
          <w:rFonts w:ascii="Times New Roman" w:cs="Times New Roman" w:eastAsia="Times New Roman" w:hAnsi="Times New Roman"/>
          <w:sz w:val="20"/>
          <w:szCs w:val="20"/>
          <w:color w:val="auto"/>
        </w:rPr>
      </w:pPr>
    </w:p>
    <w:p>
      <w:pPr>
        <w:jc w:val="both"/>
        <w:ind w:left="60"/>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 225-186-1 of the French Commercial Code, as amended. However, certain event may affect the qualified status of the Options and the Company does not make any undertaking or representation to maintain the qualified status of the Options. If the Options do not retain their qualified status, the special tax and social security treatment will not apply and the French Participant will be required to pay the French Participant’s portion of social security contributions resulting from the Options as well as any income and other taxes that may be due pursuant to other rules for non-qualified Options.</w:t>
      </w:r>
    </w:p>
    <w:p>
      <w:pPr>
        <w:spacing w:after="0" w:line="203" w:lineRule="exact"/>
        <w:rPr>
          <w:rFonts w:ascii="Times New Roman" w:cs="Times New Roman" w:eastAsia="Times New Roman" w:hAnsi="Times New Roman"/>
          <w:sz w:val="20"/>
          <w:szCs w:val="20"/>
          <w:color w:val="auto"/>
        </w:rPr>
      </w:pPr>
    </w:p>
    <w:p>
      <w:pPr>
        <w:ind w:left="60" w:firstLine="652"/>
        <w:spacing w:after="0" w:line="255" w:lineRule="auto"/>
        <w:tabs>
          <w:tab w:leader="none" w:pos="124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granted under this Option, the date of grant and exercise price are as set out on the Company’s stock administrator’s system.</w:t>
      </w:r>
    </w:p>
    <w:p>
      <w:pPr>
        <w:spacing w:after="0" w:line="213" w:lineRule="exact"/>
        <w:rPr>
          <w:rFonts w:ascii="Times New Roman" w:cs="Times New Roman" w:eastAsia="Times New Roman" w:hAnsi="Times New Roman"/>
          <w:sz w:val="20"/>
          <w:szCs w:val="20"/>
          <w:color w:val="auto"/>
        </w:rPr>
      </w:pPr>
    </w:p>
    <w:p>
      <w:pPr>
        <w:ind w:left="1260" w:hanging="548"/>
        <w:spacing w:after="0"/>
        <w:tabs>
          <w:tab w:leader="none" w:pos="12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shall expire not later than ten (10) years from the date hereof (hereinafter called the “Expiration Date”).</w:t>
      </w:r>
    </w:p>
    <w:p>
      <w:pPr>
        <w:spacing w:after="0" w:line="242" w:lineRule="exact"/>
        <w:rPr>
          <w:rFonts w:ascii="Times New Roman" w:cs="Times New Roman" w:eastAsia="Times New Roman" w:hAnsi="Times New Roman"/>
          <w:sz w:val="20"/>
          <w:szCs w:val="20"/>
          <w:color w:val="auto"/>
        </w:rPr>
      </w:pPr>
    </w:p>
    <w:p>
      <w:pPr>
        <w:ind w:left="60" w:firstLine="652"/>
        <w:spacing w:after="0" w:line="255" w:lineRule="auto"/>
        <w:tabs>
          <w:tab w:leader="none" w:pos="124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shall not be transferable except in case of death to the extent hereinafter set forth and may be exercised or surrendered during the French Participant’s lifetime only by the French Participant hereof.</w:t>
      </w:r>
    </w:p>
    <w:p>
      <w:pPr>
        <w:spacing w:after="0" w:line="199" w:lineRule="exact"/>
        <w:rPr>
          <w:rFonts w:ascii="Times New Roman" w:cs="Times New Roman" w:eastAsia="Times New Roman" w:hAnsi="Times New Roman"/>
          <w:sz w:val="20"/>
          <w:szCs w:val="20"/>
          <w:color w:val="auto"/>
        </w:rPr>
      </w:pPr>
    </w:p>
    <w:p>
      <w:pPr>
        <w:ind w:left="60" w:firstLine="652"/>
        <w:spacing w:after="0" w:line="269" w:lineRule="auto"/>
        <w:tabs>
          <w:tab w:leader="none" w:pos="124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Paragraph 9 below, this Option shall vest in three equal installments on the first three anniversaries from the Grant Date hereof, as to one-third of the total number Options granted on each such anniversary.</w:t>
      </w:r>
    </w:p>
    <w:p>
      <w:pPr>
        <w:spacing w:after="0" w:line="172" w:lineRule="exact"/>
        <w:rPr>
          <w:rFonts w:ascii="Times New Roman" w:cs="Times New Roman" w:eastAsia="Times New Roman" w:hAnsi="Times New Roman"/>
          <w:sz w:val="20"/>
          <w:szCs w:val="20"/>
          <w:color w:val="auto"/>
        </w:rPr>
      </w:pPr>
    </w:p>
    <w:p>
      <w:pPr>
        <w:jc w:val="both"/>
        <w:ind w:left="60" w:firstLine="652"/>
        <w:spacing w:after="0" w:line="222" w:lineRule="auto"/>
        <w:tabs>
          <w:tab w:leader="none" w:pos="124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vested and exercisable in accordance with Paragraph 5 above, this Option may be exercised from time to time in accordance with the procedures of the Company’s stock plan administrator; provided, however, that this Option may not be exercised at any time when this Option or the granting or exercise thereof violates any law or governmental order or regulation, and in no event may the Option be exercised after the Expiration Date or such earlier expiration pursuant to Paragraph 9 below.</w:t>
      </w:r>
    </w:p>
    <w:p>
      <w:pPr>
        <w:spacing w:after="0" w:line="215" w:lineRule="exact"/>
        <w:rPr>
          <w:rFonts w:ascii="Times New Roman" w:cs="Times New Roman" w:eastAsia="Times New Roman" w:hAnsi="Times New Roman"/>
          <w:sz w:val="20"/>
          <w:szCs w:val="20"/>
          <w:color w:val="auto"/>
        </w:rPr>
      </w:pPr>
    </w:p>
    <w:p>
      <w:pPr>
        <w:jc w:val="both"/>
        <w:ind w:left="60" w:firstLine="652"/>
        <w:spacing w:after="0" w:line="244" w:lineRule="auto"/>
        <w:tabs>
          <w:tab w:leader="none" w:pos="124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for the stock purchased pursuant to any exercise of this Option shall be made in full at the time of the exercise of the Option by any one or more of the following methods: (a) by check payable to the order of the Company’s stock plan administrator, (b) by wire transfer of funds to the Company’s stock plan administrator, (c) by cashless exercise, or (d) by the delivery to the Company of shares of Common Stock of the Company which shall be valued at their Fair Market Value on the date of exercise of the Option.</w:t>
      </w:r>
    </w:p>
    <w:p>
      <w:pPr>
        <w:spacing w:after="0" w:line="225" w:lineRule="exact"/>
        <w:rPr>
          <w:rFonts w:ascii="Times New Roman" w:cs="Times New Roman" w:eastAsia="Times New Roman" w:hAnsi="Times New Roman"/>
          <w:sz w:val="20"/>
          <w:szCs w:val="20"/>
          <w:color w:val="auto"/>
        </w:rPr>
      </w:pPr>
    </w:p>
    <w:p>
      <w:pPr>
        <w:jc w:val="both"/>
        <w:ind w:left="60" w:firstLine="652"/>
        <w:spacing w:after="0" w:line="244" w:lineRule="auto"/>
        <w:tabs>
          <w:tab w:leader="none" w:pos="124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this Option is not exercised in full prior to its Expiration Date or earlier expiration pursuant to Paragraph 9 below, it shall terminate and become void and of no effect. The French Participant is solely responsible for any election to exercise the Option, and the Company has no obligation to provide notice to the French Participant of any matter, including, but not limited to, the date the Option expires. Neither the Company nor 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France Appr Options 2020</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 xml:space="preserve">Page </w:t>
            </w:r>
            <w:r>
              <w:rPr>
                <w:rFonts w:ascii="Times New Roman" w:cs="Times New Roman" w:eastAsia="Times New Roman" w:hAnsi="Times New Roman"/>
                <w:sz w:val="17"/>
                <w:szCs w:val="17"/>
                <w:color w:val="auto"/>
                <w:w w:val="99"/>
              </w:rPr>
              <w:t>1 of 7</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20KFR3 APPRVD Options-FRANCE-2020 Legal Plan NS</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04" w:right="43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20"/>
          <w:szCs w:val="20"/>
          <w:color w:val="auto"/>
        </w:rPr>
        <w:t>Subsidiary has any liability in the event of the French Participant’s failure to timely exercise any vested Option prior to its expiration.</w:t>
      </w:r>
    </w:p>
    <w:p>
      <w:pPr>
        <w:spacing w:after="0" w:line="216" w:lineRule="exact"/>
        <w:rPr>
          <w:sz w:val="20"/>
          <w:szCs w:val="20"/>
          <w:color w:val="auto"/>
        </w:rPr>
      </w:pPr>
    </w:p>
    <w:p>
      <w:pPr>
        <w:jc w:val="both"/>
        <w:ind w:left="60" w:firstLine="652"/>
        <w:spacing w:after="0" w:line="213" w:lineRule="auto"/>
        <w:tabs>
          <w:tab w:leader="none" w:pos="12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French Participant shall voluntarily or involuntary leave the employ or service of the Company or the French Affiliate, this option shall terminate forthwith, except the Option shall have until the end of the three (3)-month period following the cessation of the French Participant’s employment with or service to the Company and its French Affiliate, and no longer, to exercise any vested but unexercised option the French Participant could have exercised on the day on which the French Participant left the employ or service of the Company and its French Affiliate. Notwithstanding the foregoing, any remaining unexercised option shall be exercisable:</w:t>
      </w:r>
    </w:p>
    <w:p>
      <w:pPr>
        <w:ind w:left="720" w:firstLine="641"/>
        <w:spacing w:after="0" w:line="204" w:lineRule="auto"/>
        <w:tabs>
          <w:tab w:leader="none" w:pos="191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completion of at least two (2) full years of employment or service with the French Affiliate and the attainment of age sixty-five (65), provided that such exercise is accomplished prior to the Expiration Date; or</w:t>
      </w:r>
    </w:p>
    <w:p>
      <w:pPr>
        <w:ind w:left="1900" w:hanging="539"/>
        <w:spacing w:after="0" w:line="211" w:lineRule="auto"/>
        <w:tabs>
          <w:tab w:leader="none" w:pos="19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death within six (6) months after the French Participant’s death, and this even after the Expiration</w:t>
      </w:r>
    </w:p>
    <w:p>
      <w:pPr>
        <w:ind w:left="720"/>
        <w:spacing w:after="0" w:line="19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or</w:t>
      </w:r>
    </w:p>
    <w:p>
      <w:pPr>
        <w:jc w:val="both"/>
        <w:ind w:left="720" w:firstLine="641"/>
        <w:spacing w:after="0" w:line="206" w:lineRule="auto"/>
        <w:tabs>
          <w:tab w:leader="none" w:pos="191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French Participant’s termination of employment or service occurs in connection with a Change in Control provided that such exercise is accomplished (i) prior to the Expiration Date and (ii) within one (1) year after the Change in Control; or</w:t>
      </w:r>
    </w:p>
    <w:p>
      <w:pPr>
        <w:spacing w:after="0" w:line="1" w:lineRule="exact"/>
        <w:rPr>
          <w:rFonts w:ascii="Times New Roman" w:cs="Times New Roman" w:eastAsia="Times New Roman" w:hAnsi="Times New Roman"/>
          <w:sz w:val="20"/>
          <w:szCs w:val="20"/>
          <w:color w:val="auto"/>
        </w:rPr>
      </w:pPr>
    </w:p>
    <w:p>
      <w:pPr>
        <w:jc w:val="both"/>
        <w:ind w:left="720" w:firstLine="641"/>
        <w:spacing w:after="0" w:line="223" w:lineRule="auto"/>
        <w:tabs>
          <w:tab w:leader="none" w:pos="1909"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French Participant is disabled (as defined by Article L. 341-4 of the French </w:t>
      </w:r>
      <w:r>
        <w:rPr>
          <w:rFonts w:ascii="Times New Roman" w:cs="Times New Roman" w:eastAsia="Times New Roman" w:hAnsi="Times New Roman"/>
          <w:sz w:val="20"/>
          <w:szCs w:val="20"/>
          <w:i w:val="1"/>
          <w:iCs w:val="1"/>
          <w:color w:val="auto"/>
        </w:rPr>
        <w:t>Code de la Sécurité Sociale)</w:t>
      </w:r>
      <w:r>
        <w:rPr>
          <w:rFonts w:ascii="Times New Roman" w:cs="Times New Roman" w:eastAsia="Times New Roman" w:hAnsi="Times New Roman"/>
          <w:sz w:val="20"/>
          <w:szCs w:val="20"/>
          <w:color w:val="auto"/>
        </w:rPr>
        <w:t>) at the date of the French Participant’s termination of employment or service, provided that such exercise is accomplished prior to the Expiration Date.</w:t>
      </w:r>
    </w:p>
    <w:p>
      <w:pPr>
        <w:spacing w:after="0" w:line="187" w:lineRule="exact"/>
        <w:rPr>
          <w:sz w:val="20"/>
          <w:szCs w:val="20"/>
          <w:color w:val="auto"/>
        </w:rPr>
      </w:pPr>
    </w:p>
    <w:p>
      <w:pPr>
        <w:ind w:left="60" w:firstLine="648"/>
        <w:spacing w:after="0" w:line="215" w:lineRule="auto"/>
        <w:rPr>
          <w:sz w:val="20"/>
          <w:szCs w:val="20"/>
          <w:color w:val="auto"/>
        </w:rPr>
      </w:pPr>
      <w:r>
        <w:rPr>
          <w:rFonts w:ascii="Times New Roman" w:cs="Times New Roman" w:eastAsia="Times New Roman" w:hAnsi="Times New Roman"/>
          <w:sz w:val="20"/>
          <w:szCs w:val="20"/>
          <w:color w:val="auto"/>
        </w:rPr>
        <w:t>If the Company receives a legal opinion that there has been a legal judgment and/or legal development that in France or any applicable jurisdiction that likely would result in the favorable treatment that applies to Options under the Plan being deemed unlawful or</w:t>
      </w:r>
    </w:p>
    <w:p>
      <w:pPr>
        <w:ind w:left="60"/>
        <w:spacing w:after="0" w:line="212" w:lineRule="auto"/>
        <w:rPr>
          <w:sz w:val="20"/>
          <w:szCs w:val="20"/>
          <w:color w:val="auto"/>
        </w:rPr>
      </w:pPr>
      <w:r>
        <w:rPr>
          <w:rFonts w:ascii="Times New Roman" w:cs="Times New Roman" w:eastAsia="Times New Roman" w:hAnsi="Times New Roman"/>
          <w:sz w:val="20"/>
          <w:szCs w:val="20"/>
          <w:color w:val="auto"/>
        </w:rPr>
        <w:t>discriminatory, the Company, in its sole discretion, shall have the power and authority to revise or strike certain provisions of the</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Agreement, including this Paragraph 9, to the minimum extent necessary to make it valid and enforceable to the full extent permitted under the law.</w:t>
      </w:r>
    </w:p>
    <w:p>
      <w:pPr>
        <w:spacing w:after="0" w:line="189" w:lineRule="exact"/>
        <w:rPr>
          <w:sz w:val="20"/>
          <w:szCs w:val="20"/>
          <w:color w:val="auto"/>
        </w:rPr>
      </w:pPr>
    </w:p>
    <w:p>
      <w:pPr>
        <w:jc w:val="both"/>
        <w:ind w:left="60" w:firstLine="652"/>
        <w:spacing w:after="0" w:line="222" w:lineRule="auto"/>
        <w:tabs>
          <w:tab w:leader="none" w:pos="1252"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French Participant acknowledges and agrees that regardless of any action taken by the Company, or if different, the subsidiary or Affiliate for which the French Participant provides services (the “Employer”) with respect to any or all income tax (including U.S. federal, state and local tax and/or non-U.S. tax) , social insurance, payroll tax, fringe benefits tax, payment on account or other tax-related items related to the French Participant’s participation in the Plan and legally applicable under applicable legislation to the French Participant (“Tax-Related Items”), the ultimate liability for all Tax-Related Items is and remains the French Participant’s responsibility and may exceed the amount actually withheld by the Company and/or the Employer. The French Participant further acknowledges that the Company and/or the Employer (i) make no representations or undertakings regarding the treatment of any Tax-Related Items in connection with any aspect of the Options, including but not limited to, the grant, vesting or settlement of the awards, or the subsequent sale of shares acquired under the Plan; and (ii) do not commit to and are under no obligation to structure the terms of the grant or any aspect of the award to reduce or eliminate the French Participant’s liability for Tax-Related Items or achieve a particular tax result. Further, if the French Participant is subject to Tax-Related Items in more than one jurisdiction, the French Participant acknowledges and agrees that the Company or Employer may be required to withhold or account for Tax-Related Items in more than one jurisdiction.</w:t>
      </w:r>
    </w:p>
    <w:p>
      <w:pPr>
        <w:spacing w:after="0" w:line="194" w:lineRule="exact"/>
        <w:rPr>
          <w:sz w:val="20"/>
          <w:szCs w:val="20"/>
          <w:color w:val="auto"/>
        </w:rPr>
      </w:pPr>
    </w:p>
    <w:p>
      <w:pPr>
        <w:jc w:val="both"/>
        <w:ind w:left="60" w:firstLine="648"/>
        <w:spacing w:after="0" w:line="225" w:lineRule="auto"/>
        <w:rPr>
          <w:sz w:val="20"/>
          <w:szCs w:val="20"/>
          <w:color w:val="auto"/>
        </w:rPr>
      </w:pPr>
      <w:r>
        <w:rPr>
          <w:rFonts w:ascii="Times New Roman" w:cs="Times New Roman" w:eastAsia="Times New Roman" w:hAnsi="Times New Roman"/>
          <w:sz w:val="19"/>
          <w:szCs w:val="19"/>
          <w:color w:val="auto"/>
        </w:rPr>
        <w:t>Prior to any relevant taxable or tax withholding event, as applicable, the French Participant agrees to make adequate arrangements satisfactory to the Company and/or the Employer to satisfy all Tax-Related Items. In this regard, the French Participant authorizes the Company and/or the Employer, or their respective agents, at their discretion, to satisfy any applicable withholding obligations about Tax-</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Related Items by one or a combination of the following:</w:t>
      </w:r>
    </w:p>
    <w:p>
      <w:pPr>
        <w:spacing w:after="0" w:line="207" w:lineRule="exact"/>
        <w:rPr>
          <w:sz w:val="20"/>
          <w:szCs w:val="20"/>
          <w:color w:val="auto"/>
        </w:rPr>
      </w:pPr>
    </w:p>
    <w:p>
      <w:pPr>
        <w:ind w:left="2000" w:hanging="558"/>
        <w:spacing w:after="0" w:line="233" w:lineRule="auto"/>
        <w:tabs>
          <w:tab w:leader="none" w:pos="19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French Participant’s wages or other cash compensation paid to the French Participant by the Company, the Employer or any other subsidiary;</w:t>
      </w:r>
    </w:p>
    <w:p>
      <w:pPr>
        <w:spacing w:after="0" w:line="201" w:lineRule="exact"/>
        <w:rPr>
          <w:rFonts w:ascii="Times New Roman" w:cs="Times New Roman" w:eastAsia="Times New Roman" w:hAnsi="Times New Roman"/>
          <w:sz w:val="20"/>
          <w:szCs w:val="20"/>
          <w:color w:val="auto"/>
        </w:rPr>
      </w:pPr>
    </w:p>
    <w:p>
      <w:pPr>
        <w:jc w:val="both"/>
        <w:ind w:left="2000" w:hanging="558"/>
        <w:spacing w:after="0" w:line="226" w:lineRule="auto"/>
        <w:tabs>
          <w:tab w:leader="none" w:pos="19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the proceeds of the sale of share of Common Stock acquired at exercise either through a voluntary sale or through a mandatory sale arranged by the Company (on the French Participant’s behalf pursuant to this authorization) without further consent;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France Appr Options 2020</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 xml:space="preserve">Page </w:t>
            </w:r>
            <w:r>
              <w:rPr>
                <w:rFonts w:ascii="Times New Roman" w:cs="Times New Roman" w:eastAsia="Times New Roman" w:hAnsi="Times New Roman"/>
                <w:sz w:val="17"/>
                <w:szCs w:val="17"/>
                <w:color w:val="auto"/>
                <w:w w:val="99"/>
              </w:rPr>
              <w:t>2 of 7</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20KFR3 APPRVD Options-FRANCE-2020 Legal Plan NS</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886" w:right="439" w:bottom="1440" w:gutter="0" w:footer="0" w:header="0"/>
        </w:sectPr>
      </w:pPr>
    </w:p>
    <w:bookmarkStart w:id="28" w:name="page29"/>
    <w:bookmarkEnd w:id="28"/>
    <w:p>
      <w:pPr>
        <w:jc w:val="both"/>
        <w:ind w:left="2000" w:hanging="558"/>
        <w:spacing w:after="0" w:line="226" w:lineRule="auto"/>
        <w:tabs>
          <w:tab w:leader="none" w:pos="199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shares of Common Stock to be issued upon exercise of the Option, provided the Company only withholds the amount of shares of Common Stock necessary to satisfy no more than the maximum statutory withholding amounts; or</w:t>
      </w:r>
    </w:p>
    <w:p>
      <w:pPr>
        <w:spacing w:after="0" w:line="200" w:lineRule="exact"/>
        <w:rPr>
          <w:rFonts w:ascii="Times New Roman" w:cs="Times New Roman" w:eastAsia="Times New Roman" w:hAnsi="Times New Roman"/>
          <w:sz w:val="20"/>
          <w:szCs w:val="20"/>
          <w:color w:val="auto"/>
        </w:rPr>
      </w:pPr>
    </w:p>
    <w:p>
      <w:pPr>
        <w:ind w:left="2000" w:hanging="559"/>
        <w:spacing w:after="0"/>
        <w:tabs>
          <w:tab w:leader="none" w:pos="2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approved by the Committee and permitted by applicable laws.</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w:t>
      </w:r>
    </w:p>
    <w:p>
      <w:pPr>
        <w:ind w:left="60"/>
        <w:spacing w:after="0" w:line="215" w:lineRule="auto"/>
        <w:rPr>
          <w:sz w:val="20"/>
          <w:szCs w:val="20"/>
          <w:color w:val="auto"/>
        </w:rPr>
      </w:pPr>
      <w:r>
        <w:rPr>
          <w:rFonts w:ascii="Times New Roman" w:cs="Times New Roman" w:eastAsia="Times New Roman" w:hAnsi="Times New Roman"/>
          <w:sz w:val="19"/>
          <w:szCs w:val="19"/>
          <w:color w:val="auto"/>
        </w:rPr>
        <w:t>minimum statutory withholding amounts or other applicable withholding rates, including maximum applicable rates, in which case the French Participant may receive a refund of any over-withheld amount in cash (with no entitlement to the Common Stock equivalent) or, if</w:t>
      </w:r>
    </w:p>
    <w:p>
      <w:pPr>
        <w:ind w:left="60"/>
        <w:spacing w:after="0" w:line="222" w:lineRule="auto"/>
        <w:rPr>
          <w:sz w:val="20"/>
          <w:szCs w:val="20"/>
          <w:color w:val="auto"/>
        </w:rPr>
      </w:pPr>
      <w:r>
        <w:rPr>
          <w:rFonts w:ascii="Times New Roman" w:cs="Times New Roman" w:eastAsia="Times New Roman" w:hAnsi="Times New Roman"/>
          <w:sz w:val="19"/>
          <w:szCs w:val="19"/>
          <w:color w:val="auto"/>
        </w:rPr>
        <w:t>not refunded, the French Participant may seek a refund from the local tax authorities. If the obligation for Tax-Related Items is satisfied by</w:t>
      </w:r>
    </w:p>
    <w:p>
      <w:pPr>
        <w:ind w:left="60"/>
        <w:spacing w:after="0" w:line="221" w:lineRule="auto"/>
        <w:rPr>
          <w:sz w:val="20"/>
          <w:szCs w:val="20"/>
          <w:color w:val="auto"/>
        </w:rPr>
      </w:pPr>
      <w:r>
        <w:rPr>
          <w:rFonts w:ascii="Times New Roman" w:cs="Times New Roman" w:eastAsia="Times New Roman" w:hAnsi="Times New Roman"/>
          <w:sz w:val="20"/>
          <w:szCs w:val="20"/>
          <w:color w:val="auto"/>
        </w:rPr>
        <w:t>withholding shares of Common Stock, for tax purposes, the French Participant is deemed to have been issued the full number of shares of Common Stock, notwithstanding that Common Stock is held back solely for purposes of paying the Tax-Related Items.</w:t>
      </w:r>
    </w:p>
    <w:p>
      <w:pPr>
        <w:spacing w:after="0" w:line="202" w:lineRule="exact"/>
        <w:rPr>
          <w:sz w:val="20"/>
          <w:szCs w:val="20"/>
          <w:color w:val="auto"/>
        </w:rPr>
      </w:pPr>
    </w:p>
    <w:p>
      <w:pPr>
        <w:ind w:left="60" w:firstLine="648"/>
        <w:spacing w:after="0" w:line="227" w:lineRule="auto"/>
        <w:rPr>
          <w:sz w:val="20"/>
          <w:szCs w:val="20"/>
          <w:color w:val="auto"/>
        </w:rPr>
      </w:pPr>
      <w:r>
        <w:rPr>
          <w:rFonts w:ascii="Times New Roman" w:cs="Times New Roman" w:eastAsia="Times New Roman" w:hAnsi="Times New Roman"/>
          <w:sz w:val="19"/>
          <w:szCs w:val="19"/>
          <w:color w:val="auto"/>
        </w:rPr>
        <w:t>Finally, the French Participant agrees to pay to the Company or the Employer any amount of Tax-Related Items that the Company or the Employer may be required to withhold or account for as a result of the French Participant’s participation in the Plan that cannot be</w:t>
      </w:r>
    </w:p>
    <w:p>
      <w:pPr>
        <w:ind w:left="60"/>
        <w:spacing w:after="0" w:line="211" w:lineRule="auto"/>
        <w:rPr>
          <w:sz w:val="20"/>
          <w:szCs w:val="20"/>
          <w:color w:val="auto"/>
        </w:rPr>
      </w:pPr>
      <w:r>
        <w:rPr>
          <w:rFonts w:ascii="Times New Roman" w:cs="Times New Roman" w:eastAsia="Times New Roman" w:hAnsi="Times New Roman"/>
          <w:sz w:val="20"/>
          <w:szCs w:val="20"/>
          <w:color w:val="auto"/>
        </w:rPr>
        <w:t>satisfied by the means previously described. The Company may refuse to issue or deliver the shares of Common Stock or the proceeds</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color w:val="auto"/>
        </w:rPr>
        <w:t>from the sale of shares of Common Stock, if the French Participant fails to comply with his or her obligations in connection with the Tax-Related Items.</w:t>
      </w:r>
    </w:p>
    <w:p>
      <w:pPr>
        <w:spacing w:after="0" w:line="202" w:lineRule="exact"/>
        <w:rPr>
          <w:sz w:val="20"/>
          <w:szCs w:val="20"/>
          <w:color w:val="auto"/>
        </w:rPr>
      </w:pPr>
    </w:p>
    <w:p>
      <w:pPr>
        <w:jc w:val="both"/>
        <w:ind w:left="60" w:firstLine="652"/>
        <w:spacing w:after="0" w:line="242" w:lineRule="auto"/>
        <w:tabs>
          <w:tab w:leader="none" w:pos="1245"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accepting the Option, the French Participant acknowledges, understands and agrees that: (i) the Plan is established voluntarily by the Company, it is discretionary in nature and it may be modified, amended, suspended or terminated by the Company at any time, to the extent permitted by the Plan and 2020 French Sub-Plan;</w:t>
      </w:r>
    </w:p>
    <w:p>
      <w:pPr>
        <w:spacing w:after="0" w:line="1" w:lineRule="exact"/>
        <w:rPr>
          <w:rFonts w:ascii="Times New Roman" w:cs="Times New Roman" w:eastAsia="Times New Roman" w:hAnsi="Times New Roman"/>
          <w:sz w:val="20"/>
          <w:szCs w:val="20"/>
          <w:color w:val="auto"/>
        </w:rPr>
      </w:pPr>
    </w:p>
    <w:p>
      <w:pPr>
        <w:jc w:val="both"/>
        <w:ind w:left="60" w:firstLine="4"/>
        <w:spacing w:after="0" w:line="205" w:lineRule="auto"/>
        <w:tabs>
          <w:tab w:leader="none" w:pos="37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Option is exceptional, voluntary and occasional and does not create any contractual or other right to receive future grants or benefits in lieu of Options, even if such awards have been granted in the past; (iii) all decisions with respect to future awards, if any, will be at the sole discretion of the Company; (iv) the grant of the Option and the French Participant’s participation in the Plan shall not be construed as creating any contract of employment between the Company and the French Participant and does not entitle the French Participant to any benefit other than that granted under this Agreement; (v) the French Participant is voluntarily participating in the Plan;</w:t>
      </w:r>
    </w:p>
    <w:p>
      <w:pPr>
        <w:spacing w:after="0" w:line="3" w:lineRule="exact"/>
        <w:rPr>
          <w:rFonts w:ascii="Times New Roman" w:cs="Times New Roman" w:eastAsia="Times New Roman" w:hAnsi="Times New Roman"/>
          <w:sz w:val="20"/>
          <w:szCs w:val="20"/>
          <w:color w:val="auto"/>
        </w:rPr>
      </w:pPr>
    </w:p>
    <w:p>
      <w:pPr>
        <w:jc w:val="both"/>
        <w:ind w:left="60" w:firstLine="4"/>
        <w:spacing w:after="0" w:line="205" w:lineRule="auto"/>
        <w:tabs>
          <w:tab w:leader="none" w:pos="39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and the shares of Common Stock subject to the Option, and the income from and value of same, are not intended to replace any pension rights or compensation; (vii) the Option and the shares of Common Stock subject to the Option, and the income from and value of same, are not part of normal or expected compensation for purposes of calculating any severance, resignation, termination, redundancy, dismissal, end-of-service payments, bonuses, long-service awards, pension or retirement or welfare benefits or similar payments; (viii) the future value of the shares of Common Stock is unknown, indeterminable and cannot be predicted with certainty; (ix) if the underling shares of Common Stock do not increase in value, the Option will have no value; (x) if the French Participant exercises the Option and acquires shares of Common Stock, the value of such shares of Common Stock may increase or decrease, even below the exercise price; (xi) no claim or entitlement to compensation or damages shall arise from forfeiture of the Options resulting from a termination from employment or service (for any reason whatsoever, whether or not later found to be invalid or in breach of employment or other laws in the jurisdiction where the French Participant is employed or otherwise rendering services or the terms of the French Participant’s employment or service agreement, if any); (xii) unless otherwise agreed with the Company, the Option and shares of Common Stock subject to the Option, and the income from and value of same, are not granted as consideration for, or in connection with the service the French Participant may provide as a director of any subsidiary or Affiliate; and</w:t>
      </w:r>
    </w:p>
    <w:p>
      <w:pPr>
        <w:spacing w:after="0" w:line="11" w:lineRule="exact"/>
        <w:rPr>
          <w:rFonts w:ascii="Times New Roman" w:cs="Times New Roman" w:eastAsia="Times New Roman" w:hAnsi="Times New Roman"/>
          <w:sz w:val="20"/>
          <w:szCs w:val="20"/>
          <w:color w:val="auto"/>
        </w:rPr>
      </w:pPr>
    </w:p>
    <w:p>
      <w:pPr>
        <w:jc w:val="both"/>
        <w:ind w:left="60" w:firstLine="4"/>
        <w:spacing w:after="0" w:line="223" w:lineRule="auto"/>
        <w:tabs>
          <w:tab w:leader="none" w:pos="51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the Employer or any Parent Corporation or subsidiary shall be liable for any foreign exchange rate fluctuation between the French Participant’s local currency and the U.S. Dollar that may affect the value of the Options or any amounts due to the French Participant pursuant to the exercise of the Option or subsequent sale of shares of Common Stock acquired upon exercise.</w:t>
      </w:r>
    </w:p>
    <w:p>
      <w:pPr>
        <w:spacing w:after="0" w:line="200" w:lineRule="exact"/>
        <w:rPr>
          <w:rFonts w:ascii="Times New Roman" w:cs="Times New Roman" w:eastAsia="Times New Roman" w:hAnsi="Times New Roman"/>
          <w:sz w:val="20"/>
          <w:szCs w:val="20"/>
          <w:color w:val="auto"/>
        </w:rPr>
      </w:pPr>
    </w:p>
    <w:p>
      <w:pPr>
        <w:jc w:val="both"/>
        <w:ind w:left="60" w:firstLine="652"/>
        <w:spacing w:after="0" w:line="247" w:lineRule="auto"/>
        <w:tabs>
          <w:tab w:leader="none" w:pos="125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this Option shall not confer upon the French Participant the right to be retained by or in the employ or service of the Company or its subsidiaries and shall not interfere in any way with the right of the the French Affiliate to terminate the French Participant’s employment or service at any time.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France Appr Options 2020</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 xml:space="preserve">Page </w:t>
            </w:r>
            <w:r>
              <w:rPr>
                <w:rFonts w:ascii="Times New Roman" w:cs="Times New Roman" w:eastAsia="Times New Roman" w:hAnsi="Times New Roman"/>
                <w:sz w:val="17"/>
                <w:szCs w:val="17"/>
                <w:color w:val="auto"/>
                <w:w w:val="99"/>
              </w:rPr>
              <w:t>3 of 7</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20KFR3 APPRVD Options-FRANCE-2020 Legal Plan NS</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129" w:right="439" w:bottom="1440" w:gutter="0" w:footer="0" w:header="0"/>
        </w:sectPr>
      </w:pPr>
    </w:p>
    <w:bookmarkStart w:id="29" w:name="page30"/>
    <w:bookmarkEnd w:id="29"/>
    <w:p>
      <w:pPr>
        <w:jc w:val="both"/>
        <w:ind w:left="60" w:firstLine="652"/>
        <w:spacing w:after="0" w:line="223" w:lineRule="auto"/>
        <w:tabs>
          <w:tab w:leader="none" w:pos="1252" w:val="left"/>
        </w:tabs>
        <w:numPr>
          <w:ilvl w:val="0"/>
          <w:numId w:val="2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The French Participant hereby explicitly, voluntarily and unambiguously consents to the collection, use, and transfer, in electronic or other form, of the French Participant’s personal data as described in this Agreement and any other Plan materials by and among, as applicable, the Employer, the Company and any other subsidiary for the exclusive purposes of implementing, administering and managing the French Participant’s participation in the Plan.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French Participant understands that the Company and the Employer may hold certain personal information about the</w:t>
      </w:r>
    </w:p>
    <w:p>
      <w:pPr>
        <w:ind w:left="60"/>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French Participant, including, but not limited to, the French Participant’s name, home address, email address and telephone number, date of birth, social insurance number, passport or other identification number, salary, nationality, job title, any shares or directorships</w:t>
      </w:r>
    </w:p>
    <w:p>
      <w:pPr>
        <w:ind w:left="60"/>
        <w:spacing w:after="0" w:line="222" w:lineRule="auto"/>
        <w:rPr>
          <w:sz w:val="20"/>
          <w:szCs w:val="20"/>
          <w:color w:val="auto"/>
        </w:rPr>
      </w:pPr>
      <w:r>
        <w:rPr>
          <w:rFonts w:ascii="Times New Roman" w:cs="Times New Roman" w:eastAsia="Times New Roman" w:hAnsi="Times New Roman"/>
          <w:sz w:val="19"/>
          <w:szCs w:val="19"/>
          <w:b w:val="1"/>
          <w:bCs w:val="1"/>
          <w:i w:val="1"/>
          <w:iCs w:val="1"/>
          <w:color w:val="auto"/>
        </w:rPr>
        <w:t>held in the Company, details of all Options or any other entitlement to Common Stock awarded, canceled, exercised, vested, unvested or</w:t>
      </w:r>
    </w:p>
    <w:p>
      <w:pPr>
        <w:ind w:left="6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outstanding in the French Participant’s favor (“Data”), for the exclusive purpose of implementing, administering and managing the French Participant’s participation in the Plan.</w:t>
      </w:r>
    </w:p>
    <w:p>
      <w:pPr>
        <w:spacing w:after="0" w:line="198" w:lineRule="exact"/>
        <w:rPr>
          <w:sz w:val="20"/>
          <w:szCs w:val="20"/>
          <w:color w:val="auto"/>
        </w:rPr>
      </w:pPr>
    </w:p>
    <w:p>
      <w:pPr>
        <w:ind w:left="60" w:firstLine="648"/>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The French Participant understands that Data may be transferred to Schwab Stock Plan Services, which may assist the Company (presently or in the future) with the implementation, administration and management of the Plan. The French Participant</w:t>
      </w:r>
    </w:p>
    <w:p>
      <w:pPr>
        <w:ind w:left="60"/>
        <w:spacing w:after="0" w:line="213" w:lineRule="auto"/>
        <w:rPr>
          <w:sz w:val="20"/>
          <w:szCs w:val="20"/>
          <w:color w:val="auto"/>
        </w:rPr>
      </w:pPr>
      <w:r>
        <w:rPr>
          <w:rFonts w:ascii="Times New Roman" w:cs="Times New Roman" w:eastAsia="Times New Roman" w:hAnsi="Times New Roman"/>
          <w:sz w:val="20"/>
          <w:szCs w:val="20"/>
          <w:b w:val="1"/>
          <w:bCs w:val="1"/>
          <w:i w:val="1"/>
          <w:iCs w:val="1"/>
          <w:color w:val="auto"/>
        </w:rPr>
        <w:t>understands that the recipients of the Data may be located in the United States or elsewhere, and that the recipient’s country (e.g., the</w:t>
      </w:r>
    </w:p>
    <w:p>
      <w:pPr>
        <w:ind w:left="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United States) may have different data privacy laws and protections than the French Participant’s country. The French Participant understands that he or she may request a list with the names and addresses of any potential recipients of the Data by contacting his or</w:t>
      </w:r>
    </w:p>
    <w:p>
      <w:pPr>
        <w:ind w:left="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her local human resources representative. The French Participant authorizes the Company, and any other possible recipients which</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may assist the Company (presently or in the future) with implementing, administering and managing the Plan to receive, possess, use, retain and transfer the Data, in electronic or other form, for the sole purposes of implementing, administering and managing the</w:t>
      </w:r>
    </w:p>
    <w:p>
      <w:pPr>
        <w:spacing w:after="0" w:line="1"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French Participant’s participation in the Plan. The French Participant understands that Data will be held only as long as is necessary to implement, administer and manage the French Participant’s participation in the Plan. The French Participant understands that he</w:t>
      </w:r>
    </w:p>
    <w:p>
      <w:pPr>
        <w:ind w:left="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or she may, at any time, view Data, request additional information about the storage and processing of Data, require any necessary</w:t>
      </w:r>
    </w:p>
    <w:p>
      <w:pPr>
        <w:ind w:left="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amendments to Data or refuse or withdraw the consents herein, in any case without cost, by contacting in writing his or her local human resources representative. Further, the French Participant understands that he or she is providing the consents herein on a</w:t>
      </w:r>
    </w:p>
    <w:p>
      <w:pPr>
        <w:ind w:left="60"/>
        <w:spacing w:after="0" w:line="223" w:lineRule="auto"/>
        <w:rPr>
          <w:sz w:val="20"/>
          <w:szCs w:val="20"/>
          <w:color w:val="auto"/>
        </w:rPr>
      </w:pPr>
      <w:r>
        <w:rPr>
          <w:rFonts w:ascii="Times New Roman" w:cs="Times New Roman" w:eastAsia="Times New Roman" w:hAnsi="Times New Roman"/>
          <w:sz w:val="19"/>
          <w:szCs w:val="19"/>
          <w:b w:val="1"/>
          <w:bCs w:val="1"/>
          <w:i w:val="1"/>
          <w:iCs w:val="1"/>
          <w:color w:val="auto"/>
        </w:rPr>
        <w:t>purely voluntary basis. If the French Participant does not consent, or if the French Participant later seeks to revoke his or her consent,</w:t>
      </w:r>
    </w:p>
    <w:p>
      <w:pPr>
        <w:ind w:left="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his or her employment or service relationship will not be affected; the only consequence of refusing or withdrawing the French Participant’s consent is that the Company would not be able to grant the Options or other equity awards to the French Participant or</w:t>
      </w:r>
    </w:p>
    <w:p>
      <w:pPr>
        <w:ind w:left="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administer or maintain such awards. Therefore, the French Participant understands that refusing or withdrawing his or her consent</w:t>
      </w:r>
    </w:p>
    <w:p>
      <w:pPr>
        <w:spacing w:after="0" w:line="1"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may affect the French Participant’s ability to participate in the Plan. For more information on the consequences of the French Participant’s refusal to consent or withdrawal of consent, the French Participant understands that he or she may contact his or her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local human resources representative.</w:t>
      </w:r>
    </w:p>
    <w:p>
      <w:pPr>
        <w:spacing w:after="0" w:line="190" w:lineRule="exact"/>
        <w:rPr>
          <w:sz w:val="20"/>
          <w:szCs w:val="20"/>
          <w:color w:val="auto"/>
        </w:rPr>
      </w:pPr>
    </w:p>
    <w:p>
      <w:pPr>
        <w:ind w:left="60" w:firstLine="648"/>
        <w:spacing w:after="0" w:line="224" w:lineRule="auto"/>
        <w:rPr>
          <w:sz w:val="20"/>
          <w:szCs w:val="20"/>
          <w:color w:val="auto"/>
        </w:rPr>
      </w:pPr>
      <w:r>
        <w:rPr>
          <w:rFonts w:ascii="Times New Roman" w:cs="Times New Roman" w:eastAsia="Times New Roman" w:hAnsi="Times New Roman"/>
          <w:sz w:val="20"/>
          <w:szCs w:val="20"/>
          <w:b w:val="1"/>
          <w:bCs w:val="1"/>
          <w:i w:val="1"/>
          <w:iCs w:val="1"/>
          <w:color w:val="auto"/>
        </w:rPr>
        <w:t>The French Participant understands that the Company may rely on a different legal basis for the processing and/or transfer of his/her personal information in the future and/or request the French Participant to provide a separate data privacy consent. If</w:t>
      </w:r>
    </w:p>
    <w:p>
      <w:pPr>
        <w:spacing w:after="0" w:line="2" w:lineRule="exact"/>
        <w:rPr>
          <w:sz w:val="20"/>
          <w:szCs w:val="20"/>
          <w:color w:val="auto"/>
        </w:rPr>
      </w:pPr>
    </w:p>
    <w:p>
      <w:pPr>
        <w:ind w:left="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applicable and upon request of the Company, the French Participant agrees to provide an executed acknowledgment or data privacy consent form to the Company or Employer (or any other acknowledgements, agreements or consents) that the Company and/or the</w:t>
      </w:r>
    </w:p>
    <w:p>
      <w:pPr>
        <w:ind w:left="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Employer may deem necessary to obtain under relevant data privacy laws, now or in the future. The French Participant understands</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that he/she will not be able to participate in the Plan and the 2020 France Option Sub-Plan if he/she fails to execute any such acknowledgement, agreement or consent requested by the Company and/or the Employer.</w:t>
      </w:r>
    </w:p>
    <w:p>
      <w:pPr>
        <w:spacing w:after="0" w:line="202" w:lineRule="exact"/>
        <w:rPr>
          <w:sz w:val="20"/>
          <w:szCs w:val="20"/>
          <w:color w:val="auto"/>
        </w:rPr>
      </w:pPr>
    </w:p>
    <w:p>
      <w:pPr>
        <w:jc w:val="both"/>
        <w:ind w:left="60" w:firstLine="652"/>
        <w:spacing w:after="0" w:line="254" w:lineRule="auto"/>
        <w:tabs>
          <w:tab w:leader="none" w:pos="125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French Participant has received the Agreement or any other document related to the Option and/or the Plan translated into a language other than English, and if the meaning of the translated version is different than the English version, the English version will control.</w:t>
      </w:r>
    </w:p>
    <w:p>
      <w:pPr>
        <w:spacing w:after="0" w:line="201" w:lineRule="exact"/>
        <w:rPr>
          <w:rFonts w:ascii="Times New Roman" w:cs="Times New Roman" w:eastAsia="Times New Roman" w:hAnsi="Times New Roman"/>
          <w:sz w:val="20"/>
          <w:szCs w:val="20"/>
          <w:color w:val="auto"/>
        </w:rPr>
      </w:pPr>
    </w:p>
    <w:p>
      <w:pPr>
        <w:jc w:val="both"/>
        <w:ind w:left="60" w:firstLine="652"/>
        <w:spacing w:after="0" w:line="249" w:lineRule="auto"/>
        <w:tabs>
          <w:tab w:leader="none" w:pos="125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reserves the right to impose other requirements on the French Participant’s participation in the Plan, on the Options, and on any shares of Common Stock acquired under the Plan, to the extent the Company determines it is necessary or advisable for legal or administrative reasons, and to require the French Participant to sign any additional agreements or undertakings that may be necessary to accomplish the foregoing.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France Appr Options 2020</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 xml:space="preserve">Page </w:t>
            </w:r>
            <w:r>
              <w:rPr>
                <w:rFonts w:ascii="Times New Roman" w:cs="Times New Roman" w:eastAsia="Times New Roman" w:hAnsi="Times New Roman"/>
                <w:sz w:val="17"/>
                <w:szCs w:val="17"/>
                <w:color w:val="auto"/>
                <w:w w:val="99"/>
              </w:rPr>
              <w:t>4 of 7</w:t>
            </w:r>
          </w:p>
        </w:tc>
        <w:tc>
          <w:tcPr>
            <w:tcW w:w="0" w:type="dxa"/>
            <w:vAlign w:val="bottom"/>
          </w:tcPr>
          <w:p>
            <w:pPr>
              <w:spacing w:after="0"/>
              <w:rPr>
                <w:sz w:val="1"/>
                <w:szCs w:val="1"/>
                <w:color w:val="auto"/>
              </w:rPr>
            </w:pPr>
          </w:p>
        </w:tc>
      </w:tr>
      <w:tr>
        <w:trPr>
          <w:trHeight w:val="199"/>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20KFR3 APPRVD Options-FRANCE-2020 Legal Plan NS</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125" w:right="439" w:bottom="1440" w:gutter="0" w:footer="0" w:header="0"/>
        </w:sectPr>
      </w:pPr>
    </w:p>
    <w:bookmarkStart w:id="30" w:name="page31"/>
    <w:bookmarkEnd w:id="30"/>
    <w:p>
      <w:pPr>
        <w:jc w:val="both"/>
        <w:ind w:left="60" w:firstLine="652"/>
        <w:spacing w:after="0" w:line="215" w:lineRule="auto"/>
        <w:tabs>
          <w:tab w:leader="none" w:pos="12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Option is granted subject and pursuant to the provisions of the Plan, of the 2020 France Option Sub-Plan the terms of which are incorporated herein by reference. The grant and exercise of this Option are subject to interpretations and determinations by the Committee in accordance with the terms of the Plan. The French Participant acknowledges by virtue of the acceptance, the provisions of the current prospectus which is available and accessible through the stock administrator’s system, of the Company relating to the shares covered under the Plan. A determination of the Committee as to any questions which may arise with respect to the interpretation of the provisions of this Option, of the 2020 France Option Sub-Plan and of the Plan shall be final. The Committee may authorize and establish such rules, regulations and revisions thereof, not inconsistent with the provisions of the Plan and/or of the 2020 France Option Sub-Plan, as it may deem advisable.</w:t>
      </w:r>
    </w:p>
    <w:p>
      <w:pPr>
        <w:spacing w:after="0" w:line="187" w:lineRule="exact"/>
        <w:rPr>
          <w:rFonts w:ascii="Times New Roman" w:cs="Times New Roman" w:eastAsia="Times New Roman" w:hAnsi="Times New Roman"/>
          <w:sz w:val="20"/>
          <w:szCs w:val="20"/>
          <w:color w:val="auto"/>
        </w:rPr>
      </w:pPr>
    </w:p>
    <w:p>
      <w:pPr>
        <w:jc w:val="both"/>
        <w:ind w:left="60" w:firstLine="652"/>
        <w:spacing w:after="0" w:line="209" w:lineRule="auto"/>
        <w:tabs>
          <w:tab w:leader="none" w:pos="12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French Participant recognizes and acknowledges that, by reason of the French Participant’s employment by and service to the Company or an Affiliate, the French Participant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French Participant acknowledges that such Confidential Information is a valuable and unique asset and covenants that holder will not, either during or after the French Participant’s employment by the Company, use or disclose any such Confidential Information except to authorized representatives of the Company or as required in the performance of the French Participant’s duties and responsibilities. The French Participant shall not be required to keep confidential any Confidential Information which (i) is or becomes publicly available through no fault of the French Participant, (ii) is already in the French Participant’s possession (unless obtained from the Company or an Affiliate or one of its customers) or (iii) is required to be disclosed by applicable law or regulation, or pursuant to the valid order of a court of competent jurisdiction or an authorized government agency, provided that the French Participant shall provide the Company written notice of any such order prior to such disclosure to the extent practicable under the circumstances and permitted by applicable law. Further, the French Participant shall be free to use and employ the French Participant’s general skills, know-how and expertise, and to use, disclose and employ any contact information, generalized ideas, concepts, know-how, methods, techniques or skills, including, without limitation, those gained or learned during the course of the performance of the French Participant’s duties and responsibilities hereunder, so long as the French Participant applies such information without disclosure or use of any Confidential Information. Upon the French Participant’s termination of employment or service, the French Participant will return (or destroy, if requested by Company) all Confidential Information to the Company to the fullest extent possible.</w:t>
      </w:r>
    </w:p>
    <w:p>
      <w:pPr>
        <w:spacing w:after="0" w:line="206" w:lineRule="exact"/>
        <w:rPr>
          <w:rFonts w:ascii="Times New Roman" w:cs="Times New Roman" w:eastAsia="Times New Roman" w:hAnsi="Times New Roman"/>
          <w:sz w:val="20"/>
          <w:szCs w:val="20"/>
          <w:color w:val="auto"/>
        </w:rPr>
      </w:pPr>
    </w:p>
    <w:p>
      <w:pPr>
        <w:jc w:val="both"/>
        <w:ind w:left="60" w:firstLine="652"/>
        <w:spacing w:after="0" w:line="221" w:lineRule="auto"/>
        <w:tabs>
          <w:tab w:leader="none" w:pos="1248"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French Participant’s employment and at any time thereafter, the French Participant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Agreement shall limit or otherwise prevent (i) any person from providing truthful testimony or information in any proceeding or in response to any request from any governmental agency or any judicial, arbitral or self-regulatory forum or as otherwise required by law; (ii) either party from enforcing the other terms of this Agreement; (iii) the Company (or an Affiliate) from reviewing the holder’s performance, conducting investigations and otherwise acting in compliance with applicable law, including making statements or reports in connection therewith, or making any public filings or reports that may be required by law; (iv) the French Participant from the performance of the French Participant’s duties while employed by the Company (or an Affiliate); or (v) the French Participant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the French Participant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French Participant is not required to notify the Company that holder has made such reports or disclosures. The French Participant, however, may not waive the Company’s (or an Affiliate’s) attorney-client privilege.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France Appr Options 2020</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 xml:space="preserve">Page </w:t>
            </w:r>
            <w:r>
              <w:rPr>
                <w:rFonts w:ascii="Times New Roman" w:cs="Times New Roman" w:eastAsia="Times New Roman" w:hAnsi="Times New Roman"/>
                <w:sz w:val="17"/>
                <w:szCs w:val="17"/>
                <w:color w:val="auto"/>
                <w:w w:val="99"/>
              </w:rPr>
              <w:t>5 of 7</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20KFR3 APPRVD Options-FRANCE-2020 Legal Plan NS</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102" w:right="439" w:bottom="1440" w:gutter="0" w:footer="0" w:header="0"/>
        </w:sectPr>
      </w:pPr>
    </w:p>
    <w:bookmarkStart w:id="31" w:name="page32"/>
    <w:bookmarkEnd w:id="31"/>
    <w:p>
      <w:pPr>
        <w:jc w:val="both"/>
        <w:ind w:left="60" w:firstLine="652"/>
        <w:spacing w:after="0" w:line="254" w:lineRule="auto"/>
        <w:tabs>
          <w:tab w:leader="none" w:pos="12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French Participant acknowledges that a waiver by the Company of any provision of the Agreement shall not operate or be construed as a waiver of any other provision of the Agreement, or of any subsequent breach by the French Participant or any other participant in the Plan.</w:t>
      </w:r>
    </w:p>
    <w:p>
      <w:pPr>
        <w:spacing w:after="0" w:line="201" w:lineRule="exact"/>
        <w:rPr>
          <w:rFonts w:ascii="Times New Roman" w:cs="Times New Roman" w:eastAsia="Times New Roman" w:hAnsi="Times New Roman"/>
          <w:sz w:val="20"/>
          <w:szCs w:val="20"/>
          <w:color w:val="auto"/>
        </w:rPr>
      </w:pPr>
    </w:p>
    <w:p>
      <w:pPr>
        <w:jc w:val="both"/>
        <w:ind w:left="60" w:firstLine="652"/>
        <w:spacing w:after="0" w:line="249" w:lineRule="auto"/>
        <w:tabs>
          <w:tab w:leader="none" w:pos="12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 its sole discretion, decide to deliver any documents related to current or future participation in the Plan by electronic means. The French Participant hereby consents to receive such documents by electronic delivery and agrees to participate in the Plan through an on-line electronic system established and maintained by the Company or a third party designated by the Company.</w:t>
      </w:r>
    </w:p>
    <w:p>
      <w:pPr>
        <w:spacing w:after="0" w:line="206" w:lineRule="exact"/>
        <w:rPr>
          <w:rFonts w:ascii="Times New Roman" w:cs="Times New Roman" w:eastAsia="Times New Roman" w:hAnsi="Times New Roman"/>
          <w:sz w:val="20"/>
          <w:szCs w:val="20"/>
          <w:color w:val="auto"/>
        </w:rPr>
      </w:pPr>
    </w:p>
    <w:p>
      <w:pPr>
        <w:jc w:val="both"/>
        <w:ind w:left="60" w:firstLine="652"/>
        <w:spacing w:after="0" w:line="254" w:lineRule="auto"/>
        <w:tabs>
          <w:tab w:leader="none" w:pos="12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Agreement are severable and if any one or more of the provisions are determined to be illegal or otherwise enforceable, in whole or in part, then such provisions will be enforced to the maximum extent possible and other provisions will remain fully effective and enforceable.</w:t>
      </w:r>
    </w:p>
    <w:p>
      <w:pPr>
        <w:spacing w:after="0" w:line="174" w:lineRule="exact"/>
        <w:rPr>
          <w:rFonts w:ascii="Times New Roman" w:cs="Times New Roman" w:eastAsia="Times New Roman" w:hAnsi="Times New Roman"/>
          <w:sz w:val="20"/>
          <w:szCs w:val="20"/>
          <w:color w:val="auto"/>
        </w:rPr>
      </w:pPr>
    </w:p>
    <w:p>
      <w:pPr>
        <w:jc w:val="both"/>
        <w:ind w:left="60" w:firstLine="652"/>
        <w:spacing w:after="0" w:line="212" w:lineRule="auto"/>
        <w:tabs>
          <w:tab w:leader="none" w:pos="12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or the Agreement, unless there is an exemption from any registration, qualification or other legal requirement applicable to the Common Stock, the Company shall not be required to deliver any shares of Common Stock upon settlement of the awards prior to the completion of any registration or qualification of the Common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French Participant understands that the Company is under no obligations to register or qualify the Common Stock with the SEC or any state or foreign securities commission or to seek approval or clearance from any governmental authority for the issuance or sale of the Common Stock. Further, the French Participant agrees that the Company shall have unilateral authority to amend the Agreement without his or her consent, to the extent necessary to comply with securities or other laws applicable to the issuance of Common Stock.</w:t>
      </w:r>
    </w:p>
    <w:p>
      <w:pPr>
        <w:spacing w:after="0" w:line="276" w:lineRule="exact"/>
        <w:rPr>
          <w:rFonts w:ascii="Times New Roman" w:cs="Times New Roman" w:eastAsia="Times New Roman" w:hAnsi="Times New Roman"/>
          <w:sz w:val="20"/>
          <w:szCs w:val="20"/>
          <w:color w:val="auto"/>
        </w:rPr>
      </w:pPr>
    </w:p>
    <w:p>
      <w:pPr>
        <w:jc w:val="both"/>
        <w:ind w:left="60" w:firstLine="652"/>
        <w:spacing w:after="0" w:line="218" w:lineRule="auto"/>
        <w:tabs>
          <w:tab w:leader="none" w:pos="12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construction, interpretation and effect of the terms and conditions of this Option shall be governed by and construed in accordance with the laws of the State of Delaware without giving effect to the conflicts of laws provisions thereof. For purposes of any action, lawsuit or other proceedings brought to enforce this Agreement, relating to it, or arising from it, the parties hereby submit and consent to the sole and exclusive jurisdiction of the State of Pennsylvania, United States of America and agree that such litigation will be conducted in Chester County, or the federal courts for the United States for the District of Pennsylvania and no other courts.</w:t>
      </w:r>
    </w:p>
    <w:p>
      <w:pPr>
        <w:spacing w:after="0" w:line="204" w:lineRule="exact"/>
        <w:rPr>
          <w:rFonts w:ascii="Times New Roman" w:cs="Times New Roman" w:eastAsia="Times New Roman" w:hAnsi="Times New Roman"/>
          <w:sz w:val="20"/>
          <w:szCs w:val="20"/>
          <w:color w:val="auto"/>
        </w:rPr>
      </w:pPr>
    </w:p>
    <w:p>
      <w:pPr>
        <w:ind w:left="60" w:firstLine="652"/>
        <w:spacing w:after="0" w:line="269" w:lineRule="auto"/>
        <w:tabs>
          <w:tab w:leader="none" w:pos="12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French Participant acknowledges that French residents are required to report all foreign accounts (whether open, current or closed) to the French tax authorities on their annual tax returns. Failure to complete this reporting triggers penalties.</w:t>
      </w:r>
    </w:p>
    <w:p>
      <w:pPr>
        <w:spacing w:after="0" w:line="172" w:lineRule="exact"/>
        <w:rPr>
          <w:rFonts w:ascii="Times New Roman" w:cs="Times New Roman" w:eastAsia="Times New Roman" w:hAnsi="Times New Roman"/>
          <w:sz w:val="20"/>
          <w:szCs w:val="20"/>
          <w:color w:val="auto"/>
        </w:rPr>
      </w:pPr>
    </w:p>
    <w:p>
      <w:pPr>
        <w:jc w:val="both"/>
        <w:ind w:left="60" w:firstLine="652"/>
        <w:spacing w:after="0" w:line="211" w:lineRule="auto"/>
        <w:tabs>
          <w:tab w:leader="none" w:pos="12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French Participant acknowledges that he/she may be subject to insider trading restrictions and/or market abuse laws, which may affect his or her ability to accept, acquire, sell or attempt to sell or otherwise dispose of Common Stock, rights to Common Stock or rights linked to the value of Common Stock, during such times as the French Participant is considered to have “inside information” regarding the Company (as defined by the laws or regulations in the French Participant’s country). Local insider trading laws and regulations may prohibit the cancellation or amendment of orders the French Participant places before possessing inside information. Furthermore, the French Participant may be prohibited from (i) disclosing the inside information to any third party (other than on a “need to know” basis) and (ii) “tipping” third parties or causing them to otherwise buy or sell securities (third parties include fellow employees). Any restrictions under these laws or regulations are separate from and in addition to any restrictions that may be imposed under any applicable Company insider trading policy. The French Participant acknowledges that it is his or her responsibility to comply with any applicable restrictions as well as any applicable Company insider trading policy, and the French Participant is advised to speak to his/her personal advisor on this matter.</w:t>
      </w:r>
    </w:p>
    <w:p>
      <w:pPr>
        <w:spacing w:after="0" w:line="300" w:lineRule="exact"/>
        <w:rPr>
          <w:rFonts w:ascii="Times New Roman" w:cs="Times New Roman" w:eastAsia="Times New Roman" w:hAnsi="Times New Roman"/>
          <w:sz w:val="20"/>
          <w:szCs w:val="20"/>
          <w:color w:val="auto"/>
        </w:rPr>
      </w:pPr>
    </w:p>
    <w:p>
      <w:pPr>
        <w:ind w:left="60" w:right="700" w:firstLine="652"/>
        <w:spacing w:after="0" w:line="269" w:lineRule="auto"/>
        <w:tabs>
          <w:tab w:leader="none" w:pos="12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providing any tax, legal or financial advice, nor is the Company making any recommendations regarding the French Participant’s participation in the Plan, or his or her acquisition of Common</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France Appr Options 2020</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 xml:space="preserve">Page </w:t>
            </w:r>
            <w:r>
              <w:rPr>
                <w:rFonts w:ascii="Times New Roman" w:cs="Times New Roman" w:eastAsia="Times New Roman" w:hAnsi="Times New Roman"/>
                <w:sz w:val="17"/>
                <w:szCs w:val="17"/>
                <w:color w:val="auto"/>
                <w:w w:val="99"/>
              </w:rPr>
              <w:t>6 of 7</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20KFR3 APPRVD Options-FRANCE-2020 Legal Plan NS</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900" w:right="439"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20"/>
          <w:szCs w:val="20"/>
          <w:color w:val="auto"/>
        </w:rPr>
        <w:t>Stock. The French Participant should consult with his or her own tax, legal and financial advisors regarding participation in the Plan before taking any action related to the Plan.</w:t>
      </w:r>
    </w:p>
    <w:p>
      <w:pPr>
        <w:spacing w:after="0" w:line="188" w:lineRule="exact"/>
        <w:rPr>
          <w:sz w:val="20"/>
          <w:szCs w:val="20"/>
          <w:color w:val="auto"/>
        </w:rPr>
      </w:pPr>
    </w:p>
    <w:p>
      <w:pPr>
        <w:jc w:val="both"/>
        <w:ind w:left="60" w:firstLine="652"/>
        <w:spacing w:after="0" w:line="222" w:lineRule="auto"/>
        <w:tabs>
          <w:tab w:leader="none" w:pos="125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French Participant hereby acknowledges receipt of the Option, with the number of shares and on the Grant Date as recorded in AMETEK’s stock administrator’s system, and that the Option has been issued under the terms and conditions of the Plan and of the 2020 France Option Sub-Plan. The French Participant further agrees to conform to all the terms and conditions of the Option, of the 2020 France Option Sub-Plan and the Plan, and that all decisions and determinations of the Committee shall be final and binding.</w:t>
      </w:r>
    </w:p>
    <w:p>
      <w:pPr>
        <w:spacing w:after="0" w:line="202" w:lineRule="exact"/>
        <w:rPr>
          <w:rFonts w:ascii="Times New Roman" w:cs="Times New Roman" w:eastAsia="Times New Roman" w:hAnsi="Times New Roman"/>
          <w:sz w:val="20"/>
          <w:szCs w:val="20"/>
          <w:color w:val="auto"/>
        </w:rPr>
      </w:pPr>
    </w:p>
    <w:p>
      <w:pPr>
        <w:jc w:val="both"/>
        <w:ind w:left="60" w:firstLine="652"/>
        <w:spacing w:after="0" w:line="254" w:lineRule="auto"/>
        <w:tabs>
          <w:tab w:leader="none" w:pos="125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accepting the grant of the Options, the French Participant confirms having read and understood the documents related to the grant (the Agreement, the Plan, and the 2011 France Option Sub-Plan) which were provided in the English language. The French Participant accepts the terms of those documents accordingly.</w:t>
      </w:r>
    </w:p>
    <w:p>
      <w:pPr>
        <w:spacing w:after="0" w:line="187" w:lineRule="exact"/>
        <w:rPr>
          <w:rFonts w:ascii="Times New Roman" w:cs="Times New Roman" w:eastAsia="Times New Roman" w:hAnsi="Times New Roman"/>
          <w:sz w:val="20"/>
          <w:szCs w:val="20"/>
          <w:color w:val="auto"/>
        </w:rPr>
      </w:pPr>
    </w:p>
    <w:p>
      <w:pPr>
        <w:jc w:val="both"/>
        <w:ind w:left="60" w:firstLine="652"/>
        <w:spacing w:after="0" w:line="234" w:lineRule="auto"/>
        <w:tabs>
          <w:tab w:leader="none" w:pos="125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exchange for the valuable considerations included in this Award, at all times during the Recipient’s employment with the Company, and for a period of 24 months following the Recipient’s termination of employment with the Company for any reason, whether voluntary or involuntary, with or without cause, the Recipient shall not, on his or her own behalf or on behalf of any other person, firm, partnership, organization, agency, corporation or other entity, either directly or indirectly, to the fullest extent permitted by applicable law:</w:t>
      </w:r>
    </w:p>
    <w:p>
      <w:pPr>
        <w:spacing w:after="0" w:line="187" w:lineRule="exact"/>
        <w:rPr>
          <w:rFonts w:ascii="Times New Roman" w:cs="Times New Roman" w:eastAsia="Times New Roman" w:hAnsi="Times New Roman"/>
          <w:sz w:val="19"/>
          <w:szCs w:val="19"/>
          <w:color w:val="auto"/>
        </w:rPr>
      </w:pPr>
    </w:p>
    <w:p>
      <w:pPr>
        <w:ind w:left="2000" w:hanging="558"/>
        <w:spacing w:after="0"/>
        <w:tabs>
          <w:tab w:leader="none" w:pos="199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recruit, hire, or engage in any manner, or facilitate the solicitation, recruitment, hire or engagement of any employee, consultant, or independent contractor of the Company or any of its Affiliates.</w:t>
      </w:r>
    </w:p>
    <w:p>
      <w:pPr>
        <w:spacing w:after="0" w:line="188" w:lineRule="exact"/>
        <w:rPr>
          <w:rFonts w:ascii="Times New Roman" w:cs="Times New Roman" w:eastAsia="Times New Roman" w:hAnsi="Times New Roman"/>
          <w:sz w:val="20"/>
          <w:szCs w:val="20"/>
          <w:color w:val="auto"/>
        </w:rPr>
      </w:pPr>
    </w:p>
    <w:p>
      <w:pPr>
        <w:jc w:val="both"/>
        <w:ind w:left="2000" w:hanging="558"/>
        <w:spacing w:after="0" w:line="226" w:lineRule="auto"/>
        <w:tabs>
          <w:tab w:leader="none" w:pos="1988"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induce, encourage or assist any director, officer, employee, agent, consultant, sales agent, sales agent representative, customer, or supplier of the Company or any of its Affiliates to terminate or alter his/her/its relationship with the Company or any of its Affiliates, or to join another business organization.</w:t>
      </w:r>
    </w:p>
    <w:p>
      <w:pPr>
        <w:spacing w:after="0" w:line="200" w:lineRule="exact"/>
        <w:rPr>
          <w:rFonts w:ascii="Times New Roman" w:cs="Times New Roman" w:eastAsia="Times New Roman" w:hAnsi="Times New Roman"/>
          <w:sz w:val="20"/>
          <w:szCs w:val="20"/>
          <w:color w:val="auto"/>
        </w:rPr>
      </w:pPr>
    </w:p>
    <w:p>
      <w:pPr>
        <w:jc w:val="both"/>
        <w:ind w:left="2000" w:hanging="558"/>
        <w:spacing w:after="0" w:line="217" w:lineRule="auto"/>
        <w:tabs>
          <w:tab w:leader="none" w:pos="199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accept or conduct, other than for the benefit of the Company, any business with any customer or prospective customer of the Company with whom or which the Recipient had contact or about which the Recipient learned Confidential Information during his or her employment with the Company that is competitive with the business of the Company in which the Recipient worked during his or her employment with the Company.</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jc w:val="both"/>
        <w:ind w:left="60" w:firstLine="652"/>
        <w:spacing w:after="0" w:line="216" w:lineRule="auto"/>
        <w:tabs>
          <w:tab w:leader="none" w:pos="1252"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court determines that the non-solicitation provision, or any part thereof, is unenforceable because of the duration or scope of such provision, then the duration or scope of such provision, as the case may be, shall be reduced so that such provision becomes enforceable and, in its reduced form, such provision shall then be enforceable and shall be enforced. In the case that any one or more of the provisions contained in this Award shall, for any reason, be held to be invalid, illegal or unenforceable, such invalidity, illegality or unenforceability shall not affect the other provisions of this Award and this Award shall be construed as if such invalid, illegal or unenforceable provision had never been contained herein.</w:t>
      </w:r>
    </w:p>
    <w:p>
      <w:pPr>
        <w:spacing w:after="0" w:line="200" w:lineRule="exact"/>
        <w:rPr>
          <w:sz w:val="20"/>
          <w:szCs w:val="20"/>
          <w:color w:val="auto"/>
        </w:rPr>
      </w:pPr>
    </w:p>
    <w:p>
      <w:pPr>
        <w:spacing w:after="0" w:line="228" w:lineRule="exact"/>
        <w:rPr>
          <w:sz w:val="20"/>
          <w:szCs w:val="20"/>
          <w:color w:val="auto"/>
        </w:rPr>
      </w:pPr>
    </w:p>
    <w:p>
      <w:pPr>
        <w:ind w:left="60"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 xml:space="preserve">En acceptant l'attribution des options (stock-options), le bénéficiaire (« the French Participant ») confirme avoir lu et compris l’ensemble des documents relatifs à l'attribution (le Contrat « </w:t>
      </w:r>
      <w:r>
        <w:rPr>
          <w:rFonts w:ascii="Times New Roman" w:cs="Times New Roman" w:eastAsia="Times New Roman" w:hAnsi="Times New Roman"/>
          <w:sz w:val="20"/>
          <w:szCs w:val="20"/>
          <w:color w:val="auto"/>
        </w:rPr>
        <w:t>the Option Agreement »</w:t>
      </w:r>
      <w:r>
        <w:rPr>
          <w:rFonts w:ascii="Times New Roman" w:cs="Times New Roman" w:eastAsia="Times New Roman" w:hAnsi="Times New Roman"/>
          <w:sz w:val="20"/>
          <w:szCs w:val="20"/>
          <w:i w:val="1"/>
          <w:iCs w:val="1"/>
          <w:color w:val="auto"/>
        </w:rPr>
        <w:t>, le Plan</w:t>
      </w:r>
    </w:p>
    <w:p>
      <w:pPr>
        <w:spacing w:after="0" w:line="2" w:lineRule="exact"/>
        <w:rPr>
          <w:sz w:val="20"/>
          <w:szCs w:val="20"/>
          <w:color w:val="auto"/>
        </w:rPr>
      </w:pPr>
    </w:p>
    <w:p>
      <w:pPr>
        <w:jc w:val="both"/>
        <w:ind w:left="60" w:firstLine="4"/>
        <w:spacing w:after="0" w:line="223" w:lineRule="auto"/>
        <w:tabs>
          <w:tab w:leader="none" w:pos="224" w:val="left"/>
        </w:tabs>
        <w:numPr>
          <w:ilvl w:val="0"/>
          <w:numId w:val="28"/>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2020 Omnibus Incentive Compensation Plan » et le Sous-Plan pour la France « the 2020 France Option Sub- Plan ») qui ont été fournis en langue anglaise. Le bénéficiaire accepte sans réserve l’ensemble des dispositions comprises dans ces documents et ce, en connaissance de cause.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France Appr Options 2020</w:t>
            </w:r>
          </w:p>
        </w:tc>
        <w:tc>
          <w:tcPr>
            <w:tcW w:w="11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w w:val="99"/>
              </w:rPr>
              <w:t xml:space="preserve">Page </w:t>
            </w:r>
            <w:r>
              <w:rPr>
                <w:rFonts w:ascii="Times New Roman" w:cs="Times New Roman" w:eastAsia="Times New Roman" w:hAnsi="Times New Roman"/>
                <w:sz w:val="17"/>
                <w:szCs w:val="17"/>
                <w:color w:val="auto"/>
                <w:w w:val="99"/>
              </w:rPr>
              <w:t>7 of 7</w:t>
            </w:r>
          </w:p>
        </w:tc>
        <w:tc>
          <w:tcPr>
            <w:tcW w:w="0" w:type="dxa"/>
            <w:vAlign w:val="bottom"/>
          </w:tcPr>
          <w:p>
            <w:pPr>
              <w:spacing w:after="0"/>
              <w:rPr>
                <w:sz w:val="1"/>
                <w:szCs w:val="1"/>
                <w:color w:val="auto"/>
              </w:rPr>
            </w:pPr>
          </w:p>
        </w:tc>
      </w:tr>
      <w:tr>
        <w:trPr>
          <w:trHeight w:val="199"/>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20KFR3 APPRVD Options-FRANCE-2020 Legal Plan NS</w:t>
            </w: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129" w:right="439" w:bottom="1440" w:gutter="0" w:footer="0" w:header="0"/>
        </w:sectPr>
      </w:pPr>
    </w:p>
    <w:bookmarkStart w:id="33" w:name="page34"/>
    <w:bookmarkEnd w:id="33"/>
    <w:p>
      <w:pPr>
        <w:ind w:left="7100"/>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AMETEK, INC.</w:t>
      </w:r>
    </w:p>
    <w:p>
      <w:pPr>
        <w:spacing w:after="0" w:line="32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2020 OMNIBUS INCENTIVE COMPENSATION PLAN and 2020 FRANCE RSU</w:t>
      </w:r>
    </w:p>
    <w:p>
      <w:pPr>
        <w:spacing w:after="0" w:line="2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SUB-PLAN</w:t>
      </w:r>
    </w:p>
    <w:p>
      <w:pPr>
        <w:spacing w:after="0" w:line="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w:t>
      </w:r>
    </w:p>
    <w:p>
      <w:pPr>
        <w:spacing w:after="0" w:line="220" w:lineRule="exact"/>
        <w:rPr>
          <w:sz w:val="20"/>
          <w:szCs w:val="20"/>
          <w:color w:val="auto"/>
        </w:rPr>
      </w:pPr>
    </w:p>
    <w:p>
      <w:pPr>
        <w:jc w:val="both"/>
        <w:ind w:left="60" w:firstLine="646"/>
        <w:spacing w:after="0" w:line="216" w:lineRule="auto"/>
        <w:tabs>
          <w:tab w:leader="none" w:pos="1262" w:val="left"/>
        </w:tabs>
        <w:numPr>
          <w:ilvl w:val="1"/>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b w:val="1"/>
          <w:bCs w:val="1"/>
          <w:color w:val="auto"/>
        </w:rPr>
        <w:t xml:space="preserve">THIS CERTIFIES THAT </w:t>
      </w:r>
      <w:r>
        <w:rPr>
          <w:rFonts w:ascii="Times New Roman" w:cs="Times New Roman" w:eastAsia="Times New Roman" w:hAnsi="Times New Roman"/>
          <w:sz w:val="22"/>
          <w:szCs w:val="22"/>
          <w:color w:val="auto"/>
        </w:rPr>
        <w:t>the French Participant as defined in the 2020 France RSU Sub-Plan is hereby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(“RSUs”) under the 2020 Omnibus Incentive Compensation Plan of AMETEK, Inc. (the “Plan”) and the 2020 France RSU Sub-Plan to become the owner of the underlying shares of AMETEK, Inc., a Delaware corporation (the “Company”), upon and subject to the Plan, the 2020 France RSU Sub-Plan and the following terms and conditions, being specified that capitalized terms not otherwise defined in this Restricted Stock Unit agreement (the “Agreement”) shall have the same meanings as defined in the Plan and the 2020 France RSU Sub-Plan.</w:t>
      </w:r>
    </w:p>
    <w:p>
      <w:pPr>
        <w:spacing w:after="0" w:line="176" w:lineRule="exact"/>
        <w:rPr>
          <w:rFonts w:ascii="Times New Roman" w:cs="Times New Roman" w:eastAsia="Times New Roman" w:hAnsi="Times New Roman"/>
          <w:sz w:val="22"/>
          <w:szCs w:val="22"/>
          <w:u w:val="single" w:color="auto"/>
          <w:color w:val="auto"/>
        </w:rPr>
      </w:pPr>
    </w:p>
    <w:p>
      <w:pPr>
        <w:jc w:val="both"/>
        <w:ind w:left="60" w:firstLine="646"/>
        <w:spacing w:after="0" w:line="213" w:lineRule="auto"/>
        <w:tabs>
          <w:tab w:leader="none" w:pos="1262" w:val="left"/>
        </w:tabs>
        <w:numPr>
          <w:ilvl w:val="1"/>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RSUs granted pursuant to this Agreement are intended to qualify for special tax and social security treatment in France applicable to rights to shares granted for no consideration under Sections L. 225-197-1 to L. 225-197-6 of the French Commercial Code, as amended. However, certain event may affect the qualified status of the RSUs and the Company does not make any undertaking or representation to maintain the qualified status of the RSUs. If the RSUs do not retain their qualified status, the special tax and social security treatment will not apply and the French Participant will be required to pay the French Participant’s portion of social security contributions resulting from the RSUs as well as any income and other taxes that may be due pursuant to other rules for non-qualified RSUs.</w:t>
      </w:r>
    </w:p>
    <w:p>
      <w:pPr>
        <w:spacing w:after="0" w:line="196" w:lineRule="exact"/>
        <w:rPr>
          <w:rFonts w:ascii="Times New Roman" w:cs="Times New Roman" w:eastAsia="Times New Roman" w:hAnsi="Times New Roman"/>
          <w:sz w:val="22"/>
          <w:szCs w:val="22"/>
          <w:u w:val="single" w:color="auto"/>
          <w:color w:val="auto"/>
        </w:rPr>
      </w:pPr>
    </w:p>
    <w:p>
      <w:pPr>
        <w:ind w:left="60" w:right="20" w:firstLine="646"/>
        <w:spacing w:after="0" w:line="236" w:lineRule="auto"/>
        <w:tabs>
          <w:tab w:leader="none" w:pos="1262" w:val="left"/>
        </w:tabs>
        <w:numPr>
          <w:ilvl w:val="1"/>
          <w:numId w:val="2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number of RSUs granted, the Grant Date and the Vesting Date are as set out on the Company’s stock administrator’s system. The RSUs are initially not vested and may become vested and non-forfeitable on the earliest of:</w:t>
      </w:r>
    </w:p>
    <w:p>
      <w:pPr>
        <w:spacing w:after="0" w:line="190" w:lineRule="exact"/>
        <w:rPr>
          <w:rFonts w:ascii="Times New Roman" w:cs="Times New Roman" w:eastAsia="Times New Roman" w:hAnsi="Times New Roman"/>
          <w:sz w:val="22"/>
          <w:szCs w:val="22"/>
          <w:u w:val="single" w:color="auto"/>
          <w:color w:val="auto"/>
        </w:rPr>
      </w:pPr>
    </w:p>
    <w:p>
      <w:pPr>
        <w:jc w:val="both"/>
        <w:ind w:left="700" w:right="20" w:hanging="318"/>
        <w:spacing w:after="0" w:line="225" w:lineRule="auto"/>
        <w:tabs>
          <w:tab w:leader="none" w:pos="69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two-thirds of the RSUs granted on the second anniversary of the Grant Date and one-third of the RSUs on the third anniversary of the Grant Date, subject to the French Participant’s continuous employment with the Company (or any successor or French Affiliate) through each such date;</w:t>
      </w:r>
    </w:p>
    <w:p>
      <w:pPr>
        <w:spacing w:after="0" w:line="179" w:lineRule="exact"/>
        <w:rPr>
          <w:rFonts w:ascii="Times New Roman" w:cs="Times New Roman" w:eastAsia="Times New Roman" w:hAnsi="Times New Roman"/>
          <w:sz w:val="22"/>
          <w:szCs w:val="22"/>
          <w:color w:val="auto"/>
        </w:rPr>
      </w:pPr>
    </w:p>
    <w:p>
      <w:pPr>
        <w:ind w:left="700" w:right="640" w:hanging="318"/>
        <w:spacing w:after="0" w:line="225" w:lineRule="auto"/>
        <w:tabs>
          <w:tab w:leader="none" w:pos="6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death of the French Participant; In this case, the person entitled to succeed to the rights of the participant may claim the settlement of any vested RSUs of the deceased participant within six (6) months following the date of death;</w:t>
      </w:r>
    </w:p>
    <w:p>
      <w:pPr>
        <w:spacing w:after="0" w:line="179" w:lineRule="exact"/>
        <w:rPr>
          <w:rFonts w:ascii="Times New Roman" w:cs="Times New Roman" w:eastAsia="Times New Roman" w:hAnsi="Times New Roman"/>
          <w:sz w:val="22"/>
          <w:szCs w:val="22"/>
          <w:color w:val="auto"/>
        </w:rPr>
      </w:pPr>
    </w:p>
    <w:p>
      <w:pPr>
        <w:ind w:left="700" w:right="580" w:hanging="318"/>
        <w:spacing w:after="0" w:line="236" w:lineRule="auto"/>
        <w:tabs>
          <w:tab w:leader="none" w:pos="69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Disability of the French Participant (as defined in categories 2 and 3 under Section 341-4 of the French Social Security Code), if the Committee decides to accelerate the vesting;</w:t>
      </w:r>
    </w:p>
    <w:p>
      <w:pPr>
        <w:spacing w:after="0" w:line="190" w:lineRule="exact"/>
        <w:rPr>
          <w:rFonts w:ascii="Times New Roman" w:cs="Times New Roman" w:eastAsia="Times New Roman" w:hAnsi="Times New Roman"/>
          <w:sz w:val="22"/>
          <w:szCs w:val="22"/>
          <w:color w:val="auto"/>
        </w:rPr>
      </w:pPr>
    </w:p>
    <w:p>
      <w:pPr>
        <w:ind w:left="700" w:hanging="318"/>
        <w:spacing w:after="0" w:line="236" w:lineRule="auto"/>
        <w:tabs>
          <w:tab w:leader="none" w:pos="6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French Participant’s termination of employment or service with the Company (or any successor or French Affiliate) as a result of and concurrent with a Change in Control (as defined in the Plan).</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1 of 10</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04" w:right="439" w:bottom="1440" w:gutter="0" w:footer="0" w:header="0"/>
        </w:sectPr>
      </w:pPr>
    </w:p>
    <w:bookmarkStart w:id="34" w:name="page35"/>
    <w:bookmarkEnd w:id="34"/>
    <w:p>
      <w:pPr>
        <w:jc w:val="both"/>
        <w:ind w:left="60"/>
        <w:spacing w:after="0" w:line="220" w:lineRule="auto"/>
        <w:rPr>
          <w:sz w:val="20"/>
          <w:szCs w:val="20"/>
          <w:color w:val="auto"/>
        </w:rPr>
      </w:pPr>
      <w:r>
        <w:rPr>
          <w:rFonts w:ascii="Times New Roman" w:cs="Times New Roman" w:eastAsia="Times New Roman" w:hAnsi="Times New Roman"/>
          <w:sz w:val="22"/>
          <w:szCs w:val="22"/>
          <w:color w:val="auto"/>
        </w:rPr>
        <w:t>In the case of death, the person entitled to succeed to the rights of the French Participant under French law may claim the settlement of any vested RSUs of the deceased French Participant within six (6) months following the date of death. Any such successor must furnish proof satisfactory to the Company of his or her right to receive the shares under the applicable laws of descent and distribution, else the shares become null and void.</w:t>
      </w:r>
    </w:p>
    <w:p>
      <w:pPr>
        <w:spacing w:after="0" w:line="193" w:lineRule="exact"/>
        <w:rPr>
          <w:sz w:val="20"/>
          <w:szCs w:val="20"/>
          <w:color w:val="auto"/>
        </w:rPr>
      </w:pPr>
    </w:p>
    <w:p>
      <w:pPr>
        <w:jc w:val="both"/>
        <w:ind w:left="60" w:right="20"/>
        <w:spacing w:after="0" w:line="225" w:lineRule="auto"/>
        <w:rPr>
          <w:sz w:val="20"/>
          <w:szCs w:val="20"/>
          <w:color w:val="auto"/>
        </w:rPr>
      </w:pPr>
      <w:r>
        <w:rPr>
          <w:rFonts w:ascii="Times New Roman" w:cs="Times New Roman" w:eastAsia="Times New Roman" w:hAnsi="Times New Roman"/>
          <w:sz w:val="22"/>
          <w:szCs w:val="22"/>
          <w:color w:val="auto"/>
        </w:rPr>
        <w:t>Except to the extent, if any, that the RSUs shall have become non-forfeitable pursuant to the foregoing provisions of this paragraph 3, if the French Participant shall voluntarily or involuntarily leave the employ of the French Affiliate prior to the third anniversary of the Grant Date, the unvested RSUs shall be forfeited.</w:t>
      </w:r>
    </w:p>
    <w:p>
      <w:pPr>
        <w:spacing w:after="0" w:line="193" w:lineRule="exact"/>
        <w:rPr>
          <w:sz w:val="20"/>
          <w:szCs w:val="20"/>
          <w:color w:val="auto"/>
        </w:rPr>
      </w:pPr>
    </w:p>
    <w:p>
      <w:pPr>
        <w:jc w:val="both"/>
        <w:ind w:left="220" w:firstLine="648"/>
        <w:spacing w:after="0" w:line="213" w:lineRule="auto"/>
        <w:tabs>
          <w:tab w:leader="none" w:pos="1260" w:val="left"/>
        </w:tabs>
        <w:numPr>
          <w:ilvl w:val="0"/>
          <w:numId w:val="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At such time the RSUs become non-forfeitable, the Company will deliver to the French Participant an unrestricted certificate for a number of shares of Company Stock equal to the number of RSUs that became vested. Notwithstanding any other provision of Plan, French Participant shall not be credited with any Dividend Equivalents during the Vesting Period or relating to the Vesting Period. The number of shares delivered at Vesting Date will not be increased by any potential Dividend Equivalents that could have accrued during the Vesting Period or relating to the Vesting Period. No Dividend Equivalents can be paid or credited to an account established in the name of the French Participant with respect to RSU granted further to the 2020 French RSU sub-plan.</w:t>
      </w:r>
    </w:p>
    <w:p>
      <w:pPr>
        <w:spacing w:after="0" w:line="183" w:lineRule="exact"/>
        <w:rPr>
          <w:sz w:val="20"/>
          <w:szCs w:val="20"/>
          <w:color w:val="auto"/>
        </w:rPr>
      </w:pPr>
    </w:p>
    <w:p>
      <w:pPr>
        <w:jc w:val="both"/>
        <w:ind w:left="220"/>
        <w:spacing w:after="0" w:line="217" w:lineRule="auto"/>
        <w:rPr>
          <w:sz w:val="20"/>
          <w:szCs w:val="20"/>
          <w:color w:val="auto"/>
        </w:rPr>
      </w:pPr>
      <w:r>
        <w:rPr>
          <w:rFonts w:ascii="Times New Roman" w:cs="Times New Roman" w:eastAsia="Times New Roman" w:hAnsi="Times New Roman"/>
          <w:sz w:val="22"/>
          <w:szCs w:val="22"/>
          <w:color w:val="auto"/>
        </w:rPr>
        <w:t>In addition, notwithstanding any other provision of the Plan, and notably Section 8 (c) of the Plan, the RSUs granted shall not be settled in cash. RSUs granted to the French Participant will only be settled in Shares of Company Stock. The French Participant will not have to pay any economic consideration for the delivery of the Shares. Once the RSUs vested, the delivery of the Shares to the French Participant shall be definitive. The RSUs vested cannot be cancelled or rescinded and the French Participant shall not be required to return them even if a Holding Period is required.</w:t>
      </w:r>
    </w:p>
    <w:p>
      <w:pPr>
        <w:spacing w:after="0" w:line="179" w:lineRule="exact"/>
        <w:rPr>
          <w:sz w:val="20"/>
          <w:szCs w:val="20"/>
          <w:color w:val="auto"/>
        </w:rPr>
      </w:pPr>
    </w:p>
    <w:p>
      <w:pPr>
        <w:jc w:val="both"/>
        <w:ind w:left="60" w:firstLine="646"/>
        <w:spacing w:after="0" w:line="209" w:lineRule="auto"/>
        <w:tabs>
          <w:tab w:leader="none" w:pos="1262"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French Participant acknowledges and agrees that regardless of any action taken by the Company, or if different, the subsidiary or Affiliate for which the French Participant provides services (the “Employer”) with respect to any or all income tax (including U.S. federal, state and local tax and/or non-U.S. tax) , social insurance, payroll tax, fringe benefits tax, payment on account or other tax-related items related to the French Participant’s participation in the Plan and legally applicable under applicable legislation to the French Participant (“Tax-Related Items”), the ultimate liability for all Tax-Related Items is and remains the French Participant’s responsibility and may exceed the amount actually withheld by the Company and/or the Employer. The French Participant further acknowledges that the Company and/or the Employer (i) make no representations or undertakings regarding the treatment of any Tax-Related Items in connection with any aspect of the RSUs, including but not limited to, the grant, vesting or settlement of the awards, or the subsequent sale of shares acquired under the Plan; and (ii) do not commit to and are under no obligation to structure the terms of the grant or any aspect of the award to reduce or eliminate the French Participant’s liability for Tax-Related Items or achieve a particular tax result. Further, if the French Participant is subject to Tax-Related Items in more than one jurisdiction, the French Participant acknowledges and agrees that the Company or Employer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2 of 10</w:t>
            </w:r>
          </w:p>
        </w:tc>
        <w:tc>
          <w:tcPr>
            <w:tcW w:w="0" w:type="dxa"/>
            <w:vAlign w:val="bottom"/>
          </w:tcPr>
          <w:p>
            <w:pPr>
              <w:spacing w:after="0"/>
              <w:rPr>
                <w:sz w:val="1"/>
                <w:szCs w:val="1"/>
                <w:color w:val="auto"/>
              </w:rPr>
            </w:pPr>
          </w:p>
        </w:tc>
      </w:tr>
      <w:tr>
        <w:trPr>
          <w:trHeight w:val="198"/>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395" w:right="439" w:bottom="1440" w:gutter="0" w:footer="0" w:header="0"/>
        </w:sectPr>
      </w:pPr>
    </w:p>
    <w:bookmarkStart w:id="35" w:name="page36"/>
    <w:bookmarkEnd w:id="35"/>
    <w:p>
      <w:pPr>
        <w:spacing w:after="0" w:line="198" w:lineRule="exact"/>
        <w:rPr>
          <w:sz w:val="20"/>
          <w:szCs w:val="20"/>
          <w:color w:val="auto"/>
        </w:rPr>
      </w:pPr>
    </w:p>
    <w:p>
      <w:pPr>
        <w:jc w:val="both"/>
        <w:ind w:left="60" w:firstLine="648"/>
        <w:spacing w:after="0" w:line="220"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the French Participant agrees to make adequate arrangements satisfactory to the Company and/or the Employer to satisfy all Tax-Related Items. In this regard, the French Participant authorizes the Company and/or the Employer, or their respective agents, at their discretion, to satisfy any applicable withholding obligations with regard to Tax-Related Items by one or a combination of the following:</w:t>
      </w:r>
    </w:p>
    <w:p>
      <w:pPr>
        <w:spacing w:after="0" w:line="193" w:lineRule="exact"/>
        <w:rPr>
          <w:sz w:val="20"/>
          <w:szCs w:val="20"/>
          <w:color w:val="auto"/>
        </w:rPr>
      </w:pPr>
    </w:p>
    <w:p>
      <w:pPr>
        <w:ind w:left="2000" w:hanging="565"/>
        <w:spacing w:after="0" w:line="236" w:lineRule="auto"/>
        <w:tabs>
          <w:tab w:leader="none" w:pos="199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the French Participant’s wages or other cash compensation paid to the French Participant by the Company, the Employer or any other subsidiary;</w:t>
      </w:r>
    </w:p>
    <w:p>
      <w:pPr>
        <w:spacing w:after="0" w:line="190" w:lineRule="exact"/>
        <w:rPr>
          <w:rFonts w:ascii="Times New Roman" w:cs="Times New Roman" w:eastAsia="Times New Roman" w:hAnsi="Times New Roman"/>
          <w:sz w:val="22"/>
          <w:szCs w:val="22"/>
          <w:color w:val="auto"/>
        </w:rPr>
      </w:pPr>
    </w:p>
    <w:p>
      <w:pPr>
        <w:jc w:val="both"/>
        <w:ind w:left="2000" w:hanging="565"/>
        <w:spacing w:after="0" w:line="225" w:lineRule="auto"/>
        <w:tabs>
          <w:tab w:leader="none" w:pos="199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the proceeds of the sale of share of Company Stock acquired at vesting of the RSUs either through a voluntary sale or through a mandatory sale arranged by the Company (on the French Participant’s behalf pursuant to this authorization) without further consent;</w:t>
      </w:r>
    </w:p>
    <w:p>
      <w:pPr>
        <w:spacing w:after="0" w:line="179" w:lineRule="exact"/>
        <w:rPr>
          <w:rFonts w:ascii="Times New Roman" w:cs="Times New Roman" w:eastAsia="Times New Roman" w:hAnsi="Times New Roman"/>
          <w:sz w:val="22"/>
          <w:szCs w:val="22"/>
          <w:color w:val="auto"/>
        </w:rPr>
      </w:pPr>
    </w:p>
    <w:p>
      <w:pPr>
        <w:jc w:val="both"/>
        <w:ind w:left="2000" w:hanging="565"/>
        <w:spacing w:after="0" w:line="220" w:lineRule="auto"/>
        <w:tabs>
          <w:tab w:leader="none" w:pos="199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such number of shares of Company Stock (thus reducing the number of shares to be issued to the French Participant) as shall have a Fair Market Value, valued on the date on which Tax-Related Items are determined, equal to the amount required to be withheld to satisfy the Company (or successor or Affiliate’s) withholding obligations; or</w:t>
      </w:r>
    </w:p>
    <w:p>
      <w:pPr>
        <w:spacing w:after="0" w:line="192" w:lineRule="exact"/>
        <w:rPr>
          <w:rFonts w:ascii="Times New Roman" w:cs="Times New Roman" w:eastAsia="Times New Roman" w:hAnsi="Times New Roman"/>
          <w:sz w:val="22"/>
          <w:szCs w:val="22"/>
          <w:color w:val="auto"/>
        </w:rPr>
      </w:pPr>
    </w:p>
    <w:p>
      <w:pPr>
        <w:ind w:left="2000" w:hanging="565"/>
        <w:spacing w:after="0"/>
        <w:tabs>
          <w:tab w:leader="none" w:pos="20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approved by the Committee and permitted by applicable laws.</w:t>
      </w:r>
    </w:p>
    <w:p>
      <w:pPr>
        <w:spacing w:after="0" w:line="220" w:lineRule="exact"/>
        <w:rPr>
          <w:sz w:val="20"/>
          <w:szCs w:val="20"/>
          <w:color w:val="auto"/>
        </w:rPr>
      </w:pPr>
    </w:p>
    <w:p>
      <w:pPr>
        <w:jc w:val="both"/>
        <w:ind w:left="60" w:firstLine="648"/>
        <w:spacing w:after="0" w:line="213" w:lineRule="auto"/>
        <w:rPr>
          <w:sz w:val="20"/>
          <w:szCs w:val="20"/>
          <w:color w:val="auto"/>
        </w:rPr>
      </w:pPr>
      <w:r>
        <w:rPr>
          <w:rFonts w:ascii="Times New Roman" w:cs="Times New Roman" w:eastAsia="Times New Roman" w:hAnsi="Times New Roman"/>
          <w:sz w:val="22"/>
          <w:szCs w:val="22"/>
          <w:color w:val="auto"/>
        </w:rPr>
        <w:t>Depending on the withholding method, the Company may withhold or account for Tax- Related Items by considering applicable minimum statutory withholding amounts or other applicable withholding rates, including maximum applicable rates, in which case the French Participant may receive a refund of any over-withheld amount in cash (with no entitlement to the Company Stock equivalent) or, if not refunded, the French Participant may seek a refund from the local tax authorities. If the obligation for Tax-Related Items is satisfied by withholding shares of Company Stock, for tax purposes, the French Participant is deemed to have been issued the full number of shares of Company Stock, notwithstanding that Company Stock is held back solely for purposes of paying the Tax-Related Items.</w:t>
      </w:r>
    </w:p>
    <w:p>
      <w:pPr>
        <w:spacing w:after="0" w:line="183" w:lineRule="exact"/>
        <w:rPr>
          <w:sz w:val="20"/>
          <w:szCs w:val="20"/>
          <w:color w:val="auto"/>
        </w:rPr>
      </w:pPr>
    </w:p>
    <w:p>
      <w:pPr>
        <w:jc w:val="both"/>
        <w:ind w:left="60" w:firstLine="648"/>
        <w:spacing w:after="0" w:line="217" w:lineRule="auto"/>
        <w:rPr>
          <w:sz w:val="20"/>
          <w:szCs w:val="20"/>
          <w:color w:val="auto"/>
        </w:rPr>
      </w:pPr>
      <w:r>
        <w:rPr>
          <w:rFonts w:ascii="Times New Roman" w:cs="Times New Roman" w:eastAsia="Times New Roman" w:hAnsi="Times New Roman"/>
          <w:sz w:val="22"/>
          <w:szCs w:val="22"/>
          <w:color w:val="auto"/>
        </w:rPr>
        <w:t>Finally, the French Participant agrees to pay to the Company or the Employer any amount of Tax-Related Items that the Company or the Employer may be required to withhold or account for as a result of the French Participant’s participation in the Plan that cannot be satisfied by the means previously described. The Company may refuse to issue or deliver the shares of Company Stock or the proceeds from the sale of shares of Company Stock, if the French Participant fails to comply with his or her obligations in connection with the Tax-Related Items.</w:t>
      </w:r>
    </w:p>
    <w:p>
      <w:pPr>
        <w:spacing w:after="0" w:line="193" w:lineRule="exact"/>
        <w:rPr>
          <w:sz w:val="20"/>
          <w:szCs w:val="20"/>
          <w:color w:val="auto"/>
        </w:rPr>
      </w:pPr>
    </w:p>
    <w:p>
      <w:pPr>
        <w:jc w:val="both"/>
        <w:ind w:left="60" w:right="20" w:firstLine="646"/>
        <w:spacing w:after="0" w:line="225" w:lineRule="auto"/>
        <w:tabs>
          <w:tab w:leader="none" w:pos="1262"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French Participant shall not sell, assign, transfer, pledge, hypothecate or otherwise dispose of, by operation of law or otherwise (collectively, “transfer”) any RSUs, or any interest therein other than by death unless and until the RSUs have been settled as provided in this Agreement.</w:t>
      </w:r>
    </w:p>
    <w:p>
      <w:pPr>
        <w:spacing w:after="0" w:line="179" w:lineRule="exact"/>
        <w:rPr>
          <w:rFonts w:ascii="Times New Roman" w:cs="Times New Roman" w:eastAsia="Times New Roman" w:hAnsi="Times New Roman"/>
          <w:sz w:val="22"/>
          <w:szCs w:val="22"/>
          <w:u w:val="single" w:color="auto"/>
          <w:color w:val="auto"/>
        </w:rPr>
      </w:pPr>
    </w:p>
    <w:p>
      <w:pPr>
        <w:ind w:left="60" w:right="20" w:firstLine="646"/>
        <w:spacing w:after="0" w:line="236" w:lineRule="auto"/>
        <w:tabs>
          <w:tab w:leader="none" w:pos="1262"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Prior to the issuance of a certificate for shares of Company Stock in settlement of RSUs, French Participant will have no rights as a shareholder of the Company with respect to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3 of 10</w:t>
            </w:r>
          </w:p>
        </w:tc>
        <w:tc>
          <w:tcPr>
            <w:tcW w:w="0" w:type="dxa"/>
            <w:vAlign w:val="bottom"/>
          </w:tcPr>
          <w:p>
            <w:pPr>
              <w:spacing w:after="0"/>
              <w:rPr>
                <w:sz w:val="1"/>
                <w:szCs w:val="1"/>
                <w:color w:val="auto"/>
              </w:rPr>
            </w:pPr>
          </w:p>
        </w:tc>
      </w:tr>
      <w:tr>
        <w:trPr>
          <w:trHeight w:val="198"/>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440" w:right="439" w:bottom="1440" w:gutter="0" w:footer="0" w:header="0"/>
        </w:sectPr>
      </w:pPr>
    </w:p>
    <w:bookmarkStart w:id="36" w:name="page37"/>
    <w:bookmarkEnd w:id="36"/>
    <w:p>
      <w:pPr>
        <w:spacing w:after="0" w:line="198" w:lineRule="exact"/>
        <w:rPr>
          <w:sz w:val="20"/>
          <w:szCs w:val="20"/>
          <w:color w:val="auto"/>
        </w:rPr>
      </w:pPr>
    </w:p>
    <w:p>
      <w:pPr>
        <w:ind w:left="60" w:right="340"/>
        <w:spacing w:after="0" w:line="236" w:lineRule="auto"/>
        <w:rPr>
          <w:sz w:val="20"/>
          <w:szCs w:val="20"/>
          <w:color w:val="auto"/>
        </w:rPr>
      </w:pPr>
      <w:r>
        <w:rPr>
          <w:rFonts w:ascii="Times New Roman" w:cs="Times New Roman" w:eastAsia="Times New Roman" w:hAnsi="Times New Roman"/>
          <w:sz w:val="22"/>
          <w:szCs w:val="22"/>
          <w:color w:val="auto"/>
        </w:rPr>
        <w:t>RSUs, including the right to vote or to receive dividends, until the legal ownership of the Shares is transferred to the French Participant on the Vesting Date.</w:t>
      </w:r>
    </w:p>
    <w:p>
      <w:pPr>
        <w:spacing w:after="0" w:line="191" w:lineRule="exact"/>
        <w:rPr>
          <w:sz w:val="20"/>
          <w:szCs w:val="20"/>
          <w:color w:val="auto"/>
        </w:rPr>
      </w:pPr>
    </w:p>
    <w:p>
      <w:pPr>
        <w:jc w:val="both"/>
        <w:ind w:left="60" w:firstLine="646"/>
        <w:spacing w:after="0" w:line="221" w:lineRule="auto"/>
        <w:tabs>
          <w:tab w:leader="none" w:pos="1262" w:val="left"/>
        </w:tabs>
        <w:numPr>
          <w:ilvl w:val="0"/>
          <w:numId w:val="3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Shares of Company Stock issued pursuant to RSUs may not be sold or transferred during the following periods of time (“Blackout Periods” as defined in the 2020 France RSU SubPlan) (i) During the period of a period of thirty (30) calendar days before and after the disclosure to the public of the Company’s consolidated financial statements or failing that the annual accounts; or (ii) By the board members (les membres du conseil d'administration ou de surveillance), the management board (les membres du directoire) or someone acting as chief executive officer (directeur general) or as deputy chief executive officer (directeur général délégué) or by employees who have inside information, in the meaning of the article 7 of the UE regulation n° 596/2014, which has not been disclosed to the public. The Blackout Period applies to the French Participant, even if the French Participant has had a termination of employment or service, as well as the French Participant’s heirs in the case of death of the French Participant. The Company’s earnings release and related information can be accessed by the French Participant through the Company’s website. Any other blackout periods provided by the Plan or the local legislation shall be respected.</w:t>
      </w:r>
    </w:p>
    <w:p>
      <w:pPr>
        <w:spacing w:after="0" w:line="192" w:lineRule="exact"/>
        <w:rPr>
          <w:rFonts w:ascii="Times New Roman" w:cs="Times New Roman" w:eastAsia="Times New Roman" w:hAnsi="Times New Roman"/>
          <w:sz w:val="21"/>
          <w:szCs w:val="21"/>
          <w:u w:val="single" w:color="auto"/>
          <w:color w:val="auto"/>
        </w:rPr>
      </w:pPr>
    </w:p>
    <w:p>
      <w:pPr>
        <w:jc w:val="both"/>
        <w:ind w:left="60" w:firstLine="646"/>
        <w:spacing w:after="0" w:line="211" w:lineRule="auto"/>
        <w:tabs>
          <w:tab w:leader="none" w:pos="1262"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the event of a Change of Control, Corporate Transaction or other event set forth in Section 11 and 19 of the Plan, adjustment to the terms and conditions of RSUs or the underlying Shares may be made only in accordance with the Plan and pursuant to applicable French legal and tax rules. Nevertheless, the Board or the Committee, at its discretion, may decide to adjust solely to the extent permitted under the Plan in the case of a transaction for which adjustments are not authorized under French law. In this event, the RSUs may no longer comply with the provisions of the French Commercial Code, and the favorable tax and social security treatment may be lost. Assumption, exchange or substitution of the RSUs in the case of a Change of Control, Corporate Transaction or other event set forth in Section 11 and 19 of the Plan as well as an acceleration of Vesting or any other treatment implemented upon a Change of Control, Corporate Transaction, or in any other event, may result in the RSUs no longer being eligible for favorable French tax and social security treatment.</w:t>
      </w:r>
    </w:p>
    <w:p>
      <w:pPr>
        <w:spacing w:after="0" w:line="185" w:lineRule="exact"/>
        <w:rPr>
          <w:rFonts w:ascii="Times New Roman" w:cs="Times New Roman" w:eastAsia="Times New Roman" w:hAnsi="Times New Roman"/>
          <w:sz w:val="22"/>
          <w:szCs w:val="22"/>
          <w:u w:val="single" w:color="auto"/>
          <w:color w:val="auto"/>
        </w:rPr>
      </w:pPr>
    </w:p>
    <w:p>
      <w:pPr>
        <w:jc w:val="both"/>
        <w:ind w:left="60" w:firstLine="814"/>
        <w:spacing w:after="0" w:line="209" w:lineRule="auto"/>
        <w:tabs>
          <w:tab w:leader="none" w:pos="1254" w:val="left"/>
        </w:tabs>
        <w:numPr>
          <w:ilvl w:val="1"/>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accepting the RSUs, the French Participant acknowledges, understands and agrees that: (i) the Plan is established voluntarily by the Company, it is discretionary in nature and it may be modified, amended, suspended or terminated by the Company at any time, to the extent permitted by the Plan and the 2020 French Sub-Plan; (ii) the grant of RSUs is exceptional, voluntary and occasional and does not create any contractual or other right to receive future grants or benefits in lieu of RSUs, even if such awards have been granted in the past; (iii) all decisions with respect to future awards, if any, will be at the sole discretion of the Company; (iv) the grant and the French Participant’s participation in the Plan shall not be construed as creating any contract of employment between the Company and the French Participant and does not entitle the French Participant to any benefit other than that granted under this Agreement; (v) the French Participant is voluntarily participating in the Plan; (vi) the RSUs and the underlying shares of Company Stock are not intended to replace any pension rights or compensation; (vii) the RSUs and the underlying shares of Company Stock, and the income from and value of same, are not part of normal or expected compensation for purposes of calculating any severance, resignation, termination, redundancy, dismissal, end-of-service payments, bonuses, long-service awards, pension or retirement or welfare benefits or similar payments; (viii) the future value of the shares of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4 of 10</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440" w:right="439" w:bottom="1440" w:gutter="0" w:footer="0" w:header="0"/>
        </w:sectPr>
      </w:pPr>
    </w:p>
    <w:bookmarkStart w:id="37" w:name="page38"/>
    <w:bookmarkEnd w:id="37"/>
    <w:p>
      <w:pPr>
        <w:spacing w:after="0" w:line="198" w:lineRule="exact"/>
        <w:rPr>
          <w:sz w:val="20"/>
          <w:szCs w:val="20"/>
          <w:color w:val="auto"/>
        </w:rPr>
      </w:pPr>
    </w:p>
    <w:p>
      <w:pPr>
        <w:jc w:val="both"/>
        <w:ind w:left="60"/>
        <w:spacing w:after="0" w:line="221" w:lineRule="auto"/>
        <w:rPr>
          <w:sz w:val="20"/>
          <w:szCs w:val="20"/>
          <w:color w:val="auto"/>
        </w:rPr>
      </w:pPr>
      <w:r>
        <w:rPr>
          <w:rFonts w:ascii="Times New Roman" w:cs="Times New Roman" w:eastAsia="Times New Roman" w:hAnsi="Times New Roman"/>
          <w:sz w:val="21"/>
          <w:szCs w:val="21"/>
          <w:color w:val="auto"/>
        </w:rPr>
        <w:t>Stock is unknown, indeterminable and cannot be predicted with certainty; (ix) no claim or entitlement to compensation or damages shall arise from forfeiture of the RSUs resulting from a termination of employment or service (for any reason whatsoever, whether or not later found to be invalid or in breach of employment or other laws in the jurisdiction where the French Participant is employed or otherwise rendering services or the terms of the French Participant’s employment or service agreement, if any) Corporation; (x) unless otherwise agreed with the Company, the RSUs and shares of Company Stock, and the income from and value of same, are not granted as consideration for, or in connection with the service the French Participant may provide as a director of any subsidiary or Affiliate; and (x) neither the Company, the Employer or any Parent Corporation or subsidiary shall be liable for any foreign exchange rate fluctuation between the French Participant’s local currency and the U.S. Dollar that may affect the value of the RSUs or any amounts due to the French Participant pursuant to the settlement of the awards or subsequent sale of shares of Company Stock acquired upon settlement.</w:t>
      </w:r>
    </w:p>
    <w:p>
      <w:pPr>
        <w:spacing w:after="0" w:line="193" w:lineRule="exact"/>
        <w:rPr>
          <w:sz w:val="20"/>
          <w:szCs w:val="20"/>
          <w:color w:val="auto"/>
        </w:rPr>
      </w:pPr>
    </w:p>
    <w:p>
      <w:pPr>
        <w:jc w:val="both"/>
        <w:ind w:left="60" w:firstLine="646"/>
        <w:spacing w:after="0" w:line="225" w:lineRule="auto"/>
        <w:tabs>
          <w:tab w:leader="none" w:pos="1254"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and the French Participant each hereby agrees to be bound by the terms and conditions set forth in the Plan, in the 2020 France RSU Sub-Plan and in this Agreement, which constitute the whole agreement between the parties hereto with respect to the RSUs awarded.</w:t>
      </w:r>
    </w:p>
    <w:p>
      <w:pPr>
        <w:spacing w:after="0" w:line="192" w:lineRule="exact"/>
        <w:rPr>
          <w:rFonts w:ascii="Times New Roman" w:cs="Times New Roman" w:eastAsia="Times New Roman" w:hAnsi="Times New Roman"/>
          <w:sz w:val="22"/>
          <w:szCs w:val="22"/>
          <w:u w:val="single" w:color="auto"/>
          <w:color w:val="auto"/>
        </w:rPr>
      </w:pPr>
    </w:p>
    <w:p>
      <w:pPr>
        <w:jc w:val="both"/>
        <w:ind w:left="60" w:firstLine="646"/>
        <w:spacing w:after="0" w:line="227" w:lineRule="auto"/>
        <w:tabs>
          <w:tab w:leader="none" w:pos="1262" w:val="left"/>
        </w:tabs>
        <w:numPr>
          <w:ilvl w:val="0"/>
          <w:numId w:val="3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Any notices or other communications given in connection with this Agreement shall be sent either by registered or certified mail, return receipt requested, or by overnight mail, facsimile or electronic mail, to the Company and French Participant address or number of record or to such changed address or number as to which either party has given notice to the other party. All notices shall be deemed given when so mailed, or if sent by facsimile or electronic mail, when electronic confirmation of the transmission is received, except that a notice of change of address shall be deemed given when received.</w:t>
      </w:r>
    </w:p>
    <w:p>
      <w:pPr>
        <w:spacing w:after="0" w:line="180" w:lineRule="exact"/>
        <w:rPr>
          <w:rFonts w:ascii="Times New Roman" w:cs="Times New Roman" w:eastAsia="Times New Roman" w:hAnsi="Times New Roman"/>
          <w:sz w:val="21"/>
          <w:szCs w:val="21"/>
          <w:u w:val="single" w:color="auto"/>
          <w:color w:val="auto"/>
        </w:rPr>
      </w:pPr>
    </w:p>
    <w:p>
      <w:pPr>
        <w:ind w:left="60" w:right="20" w:firstLine="646"/>
        <w:spacing w:after="0" w:line="236" w:lineRule="auto"/>
        <w:tabs>
          <w:tab w:leader="none" w:pos="1262"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Agreement shall not be construed as creating any contract of employment between the Company and the French Participant and does not entitle the French Participant to any benefit other than that granted under this Agreement.</w:t>
      </w:r>
    </w:p>
    <w:p>
      <w:pPr>
        <w:spacing w:after="0" w:line="190" w:lineRule="exact"/>
        <w:rPr>
          <w:rFonts w:ascii="Times New Roman" w:cs="Times New Roman" w:eastAsia="Times New Roman" w:hAnsi="Times New Roman"/>
          <w:sz w:val="22"/>
          <w:szCs w:val="22"/>
          <w:u w:val="single" w:color="auto"/>
          <w:color w:val="auto"/>
        </w:rPr>
      </w:pPr>
    </w:p>
    <w:p>
      <w:pPr>
        <w:jc w:val="both"/>
        <w:ind w:left="60" w:right="20" w:firstLine="646"/>
        <w:spacing w:after="0" w:line="225" w:lineRule="auto"/>
        <w:tabs>
          <w:tab w:leader="none" w:pos="1262" w:val="left"/>
        </w:tabs>
        <w:numPr>
          <w:ilvl w:val="0"/>
          <w:numId w:val="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Agreement shall inure to the benefit of, and be binding on, the Company and its successors determined according to French law, and shall inure to the benefit of, and be binding on, the French Participant and his successors. This Agreement shall not be assignable by the French Participant.</w:t>
      </w:r>
    </w:p>
    <w:p>
      <w:pPr>
        <w:spacing w:after="0" w:line="193" w:lineRule="exact"/>
        <w:rPr>
          <w:rFonts w:ascii="Times New Roman" w:cs="Times New Roman" w:eastAsia="Times New Roman" w:hAnsi="Times New Roman"/>
          <w:sz w:val="22"/>
          <w:szCs w:val="22"/>
          <w:u w:val="single" w:color="auto"/>
          <w:color w:val="auto"/>
        </w:rPr>
      </w:pPr>
    </w:p>
    <w:p>
      <w:pPr>
        <w:jc w:val="both"/>
        <w:ind w:left="60" w:firstLine="646"/>
        <w:spacing w:after="0" w:line="221" w:lineRule="auto"/>
        <w:tabs>
          <w:tab w:leader="none" w:pos="1262" w:val="left"/>
        </w:tabs>
        <w:numPr>
          <w:ilvl w:val="0"/>
          <w:numId w:val="36"/>
        </w:numPr>
        <w:rPr>
          <w:rFonts w:ascii="Times New Roman" w:cs="Times New Roman" w:eastAsia="Times New Roman" w:hAnsi="Times New Roman"/>
          <w:sz w:val="22"/>
          <w:szCs w:val="22"/>
          <w:b w:val="1"/>
          <w:bCs w:val="1"/>
          <w:i w:val="1"/>
          <w:iCs w:val="1"/>
          <w:u w:val="single" w:color="auto"/>
          <w:color w:val="auto"/>
        </w:rPr>
      </w:pPr>
      <w:r>
        <w:rPr>
          <w:rFonts w:ascii="Times New Roman" w:cs="Times New Roman" w:eastAsia="Times New Roman" w:hAnsi="Times New Roman"/>
          <w:sz w:val="20"/>
          <w:szCs w:val="20"/>
          <w:b w:val="1"/>
          <w:bCs w:val="1"/>
          <w:i w:val="1"/>
          <w:iCs w:val="1"/>
          <w:color w:val="auto"/>
        </w:rPr>
        <w:t>The French Participant hereby explicitly, voluntarily and unambiguously consents to the collection, use, and transfer, in electronic or other form, of the French Participant’s personal data as described in this Agreement and any other Plan materials by and among, as applicable, the Employer, the Company and any other subsidiary for the exclusive purposes of implementing, administering and managing the French Participant’s participation in the Plan.</w:t>
      </w:r>
    </w:p>
    <w:p>
      <w:pPr>
        <w:spacing w:after="0" w:line="185" w:lineRule="exact"/>
        <w:rPr>
          <w:sz w:val="20"/>
          <w:szCs w:val="20"/>
          <w:color w:val="auto"/>
        </w:rPr>
      </w:pPr>
    </w:p>
    <w:p>
      <w:pPr>
        <w:jc w:val="both"/>
        <w:ind w:left="60" w:firstLine="648"/>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The French Participant understands that the Company and the Employer may hold certain personal information about the French Participant, including, but not limited to, the French Participant’s name, home address, email address and telephone number,</w:t>
      </w:r>
    </w:p>
    <w:p>
      <w:pPr>
        <w:ind w:left="60"/>
        <w:spacing w:after="0" w:line="224" w:lineRule="auto"/>
        <w:rPr>
          <w:sz w:val="20"/>
          <w:szCs w:val="20"/>
          <w:color w:val="auto"/>
        </w:rPr>
      </w:pPr>
      <w:r>
        <w:rPr>
          <w:rFonts w:ascii="Times New Roman" w:cs="Times New Roman" w:eastAsia="Times New Roman" w:hAnsi="Times New Roman"/>
          <w:sz w:val="19"/>
          <w:szCs w:val="19"/>
          <w:b w:val="1"/>
          <w:bCs w:val="1"/>
          <w:i w:val="1"/>
          <w:iCs w:val="1"/>
          <w:color w:val="auto"/>
        </w:rPr>
        <w:t>date of birth, social insurance number, passport or other identification number, salary, nationality, job title, any shares or directorships</w:t>
      </w:r>
    </w:p>
    <w:p>
      <w:pPr>
        <w:ind w:left="60" w:right="2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held in the Company, details of all RSUs or any other entitlement to Company Stock awarded, canceled, exercised, vested, unvested or outstanding in the French Participant’s favor (“Data”), for the exclusive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5 of 10</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440" w:right="439"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purpose of implementing, administering and managing the French Participant’s participation in the Plan.</w:t>
      </w:r>
    </w:p>
    <w:p>
      <w:pPr>
        <w:spacing w:after="0" w:line="216" w:lineRule="exact"/>
        <w:rPr>
          <w:sz w:val="20"/>
          <w:szCs w:val="20"/>
          <w:color w:val="auto"/>
        </w:rPr>
      </w:pPr>
    </w:p>
    <w:p>
      <w:pPr>
        <w:jc w:val="both"/>
        <w:ind w:left="60" w:firstLine="648"/>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The French Participant understands that Data may be transferred to Schwab Stock Plan Services, which may assist the Company (presently or in the future) with the implementation, administration and management of the Plan. The French Participant</w:t>
      </w:r>
    </w:p>
    <w:p>
      <w:pPr>
        <w:ind w:left="60"/>
        <w:spacing w:after="0" w:line="213" w:lineRule="auto"/>
        <w:rPr>
          <w:sz w:val="20"/>
          <w:szCs w:val="20"/>
          <w:color w:val="auto"/>
        </w:rPr>
      </w:pPr>
      <w:r>
        <w:rPr>
          <w:rFonts w:ascii="Times New Roman" w:cs="Times New Roman" w:eastAsia="Times New Roman" w:hAnsi="Times New Roman"/>
          <w:sz w:val="20"/>
          <w:szCs w:val="20"/>
          <w:b w:val="1"/>
          <w:bCs w:val="1"/>
          <w:i w:val="1"/>
          <w:iCs w:val="1"/>
          <w:color w:val="auto"/>
        </w:rPr>
        <w:t>understands that the French Participants of the Data may be located in the United States or elsewhere, and that the French</w:t>
      </w:r>
    </w:p>
    <w:p>
      <w:pPr>
        <w:jc w:val="both"/>
        <w:ind w:left="60" w:right="2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Participant’s country (e.g., the United States) may have different data privacy laws and protections than the French Participant’s country. The French Participant understands that he or she may request a list with the names and addresses of any potential French</w:t>
      </w:r>
    </w:p>
    <w:p>
      <w:pPr>
        <w:ind w:left="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Participants of the Data by contacting his or her local human resources representative. The French Participant authorizes the</w:t>
      </w:r>
    </w:p>
    <w:p>
      <w:pPr>
        <w:spacing w:after="0" w:line="1" w:lineRule="exact"/>
        <w:rPr>
          <w:sz w:val="20"/>
          <w:szCs w:val="20"/>
          <w:color w:val="auto"/>
        </w:rPr>
      </w:pPr>
    </w:p>
    <w:p>
      <w:pPr>
        <w:jc w:val="both"/>
        <w:ind w:left="60" w:right="2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Company, and any other possible French Participants which may assist the Company (presently or in the future) with implementing, administering and managing the Plan to receive, possess, use, retain and transfer the Data, in electronic or other form, for the sole</w:t>
      </w:r>
    </w:p>
    <w:p>
      <w:pPr>
        <w:ind w:left="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purposes of implementing, administering and managing the French Participant’s participation in the Plan. The French Participant</w:t>
      </w:r>
    </w:p>
    <w:p>
      <w:pPr>
        <w:spacing w:after="0" w:line="1" w:lineRule="exact"/>
        <w:rPr>
          <w:sz w:val="20"/>
          <w:szCs w:val="20"/>
          <w:color w:val="auto"/>
        </w:rPr>
      </w:pPr>
    </w:p>
    <w:p>
      <w:pPr>
        <w:jc w:val="both"/>
        <w:ind w:left="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understands that Data will be held only as long as is necessary to implement, administer and manage the French Participant’s participation in the Plan. The French Participant understands that he or she may, at any time, view Data, request additional</w:t>
      </w:r>
    </w:p>
    <w:p>
      <w:pPr>
        <w:ind w:left="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information about the storage and processing of Data, require any necessary amendments to Data or refuse or withdraw the consents</w:t>
      </w:r>
    </w:p>
    <w:p>
      <w:pPr>
        <w:spacing w:after="0" w:line="1" w:lineRule="exact"/>
        <w:rPr>
          <w:sz w:val="20"/>
          <w:szCs w:val="20"/>
          <w:color w:val="auto"/>
        </w:rPr>
      </w:pPr>
    </w:p>
    <w:p>
      <w:pPr>
        <w:jc w:val="both"/>
        <w:ind w:left="6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herein, in any case without cost, by contacting in writing his or her local human resources representative. Further, the French Participant understands that he or she is providing the consents herein on a purely voluntary basis. If the French Participant does not</w:t>
      </w:r>
    </w:p>
    <w:p>
      <w:pPr>
        <w:ind w:left="60"/>
        <w:spacing w:after="0" w:line="211" w:lineRule="auto"/>
        <w:rPr>
          <w:sz w:val="20"/>
          <w:szCs w:val="20"/>
          <w:color w:val="auto"/>
        </w:rPr>
      </w:pPr>
      <w:r>
        <w:rPr>
          <w:rFonts w:ascii="Times New Roman" w:cs="Times New Roman" w:eastAsia="Times New Roman" w:hAnsi="Times New Roman"/>
          <w:sz w:val="20"/>
          <w:szCs w:val="20"/>
          <w:b w:val="1"/>
          <w:bCs w:val="1"/>
          <w:i w:val="1"/>
          <w:iCs w:val="1"/>
          <w:color w:val="auto"/>
        </w:rPr>
        <w:t>consent, or if the French Participant later seeks to revoke his or her consent, his or her employment or service relationship will not be</w:t>
      </w:r>
    </w:p>
    <w:p>
      <w:pPr>
        <w:spacing w:after="0" w:line="1" w:lineRule="exact"/>
        <w:rPr>
          <w:sz w:val="20"/>
          <w:szCs w:val="20"/>
          <w:color w:val="auto"/>
        </w:rPr>
      </w:pPr>
    </w:p>
    <w:p>
      <w:pPr>
        <w:jc w:val="both"/>
        <w:ind w:left="60" w:right="20"/>
        <w:spacing w:after="0" w:line="204" w:lineRule="auto"/>
        <w:rPr>
          <w:sz w:val="20"/>
          <w:szCs w:val="20"/>
          <w:color w:val="auto"/>
        </w:rPr>
      </w:pPr>
      <w:r>
        <w:rPr>
          <w:rFonts w:ascii="Times New Roman" w:cs="Times New Roman" w:eastAsia="Times New Roman" w:hAnsi="Times New Roman"/>
          <w:sz w:val="20"/>
          <w:szCs w:val="20"/>
          <w:b w:val="1"/>
          <w:bCs w:val="1"/>
          <w:i w:val="1"/>
          <w:iCs w:val="1"/>
          <w:color w:val="auto"/>
        </w:rPr>
        <w:t>affected; the only consequence of refusing or withdrawing the French Participant’s consent is that the Company would not be able to grant the RSUs or other equity awards to the French Participant or administer or maintain such awards. Therefore, the French</w:t>
      </w:r>
    </w:p>
    <w:p>
      <w:pPr>
        <w:ind w:left="60"/>
        <w:spacing w:after="0" w:line="223" w:lineRule="auto"/>
        <w:rPr>
          <w:sz w:val="20"/>
          <w:szCs w:val="20"/>
          <w:color w:val="auto"/>
        </w:rPr>
      </w:pPr>
      <w:r>
        <w:rPr>
          <w:rFonts w:ascii="Times New Roman" w:cs="Times New Roman" w:eastAsia="Times New Roman" w:hAnsi="Times New Roman"/>
          <w:sz w:val="19"/>
          <w:szCs w:val="19"/>
          <w:b w:val="1"/>
          <w:bCs w:val="1"/>
          <w:i w:val="1"/>
          <w:iCs w:val="1"/>
          <w:color w:val="auto"/>
        </w:rPr>
        <w:t>Participant understands that refusing or withdrawing his or her consent may affect the French Participant’s ability to participate in the</w:t>
      </w:r>
    </w:p>
    <w:p>
      <w:pPr>
        <w:jc w:val="both"/>
        <w:ind w:left="60" w:right="2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Plan. For more information on the consequences of the French Participant’s refusal to consent or withdrawal of consent, the French Participant understands that he or she may contact his or her local human resources representative.</w:t>
      </w:r>
    </w:p>
    <w:p>
      <w:pPr>
        <w:spacing w:after="0" w:line="178" w:lineRule="exact"/>
        <w:rPr>
          <w:sz w:val="20"/>
          <w:szCs w:val="20"/>
          <w:color w:val="auto"/>
        </w:rPr>
      </w:pPr>
    </w:p>
    <w:p>
      <w:pPr>
        <w:jc w:val="both"/>
        <w:ind w:left="60" w:firstLine="648"/>
        <w:spacing w:after="0" w:line="213" w:lineRule="auto"/>
        <w:rPr>
          <w:sz w:val="20"/>
          <w:szCs w:val="20"/>
          <w:color w:val="auto"/>
        </w:rPr>
      </w:pPr>
      <w:r>
        <w:rPr>
          <w:rFonts w:ascii="Times New Roman" w:cs="Times New Roman" w:eastAsia="Times New Roman" w:hAnsi="Times New Roman"/>
          <w:sz w:val="22"/>
          <w:szCs w:val="22"/>
          <w:b w:val="1"/>
          <w:bCs w:val="1"/>
          <w:i w:val="1"/>
          <w:iCs w:val="1"/>
          <w:color w:val="auto"/>
        </w:rPr>
        <w:t>The French Participant understands that the Company may rely on a different legal basis for the processing and/or transfer of his/her personal information in the future and/or request the French Participant to provide a separate data privacy consent. If applicable and upon request of the Company, the French Participant agrees to provide an executed acknowledgment or data privacy consent form to the Company or Employer (or any other acknowledgements, agreements or consents) that the Company and/or the Employer may deem necessary to obtain under relevant data privacy laws, now or in the future. The French Participant understands that he/she will not be able to participate in the Plan and the 2020 France RSU Sub-Plan if he/she fails to execute any such acknowledgement, agreement or consent requested by the Company and/or the Employer.</w:t>
      </w:r>
    </w:p>
    <w:p>
      <w:pPr>
        <w:spacing w:after="0" w:line="194" w:lineRule="exact"/>
        <w:rPr>
          <w:sz w:val="20"/>
          <w:szCs w:val="20"/>
          <w:color w:val="auto"/>
        </w:rPr>
      </w:pPr>
    </w:p>
    <w:p>
      <w:pPr>
        <w:jc w:val="both"/>
        <w:ind w:left="60" w:firstLine="646"/>
        <w:spacing w:after="0" w:line="225" w:lineRule="auto"/>
        <w:tabs>
          <w:tab w:leader="none" w:pos="1262"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the French Participant has received the Agreement or any other document related to the RSUs and/or the Plan translated into a language other than English, and if the meaning of the translated version is different than the English version, the English version will control.</w:t>
      </w:r>
    </w:p>
    <w:p>
      <w:pPr>
        <w:spacing w:after="0" w:line="179" w:lineRule="exact"/>
        <w:rPr>
          <w:rFonts w:ascii="Times New Roman" w:cs="Times New Roman" w:eastAsia="Times New Roman" w:hAnsi="Times New Roman"/>
          <w:sz w:val="22"/>
          <w:szCs w:val="22"/>
          <w:u w:val="single" w:color="auto"/>
          <w:color w:val="auto"/>
        </w:rPr>
      </w:pPr>
    </w:p>
    <w:p>
      <w:pPr>
        <w:jc w:val="both"/>
        <w:ind w:left="60" w:firstLine="646"/>
        <w:spacing w:after="0" w:line="225" w:lineRule="auto"/>
        <w:tabs>
          <w:tab w:leader="none" w:pos="1262"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reserves the right to impose other requirements on the French Participant’s participation in the Plan, on the RSUs and on any shares of Company Stock acquired under the Plan, to the extent the Company determines it is necessary or advisable for legal or</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6 of 10</w:t>
            </w:r>
          </w:p>
        </w:tc>
        <w:tc>
          <w:tcPr>
            <w:tcW w:w="0" w:type="dxa"/>
            <w:vAlign w:val="bottom"/>
          </w:tcPr>
          <w:p>
            <w:pPr>
              <w:spacing w:after="0"/>
              <w:rPr>
                <w:sz w:val="1"/>
                <w:szCs w:val="1"/>
                <w:color w:val="auto"/>
              </w:rPr>
            </w:pPr>
          </w:p>
        </w:tc>
      </w:tr>
      <w:tr>
        <w:trPr>
          <w:trHeight w:val="199"/>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395" w:right="439" w:bottom="1440" w:gutter="0" w:footer="0" w:header="0"/>
        </w:sectPr>
      </w:pPr>
    </w:p>
    <w:bookmarkStart w:id="39" w:name="page40"/>
    <w:bookmarkEnd w:id="39"/>
    <w:p>
      <w:pPr>
        <w:ind w:left="60" w:right="420"/>
        <w:spacing w:after="0" w:line="236" w:lineRule="auto"/>
        <w:rPr>
          <w:sz w:val="20"/>
          <w:szCs w:val="20"/>
          <w:color w:val="auto"/>
        </w:rPr>
      </w:pPr>
      <w:r>
        <w:rPr>
          <w:rFonts w:ascii="Times New Roman" w:cs="Times New Roman" w:eastAsia="Times New Roman" w:hAnsi="Times New Roman"/>
          <w:sz w:val="22"/>
          <w:szCs w:val="22"/>
          <w:color w:val="auto"/>
        </w:rPr>
        <w:t>administrative reasons, and to require the French Participant to sign any additional agreements or undertakings that may be necessary to accomplish the foregoing.</w:t>
      </w:r>
    </w:p>
    <w:p>
      <w:pPr>
        <w:spacing w:after="0" w:line="191" w:lineRule="exact"/>
        <w:rPr>
          <w:sz w:val="20"/>
          <w:szCs w:val="20"/>
          <w:color w:val="auto"/>
        </w:rPr>
      </w:pPr>
    </w:p>
    <w:p>
      <w:pPr>
        <w:jc w:val="both"/>
        <w:ind w:left="60" w:firstLine="646"/>
        <w:spacing w:after="0" w:line="207" w:lineRule="auto"/>
        <w:tabs>
          <w:tab w:leader="none" w:pos="1262" w:val="left"/>
        </w:tabs>
        <w:numPr>
          <w:ilvl w:val="0"/>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French Participant recognizes and acknowledges that, by reason of French Participant’s employment by and service to the Company or an Affiliate, French Participant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French Participant acknowledges that such Confidential Information is a valuable and unique asset and covenants that French Participant will not, either during or after French Participant’s employment by the Company, use or disclose any such Confidential Information except to authorized representatives of the Company or as required in the performance of French Participant’s duties and responsibilities. The French Participant shall not be required to keep confidential any Confidential Information which (i) is or becomes publicly available through no fault of the French Participant, (ii) is already in French Participant’s possession (unless obtained from the Company (or an Affiliate) or one of its customers) or (iii) is required to be disclosed by applicable law or regulation, or pursuant to the valid order of a court of competent jurisdiction or an authorized government agency, provided that the French Participant shall provide the Company written notice of any such order prior to such disclosure to the extent practicable under the circumstances and permitted by applicable law. Further, the French Participant shall be free to use and employ French Participant’s general skills, know-how and expertise, and to use, disclose and employ any contact information, generalized ideas, concepts, know-how, methods, techniques or skills, including, without limitation, those gained or learned during the course of the performance of French Participant’s duties and responsibilities hereunder, so long as French Participant applies such information without disclosure or use of any Confidential Information. Upon the French Participant’s termination of employment or service, the French Participant will return (or destroy, if requested by Company) all Confidential Information to the Company to the fullest extent possible.</w:t>
      </w:r>
    </w:p>
    <w:p>
      <w:pPr>
        <w:spacing w:after="0" w:line="194" w:lineRule="exact"/>
        <w:rPr>
          <w:rFonts w:ascii="Times New Roman" w:cs="Times New Roman" w:eastAsia="Times New Roman" w:hAnsi="Times New Roman"/>
          <w:sz w:val="22"/>
          <w:szCs w:val="22"/>
          <w:u w:val="single" w:color="auto"/>
          <w:color w:val="auto"/>
        </w:rPr>
      </w:pPr>
    </w:p>
    <w:p>
      <w:pPr>
        <w:jc w:val="both"/>
        <w:ind w:left="60" w:firstLine="646"/>
        <w:spacing w:after="0" w:line="210" w:lineRule="auto"/>
        <w:tabs>
          <w:tab w:leader="none" w:pos="1262" w:val="left"/>
        </w:tabs>
        <w:numPr>
          <w:ilvl w:val="0"/>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During the French Participant’s employment and at any time thereafter, the French Participant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Agreement shall limit or otherwise prevent (i) any person from providing truthful testimony or information in any proceeding or in response to any request from any governmental agency or any judicial, arbitral or self-regulatory forum or as otherwise required by law; (ii) either party from enforcing the other terms of this Agreement; (iii) the Company (or an Affiliate) from reviewing the French Participant’s performance, conducting investigations and otherwise acting in compliance with applicable law, including making statements or reports in connection therewith, or making any public filings or reports that may be required by law; (iv) the French Participant from the performance of French Participant’s duties while employed by the Company (or an Affiliate); or (v) the French Participant from making a report to any governmental agency or entity, including but not limited to, the Equal Employment Opportunity Commission, the National Labor Relations Board, the Department of Justice, the Securities and Exchange Commission, the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7 of 10</w:t>
            </w:r>
          </w:p>
        </w:tc>
        <w:tc>
          <w:tcPr>
            <w:tcW w:w="0" w:type="dxa"/>
            <w:vAlign w:val="bottom"/>
          </w:tcPr>
          <w:p>
            <w:pPr>
              <w:spacing w:after="0"/>
              <w:rPr>
                <w:sz w:val="1"/>
                <w:szCs w:val="1"/>
                <w:color w:val="auto"/>
              </w:rPr>
            </w:pPr>
          </w:p>
        </w:tc>
      </w:tr>
      <w:tr>
        <w:trPr>
          <w:trHeight w:val="198"/>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395" w:right="439" w:bottom="1440" w:gutter="0" w:footer="0" w:header="0"/>
        </w:sectPr>
      </w:pPr>
    </w:p>
    <w:bookmarkStart w:id="40" w:name="page41"/>
    <w:bookmarkEnd w:id="40"/>
    <w:p>
      <w:pPr>
        <w:spacing w:after="0" w:line="198" w:lineRule="exact"/>
        <w:rPr>
          <w:sz w:val="20"/>
          <w:szCs w:val="20"/>
          <w:color w:val="auto"/>
        </w:rPr>
      </w:pPr>
    </w:p>
    <w:p>
      <w:pPr>
        <w:jc w:val="both"/>
        <w:ind w:left="60"/>
        <w:spacing w:after="0" w:line="217" w:lineRule="auto"/>
        <w:rPr>
          <w:sz w:val="20"/>
          <w:szCs w:val="20"/>
          <w:color w:val="auto"/>
        </w:rPr>
      </w:pPr>
      <w:r>
        <w:rPr>
          <w:rFonts w:ascii="Times New Roman" w:cs="Times New Roman" w:eastAsia="Times New Roman" w:hAnsi="Times New Roman"/>
          <w:sz w:val="22"/>
          <w:szCs w:val="22"/>
          <w:color w:val="auto"/>
        </w:rPr>
        <w:t>Congress and any agency Inspector General, if French Participant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French Participant is not required to notify the Company that French Participant has made such reports or disclosures. The French Participant, however, may not waive the Company’s (or an Affiliate’s) attorney-client privilege.</w:t>
      </w:r>
    </w:p>
    <w:p>
      <w:pPr>
        <w:spacing w:after="0" w:line="193" w:lineRule="exact"/>
        <w:rPr>
          <w:sz w:val="20"/>
          <w:szCs w:val="20"/>
          <w:color w:val="auto"/>
        </w:rPr>
      </w:pPr>
    </w:p>
    <w:p>
      <w:pPr>
        <w:jc w:val="both"/>
        <w:ind w:left="60" w:right="20" w:firstLine="646"/>
        <w:spacing w:after="0" w:line="225" w:lineRule="auto"/>
        <w:tabs>
          <w:tab w:leader="none" w:pos="1262"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French Participant acknowledges that a waiver by the Company of any provision of the Agreement shall not operate or be construed as a waiver of any other provision of the Agreement, or of any subsequent breach by the French Participant or any other participant in the Plan.</w:t>
      </w:r>
    </w:p>
    <w:p>
      <w:pPr>
        <w:spacing w:after="0" w:line="193" w:lineRule="exact"/>
        <w:rPr>
          <w:rFonts w:ascii="Times New Roman" w:cs="Times New Roman" w:eastAsia="Times New Roman" w:hAnsi="Times New Roman"/>
          <w:sz w:val="22"/>
          <w:szCs w:val="22"/>
          <w:u w:val="single" w:color="auto"/>
          <w:color w:val="auto"/>
        </w:rPr>
      </w:pPr>
    </w:p>
    <w:p>
      <w:pPr>
        <w:jc w:val="both"/>
        <w:ind w:left="60" w:firstLine="646"/>
        <w:spacing w:after="0" w:line="220" w:lineRule="auto"/>
        <w:tabs>
          <w:tab w:leader="none" w:pos="1262"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may, in its sole discretion, decide to deliver any documents related to current or future participation in the Plan by electronic means. The French Participant hereby consents to receive such documents by electronic delivery and agrees to participate in the Plan through an on-line electronic system established and maintained by the Company or a third party designated by the Company.</w:t>
      </w:r>
    </w:p>
    <w:p>
      <w:pPr>
        <w:spacing w:after="0" w:line="179" w:lineRule="exact"/>
        <w:rPr>
          <w:rFonts w:ascii="Times New Roman" w:cs="Times New Roman" w:eastAsia="Times New Roman" w:hAnsi="Times New Roman"/>
          <w:sz w:val="22"/>
          <w:szCs w:val="22"/>
          <w:u w:val="single" w:color="auto"/>
          <w:color w:val="auto"/>
        </w:rPr>
      </w:pPr>
    </w:p>
    <w:p>
      <w:pPr>
        <w:jc w:val="both"/>
        <w:ind w:left="60" w:firstLine="646"/>
        <w:spacing w:after="0" w:line="225" w:lineRule="auto"/>
        <w:tabs>
          <w:tab w:leader="none" w:pos="1262"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provisions of this Agreement are severable and if any one or more of the provisions are determined to be illegal or otherwise enforceable, in whole or in part, then such provisions will be enforced to the maximum extent possible and other provisions will remain fully effective and enforceable.</w:t>
      </w:r>
    </w:p>
    <w:p>
      <w:pPr>
        <w:spacing w:after="0" w:line="192" w:lineRule="exact"/>
        <w:rPr>
          <w:rFonts w:ascii="Times New Roman" w:cs="Times New Roman" w:eastAsia="Times New Roman" w:hAnsi="Times New Roman"/>
          <w:sz w:val="22"/>
          <w:szCs w:val="22"/>
          <w:u w:val="single" w:color="auto"/>
          <w:color w:val="auto"/>
        </w:rPr>
      </w:pPr>
    </w:p>
    <w:p>
      <w:pPr>
        <w:jc w:val="both"/>
        <w:ind w:left="60" w:firstLine="646"/>
        <w:spacing w:after="0" w:line="210" w:lineRule="auto"/>
        <w:tabs>
          <w:tab w:leader="none" w:pos="1262"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Notwithstanding any other provision of the Plan or the Agreement, unless there is an exemption from any registration, qualification or other legal requirement applicable to the Company Stock, the Company shall not be required to deliver any shares of Company Stock upon settlement of the awards prior to the completion of any registration or qualification of the Company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French Participant understands that the Company is under no obligations to register or qualify the Company Stock with the SEC or any state or foreign securities commission or to seek approval or clearance from any governmental authority for the issuance or sale of the Company Stock. Further, the French Participant agrees that the Company shall have unilateral authority to amend the Agreement without his or her consent, to the extent necessary to comply with securities or other laws applicable to the issuance of Company Stock.</w:t>
      </w:r>
    </w:p>
    <w:p>
      <w:pPr>
        <w:spacing w:after="0" w:line="192" w:lineRule="exact"/>
        <w:rPr>
          <w:rFonts w:ascii="Times New Roman" w:cs="Times New Roman" w:eastAsia="Times New Roman" w:hAnsi="Times New Roman"/>
          <w:sz w:val="22"/>
          <w:szCs w:val="22"/>
          <w:u w:val="single" w:color="auto"/>
          <w:color w:val="auto"/>
        </w:rPr>
      </w:pPr>
    </w:p>
    <w:p>
      <w:pPr>
        <w:jc w:val="both"/>
        <w:ind w:left="60" w:firstLine="646"/>
        <w:spacing w:after="0" w:line="217" w:lineRule="auto"/>
        <w:tabs>
          <w:tab w:leader="none" w:pos="1262"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Agreement shall be subject to and construed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State of Pennsylvania, United States of America and agree that such litigation will be conducted in Chester County, or the federal courts for the United States for the District of Pennsylvania and no other courts.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8 of 10</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440" w:right="439" w:bottom="1440" w:gutter="0" w:footer="0" w:header="0"/>
        </w:sectPr>
      </w:pPr>
    </w:p>
    <w:bookmarkStart w:id="41" w:name="page42"/>
    <w:bookmarkEnd w:id="41"/>
    <w:p>
      <w:pPr>
        <w:spacing w:after="0" w:line="198" w:lineRule="exact"/>
        <w:rPr>
          <w:sz w:val="20"/>
          <w:szCs w:val="20"/>
          <w:color w:val="auto"/>
        </w:rPr>
      </w:pPr>
    </w:p>
    <w:p>
      <w:pPr>
        <w:jc w:val="both"/>
        <w:ind w:left="60" w:right="20" w:firstLine="646"/>
        <w:spacing w:after="0" w:line="225" w:lineRule="auto"/>
        <w:tabs>
          <w:tab w:leader="none" w:pos="1262"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French Participant acknowledges that French residents are required to report all foreign accounts (whether open, current or closed) to the French tax authorities on their annual tax returns. Failure to complete this reporting triggers penalties.</w:t>
      </w:r>
    </w:p>
    <w:p>
      <w:pPr>
        <w:spacing w:after="0" w:line="192" w:lineRule="exact"/>
        <w:rPr>
          <w:rFonts w:ascii="Times New Roman" w:cs="Times New Roman" w:eastAsia="Times New Roman" w:hAnsi="Times New Roman"/>
          <w:sz w:val="22"/>
          <w:szCs w:val="22"/>
          <w:u w:val="single" w:color="auto"/>
          <w:color w:val="auto"/>
        </w:rPr>
      </w:pPr>
    </w:p>
    <w:p>
      <w:pPr>
        <w:jc w:val="both"/>
        <w:ind w:left="60" w:firstLine="646"/>
        <w:spacing w:after="0" w:line="210" w:lineRule="auto"/>
        <w:tabs>
          <w:tab w:leader="none" w:pos="1262"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French Participant acknowledges that he/she may be subject to insider trading restrictions and/or market abuse laws, which may affect his or her ability to accept, acquire, sell or attempt to sell or otherwise dispose of Company Stock, rights to Company Stock or rights linked to the value of Company Stock, during such times as the French Participant is considered to have “inside information” regarding the Company (as defined by the laws or regulations in the French Participant’s country). Local insider trading laws and regulations may prohibit the cancellation or amendment of orders the French Participant places before possessing inside information. Furthermore, the French Participant may be prohibited from (i) disclosing the inside information to any third party (other than on a “need to know” basis) and (ii) “tipping” third parties or causing them to otherwise buy or sell securities (third parties include fellow employees). Any restrictions under these laws or regulations are separate from and in addition to any restrictions that may be imposed under any applicable Company insider trading policy. The French Participant acknowledges that it is his or her responsibility to comply with any applicable restrictions as well as any applicable Company insider trading policy, and the French Participant is advised to speak to his/her personal advisor on this matter.</w:t>
      </w:r>
    </w:p>
    <w:p>
      <w:pPr>
        <w:spacing w:after="0" w:line="192" w:lineRule="exact"/>
        <w:rPr>
          <w:rFonts w:ascii="Times New Roman" w:cs="Times New Roman" w:eastAsia="Times New Roman" w:hAnsi="Times New Roman"/>
          <w:sz w:val="22"/>
          <w:szCs w:val="22"/>
          <w:u w:val="single" w:color="auto"/>
          <w:color w:val="auto"/>
        </w:rPr>
      </w:pPr>
    </w:p>
    <w:p>
      <w:pPr>
        <w:jc w:val="both"/>
        <w:ind w:left="60" w:firstLine="646"/>
        <w:spacing w:after="0" w:line="220" w:lineRule="auto"/>
        <w:tabs>
          <w:tab w:leader="none" w:pos="1262"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the French Participant’s participation in the Plan, or his or her acquisition of Company Stock. The French Participant should consult with his or her own tax, legal and financial advisors regarding participation in the Plan before taking any action related to the Plan.</w:t>
      </w:r>
    </w:p>
    <w:p>
      <w:pPr>
        <w:spacing w:after="0" w:line="179" w:lineRule="exact"/>
        <w:rPr>
          <w:rFonts w:ascii="Times New Roman" w:cs="Times New Roman" w:eastAsia="Times New Roman" w:hAnsi="Times New Roman"/>
          <w:sz w:val="22"/>
          <w:szCs w:val="22"/>
          <w:u w:val="single" w:color="auto"/>
          <w:color w:val="auto"/>
        </w:rPr>
      </w:pPr>
    </w:p>
    <w:p>
      <w:pPr>
        <w:jc w:val="both"/>
        <w:ind w:left="60" w:firstLine="646"/>
        <w:spacing w:after="0" w:line="217" w:lineRule="auto"/>
        <w:tabs>
          <w:tab w:leader="none" w:pos="1262"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French Participant hereby acknowledges receipt of the RSUs, with the number of RSUs and on the grant date as recorded in AMETEK’s stock administrator’s system, and that the RSUs has been granted under the terms and conditions of the Plan and of the 2020 France RSU Sub-Plan. The French Participant further agrees to conform to all of the terms and conditions of the RSUs, of the Plan and the 2020 France RSU Sub-Plan , and that all decisions and determinations of the Committee shall be final and binding.</w:t>
      </w:r>
    </w:p>
    <w:p>
      <w:pPr>
        <w:spacing w:after="0" w:line="192" w:lineRule="exact"/>
        <w:rPr>
          <w:rFonts w:ascii="Times New Roman" w:cs="Times New Roman" w:eastAsia="Times New Roman" w:hAnsi="Times New Roman"/>
          <w:sz w:val="22"/>
          <w:szCs w:val="22"/>
          <w:u w:val="single" w:color="auto"/>
          <w:color w:val="auto"/>
        </w:rPr>
      </w:pPr>
    </w:p>
    <w:p>
      <w:pPr>
        <w:jc w:val="both"/>
        <w:ind w:left="60" w:firstLine="646"/>
        <w:spacing w:after="0" w:line="225" w:lineRule="auto"/>
        <w:tabs>
          <w:tab w:leader="none" w:pos="1262"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By accepting the grant of the RSUs, the French Participant confirms having read and understood the documents related to the grant (the Agreement, the Plan, and the 2020 France RSU Sub-Plan) which were provided in the English language. The French Participant accepts the terms of those documents accordingly.</w:t>
      </w:r>
    </w:p>
    <w:p>
      <w:pPr>
        <w:spacing w:after="0" w:line="192" w:lineRule="exact"/>
        <w:rPr>
          <w:rFonts w:ascii="Times New Roman" w:cs="Times New Roman" w:eastAsia="Times New Roman" w:hAnsi="Times New Roman"/>
          <w:sz w:val="22"/>
          <w:szCs w:val="22"/>
          <w:u w:val="single" w:color="auto"/>
          <w:color w:val="auto"/>
        </w:rPr>
      </w:pPr>
    </w:p>
    <w:p>
      <w:pPr>
        <w:jc w:val="both"/>
        <w:ind w:left="60" w:firstLine="646"/>
        <w:spacing w:after="0" w:line="217" w:lineRule="auto"/>
        <w:tabs>
          <w:tab w:leader="none" w:pos="1262" w:val="left"/>
        </w:tabs>
        <w:numPr>
          <w:ilvl w:val="0"/>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In exchange for the valuable consideration</w:t>
      </w:r>
      <w:r>
        <w:rPr>
          <w:rFonts w:ascii="Times New Roman" w:cs="Times New Roman" w:eastAsia="Times New Roman" w:hAnsi="Times New Roman"/>
          <w:sz w:val="22"/>
          <w:szCs w:val="22"/>
          <w:color w:val="auto"/>
          <w:strike w:val="1"/>
        </w:rPr>
        <w:t>s</w:t>
      </w:r>
      <w:r>
        <w:rPr>
          <w:rFonts w:ascii="Times New Roman" w:cs="Times New Roman" w:eastAsia="Times New Roman" w:hAnsi="Times New Roman"/>
          <w:sz w:val="22"/>
          <w:szCs w:val="22"/>
          <w:color w:val="auto"/>
        </w:rPr>
        <w:t xml:space="preserve"> included in this Award, at all times during the Recipient’s employment with the Company, and for a period of 24 months following the Recipient’s termination of employment with the Company for any reason, whether voluntary or involuntary, with or without cause, the Recipient shall not, on his or her own behalf or on behalf of any other person, firm, partnership, organization, agency, corporation or other entity, either directly or indirectly, to the fullest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7"/>
              </w:rPr>
              <w:t>Page 9 of 10</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440" w:right="439" w:bottom="1440" w:gutter="0" w:footer="0" w:header="0"/>
        </w:sectPr>
      </w:pPr>
    </w:p>
    <w:bookmarkStart w:id="42" w:name="page43"/>
    <w:bookmarkEnd w:id="42"/>
    <w:p>
      <w:pPr>
        <w:spacing w:after="0" w:line="198" w:lineRule="exact"/>
        <w:rPr>
          <w:sz w:val="20"/>
          <w:szCs w:val="20"/>
          <w:color w:val="auto"/>
        </w:rPr>
      </w:pPr>
    </w:p>
    <w:p>
      <w:pPr>
        <w:jc w:val="both"/>
        <w:ind w:left="2000" w:right="20" w:hanging="565"/>
        <w:spacing w:after="0" w:line="225" w:lineRule="auto"/>
        <w:tabs>
          <w:tab w:leader="none" w:pos="199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hire, or engage in any manner, or facilitate the solicitation, recruitment, hire or engagement of any employee, consultant, or independent contractor of the Company or any of its Affiliates.</w:t>
      </w:r>
    </w:p>
    <w:p>
      <w:pPr>
        <w:spacing w:after="0" w:line="192" w:lineRule="exact"/>
        <w:rPr>
          <w:rFonts w:ascii="Times New Roman" w:cs="Times New Roman" w:eastAsia="Times New Roman" w:hAnsi="Times New Roman"/>
          <w:sz w:val="22"/>
          <w:szCs w:val="22"/>
          <w:color w:val="auto"/>
        </w:rPr>
      </w:pPr>
    </w:p>
    <w:p>
      <w:pPr>
        <w:jc w:val="both"/>
        <w:ind w:left="2000" w:hanging="565"/>
        <w:spacing w:after="0" w:line="220" w:lineRule="auto"/>
        <w:tabs>
          <w:tab w:leader="none" w:pos="199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encourage or assist any director, officer, employee, agent, consultant, sales agent, sales agent representative, customer, or supplier of the Company or any of its Affiliates to terminate or alter his/her/its relationship with the Company or any of its Affiliates, or to join another business organization.</w:t>
      </w:r>
    </w:p>
    <w:p>
      <w:pPr>
        <w:spacing w:after="0" w:line="192" w:lineRule="exact"/>
        <w:rPr>
          <w:rFonts w:ascii="Times New Roman" w:cs="Times New Roman" w:eastAsia="Times New Roman" w:hAnsi="Times New Roman"/>
          <w:sz w:val="22"/>
          <w:szCs w:val="22"/>
          <w:color w:val="auto"/>
        </w:rPr>
      </w:pPr>
    </w:p>
    <w:p>
      <w:pPr>
        <w:jc w:val="both"/>
        <w:ind w:left="2000" w:hanging="565"/>
        <w:spacing w:after="0" w:line="217" w:lineRule="auto"/>
        <w:tabs>
          <w:tab w:leader="none" w:pos="199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accept or conduct, other than for the benefit of the Company, any business with any customer or prospective customer of the Company with whom or which the Recipient had contact or about which the Recipient learned Confidential Information during his or her employment with the Company that is competitive with the business of the Company in which the Recipient worked during his or her employment with the Company.</w:t>
      </w:r>
    </w:p>
    <w:p>
      <w:pPr>
        <w:spacing w:after="0" w:line="179" w:lineRule="exact"/>
        <w:rPr>
          <w:rFonts w:ascii="Times New Roman" w:cs="Times New Roman" w:eastAsia="Times New Roman" w:hAnsi="Times New Roman"/>
          <w:sz w:val="22"/>
          <w:szCs w:val="22"/>
          <w:color w:val="auto"/>
        </w:rPr>
      </w:pPr>
    </w:p>
    <w:p>
      <w:pPr>
        <w:jc w:val="both"/>
        <w:ind w:left="60" w:firstLine="646"/>
        <w:spacing w:after="0" w:line="215" w:lineRule="auto"/>
        <w:tabs>
          <w:tab w:leader="none" w:pos="1262"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If a court determines that the non-solicitation provision, or any part thereof, is unenforceable because of the duration or scope of such provision, then the duration or scope of such provision, as the case may be, shall be reduced so that such provision becomes enforceable and, in its reduced form, such provision shall then be enforceable and shall be enforced. In the case that any one or more of the provisions contained in this Award shall, for any reason, be held to be invalid, illegal or unenforceable, such invalidity, illegality or unenforceability shall not affect the other provisions of this Award and this Award shall be construed as if such invalid, illegal or unenforceable provision had never been contained herein.</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i w:val="1"/>
          <w:iCs w:val="1"/>
          <w:color w:val="auto"/>
        </w:rPr>
        <w:t>En acceptant l'attribution d’actions gratuites, le bénéficiaire desdites actions gratuites (le</w:t>
      </w:r>
    </w:p>
    <w:p>
      <w:pPr>
        <w:jc w:val="both"/>
        <w:ind w:left="60"/>
        <w:spacing w:after="0" w:line="214" w:lineRule="auto"/>
        <w:rPr>
          <w:sz w:val="20"/>
          <w:szCs w:val="20"/>
          <w:color w:val="auto"/>
        </w:rPr>
      </w:pPr>
      <w:r>
        <w:rPr>
          <w:rFonts w:ascii="Times New Roman" w:cs="Times New Roman" w:eastAsia="Times New Roman" w:hAnsi="Times New Roman"/>
          <w:sz w:val="22"/>
          <w:szCs w:val="22"/>
          <w:i w:val="1"/>
          <w:iCs w:val="1"/>
          <w:color w:val="auto"/>
        </w:rPr>
        <w:t>« French Participant ») confirme avoir lu et compris les différents documents relatifs à cette attribution (le Contrat « Restricted Stock Unit Agreement », le Plan «</w:t>
      </w:r>
      <w:r>
        <w:rPr>
          <w:rFonts w:ascii="Times New Roman" w:cs="Times New Roman" w:eastAsia="Times New Roman" w:hAnsi="Times New Roman"/>
          <w:sz w:val="22"/>
          <w:szCs w:val="22"/>
          <w:color w:val="auto"/>
        </w:rPr>
        <w:t>2020 Omnibus Incentive Compensation Plan</w:t>
      </w:r>
      <w:r>
        <w:rPr>
          <w:rFonts w:ascii="Times New Roman" w:cs="Times New Roman" w:eastAsia="Times New Roman" w:hAnsi="Times New Roman"/>
          <w:sz w:val="22"/>
          <w:szCs w:val="22"/>
          <w:i w:val="1"/>
          <w:iCs w:val="1"/>
          <w:color w:val="auto"/>
        </w:rPr>
        <w:t>» et le Sous-Plan pour la France « 2020 France RSU Sub-Plan ») qui ont été fournis en langue anglaise. Le bénéficiaires accepte sans réserve l’ensemble des dispositions comprises dans ces documents et ce, en toute connaissance de cause.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France RSU 2020</w:t>
            </w:r>
          </w:p>
        </w:tc>
        <w:tc>
          <w:tcPr>
            <w:tcW w:w="16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6"/>
              </w:rPr>
              <w:t>Page 10 of 10</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Grant Plan: 20UFR3 APPRVD RSU-France-3Ratable-2020 Legal Plan NS</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440" w:right="439" w:bottom="1440" w:gutter="0" w:footer="0" w:header="0"/>
        </w:sectPr>
      </w:pPr>
    </w:p>
    <w:bookmarkStart w:id="43" w:name="page44"/>
    <w:bookmarkEnd w:id="43"/>
    <w:p>
      <w:pPr>
        <w:ind w:left="7100"/>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2020 OMNIBUS INCENTIVE COMPENSATION PLAN OF AMETEK, INC.</w:t>
      </w:r>
    </w:p>
    <w:p>
      <w:pPr>
        <w:spacing w:after="0" w:line="2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u w:val="single" w:color="auto"/>
          <w:color w:val="auto"/>
        </w:rPr>
        <w:t>PERFORMANCE RESTRICTED STOCK UNIT AWARD FOR NON-U.S. RECIPIENTS</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This PERFORMANCE RESTRICTED STOCK UNIT AWARD (“Award”) FOR NON-</w:t>
      </w:r>
    </w:p>
    <w:p>
      <w:pPr>
        <w:jc w:val="both"/>
        <w:ind w:left="60" w:right="680"/>
        <w:spacing w:after="0" w:line="218" w:lineRule="auto"/>
        <w:rPr>
          <w:sz w:val="20"/>
          <w:szCs w:val="20"/>
          <w:color w:val="auto"/>
        </w:rPr>
      </w:pPr>
      <w:r>
        <w:rPr>
          <w:rFonts w:ascii="Times New Roman" w:cs="Times New Roman" w:eastAsia="Times New Roman" w:hAnsi="Times New Roman"/>
          <w:sz w:val="22"/>
          <w:szCs w:val="22"/>
          <w:color w:val="auto"/>
        </w:rPr>
        <w:t>U.S. RECIPIENTS, including any special terms and conditions for the recipient’s country as set forth in the addendum (“Addendum”) attached hereto (collectively, the “Agreement”), is granted as of the Award Date, by AMETEK, Inc., a Delaware corporation, to the Recipient.</w:t>
      </w:r>
    </w:p>
    <w:p>
      <w:pPr>
        <w:spacing w:after="0" w:line="3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W I T N E S S E T H :</w:t>
      </w:r>
    </w:p>
    <w:p>
      <w:pPr>
        <w:spacing w:after="0" w:line="206" w:lineRule="exact"/>
        <w:rPr>
          <w:sz w:val="20"/>
          <w:szCs w:val="20"/>
          <w:color w:val="auto"/>
        </w:rPr>
      </w:pPr>
    </w:p>
    <w:p>
      <w:pPr>
        <w:ind w:left="60" w:firstLine="648"/>
        <w:spacing w:after="0" w:line="217" w:lineRule="auto"/>
        <w:rPr>
          <w:sz w:val="20"/>
          <w:szCs w:val="20"/>
          <w:color w:val="auto"/>
        </w:rPr>
      </w:pPr>
      <w:r>
        <w:rPr>
          <w:rFonts w:ascii="Times New Roman" w:cs="Times New Roman" w:eastAsia="Times New Roman" w:hAnsi="Times New Roman"/>
          <w:sz w:val="22"/>
          <w:szCs w:val="22"/>
          <w:color w:val="auto"/>
        </w:rPr>
        <w:t xml:space="preserve">WHEREAS, the Company has adopted the 2020 Omnibus Incentive Compensation Plan of AMETEK, Inc. (the “Plan”), pursuant to which the Compensation Committee of the Board of Directors of the Company (the “Committee”) may, </w:t>
      </w:r>
      <w:r>
        <w:rPr>
          <w:rFonts w:ascii="Times New Roman" w:cs="Times New Roman" w:eastAsia="Times New Roman" w:hAnsi="Times New Roman"/>
          <w:sz w:val="22"/>
          <w:szCs w:val="22"/>
          <w:u w:val="single" w:color="auto"/>
          <w:color w:val="auto"/>
        </w:rPr>
        <w:t>inter alia</w:t>
      </w:r>
      <w:r>
        <w:rPr>
          <w:rFonts w:ascii="Times New Roman" w:cs="Times New Roman" w:eastAsia="Times New Roman" w:hAnsi="Times New Roman"/>
          <w:sz w:val="22"/>
          <w:szCs w:val="22"/>
          <w:color w:val="auto"/>
        </w:rPr>
        <w:t>, award Performance Restricted Stock Units to such employees or non-employee directors of the Company and its Affiliates as the Committee may determine, and subject to such terms, conditions and restrictions as the Committee may deem advisable; and</w:t>
      </w:r>
    </w:p>
    <w:p>
      <w:pPr>
        <w:spacing w:after="0" w:line="179" w:lineRule="exact"/>
        <w:rPr>
          <w:sz w:val="20"/>
          <w:szCs w:val="20"/>
          <w:color w:val="auto"/>
        </w:rPr>
      </w:pPr>
    </w:p>
    <w:p>
      <w:pPr>
        <w:ind w:left="60" w:right="180" w:firstLine="648"/>
        <w:spacing w:after="0" w:line="236" w:lineRule="auto"/>
        <w:rPr>
          <w:sz w:val="20"/>
          <w:szCs w:val="20"/>
          <w:color w:val="auto"/>
        </w:rPr>
      </w:pPr>
      <w:r>
        <w:rPr>
          <w:rFonts w:ascii="Times New Roman" w:cs="Times New Roman" w:eastAsia="Times New Roman" w:hAnsi="Times New Roman"/>
          <w:sz w:val="22"/>
          <w:szCs w:val="22"/>
          <w:color w:val="auto"/>
        </w:rPr>
        <w:t>WHEREAS, pursuant to the Plan, the Committee has awarded to the Recipient a Performance Restricted Stock Unit, subject to the terms, conditions and restrictions set forth in the Plan and in this Award;</w:t>
      </w:r>
    </w:p>
    <w:p>
      <w:pPr>
        <w:spacing w:after="0" w:line="177" w:lineRule="exact"/>
        <w:rPr>
          <w:sz w:val="20"/>
          <w:szCs w:val="20"/>
          <w:color w:val="auto"/>
        </w:rPr>
      </w:pPr>
    </w:p>
    <w:p>
      <w:pPr>
        <w:ind w:left="60" w:right="80"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191" w:lineRule="exact"/>
        <w:rPr>
          <w:sz w:val="20"/>
          <w:szCs w:val="20"/>
          <w:color w:val="auto"/>
        </w:rPr>
      </w:pPr>
    </w:p>
    <w:p>
      <w:pPr>
        <w:ind w:left="60" w:right="120" w:firstLine="646"/>
        <w:spacing w:after="0" w:line="220" w:lineRule="auto"/>
        <w:tabs>
          <w:tab w:leader="none" w:pos="126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Plan, the Company hereby grants to the Recipient on the Award Date, a Performance Restricted Stock Unit Award, and such units, the “Performance Restricted Stock Units,” are subject to the terms, conditions and restrictions set forth in the Plan and in this Award. Capitalized terms not otherwise defined in this Award shall have the same meanings as defined in the Plan.</w:t>
      </w:r>
    </w:p>
    <w:p>
      <w:pPr>
        <w:spacing w:after="0" w:line="192" w:lineRule="exact"/>
        <w:rPr>
          <w:rFonts w:ascii="Times New Roman" w:cs="Times New Roman" w:eastAsia="Times New Roman" w:hAnsi="Times New Roman"/>
          <w:sz w:val="22"/>
          <w:szCs w:val="22"/>
          <w:color w:val="auto"/>
        </w:rPr>
      </w:pPr>
    </w:p>
    <w:p>
      <w:pPr>
        <w:ind w:left="60" w:right="100" w:firstLine="646"/>
        <w:spacing w:after="0" w:line="213" w:lineRule="auto"/>
        <w:tabs>
          <w:tab w:leader="none" w:pos="126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the Performance Restricted Stock Units become vested and nonforfeitable pursuant to Paragraph 3, the Company will deliver to the Recipient an unrestricted certificate for a number of shares of Company Stock equal to the number of Performance Restricted Stock Units that became vested (“PRSU Shares”) or an equivalent cash amount based on the value of a share of Company Stock, or a combination of the two, as determined by the Committee, in its discretion. The applicable date of delivery of the PRSU Shares or cash shall be no later than sixty (60) days after the date or event on which the Performance Restricted Stock Units become vested and nonforfeitable pursuant to Paragraph 3, except as set forth in Paragraph 18.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1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04" w:right="559" w:bottom="1440" w:gutter="0" w:footer="0" w:header="0"/>
        </w:sectPr>
      </w:pPr>
    </w:p>
    <w:bookmarkStart w:id="44" w:name="page45"/>
    <w:bookmarkEnd w:id="44"/>
    <w:p>
      <w:pPr>
        <w:ind w:left="60" w:right="400" w:firstLine="646"/>
        <w:spacing w:after="0" w:line="220" w:lineRule="auto"/>
        <w:tabs>
          <w:tab w:leader="none" w:pos="126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Restricted Stock Units (to the extent earned pursuant to Paragraph 4 below) shall become vested and nonforfeitable on the date the results are certified by the Committee which shall in any event occur within three months following the end of the Performance Period (the “Vest Date”). Vesting is contingent on continued employment throughout the Vest Date, except that:</w:t>
      </w:r>
    </w:p>
    <w:p>
      <w:pPr>
        <w:spacing w:after="0" w:line="192" w:lineRule="exact"/>
        <w:rPr>
          <w:rFonts w:ascii="Times New Roman" w:cs="Times New Roman" w:eastAsia="Times New Roman" w:hAnsi="Times New Roman"/>
          <w:sz w:val="22"/>
          <w:szCs w:val="22"/>
          <w:color w:val="auto"/>
        </w:rPr>
      </w:pPr>
    </w:p>
    <w:p>
      <w:pPr>
        <w:ind w:left="2640" w:hanging="639"/>
        <w:spacing w:after="0"/>
        <w:tabs>
          <w:tab w:leader="none" w:pos="26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death or Disability of the Recipient; or</w:t>
      </w:r>
    </w:p>
    <w:p>
      <w:pPr>
        <w:spacing w:after="0" w:line="71" w:lineRule="exact"/>
        <w:rPr>
          <w:rFonts w:ascii="Times New Roman" w:cs="Times New Roman" w:eastAsia="Times New Roman" w:hAnsi="Times New Roman"/>
          <w:sz w:val="22"/>
          <w:szCs w:val="22"/>
          <w:color w:val="auto"/>
        </w:rPr>
      </w:pPr>
    </w:p>
    <w:p>
      <w:pPr>
        <w:ind w:left="2640" w:right="120" w:hanging="638"/>
        <w:spacing w:after="0" w:line="236" w:lineRule="auto"/>
        <w:tabs>
          <w:tab w:leader="none" w:pos="263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Recipient’s Separation from Service with the Company (or any Affiliate of the Company) as a result of and concurrent with a Change of Control (as defined in the Plan),</w:t>
      </w:r>
    </w:p>
    <w:p>
      <w:pPr>
        <w:spacing w:after="0" w:line="42" w:lineRule="exact"/>
        <w:rPr>
          <w:sz w:val="20"/>
          <w:szCs w:val="20"/>
          <w:color w:val="auto"/>
        </w:rPr>
      </w:pPr>
    </w:p>
    <w:p>
      <w:pPr>
        <w:ind w:left="60" w:right="280"/>
        <w:spacing w:after="0" w:line="225" w:lineRule="auto"/>
        <w:rPr>
          <w:sz w:val="20"/>
          <w:szCs w:val="20"/>
          <w:color w:val="auto"/>
        </w:rPr>
      </w:pPr>
      <w:r>
        <w:rPr>
          <w:rFonts w:ascii="Times New Roman" w:cs="Times New Roman" w:eastAsia="Times New Roman" w:hAnsi="Times New Roman"/>
          <w:sz w:val="22"/>
          <w:szCs w:val="22"/>
          <w:color w:val="auto"/>
        </w:rPr>
        <w:t>the Performance Restricted Stock Units shall become vested and nonforfeitable on the Vest Date in an amount equal to the initial Performance Restricted Stock Units granted, as indicated in the “Total Granted” field on the cover page to this Award (the “Target Award”).</w:t>
      </w:r>
    </w:p>
    <w:p>
      <w:pPr>
        <w:spacing w:after="0" w:line="45" w:lineRule="exact"/>
        <w:rPr>
          <w:sz w:val="20"/>
          <w:szCs w:val="20"/>
          <w:color w:val="auto"/>
        </w:rPr>
      </w:pPr>
    </w:p>
    <w:p>
      <w:pPr>
        <w:ind w:left="60" w:firstLine="648"/>
        <w:spacing w:after="0" w:line="205" w:lineRule="auto"/>
        <w:rPr>
          <w:sz w:val="20"/>
          <w:szCs w:val="20"/>
          <w:color w:val="auto"/>
        </w:rPr>
      </w:pPr>
      <w:r>
        <w:rPr>
          <w:rFonts w:ascii="Times New Roman" w:cs="Times New Roman" w:eastAsia="Times New Roman" w:hAnsi="Times New Roman"/>
          <w:sz w:val="22"/>
          <w:szCs w:val="22"/>
          <w:color w:val="auto"/>
        </w:rPr>
        <w:t>In addition, in the event of the Recipient’s attainment of at least fifty-five (55) years of age and at least ten (10) years of service with the Company (or any Affiliate of the Company) at the Recipient’s termination of employment date occurring on or after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first year of the “Performance Period” (as such term is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then the Performance Restricted Stock Units shall become vested and nonforfeitable on the Vest Date, to the extent that the performance goals are achieved. For purposes of grants to Recipients outside the United States, if the Company receives a legal opinion that there has been a legal judgment and/or legal development in an Employer’s jurisdiction that likely would result in the favorable treatment that applies to Performance Restricted Stock Units under the Plan being deemed unlawful and/or discriminatory, the Company, in its sole discretion, shall have the power and authority to revise or strike certain provisions of the Agreement, including this paragraph 3, to the minimum extent necessary to make it valid and enforceable to the full extent permitted under the law.</w:t>
      </w:r>
    </w:p>
    <w:p>
      <w:pPr>
        <w:spacing w:after="0" w:line="35" w:lineRule="exact"/>
        <w:rPr>
          <w:sz w:val="20"/>
          <w:szCs w:val="20"/>
          <w:color w:val="auto"/>
        </w:rPr>
      </w:pPr>
    </w:p>
    <w:p>
      <w:pPr>
        <w:ind w:left="60" w:right="100" w:firstLine="756"/>
        <w:spacing w:after="0" w:line="220" w:lineRule="auto"/>
        <w:rPr>
          <w:sz w:val="20"/>
          <w:szCs w:val="20"/>
          <w:color w:val="auto"/>
        </w:rPr>
      </w:pPr>
      <w:r>
        <w:rPr>
          <w:rFonts w:ascii="Times New Roman" w:cs="Times New Roman" w:eastAsia="Times New Roman" w:hAnsi="Times New Roman"/>
          <w:sz w:val="22"/>
          <w:szCs w:val="22"/>
          <w:color w:val="auto"/>
        </w:rPr>
        <w:t>Except to the extent, if any, that the Performance Restricted Stock Units shall have become nonforfeitable pursuant to the foregoing provisions of this Paragraph 3, if the Recipient otherwise ceases to remain in the employ of the Company and its Affiliates prior to the Vest Date, any unvested Performance Restricted Stock Units (and any dividends, distributions and adjustments retained by the Company with respect thereto) shall be forfeited.</w:t>
      </w:r>
    </w:p>
    <w:p>
      <w:pPr>
        <w:spacing w:after="0" w:line="179" w:lineRule="exact"/>
        <w:rPr>
          <w:sz w:val="20"/>
          <w:szCs w:val="20"/>
          <w:color w:val="auto"/>
        </w:rPr>
      </w:pPr>
    </w:p>
    <w:p>
      <w:pPr>
        <w:ind w:left="60" w:right="60" w:firstLine="648"/>
        <w:spacing w:after="0" w:line="222" w:lineRule="auto"/>
        <w:rPr>
          <w:sz w:val="20"/>
          <w:szCs w:val="20"/>
          <w:color w:val="auto"/>
        </w:rPr>
      </w:pPr>
      <w:r>
        <w:rPr>
          <w:rFonts w:ascii="Times New Roman" w:cs="Times New Roman" w:eastAsia="Times New Roman" w:hAnsi="Times New Roman"/>
          <w:sz w:val="21"/>
          <w:szCs w:val="21"/>
          <w:color w:val="auto"/>
        </w:rPr>
        <w:t>Furthermore, for purposes of the Performance Restricted Stock Units, the Recipient’s Separation from Service will be deemed to occur (regardless of the reason for such Separation from Service, and whether or not later found to be invalid or in breach of employment laws in the jurisdiction where the Recipient is employed or rendering services, or the terms of his or her employment or service agreement, if any), and unless otherwise expressly provided in the Agreement or determined by the Company, the Recipient’s right to vest in the Performance Restricted Stock Units under the Plan, if any, will terminate as of such date and will not be extended by any notice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the Recipient’s period of service would not include any contractual notice period or any period of “garden leave” or similar period mandated under employment laws in the jurisdiction where the Recipient is employed or the terms of his or her employment agreement, if any). The Committee shall have exclusive discretion to determine when the Recipient is no longer actively providing services for purposes of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2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60" w:top="1395" w:right="479" w:bottom="1440" w:gutter="0" w:footer="0" w:header="0"/>
        </w:sectPr>
      </w:pPr>
    </w:p>
    <w:bookmarkStart w:id="45" w:name="page46"/>
    <w:bookmarkEnd w:id="45"/>
    <w:p>
      <w:pPr>
        <w:spacing w:after="0" w:line="198" w:lineRule="exact"/>
        <w:rPr>
          <w:sz w:val="20"/>
          <w:szCs w:val="20"/>
          <w:color w:val="auto"/>
        </w:rPr>
      </w:pPr>
    </w:p>
    <w:p>
      <w:pPr>
        <w:ind w:left="60" w:right="320"/>
        <w:spacing w:after="0" w:line="236" w:lineRule="auto"/>
        <w:rPr>
          <w:sz w:val="20"/>
          <w:szCs w:val="20"/>
          <w:color w:val="auto"/>
        </w:rPr>
      </w:pPr>
      <w:r>
        <w:rPr>
          <w:rFonts w:ascii="Times New Roman" w:cs="Times New Roman" w:eastAsia="Times New Roman" w:hAnsi="Times New Roman"/>
          <w:sz w:val="22"/>
          <w:szCs w:val="22"/>
          <w:color w:val="auto"/>
        </w:rPr>
        <w:t>Performance Restricted Stock Units (including whether the Recipient may still be considered to be providing services while on a leave of absence).</w:t>
      </w:r>
    </w:p>
    <w:p>
      <w:pPr>
        <w:spacing w:after="0" w:line="191" w:lineRule="exact"/>
        <w:rPr>
          <w:sz w:val="20"/>
          <w:szCs w:val="20"/>
          <w:color w:val="auto"/>
        </w:rPr>
      </w:pPr>
    </w:p>
    <w:p>
      <w:pPr>
        <w:ind w:left="60" w:right="100" w:firstLine="646"/>
        <w:spacing w:after="0" w:line="226" w:lineRule="auto"/>
        <w:tabs>
          <w:tab w:leader="none" w:pos="126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in this Award and subject to adjustments permitted by the Plan, the number of Performance Restricted Stock Units which will vest under this Award, if any, will be determined by multiplying (a) the sum of</w:t>
      </w:r>
    </w:p>
    <w:p>
      <w:pPr>
        <w:spacing w:after="0" w:line="1" w:lineRule="exact"/>
        <w:rPr>
          <w:rFonts w:ascii="Times New Roman" w:cs="Times New Roman" w:eastAsia="Times New Roman" w:hAnsi="Times New Roman"/>
          <w:sz w:val="21"/>
          <w:szCs w:val="21"/>
          <w:color w:val="auto"/>
        </w:rPr>
      </w:pPr>
    </w:p>
    <w:p>
      <w:pPr>
        <w:ind w:left="60" w:right="40" w:hanging="2"/>
        <w:spacing w:after="0" w:line="211" w:lineRule="auto"/>
        <w:tabs>
          <w:tab w:leader="none" w:pos="31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0.5 times the vested percentage applicable to Return on Tangible Capital (“ROTC”) plus (ii) 0.5 times the vested percentage applicable to Relative Total Shareholder Return (“TSR”) by (b) the Target Award. The maximum number of Performance Restricted Stock Units which can vest is 200% of the Target Award and the minimum number of Performance Restricted Stock Units which can vest is 0% of the Target Award. The vested percentage applicable to ROTC and TSR will each be determined over the “Performance Period” (as such term is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illustrated in the schedules attached to this Award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61" w:lineRule="exact"/>
        <w:rPr>
          <w:rFonts w:ascii="Times New Roman" w:cs="Times New Roman" w:eastAsia="Times New Roman" w:hAnsi="Times New Roman"/>
          <w:sz w:val="22"/>
          <w:szCs w:val="22"/>
          <w:color w:val="auto"/>
        </w:rPr>
      </w:pPr>
    </w:p>
    <w:p>
      <w:pPr>
        <w:ind w:left="60" w:right="120" w:firstLine="646"/>
        <w:spacing w:after="0" w:line="220" w:lineRule="auto"/>
        <w:tabs>
          <w:tab w:leader="none" w:pos="126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shall not sell, assign, transfer, pledge, hypothecate or otherwise dispose of, by operation of law or otherwise (collectively, “transfer”) any Performance Restricted Stock Units, or any interest therein other than by will or the laws of descent and distribution, unless and until the Performance Restricted Stock Units have been settled as provided in this Award.</w:t>
      </w:r>
    </w:p>
    <w:p>
      <w:pPr>
        <w:spacing w:after="0" w:line="179" w:lineRule="exact"/>
        <w:rPr>
          <w:rFonts w:ascii="Times New Roman" w:cs="Times New Roman" w:eastAsia="Times New Roman" w:hAnsi="Times New Roman"/>
          <w:sz w:val="22"/>
          <w:szCs w:val="22"/>
          <w:color w:val="auto"/>
        </w:rPr>
      </w:pPr>
    </w:p>
    <w:p>
      <w:pPr>
        <w:ind w:left="60" w:firstLine="646"/>
        <w:spacing w:after="0" w:line="236" w:lineRule="auto"/>
        <w:tabs>
          <w:tab w:leader="none" w:pos="126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issuance of PRSU Shares, Recipient will have no rights as a shareholder of the Company with respect to this Performance Restricted Stock Unit Award or the Performance Restricted Stock Units.</w:t>
      </w:r>
    </w:p>
    <w:p>
      <w:pPr>
        <w:spacing w:after="0" w:line="190" w:lineRule="exact"/>
        <w:rPr>
          <w:rFonts w:ascii="Times New Roman" w:cs="Times New Roman" w:eastAsia="Times New Roman" w:hAnsi="Times New Roman"/>
          <w:sz w:val="22"/>
          <w:szCs w:val="22"/>
          <w:color w:val="auto"/>
        </w:rPr>
      </w:pPr>
    </w:p>
    <w:p>
      <w:pPr>
        <w:ind w:left="60" w:right="100" w:firstLine="646"/>
        <w:spacing w:after="0" w:line="217" w:lineRule="auto"/>
        <w:tabs>
          <w:tab w:leader="none" w:pos="126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outstanding shares of Company Stock changes through the declaration of stock dividends or stock splits prior to the vesting date, the Performance Restricted Stock Units subject to this Award automatically will be adjusted, according to the provisions of Section 5(c) of the Plan. In the event of any other change in the capital structure or the Company Stock or other corporate events or transactions involving the Company, the Committee is authorized to make appropriate adjustments to this Award.</w:t>
      </w:r>
    </w:p>
    <w:p>
      <w:pPr>
        <w:spacing w:after="0" w:line="179" w:lineRule="exact"/>
        <w:rPr>
          <w:rFonts w:ascii="Times New Roman" w:cs="Times New Roman" w:eastAsia="Times New Roman" w:hAnsi="Times New Roman"/>
          <w:sz w:val="22"/>
          <w:szCs w:val="22"/>
          <w:color w:val="auto"/>
        </w:rPr>
      </w:pPr>
    </w:p>
    <w:p>
      <w:pPr>
        <w:ind w:left="60" w:right="120" w:firstLine="646"/>
        <w:spacing w:after="0" w:line="212" w:lineRule="auto"/>
        <w:tabs>
          <w:tab w:leader="none" w:pos="126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 0.5% as such rate is set forth in the Wall Street Journal as of the first business day of each calendar quarter. Dividend Equivalents shall be subject to the same terms and conditions, and shall vest and be paid, or be forfeited (if applicable), at the same time as the Performance Restricted Stock Units to which they relate.</w:t>
      </w:r>
    </w:p>
    <w:p>
      <w:pPr>
        <w:spacing w:after="0" w:line="183" w:lineRule="exact"/>
        <w:rPr>
          <w:rFonts w:ascii="Times New Roman" w:cs="Times New Roman" w:eastAsia="Times New Roman" w:hAnsi="Times New Roman"/>
          <w:sz w:val="22"/>
          <w:szCs w:val="22"/>
          <w:color w:val="auto"/>
        </w:rPr>
      </w:pPr>
    </w:p>
    <w:p>
      <w:pPr>
        <w:ind w:left="60" w:right="240" w:firstLine="646"/>
        <w:spacing w:after="0" w:line="236" w:lineRule="auto"/>
        <w:tabs>
          <w:tab w:leader="none" w:pos="126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acknowledges and agrees that regardless of any action taken by the Company, or if different, the Subsidiary Corporation or Affiliate for which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3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440" w:right="459" w:bottom="1440" w:gutter="0" w:footer="0" w:header="0"/>
        </w:sectPr>
      </w:pPr>
    </w:p>
    <w:bookmarkStart w:id="46" w:name="page47"/>
    <w:bookmarkEnd w:id="46"/>
    <w:p>
      <w:pPr>
        <w:spacing w:after="0" w:line="198" w:lineRule="exact"/>
        <w:rPr>
          <w:sz w:val="20"/>
          <w:szCs w:val="20"/>
          <w:color w:val="auto"/>
        </w:rPr>
      </w:pPr>
    </w:p>
    <w:p>
      <w:pPr>
        <w:ind w:left="60" w:right="20"/>
        <w:spacing w:after="0" w:line="220" w:lineRule="auto"/>
        <w:rPr>
          <w:sz w:val="20"/>
          <w:szCs w:val="20"/>
          <w:color w:val="auto"/>
        </w:rPr>
      </w:pPr>
      <w:r>
        <w:rPr>
          <w:rFonts w:ascii="Times New Roman" w:cs="Times New Roman" w:eastAsia="Times New Roman" w:hAnsi="Times New Roman"/>
          <w:sz w:val="21"/>
          <w:szCs w:val="21"/>
          <w:color w:val="auto"/>
        </w:rPr>
        <w:t>provides services (the “Employer”) with respect to any or all income tax (including U.S. federal, state and local tax and/or non-U.S. tax), social insurance, payroll tax, fringe benefits tax, payment on account or other tax-related items related to the Recipient’s participation in the Plan and legally applicable to the Recipient (“Tax-Related Items”), the ultimate liability for all Tax- Related Items is and remains the Recipient’s responsibility and may exceed the amount actually withheld by the Company and/or the Employer. The Recipient further acknowledges that the Company and/or the Employer (i) make no representations or undertakings regarding the treatment of any Tax-Related items in connection with any aspect of the Performance Restricted Stock Units, including but not limited to, the grant, vesting or settlement of the awards, or the subsequent sale of PRSU Shares acquired under the Plan; and (ii) do not commit to and are under no obligation to structure the terms of the grant or any aspect of the award to reduce or eliminate the Recipient’s liability for Tax-Related Items or achieve a particular tax result. Further, if the Recipient is subject to Tax-Related Items in more than one jurisdiction, the Recipient acknowledges and agrees that the Company or Employer may be required to withhold or account for Tax-Related Items in more than one jurisdiction.</w:t>
      </w:r>
    </w:p>
    <w:p>
      <w:pPr>
        <w:spacing w:after="0" w:line="184" w:lineRule="exact"/>
        <w:rPr>
          <w:sz w:val="20"/>
          <w:szCs w:val="20"/>
          <w:color w:val="auto"/>
        </w:rPr>
      </w:pPr>
    </w:p>
    <w:p>
      <w:pPr>
        <w:ind w:left="60" w:right="280" w:firstLine="648"/>
        <w:spacing w:after="0" w:line="220" w:lineRule="auto"/>
        <w:rPr>
          <w:sz w:val="20"/>
          <w:szCs w:val="20"/>
          <w:color w:val="auto"/>
        </w:rPr>
      </w:pPr>
      <w:r>
        <w:rPr>
          <w:rFonts w:ascii="Times New Roman" w:cs="Times New Roman" w:eastAsia="Times New Roman" w:hAnsi="Times New Roman"/>
          <w:sz w:val="22"/>
          <w:szCs w:val="22"/>
          <w:color w:val="auto"/>
        </w:rPr>
        <w:t>Prior to any relevant taxable or tax withholding event, as applicable, the Recipient agrees to make adequate arrangements satisfactory to the Company and/or the Employer to satisfy all Tax-Related Items. In this regard, the Recipient authorizes the Company and/or the Employer, or their respective agents, at their discretion, to satisfy any applicable withholding obligations with regard to Tax-Related Items by one or a combination of the following:</w:t>
      </w:r>
    </w:p>
    <w:p>
      <w:pPr>
        <w:spacing w:after="0" w:line="193" w:lineRule="exact"/>
        <w:rPr>
          <w:sz w:val="20"/>
          <w:szCs w:val="20"/>
          <w:color w:val="auto"/>
        </w:rPr>
      </w:pPr>
    </w:p>
    <w:p>
      <w:pPr>
        <w:ind w:left="2640" w:right="540" w:hanging="638"/>
        <w:spacing w:after="0" w:line="216" w:lineRule="auto"/>
        <w:tabs>
          <w:tab w:leader="none" w:pos="263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Participant’s wages or other cash compensation paid to Participant by the Company, the Employer or any other subsidiary;</w:t>
      </w:r>
    </w:p>
    <w:p>
      <w:pPr>
        <w:ind w:left="2640" w:right="240" w:hanging="638"/>
        <w:spacing w:after="0" w:line="204" w:lineRule="auto"/>
        <w:tabs>
          <w:tab w:leader="none" w:pos="263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from the proceeds of the sale of PRSU Shares acquired at vesting of the Performance Restricted Stock Unit either through a voluntary sale or through a mandatory sale arranged by the Company (on the Recipient’s behalf pursuant to this authorization) without further consent;</w:t>
      </w:r>
    </w:p>
    <w:p>
      <w:pPr>
        <w:spacing w:after="0" w:line="3" w:lineRule="exact"/>
        <w:rPr>
          <w:rFonts w:ascii="Times New Roman" w:cs="Times New Roman" w:eastAsia="Times New Roman" w:hAnsi="Times New Roman"/>
          <w:sz w:val="22"/>
          <w:szCs w:val="22"/>
          <w:color w:val="auto"/>
        </w:rPr>
      </w:pPr>
    </w:p>
    <w:p>
      <w:pPr>
        <w:ind w:left="2640" w:right="360" w:hanging="638"/>
        <w:spacing w:after="0" w:line="204" w:lineRule="auto"/>
        <w:tabs>
          <w:tab w:leader="none" w:pos="263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 such number of shares of Company Stock (thus reducing the number of shares to be issued to the Recipient) as shall have a Fair Market Value, valued on the date on which Tax-Related Items are determined, equal to the amount required to be withheld to satisfy the Company (or successor or Affiliate’s) withholding obligations; or</w:t>
      </w:r>
    </w:p>
    <w:p>
      <w:pPr>
        <w:spacing w:after="0" w:line="3" w:lineRule="exact"/>
        <w:rPr>
          <w:rFonts w:ascii="Times New Roman" w:cs="Times New Roman" w:eastAsia="Times New Roman" w:hAnsi="Times New Roman"/>
          <w:sz w:val="22"/>
          <w:szCs w:val="22"/>
          <w:color w:val="auto"/>
        </w:rPr>
      </w:pPr>
    </w:p>
    <w:p>
      <w:pPr>
        <w:ind w:left="2640" w:hanging="638"/>
        <w:spacing w:after="0"/>
        <w:tabs>
          <w:tab w:leader="none" w:pos="26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approved by the Committee and permitted by applicable laws.</w:t>
      </w:r>
    </w:p>
    <w:p>
      <w:pPr>
        <w:spacing w:after="0" w:line="182" w:lineRule="exact"/>
        <w:rPr>
          <w:sz w:val="20"/>
          <w:szCs w:val="20"/>
          <w:color w:val="auto"/>
        </w:rPr>
      </w:pPr>
    </w:p>
    <w:p>
      <w:pPr>
        <w:ind w:left="60" w:firstLine="648"/>
        <w:spacing w:after="0" w:line="215" w:lineRule="auto"/>
        <w:rPr>
          <w:sz w:val="20"/>
          <w:szCs w:val="20"/>
          <w:color w:val="auto"/>
        </w:rPr>
      </w:pPr>
      <w:r>
        <w:rPr>
          <w:rFonts w:ascii="Times New Roman" w:cs="Times New Roman" w:eastAsia="Times New Roman" w:hAnsi="Times New Roman"/>
          <w:sz w:val="22"/>
          <w:szCs w:val="22"/>
          <w:color w:val="auto"/>
        </w:rPr>
        <w:t>Depending on the withholding method, the Company may withhold or account for Tax- Related Items by considering applicable minimum statutory withholding amounts or other applicable withholding rates, including maximum applicable rates, in which case the Recipient may receive a refund of any over-withheld amount in cash (with no entitlement to the Company Stock equivalent) or, if not refunded, the Recipient may seek a refund from the local tax authorities. If the obligation for Tax-Related Items is satisfied by withholding shares of Company Stock, for tax purposes, the Recipient is deemed to have been issued the full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4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440" w:right="459" w:bottom="1440" w:gutter="0" w:footer="0" w:header="0"/>
        </w:sectPr>
      </w:pPr>
    </w:p>
    <w:bookmarkStart w:id="47" w:name="page48"/>
    <w:bookmarkEnd w:id="47"/>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PRSU Shares, notwithstanding that Company Stock is held back solely for purposes of paying the Tax-Related Items.</w:t>
      </w:r>
    </w:p>
    <w:p>
      <w:pPr>
        <w:spacing w:after="0" w:line="206" w:lineRule="exact"/>
        <w:rPr>
          <w:sz w:val="20"/>
          <w:szCs w:val="20"/>
          <w:color w:val="auto"/>
        </w:rPr>
      </w:pPr>
    </w:p>
    <w:p>
      <w:pPr>
        <w:ind w:left="60" w:right="200" w:firstLine="648"/>
        <w:spacing w:after="0" w:line="217" w:lineRule="auto"/>
        <w:rPr>
          <w:sz w:val="20"/>
          <w:szCs w:val="20"/>
          <w:color w:val="auto"/>
        </w:rPr>
      </w:pPr>
      <w:r>
        <w:rPr>
          <w:rFonts w:ascii="Times New Roman" w:cs="Times New Roman" w:eastAsia="Times New Roman" w:hAnsi="Times New Roman"/>
          <w:sz w:val="22"/>
          <w:szCs w:val="22"/>
          <w:color w:val="auto"/>
        </w:rPr>
        <w:t>Finally, the Recipient agrees to pay to the Company or the Employer any amount of Tax- Related Items that the Company or the Employer may be required to withhold or account for as a result of Recipient’s participation in the Plan that cannot be satisfied by the means previously described. The Company may refuse to issue or deliver the PRSU Shares or the proceeds of the sale of PRSU Shares, if the Recipient fails to comply with his or her obligations in connection with the Tax-Related Items.</w:t>
      </w:r>
    </w:p>
    <w:p>
      <w:pPr>
        <w:spacing w:after="0" w:line="193" w:lineRule="exact"/>
        <w:rPr>
          <w:sz w:val="20"/>
          <w:szCs w:val="20"/>
          <w:color w:val="auto"/>
        </w:rPr>
      </w:pPr>
    </w:p>
    <w:p>
      <w:pPr>
        <w:ind w:left="60" w:right="40" w:firstLine="648"/>
        <w:spacing w:after="0" w:line="215" w:lineRule="auto"/>
        <w:rPr>
          <w:sz w:val="20"/>
          <w:szCs w:val="20"/>
          <w:color w:val="auto"/>
        </w:rPr>
      </w:pPr>
      <w:r>
        <w:rPr>
          <w:rFonts w:ascii="Times New Roman" w:cs="Times New Roman" w:eastAsia="Times New Roman" w:hAnsi="Times New Roman"/>
          <w:sz w:val="22"/>
          <w:szCs w:val="22"/>
          <w:color w:val="auto"/>
        </w:rPr>
        <w:t>Notwithstanding anything in this Paragraph 9 to the contrary, to avoid a prohibited acceleration under Section 409A,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166" w:lineRule="exact"/>
        <w:rPr>
          <w:sz w:val="20"/>
          <w:szCs w:val="20"/>
          <w:color w:val="auto"/>
        </w:rPr>
      </w:pPr>
    </w:p>
    <w:p>
      <w:pPr>
        <w:ind w:left="1260" w:hanging="554"/>
        <w:spacing w:after="0"/>
        <w:tabs>
          <w:tab w:leader="none" w:pos="12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Recipient each hereby agrees to be bound by the terms and conditions set forth in the</w:t>
      </w:r>
    </w:p>
    <w:p>
      <w:pPr>
        <w:ind w:left="60"/>
        <w:spacing w:after="0"/>
        <w:rPr>
          <w:sz w:val="20"/>
          <w:szCs w:val="20"/>
          <w:color w:val="auto"/>
        </w:rPr>
      </w:pPr>
      <w:r>
        <w:rPr>
          <w:rFonts w:ascii="Times New Roman" w:cs="Times New Roman" w:eastAsia="Times New Roman" w:hAnsi="Times New Roman"/>
          <w:sz w:val="22"/>
          <w:szCs w:val="22"/>
          <w:color w:val="auto"/>
        </w:rPr>
        <w:t>Plan.</w:t>
      </w:r>
    </w:p>
    <w:p>
      <w:pPr>
        <w:spacing w:after="0" w:line="182" w:lineRule="exact"/>
        <w:rPr>
          <w:sz w:val="20"/>
          <w:szCs w:val="20"/>
          <w:color w:val="auto"/>
        </w:rPr>
      </w:pPr>
    </w:p>
    <w:p>
      <w:pPr>
        <w:ind w:left="60" w:right="100" w:firstLine="646"/>
        <w:spacing w:after="0" w:line="215" w:lineRule="auto"/>
        <w:tabs>
          <w:tab w:leader="none" w:pos="125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pacing w:after="0" w:line="192" w:lineRule="exact"/>
        <w:rPr>
          <w:rFonts w:ascii="Times New Roman" w:cs="Times New Roman" w:eastAsia="Times New Roman" w:hAnsi="Times New Roman"/>
          <w:sz w:val="22"/>
          <w:szCs w:val="22"/>
          <w:color w:val="auto"/>
        </w:rPr>
      </w:pPr>
    </w:p>
    <w:p>
      <w:pPr>
        <w:ind w:left="60" w:right="900" w:firstLine="646"/>
        <w:spacing w:after="0" w:line="236" w:lineRule="auto"/>
        <w:tabs>
          <w:tab w:leader="none" w:pos="126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the Plan constitute the whole agreement between the parties hereto with respect to the Performance Restricted Stock Unit Award.</w:t>
      </w:r>
    </w:p>
    <w:p>
      <w:pPr>
        <w:spacing w:after="0" w:line="177" w:lineRule="exact"/>
        <w:rPr>
          <w:rFonts w:ascii="Times New Roman" w:cs="Times New Roman" w:eastAsia="Times New Roman" w:hAnsi="Times New Roman"/>
          <w:sz w:val="22"/>
          <w:szCs w:val="22"/>
          <w:color w:val="auto"/>
        </w:rPr>
      </w:pPr>
    </w:p>
    <w:p>
      <w:pPr>
        <w:ind w:left="60" w:firstLine="646"/>
        <w:spacing w:after="0" w:line="211" w:lineRule="auto"/>
        <w:tabs>
          <w:tab w:leader="none" w:pos="126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 accepting the Performance Restricted Stock Unit award, the Recipient acknowledges, understands and agrees that: (i) the Plan is established voluntarily by the Company, it is discretionary in nature and it may be modified, amended, suspended or terminated by the Company at any time, to the extent permitted by the Plan; (ii) the grant of Performance Restricted Stock Units is exceptional, voluntary and occasional and does not create any contractual or other right to receive future grants or benefits in lieu of Performance Restricted Stock Units, even if such awards have been granted in the past; (iii) all decisions with respect to future awards, if any, will be at the sole discretion of the Company; (iv) the grant and the Recipient’s participation in the Plan shall not be construed as creating any contract of employment between the Company and the Recipient and does not entitle the Recipient to any benefit other than that granted under this Agreement; (v) the Recipient is voluntarily participating in the Plan; (vi) the Performance Restricted Stock Units and the PRSU Shares are not intended to replace any pension rights or compensation; (vii) the Performance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5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60" w:top="1440" w:right="539" w:bottom="1440" w:gutter="0" w:footer="0" w:header="0"/>
        </w:sectPr>
      </w:pPr>
    </w:p>
    <w:bookmarkStart w:id="48" w:name="page49"/>
    <w:bookmarkEnd w:id="48"/>
    <w:p>
      <w:pPr>
        <w:spacing w:after="0" w:line="198" w:lineRule="exact"/>
        <w:rPr>
          <w:sz w:val="20"/>
          <w:szCs w:val="20"/>
          <w:color w:val="auto"/>
        </w:rPr>
      </w:pPr>
    </w:p>
    <w:p>
      <w:pPr>
        <w:ind w:left="60"/>
        <w:spacing w:after="0" w:line="209" w:lineRule="auto"/>
        <w:rPr>
          <w:sz w:val="20"/>
          <w:szCs w:val="20"/>
          <w:color w:val="auto"/>
        </w:rPr>
      </w:pPr>
      <w:r>
        <w:rPr>
          <w:rFonts w:ascii="Times New Roman" w:cs="Times New Roman" w:eastAsia="Times New Roman" w:hAnsi="Times New Roman"/>
          <w:sz w:val="22"/>
          <w:szCs w:val="22"/>
          <w:color w:val="auto"/>
        </w:rPr>
        <w:t>Stock Units and the PRSU Shares, and the income from and value of same, are not part of normal or expected compensation for purposes of calculating any severance, resignation, termination, redundancy, dismissal, end-of-service payments, bonuses, long-service awards, pension or retirement or welfare benefits or similar payments; (viii) the future value of the PRSU Shares is unknown, indeterminable and cannot be predicted with certainty; (ix) no claim or entitlement to compensation or damages shall arise from forfeiture of the Performance Restricted Stock Units resulting from a Separation of Service (for any reason whatsoever, whether or not later found to be invalid or in breach of employment or other laws in the jurisdiction where the Recipient is employed or otherwise rendering services or the terms of the Recipient’s employment or service agreement, if any), and in consideration of the grant, the Recipient agrees not to institute any claim against the Company, the Employer or any Subsidiary Corporation; (x) unless otherwise agreed with the Company, the Performance Restricted Stock Units and PRSU Shares, and the income from and value of same, are not granted as consideration for, or in connection with the service the Recipient may provide as a director of any Subsidiary Corporation or Affiliate; and (x) neither the Company, the Employer or any Parent Corporation or Subsidiary Corporation shall be liable for any foreign exchange rate fluctuation between the Recipient’s local currency and the U.S. Dollar that may affect the value of the Performance Restricted Stock Units or any amounts due to the Recipient pursuant to the settlement of the awards or subsequent sale of PRSU Shares acquired upon settlement.</w:t>
      </w:r>
    </w:p>
    <w:p>
      <w:pPr>
        <w:spacing w:after="0" w:line="192" w:lineRule="exact"/>
        <w:rPr>
          <w:sz w:val="20"/>
          <w:szCs w:val="20"/>
          <w:color w:val="auto"/>
        </w:rPr>
      </w:pPr>
    </w:p>
    <w:p>
      <w:pPr>
        <w:ind w:left="60" w:right="100" w:firstLine="646"/>
        <w:spacing w:after="0" w:line="225" w:lineRule="auto"/>
        <w:tabs>
          <w:tab w:leader="none" w:pos="126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w:t>
      </w:r>
    </w:p>
    <w:p>
      <w:pPr>
        <w:spacing w:after="0" w:line="368" w:lineRule="exact"/>
        <w:rPr>
          <w:rFonts w:ascii="Times New Roman" w:cs="Times New Roman" w:eastAsia="Times New Roman" w:hAnsi="Times New Roman"/>
          <w:sz w:val="22"/>
          <w:szCs w:val="22"/>
          <w:color w:val="auto"/>
        </w:rPr>
      </w:pPr>
    </w:p>
    <w:p>
      <w:pPr>
        <w:ind w:left="60" w:right="420" w:firstLine="646"/>
        <w:spacing w:after="0" w:line="225" w:lineRule="auto"/>
        <w:tabs>
          <w:tab w:leader="none" w:pos="126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inure to the benefit of, and be binding on, the Company and its successors and assigns, and shall inure to the benefit of, and be binding on, the Recipient and his or her heirs, executors, administrators and legal representatives. This Award shall not be assignable by the Recipient.</w:t>
      </w:r>
    </w:p>
    <w:p>
      <w:pPr>
        <w:spacing w:after="0" w:line="179" w:lineRule="exact"/>
        <w:rPr>
          <w:rFonts w:ascii="Times New Roman" w:cs="Times New Roman" w:eastAsia="Times New Roman" w:hAnsi="Times New Roman"/>
          <w:sz w:val="22"/>
          <w:szCs w:val="22"/>
          <w:color w:val="auto"/>
        </w:rPr>
      </w:pPr>
    </w:p>
    <w:p>
      <w:pPr>
        <w:ind w:left="60" w:right="80" w:firstLine="646"/>
        <w:spacing w:after="0" w:line="210" w:lineRule="auto"/>
        <w:tabs>
          <w:tab w:leader="none" w:pos="126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6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60" w:top="1440" w:right="479" w:bottom="1440" w:gutter="0" w:footer="0" w:header="0"/>
        </w:sectPr>
      </w:pPr>
    </w:p>
    <w:bookmarkStart w:id="49" w:name="page50"/>
    <w:bookmarkEnd w:id="49"/>
    <w:p>
      <w:pPr>
        <w:spacing w:after="0" w:line="198" w:lineRule="exact"/>
        <w:rPr>
          <w:sz w:val="20"/>
          <w:szCs w:val="20"/>
          <w:color w:val="auto"/>
        </w:rPr>
      </w:pPr>
    </w:p>
    <w:p>
      <w:pPr>
        <w:ind w:left="60" w:right="60" w:firstLine="646"/>
        <w:spacing w:after="0" w:line="215" w:lineRule="auto"/>
        <w:tabs>
          <w:tab w:leader="none" w:pos="12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 resides in a country outside the United States, or is otherwise subject to the laws of a country other than the United States, the Performance Restricted Stock Units and the PRSU Shares acquired under the Plan shall be subject to the additional terms and conditions for the Recipient’s country set forth in the Addendum. Moreover, if the Recipient relocates to one of the countries included in the Addendum, the special terms and conditions for such country will apply to the Recipient, to the extent the Company determines that the application of such terms and conditions is necessary or advisable for legal or administrative reasons. The Addendum constitutes part of the Agreement.</w:t>
      </w:r>
    </w:p>
    <w:p>
      <w:pPr>
        <w:spacing w:after="0" w:line="192" w:lineRule="exact"/>
        <w:rPr>
          <w:rFonts w:ascii="Times New Roman" w:cs="Times New Roman" w:eastAsia="Times New Roman" w:hAnsi="Times New Roman"/>
          <w:sz w:val="22"/>
          <w:szCs w:val="22"/>
          <w:color w:val="auto"/>
        </w:rPr>
      </w:pPr>
    </w:p>
    <w:p>
      <w:pPr>
        <w:ind w:left="60" w:right="100" w:firstLine="646"/>
        <w:spacing w:after="0" w:line="225" w:lineRule="auto"/>
        <w:tabs>
          <w:tab w:leader="none" w:pos="12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Recipient has received the Agreement or any other document related to the Performance Restricted Stock Units and/or the Plan translated into a language other than English, and if the meaning of the translated version is different than the English version, the English version will control.</w:t>
      </w:r>
    </w:p>
    <w:p>
      <w:pPr>
        <w:spacing w:after="0" w:line="179" w:lineRule="exact"/>
        <w:rPr>
          <w:rFonts w:ascii="Times New Roman" w:cs="Times New Roman" w:eastAsia="Times New Roman" w:hAnsi="Times New Roman"/>
          <w:sz w:val="22"/>
          <w:szCs w:val="22"/>
          <w:color w:val="auto"/>
        </w:rPr>
      </w:pPr>
    </w:p>
    <w:p>
      <w:pPr>
        <w:ind w:left="60" w:right="180" w:firstLine="646"/>
        <w:spacing w:after="0" w:line="220" w:lineRule="auto"/>
        <w:tabs>
          <w:tab w:leader="none" w:pos="12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impose other requirements on the Recipient’s participation in the Plan, on the Performance Restricted Stock Units and on any PRSU Shares acquired under the Plan, to the extent the Company determines it is necessary or advisable for legal or administrative reasons, and to require the Recipient to sign any additional agreements or undertakings that may be necessary to accomplish the foregoing.</w:t>
      </w:r>
    </w:p>
    <w:p>
      <w:pPr>
        <w:spacing w:after="0" w:line="179" w:lineRule="exact"/>
        <w:rPr>
          <w:rFonts w:ascii="Times New Roman" w:cs="Times New Roman" w:eastAsia="Times New Roman" w:hAnsi="Times New Roman"/>
          <w:sz w:val="22"/>
          <w:szCs w:val="22"/>
          <w:color w:val="auto"/>
        </w:rPr>
      </w:pPr>
    </w:p>
    <w:p>
      <w:pPr>
        <w:ind w:left="60" w:right="100" w:firstLine="646"/>
        <w:spacing w:after="0" w:line="225" w:lineRule="auto"/>
        <w:tabs>
          <w:tab w:leader="none" w:pos="12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 acknowledges that a waiver by the Company of any provision of the Agreement shall not operate or be construed as a waiver of any other provision of the Agreement, or of any subsequent breach by the Recipient or any other participant in the Plan.</w:t>
      </w:r>
    </w:p>
    <w:p>
      <w:pPr>
        <w:spacing w:after="0" w:line="179" w:lineRule="exact"/>
        <w:rPr>
          <w:rFonts w:ascii="Times New Roman" w:cs="Times New Roman" w:eastAsia="Times New Roman" w:hAnsi="Times New Roman"/>
          <w:sz w:val="22"/>
          <w:szCs w:val="22"/>
          <w:color w:val="auto"/>
        </w:rPr>
      </w:pPr>
    </w:p>
    <w:p>
      <w:pPr>
        <w:ind w:left="60" w:right="20" w:firstLine="646"/>
        <w:spacing w:after="0" w:line="220" w:lineRule="auto"/>
        <w:tabs>
          <w:tab w:leader="none" w:pos="12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in its sole discretion, decide to deliver any documents related to current or future participation in the Plan by electronic means. The Recipient hereby consents to receive such documents by electronic delivery and agrees to participate in the Plan through an on-line electronic system established and maintained by the Company or a third party designated by the Company.</w:t>
      </w:r>
    </w:p>
    <w:p>
      <w:pPr>
        <w:spacing w:after="0" w:line="192" w:lineRule="exact"/>
        <w:rPr>
          <w:rFonts w:ascii="Times New Roman" w:cs="Times New Roman" w:eastAsia="Times New Roman" w:hAnsi="Times New Roman"/>
          <w:sz w:val="22"/>
          <w:szCs w:val="22"/>
          <w:color w:val="auto"/>
        </w:rPr>
      </w:pPr>
    </w:p>
    <w:p>
      <w:pPr>
        <w:jc w:val="both"/>
        <w:ind w:left="60" w:right="280" w:firstLine="646"/>
        <w:spacing w:after="0" w:line="225" w:lineRule="auto"/>
        <w:tabs>
          <w:tab w:leader="none" w:pos="12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severable and if any one or more of the provisions are determined to be illegal or otherwise enforceable, in whole or in part, then such provisions will be enforced to the maximum extent possible and other provisions will remain fully effective and enforceable.</w:t>
      </w:r>
    </w:p>
    <w:p>
      <w:pPr>
        <w:spacing w:after="0" w:line="179" w:lineRule="exact"/>
        <w:rPr>
          <w:rFonts w:ascii="Times New Roman" w:cs="Times New Roman" w:eastAsia="Times New Roman" w:hAnsi="Times New Roman"/>
          <w:sz w:val="22"/>
          <w:szCs w:val="22"/>
          <w:color w:val="auto"/>
        </w:rPr>
      </w:pPr>
    </w:p>
    <w:p>
      <w:pPr>
        <w:ind w:left="60" w:firstLine="646"/>
        <w:spacing w:after="0" w:line="213" w:lineRule="auto"/>
        <w:tabs>
          <w:tab w:leader="none" w:pos="12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or the Agreement, unless there is an exemption from any registration, qualification or other legal requirement applicable to the PRSU Shares, the Company shall not be required to deliver any PRSU Shares upon settlement of the awards prior to the completion of any registration or qualification of the Company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7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440" w:right="559" w:bottom="1440" w:gutter="0" w:footer="0" w:header="0"/>
        </w:sectPr>
      </w:pPr>
    </w:p>
    <w:bookmarkStart w:id="50" w:name="page51"/>
    <w:bookmarkEnd w:id="50"/>
    <w:p>
      <w:pPr>
        <w:ind w:left="60" w:right="140"/>
        <w:spacing w:after="0" w:line="227" w:lineRule="auto"/>
        <w:rPr>
          <w:sz w:val="20"/>
          <w:szCs w:val="20"/>
          <w:color w:val="auto"/>
        </w:rPr>
      </w:pPr>
      <w:r>
        <w:rPr>
          <w:rFonts w:ascii="Times New Roman" w:cs="Times New Roman" w:eastAsia="Times New Roman" w:hAnsi="Times New Roman"/>
          <w:sz w:val="21"/>
          <w:szCs w:val="21"/>
          <w:color w:val="auto"/>
        </w:rPr>
        <w:t>approval the Company shall, in its absolute discretion, deem necessary or advisable. The Recipient understands that the Company is under no obligations to register or qualify the Company Stock with the SEC or any state or foreign securities commission or to seek approval or clearance from any governmental authority for the issuance or sale of the Company Stock. Further, the Recipient agrees that the Company shall have unilateral authority to amend the Agreement without his or her consent, to the extent necessary to comply with securities or other laws applicable to the issuance of Company Stock.</w:t>
      </w:r>
    </w:p>
    <w:p>
      <w:pPr>
        <w:spacing w:after="0" w:line="194" w:lineRule="exact"/>
        <w:rPr>
          <w:sz w:val="20"/>
          <w:szCs w:val="20"/>
          <w:color w:val="auto"/>
        </w:rPr>
      </w:pPr>
    </w:p>
    <w:p>
      <w:pPr>
        <w:ind w:left="60" w:right="540" w:firstLine="646"/>
        <w:spacing w:after="0" w:line="236" w:lineRule="auto"/>
        <w:tabs>
          <w:tab w:leader="none" w:pos="126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be subject to and construed in accordance with, the laws of the State of Delaware without giving effect to principles of conflicts of law.</w:t>
      </w:r>
    </w:p>
    <w:p>
      <w:pPr>
        <w:spacing w:after="0" w:line="177" w:lineRule="exact"/>
        <w:rPr>
          <w:rFonts w:ascii="Times New Roman" w:cs="Times New Roman" w:eastAsia="Times New Roman" w:hAnsi="Times New Roman"/>
          <w:sz w:val="22"/>
          <w:szCs w:val="22"/>
          <w:color w:val="auto"/>
        </w:rPr>
      </w:pPr>
    </w:p>
    <w:p>
      <w:pPr>
        <w:ind w:left="60" w:firstLine="646"/>
        <w:spacing w:after="0" w:line="224" w:lineRule="auto"/>
        <w:tabs>
          <w:tab w:leader="none" w:pos="126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acknowledges that there may be certain foreign asset and/or account reporting requirements which may affect the Recipient’s ability to acquire or hold PRSU Shares acquired under the Plan or cash received from participating in the Plan in a brokerage or bank account outside of the Recipient’s country. The Recipient may be required to report such accounts, assets or transactions to the tax or other authorities in his or her country. The Recipient may also be required to repatriate sale proceeds or other funds received as a result of participating in the Plan to the Recipient’s country through a designated bank or broker within a certain time after receipt. The Recipient acknowledges that it is his or her responsibility to be compliant with such regulations, and the Recipient should speak to his or her personal advisor on this matter.</w:t>
      </w:r>
    </w:p>
    <w:p>
      <w:pPr>
        <w:spacing w:after="0" w:line="177" w:lineRule="exact"/>
        <w:rPr>
          <w:rFonts w:ascii="Times New Roman" w:cs="Times New Roman" w:eastAsia="Times New Roman" w:hAnsi="Times New Roman"/>
          <w:sz w:val="21"/>
          <w:szCs w:val="21"/>
          <w:color w:val="auto"/>
        </w:rPr>
      </w:pPr>
    </w:p>
    <w:p>
      <w:pPr>
        <w:ind w:left="60" w:firstLine="646"/>
        <w:spacing w:after="0" w:line="220" w:lineRule="auto"/>
        <w:tabs>
          <w:tab w:leader="none" w:pos="126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acknowledges that, depending on his or her country of residence, or broker’s country of residence, or where the Company Stock is listed, the Recipient may be subject to insider trading restrictions and/or market abuse laws in applicable jurisdictions, which may affect his or her ability to accept, acquire, sell or attempt to sell or otherwise dispose of Company Stock, rights to Company Stock or rights linked to the value of Company Stock, during such times as the Recipient is considered to have “inside information” regarding the Company (as defined by laws or regulations in the applicable jurisdiction of the Recipient’s country). Local insider trading laws and regulations may prohibit the cancellation or amendment of orders the Recipient places before possessing inside information. Furthermore, the Recipient may be prohibited from (i) disclosing the inside information to any third party (other than on a “need to know” basis) and (ii) “tipping” third parties or causing them to otherwise buy or sell securities (third parties include fellow employees). Any restrictions under these laws or regulations are separate from and in addition to any restrictions that may be imposed under any applicable Company insider trading policy. The Recipient acknowledges that it is his or her responsibility to comply with any applicable restrictions as well as any applicable Company insider trading policy, and the Recipient is advised to speak to his personal advisor on this matter.</w:t>
      </w:r>
    </w:p>
    <w:p>
      <w:pPr>
        <w:spacing w:after="0" w:line="179" w:lineRule="exact"/>
        <w:rPr>
          <w:rFonts w:ascii="Times New Roman" w:cs="Times New Roman" w:eastAsia="Times New Roman" w:hAnsi="Times New Roman"/>
          <w:sz w:val="21"/>
          <w:szCs w:val="21"/>
          <w:color w:val="auto"/>
        </w:rPr>
      </w:pPr>
    </w:p>
    <w:p>
      <w:pPr>
        <w:ind w:left="1260" w:hanging="554"/>
        <w:spacing w:after="0"/>
        <w:tabs>
          <w:tab w:leader="none" w:pos="12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providing any tax, legal or financial advice, nor is the Company making any</w:t>
      </w:r>
    </w:p>
    <w:p>
      <w:pPr>
        <w:ind w:left="60" w:right="40"/>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recommendations regarding the Recipient’s participation in the Plan, or his or her acquisition of PRSU Shares. The Recipient should consult with his or her own tax, legal and financial advisors regarding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8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395" w:right="499" w:bottom="1440" w:gutter="0" w:footer="0" w:header="0"/>
        </w:sectPr>
      </w:pPr>
    </w:p>
    <w:bookmarkStart w:id="51" w:name="page52"/>
    <w:bookmarkEnd w:id="51"/>
    <w:p>
      <w:pPr>
        <w:spacing w:after="0" w:line="333" w:lineRule="exact"/>
        <w:rPr>
          <w:sz w:val="20"/>
          <w:szCs w:val="20"/>
          <w:color w:val="auto"/>
        </w:rPr>
      </w:pPr>
    </w:p>
    <w:p>
      <w:pPr>
        <w:ind w:left="60" w:firstLine="646"/>
        <w:spacing w:after="0" w:line="207" w:lineRule="auto"/>
        <w:tabs>
          <w:tab w:leader="none" w:pos="12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is intended to be exempt from or comply with Section 409A of the Internal Revenue Code of 1986, as amended, and the regulations and guidance issued thereunder (“Section 409A”), to the extent subject thereto, and shall be interpreted and administered accordingly. Notwithstanding the foregoing, the Company (including its Affiliates) shall not have any liability under the Plan or this Award for any taxes, penalties or interest due on amounts paid or payable pursuant to the Plan or this Award, including any taxes, penalties or interest imposed under Section 409A. To the extent the Award is subject to Section 409A, each amount to be paid under this Award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w:t>
      </w:r>
    </w:p>
    <w:p>
      <w:pPr>
        <w:spacing w:after="0" w:line="4" w:lineRule="exact"/>
        <w:rPr>
          <w:rFonts w:ascii="Times New Roman" w:cs="Times New Roman" w:eastAsia="Times New Roman" w:hAnsi="Times New Roman"/>
          <w:sz w:val="22"/>
          <w:szCs w:val="22"/>
          <w:color w:val="auto"/>
        </w:rPr>
      </w:pPr>
    </w:p>
    <w:p>
      <w:pPr>
        <w:ind w:left="60" w:right="40"/>
        <w:spacing w:after="0" w:line="21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pacing w:after="0" w:line="195" w:lineRule="exact"/>
        <w:rPr>
          <w:rFonts w:ascii="Times New Roman" w:cs="Times New Roman" w:eastAsia="Times New Roman" w:hAnsi="Times New Roman"/>
          <w:sz w:val="22"/>
          <w:szCs w:val="22"/>
          <w:color w:val="auto"/>
        </w:rPr>
      </w:pPr>
    </w:p>
    <w:p>
      <w:pPr>
        <w:ind w:left="60" w:right="80" w:firstLine="646"/>
        <w:spacing w:after="0" w:line="217" w:lineRule="auto"/>
        <w:tabs>
          <w:tab w:leader="none" w:pos="1262"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Recipient’s duties and responsibilities hereunder, so long as Recipient applies such information without disclosure or use of any Confidential Information. Upon the Recipient’s Separation from Service, the Recipient will return (or destroy, if requested by Company) all Confidential Information to the Company to the fullest extent possible.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Page 9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440" w:right="459" w:bottom="1440" w:gutter="0" w:footer="0" w:header="0"/>
        </w:sectPr>
      </w:pPr>
    </w:p>
    <w:bookmarkStart w:id="52" w:name="page53"/>
    <w:bookmarkEnd w:id="52"/>
    <w:p>
      <w:pPr>
        <w:spacing w:after="0" w:line="333" w:lineRule="exact"/>
        <w:rPr>
          <w:sz w:val="20"/>
          <w:szCs w:val="20"/>
          <w:color w:val="auto"/>
        </w:rPr>
      </w:pPr>
    </w:p>
    <w:p>
      <w:pPr>
        <w:ind w:left="60" w:firstLine="646"/>
        <w:spacing w:after="0" w:line="218" w:lineRule="auto"/>
        <w:tabs>
          <w:tab w:leader="none" w:pos="126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 (ii) either party from enforcing the other terms of this Award;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pacing w:after="0" w:line="202" w:lineRule="exact"/>
        <w:rPr>
          <w:rFonts w:ascii="Times New Roman" w:cs="Times New Roman" w:eastAsia="Times New Roman" w:hAnsi="Times New Roman"/>
          <w:sz w:val="21"/>
          <w:szCs w:val="21"/>
          <w:color w:val="auto"/>
        </w:rPr>
      </w:pPr>
    </w:p>
    <w:p>
      <w:pPr>
        <w:jc w:val="both"/>
        <w:ind w:left="60" w:right="300" w:firstLine="646"/>
        <w:spacing w:after="0" w:line="217" w:lineRule="auto"/>
        <w:tabs>
          <w:tab w:leader="none" w:pos="12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Paragraphs 29 and 30 above, the Recipient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179" w:lineRule="exact"/>
        <w:rPr>
          <w:rFonts w:ascii="Times New Roman" w:cs="Times New Roman" w:eastAsia="Times New Roman" w:hAnsi="Times New Roman"/>
          <w:sz w:val="22"/>
          <w:szCs w:val="22"/>
          <w:color w:val="auto"/>
        </w:rPr>
      </w:pPr>
    </w:p>
    <w:p>
      <w:pPr>
        <w:ind w:left="60" w:right="220" w:firstLine="646"/>
        <w:spacing w:after="0" w:line="217" w:lineRule="auto"/>
        <w:tabs>
          <w:tab w:leader="none" w:pos="12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valuable considerations included in this Award, at all times during the Recipient’s employment with the Company, and for a period of 24 months following the Recipient’s termination of employment with the Company for any reason, whether voluntary or involuntary, with or without cause, the Recipient shall not, on his or her own behalf or on behalf of any other person, firm, partnership, organization, agency, corporation or other entity, either directly or indirectly, to the fullest extent permitted by applicable law:</w:t>
      </w:r>
    </w:p>
    <w:p>
      <w:pPr>
        <w:spacing w:after="0" w:line="179" w:lineRule="exact"/>
        <w:rPr>
          <w:rFonts w:ascii="Times New Roman" w:cs="Times New Roman" w:eastAsia="Times New Roman" w:hAnsi="Times New Roman"/>
          <w:sz w:val="22"/>
          <w:szCs w:val="22"/>
          <w:color w:val="auto"/>
        </w:rPr>
      </w:pPr>
    </w:p>
    <w:p>
      <w:pPr>
        <w:jc w:val="both"/>
        <w:ind w:left="2640" w:right="280" w:hanging="638"/>
        <w:spacing w:after="0" w:line="216" w:lineRule="auto"/>
        <w:tabs>
          <w:tab w:leader="none" w:pos="263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hire, or engage in any manner, or facilitate the solicitation, recruitment, hire or engagement of any employee, consultant, or independent contractor of the Company or any of its Affiliates.</w:t>
      </w:r>
    </w:p>
    <w:p>
      <w:pPr>
        <w:spacing w:after="0" w:line="2" w:lineRule="exact"/>
        <w:rPr>
          <w:rFonts w:ascii="Times New Roman" w:cs="Times New Roman" w:eastAsia="Times New Roman" w:hAnsi="Times New Roman"/>
          <w:sz w:val="22"/>
          <w:szCs w:val="22"/>
          <w:color w:val="auto"/>
        </w:rPr>
      </w:pPr>
    </w:p>
    <w:p>
      <w:pPr>
        <w:jc w:val="both"/>
        <w:ind w:left="2640" w:right="260" w:hanging="638"/>
        <w:spacing w:after="0" w:line="218" w:lineRule="auto"/>
        <w:tabs>
          <w:tab w:leader="none" w:pos="263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encourage or assist any director, officer, employee, agent, consultant, sales agent, sales agent representative, customer, or supplier of the Company or any of its Affiliates to terminate or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10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440" w:right="459" w:bottom="1440" w:gutter="0" w:footer="0" w:header="0"/>
        </w:sectPr>
      </w:pPr>
    </w:p>
    <w:bookmarkStart w:id="53" w:name="page54"/>
    <w:bookmarkEnd w:id="53"/>
    <w:p>
      <w:pPr>
        <w:ind w:left="2640" w:right="780"/>
        <w:spacing w:after="0" w:line="216" w:lineRule="auto"/>
        <w:rPr>
          <w:sz w:val="20"/>
          <w:szCs w:val="20"/>
          <w:color w:val="auto"/>
        </w:rPr>
      </w:pPr>
      <w:r>
        <w:rPr>
          <w:rFonts w:ascii="Times New Roman" w:cs="Times New Roman" w:eastAsia="Times New Roman" w:hAnsi="Times New Roman"/>
          <w:sz w:val="22"/>
          <w:szCs w:val="22"/>
          <w:color w:val="auto"/>
        </w:rPr>
        <w:t>alter his/her/its relationship with the Company or any of its Affiliates, or to join another business organization.</w:t>
      </w:r>
    </w:p>
    <w:p>
      <w:pPr>
        <w:spacing w:after="0" w:line="1" w:lineRule="exact"/>
        <w:rPr>
          <w:sz w:val="20"/>
          <w:szCs w:val="20"/>
          <w:color w:val="auto"/>
        </w:rPr>
      </w:pPr>
    </w:p>
    <w:p>
      <w:pPr>
        <w:ind w:left="2640" w:right="180" w:hanging="638"/>
        <w:spacing w:after="0" w:line="212" w:lineRule="auto"/>
        <w:tabs>
          <w:tab w:leader="none" w:pos="263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accept or conduct, other than for the benefit of the Company, any business with any customer or prospective customer of the Company with whom or which the Recipient had contact or about which the Recipient learned Confidential Information during his or her employment with the Company that is competitive with the business of the Company in which the Recipient worked during his or her employment with the Company.</w:t>
      </w:r>
    </w:p>
    <w:p>
      <w:pPr>
        <w:spacing w:after="0" w:line="195" w:lineRule="exact"/>
        <w:rPr>
          <w:rFonts w:ascii="Times New Roman" w:cs="Times New Roman" w:eastAsia="Times New Roman" w:hAnsi="Times New Roman"/>
          <w:sz w:val="22"/>
          <w:szCs w:val="22"/>
          <w:color w:val="auto"/>
        </w:rPr>
      </w:pPr>
    </w:p>
    <w:p>
      <w:pPr>
        <w:ind w:left="60" w:firstLine="646"/>
        <w:spacing w:after="0" w:line="225" w:lineRule="auto"/>
        <w:tabs>
          <w:tab w:leader="none" w:pos="126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court determines that the non-solicitation provision, or any part thereof, is unenforceable because of the duration or scope of such provision, then the duration or scope of such provision, as the case may be, shall be reduced so that such provision becomes enforceable and, in its reduced form, such provision shall then be enforceable and shall be enforced. In the case that any one or more of the provisions contained in this Award shall, for any reason, be held to be invalid, illegal or unenforceable, such invalidity, illegality or unenforceability shall not affect the other provisions of this Award and this Award shall be construed as if such invalid, illegal or unenforceable provision had never been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78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6"/>
              </w:rPr>
              <w:t>Page 11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60" w:top="1395" w:right="539" w:bottom="1440" w:gutter="0" w:footer="0" w:header="0"/>
        </w:sectPr>
      </w:pPr>
    </w:p>
    <w:bookmarkStart w:id="54" w:name="page55"/>
    <w:bookmarkEnd w:id="54"/>
    <w:p>
      <w:pPr>
        <w:spacing w:after="0" w:line="1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2020 OMNIBUS INCENTIVE COMPENSATION PLAN OF AMETEK, INC.</w:t>
      </w:r>
    </w:p>
    <w:p>
      <w:pPr>
        <w:spacing w:after="0" w:line="2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u w:val="single" w:color="auto"/>
          <w:color w:val="auto"/>
        </w:rPr>
        <w:t>PERFORMANCE RESTRICTED STOCK UNIT AWARD</w:t>
      </w:r>
    </w:p>
    <w:p>
      <w:pPr>
        <w:spacing w:after="0" w:line="220" w:lineRule="exact"/>
        <w:rPr>
          <w:sz w:val="20"/>
          <w:szCs w:val="20"/>
          <w:color w:val="auto"/>
        </w:rPr>
      </w:pPr>
    </w:p>
    <w:p>
      <w:pPr>
        <w:ind w:left="160"/>
        <w:spacing w:after="0" w:line="213" w:lineRule="auto"/>
        <w:rPr>
          <w:sz w:val="20"/>
          <w:szCs w:val="20"/>
          <w:color w:val="auto"/>
        </w:rPr>
      </w:pPr>
      <w:r>
        <w:rPr>
          <w:rFonts w:ascii="Times New Roman" w:cs="Times New Roman" w:eastAsia="Times New Roman" w:hAnsi="Times New Roman"/>
          <w:sz w:val="22"/>
          <w:szCs w:val="22"/>
          <w:color w:val="auto"/>
        </w:rPr>
        <w:t>Except as otherwise provided in this Agreement and subject to adjustments permitted by the Plan, the number of Performance Restricted Stock Units which will vest under this Agreement, if any, will be determined by multiplying (a) the sum of (i) 0.5 times the vested percentage applicable to Return on Tangible Capital (“ROTC”) plus (ii) 0.5 times the vested percentage applicable to Relative Total Shareholder Return (“TSR”) by (b) the number of initial Performance Restricted Stock Units granted (the “Target Award”). The maximum number of Performance Restricted Stock Units which can vest is 200% of the Target Award and the minimum number of Performance Restricted Stock Units which can vest is 0% of the Target Award.</w:t>
      </w:r>
    </w:p>
    <w:p>
      <w:pPr>
        <w:spacing w:after="0" w:line="183" w:lineRule="exact"/>
        <w:rPr>
          <w:sz w:val="20"/>
          <w:szCs w:val="20"/>
          <w:color w:val="auto"/>
        </w:rPr>
      </w:pPr>
    </w:p>
    <w:p>
      <w:pPr>
        <w:ind w:left="160" w:right="180"/>
        <w:spacing w:after="0" w:line="225" w:lineRule="auto"/>
        <w:rPr>
          <w:sz w:val="20"/>
          <w:szCs w:val="20"/>
          <w:color w:val="auto"/>
        </w:rPr>
      </w:pPr>
      <w:r>
        <w:rPr>
          <w:rFonts w:ascii="Times New Roman" w:cs="Times New Roman" w:eastAsia="Times New Roman" w:hAnsi="Times New Roman"/>
          <w:sz w:val="22"/>
          <w:szCs w:val="22"/>
          <w:color w:val="auto"/>
        </w:rPr>
        <w:t>The vested percentage applicable to ROTC and TSR will each be determined over the Performance Period as illustrated in the schedules set forth below. For purposes of this Agreement, the “Performance Period” means the period beginning January 1, 2022 and ending December 31, 2024.</w:t>
      </w:r>
    </w:p>
    <w:p>
      <w:pPr>
        <w:spacing w:after="0" w:line="139" w:lineRule="exact"/>
        <w:rPr>
          <w:sz w:val="20"/>
          <w:szCs w:val="20"/>
          <w:color w:val="auto"/>
        </w:rPr>
      </w:pPr>
    </w:p>
    <w:p>
      <w:pPr>
        <w:ind w:left="140" w:right="40"/>
        <w:spacing w:after="0" w:line="215" w:lineRule="auto"/>
        <w:rPr>
          <w:sz w:val="20"/>
          <w:szCs w:val="20"/>
          <w:color w:val="auto"/>
        </w:rPr>
      </w:pPr>
      <w:r>
        <w:rPr>
          <w:rFonts w:ascii="Times New Roman" w:cs="Times New Roman" w:eastAsia="Times New Roman" w:hAnsi="Times New Roman"/>
          <w:sz w:val="22"/>
          <w:szCs w:val="22"/>
          <w:u w:val="single" w:color="auto"/>
          <w:color w:val="auto"/>
        </w:rPr>
        <w:t>Calculating ROTC</w:t>
      </w:r>
      <w:r>
        <w:rPr>
          <w:rFonts w:ascii="Times New Roman" w:cs="Times New Roman" w:eastAsia="Times New Roman" w:hAnsi="Times New Roman"/>
          <w:sz w:val="22"/>
          <w:szCs w:val="22"/>
          <w:color w:val="auto"/>
        </w:rPr>
        <w:t>. Annual ROTC is calculated by dividing EBITDA (earnings before interest, income taxes, depreciation and amortization), and adjusting for certain non-GAAP charges (i.e., realignment costs), charitable donations and trailing EBITDA of acquisitions, by average net tangible capital. Average net tangible capital is the simple average calculation of beginning and ending net tangible assets (total assets less cash, less goodwill, less other intangibles, net and less right of use asset), less net current liabilities (current liabilities, less short-term borrowings, current portion of long-term debt, and short-term leases).</w:t>
      </w:r>
    </w:p>
    <w:p>
      <w:pPr>
        <w:spacing w:after="0" w:line="179" w:lineRule="exact"/>
        <w:rPr>
          <w:sz w:val="20"/>
          <w:szCs w:val="20"/>
          <w:color w:val="auto"/>
        </w:rPr>
      </w:pPr>
    </w:p>
    <w:p>
      <w:pPr>
        <w:ind w:left="140" w:right="120"/>
        <w:spacing w:after="0" w:line="225" w:lineRule="auto"/>
        <w:rPr>
          <w:sz w:val="20"/>
          <w:szCs w:val="20"/>
          <w:color w:val="auto"/>
        </w:rPr>
      </w:pPr>
      <w:r>
        <w:rPr>
          <w:rFonts w:ascii="Times New Roman" w:cs="Times New Roman" w:eastAsia="Times New Roman" w:hAnsi="Times New Roman"/>
          <w:sz w:val="22"/>
          <w:szCs w:val="22"/>
          <w:color w:val="auto"/>
        </w:rPr>
        <w:t>The Compensation Committee will make adjustments, on a case-by-case basis, to modify the calculation of ROTC to fairly represent changes in U.S. GAAP occurring during the target and/or performance periods in the measurement of ROTC performance against target.</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u w:val="single" w:color="auto"/>
          <w:color w:val="auto"/>
        </w:rPr>
        <w:t>Return on Tangible Capital (ROTC)</w:t>
      </w:r>
    </w:p>
    <w:p>
      <w:pPr>
        <w:spacing w:after="0" w:line="2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The vested percentage applicable to ROTC will be determined based on AMETEK, Inc. average annual ROTC (“Average</w:t>
      </w:r>
    </w:p>
    <w:p>
      <w:pPr>
        <w:ind w:left="140"/>
        <w:spacing w:after="0"/>
        <w:rPr>
          <w:sz w:val="20"/>
          <w:szCs w:val="20"/>
          <w:color w:val="auto"/>
        </w:rPr>
      </w:pPr>
      <w:r>
        <w:rPr>
          <w:rFonts w:ascii="Times New Roman" w:cs="Times New Roman" w:eastAsia="Times New Roman" w:hAnsi="Times New Roman"/>
          <w:sz w:val="22"/>
          <w:szCs w:val="22"/>
          <w:color w:val="auto"/>
        </w:rPr>
        <w:t>ROTC”) as calculated below for the Performance Period in accordance with the following schedule:</w:t>
      </w:r>
    </w:p>
    <w:p>
      <w:pPr>
        <w:spacing w:after="0" w:line="207" w:lineRule="exact"/>
        <w:rPr>
          <w:sz w:val="20"/>
          <w:szCs w:val="20"/>
          <w:color w:val="auto"/>
        </w:rPr>
      </w:pPr>
    </w:p>
    <w:tbl>
      <w:tblPr>
        <w:tblLayout w:type="fixed"/>
        <w:tblInd w:w="2360" w:type="dxa"/>
        <w:tblCellMar>
          <w:top w:w="0" w:type="dxa"/>
          <w:left w:w="0" w:type="dxa"/>
          <w:bottom w:w="0" w:type="dxa"/>
          <w:right w:w="0" w:type="dxa"/>
        </w:tblCellMar>
      </w:tblPr>
      <w:tr>
        <w:trPr>
          <w:trHeight w:val="293"/>
        </w:trPr>
        <w:tc>
          <w:tcPr>
            <w:tcW w:w="17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Average ROTC</w:t>
            </w:r>
          </w:p>
        </w:tc>
        <w:tc>
          <w:tcPr>
            <w:tcW w:w="256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w w:val="95"/>
              </w:rPr>
              <w:t>ROTC Vested Percentage</w:t>
            </w:r>
          </w:p>
        </w:tc>
      </w:tr>
      <w:tr>
        <w:trPr>
          <w:trHeight w:val="350"/>
        </w:trPr>
        <w:tc>
          <w:tcPr>
            <w:tcW w:w="134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22"/>
                <w:szCs w:val="22"/>
                <w:b w:val="1"/>
                <w:bCs w:val="1"/>
                <w:color w:val="auto"/>
              </w:rPr>
              <w:t>&lt; 65%</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324"/>
        </w:trPr>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22"/>
                <w:szCs w:val="22"/>
                <w:b w:val="1"/>
                <w:bCs w:val="1"/>
                <w:color w:val="auto"/>
              </w:rPr>
              <w:t>65%</w:t>
            </w:r>
          </w:p>
        </w:tc>
        <w:tc>
          <w:tcPr>
            <w:tcW w:w="380" w:type="dxa"/>
            <w:vAlign w:val="bottom"/>
          </w:tcPr>
          <w:p>
            <w:pPr>
              <w:spacing w:after="0"/>
              <w:rPr>
                <w:sz w:val="24"/>
                <w:szCs w:val="24"/>
                <w:color w:val="auto"/>
              </w:rPr>
            </w:pPr>
          </w:p>
        </w:tc>
        <w:tc>
          <w:tcPr>
            <w:tcW w:w="256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w w:val="99"/>
              </w:rPr>
              <w:t>50%</w:t>
            </w:r>
          </w:p>
        </w:tc>
      </w:tr>
      <w:tr>
        <w:trPr>
          <w:trHeight w:val="310"/>
        </w:trPr>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rPr>
              <w:t>105%</w:t>
            </w:r>
          </w:p>
        </w:tc>
        <w:tc>
          <w:tcPr>
            <w:tcW w:w="380" w:type="dxa"/>
            <w:vAlign w:val="bottom"/>
          </w:tcPr>
          <w:p>
            <w:pPr>
              <w:spacing w:after="0"/>
              <w:rPr>
                <w:sz w:val="24"/>
                <w:szCs w:val="24"/>
                <w:color w:val="auto"/>
              </w:rPr>
            </w:pPr>
          </w:p>
        </w:tc>
        <w:tc>
          <w:tcPr>
            <w:tcW w:w="256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rPr>
              <w:t>100%</w:t>
            </w:r>
          </w:p>
        </w:tc>
      </w:tr>
      <w:tr>
        <w:trPr>
          <w:trHeight w:val="272"/>
        </w:trPr>
        <w:tc>
          <w:tcPr>
            <w:tcW w:w="32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w w:val="95"/>
              </w:rPr>
              <w:t>&gt; 125%</w:t>
            </w:r>
          </w:p>
        </w:tc>
        <w:tc>
          <w:tcPr>
            <w:tcW w:w="380" w:type="dxa"/>
            <w:vAlign w:val="bottom"/>
          </w:tcPr>
          <w:p>
            <w:pPr>
              <w:spacing w:after="0"/>
              <w:rPr>
                <w:sz w:val="23"/>
                <w:szCs w:val="23"/>
                <w:color w:val="auto"/>
              </w:rPr>
            </w:pPr>
          </w:p>
        </w:tc>
        <w:tc>
          <w:tcPr>
            <w:tcW w:w="2560" w:type="dxa"/>
            <w:vAlign w:val="bottom"/>
            <w:gridSpan w:val="2"/>
          </w:tcPr>
          <w:p>
            <w:pPr>
              <w:jc w:val="center"/>
              <w:ind w:left="252"/>
              <w:spacing w:after="0"/>
              <w:rPr>
                <w:sz w:val="20"/>
                <w:szCs w:val="20"/>
                <w:color w:val="auto"/>
              </w:rPr>
            </w:pPr>
            <w:r>
              <w:rPr>
                <w:rFonts w:ascii="Times New Roman" w:cs="Times New Roman" w:eastAsia="Times New Roman" w:hAnsi="Times New Roman"/>
                <w:sz w:val="22"/>
                <w:szCs w:val="22"/>
                <w:color w:val="auto"/>
              </w:rPr>
              <w:t>200%</w:t>
            </w: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12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60" w:top="1440" w:right="619" w:bottom="1440" w:gutter="0" w:footer="0" w:header="0"/>
        </w:sectPr>
      </w:pPr>
    </w:p>
    <w:bookmarkStart w:id="55" w:name="page56"/>
    <w:bookmarkEnd w:id="55"/>
    <w:p>
      <w:pPr>
        <w:spacing w:after="0" w:line="198" w:lineRule="exact"/>
        <w:rPr>
          <w:sz w:val="20"/>
          <w:szCs w:val="20"/>
          <w:color w:val="auto"/>
        </w:rPr>
      </w:pPr>
    </w:p>
    <w:p>
      <w:pPr>
        <w:jc w:val="both"/>
        <w:ind w:left="140" w:right="160"/>
        <w:spacing w:after="0" w:line="225" w:lineRule="auto"/>
        <w:rPr>
          <w:sz w:val="20"/>
          <w:szCs w:val="20"/>
          <w:color w:val="auto"/>
        </w:rPr>
      </w:pPr>
      <w:r>
        <w:rPr>
          <w:rFonts w:ascii="Times New Roman" w:cs="Times New Roman" w:eastAsia="Times New Roman" w:hAnsi="Times New Roman"/>
          <w:sz w:val="22"/>
          <w:szCs w:val="22"/>
          <w:color w:val="auto"/>
        </w:rPr>
        <w:t>Vested percentages between the amounts shown will be calculated by linear interpolation. The vested percentage applicable to ROTC will be 0% if the Average ROTC for the Performance Period is below 65%. In no event will the vested percentage applicable to ROTC be greater than 200%.</w:t>
      </w:r>
    </w:p>
    <w:p>
      <w:pPr>
        <w:spacing w:after="0" w:line="179" w:lineRule="exact"/>
        <w:rPr>
          <w:sz w:val="20"/>
          <w:szCs w:val="20"/>
          <w:color w:val="auto"/>
        </w:rPr>
      </w:pPr>
    </w:p>
    <w:p>
      <w:pPr>
        <w:ind w:left="140" w:right="280"/>
        <w:spacing w:after="0" w:line="476" w:lineRule="auto"/>
        <w:rPr>
          <w:sz w:val="20"/>
          <w:szCs w:val="20"/>
          <w:color w:val="auto"/>
        </w:rPr>
      </w:pPr>
      <w:r>
        <w:rPr>
          <w:rFonts w:ascii="Times New Roman" w:cs="Times New Roman" w:eastAsia="Times New Roman" w:hAnsi="Times New Roman"/>
          <w:sz w:val="22"/>
          <w:szCs w:val="22"/>
          <w:color w:val="auto"/>
        </w:rPr>
        <w:t xml:space="preserve">Average ROTC will equal the sum of the three annual ROTC calculations during the Performance Period divided by three. </w:t>
      </w:r>
      <w:r>
        <w:rPr>
          <w:rFonts w:ascii="Times New Roman" w:cs="Times New Roman" w:eastAsia="Times New Roman" w:hAnsi="Times New Roman"/>
          <w:sz w:val="22"/>
          <w:szCs w:val="22"/>
          <w:u w:val="single" w:color="auto"/>
          <w:color w:val="auto"/>
        </w:rPr>
        <w:t>Total Shareholder Return (TSR)</w:t>
      </w:r>
    </w:p>
    <w:p>
      <w:pPr>
        <w:spacing w:after="0" w:line="9" w:lineRule="exact"/>
        <w:rPr>
          <w:sz w:val="20"/>
          <w:szCs w:val="20"/>
          <w:color w:val="auto"/>
        </w:rPr>
      </w:pPr>
    </w:p>
    <w:p>
      <w:pPr>
        <w:ind w:left="140" w:right="520"/>
        <w:spacing w:after="0" w:line="225" w:lineRule="auto"/>
        <w:rPr>
          <w:sz w:val="20"/>
          <w:szCs w:val="20"/>
          <w:color w:val="auto"/>
        </w:rPr>
      </w:pPr>
      <w:r>
        <w:rPr>
          <w:rFonts w:ascii="Times New Roman" w:cs="Times New Roman" w:eastAsia="Times New Roman" w:hAnsi="Times New Roman"/>
          <w:sz w:val="22"/>
          <w:szCs w:val="22"/>
          <w:color w:val="auto"/>
        </w:rPr>
        <w:t>The vested percentage applicable to TSR will be determined based on AMETEK TSR (as defined below) over the Performance Period relative to the TSR of the S&amp;P 500 Industrials Index during the same period in accordance with the following schedule:</w:t>
      </w:r>
    </w:p>
    <w:p>
      <w:pPr>
        <w:spacing w:after="0" w:line="227" w:lineRule="exact"/>
        <w:rPr>
          <w:sz w:val="20"/>
          <w:szCs w:val="20"/>
          <w:color w:val="auto"/>
        </w:rPr>
      </w:pPr>
    </w:p>
    <w:tbl>
      <w:tblPr>
        <w:tblLayout w:type="fixed"/>
        <w:tblInd w:w="590" w:type="dxa"/>
        <w:tblCellMar>
          <w:top w:w="0" w:type="dxa"/>
          <w:left w:w="0" w:type="dxa"/>
          <w:bottom w:w="0" w:type="dxa"/>
          <w:right w:w="0" w:type="dxa"/>
        </w:tblCellMar>
      </w:tblPr>
      <w:tr>
        <w:trPr>
          <w:trHeight w:val="270"/>
        </w:trPr>
        <w:tc>
          <w:tcPr>
            <w:tcW w:w="530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TSR Ranking Relative to S&amp;P 500 Industrials</w:t>
            </w:r>
          </w:p>
        </w:tc>
        <w:tc>
          <w:tcPr>
            <w:tcW w:w="3500" w:type="dxa"/>
            <w:vAlign w:val="bottom"/>
            <w:tcBorders>
              <w:top w:val="single" w:sz="8" w:color="auto"/>
              <w:right w:val="single" w:sz="8" w:color="auto"/>
            </w:tcBorders>
            <w:gridSpan w:val="3"/>
          </w:tcPr>
          <w:p>
            <w:pPr>
              <w:ind w:left="720"/>
              <w:spacing w:after="0"/>
              <w:rPr>
                <w:sz w:val="20"/>
                <w:szCs w:val="20"/>
                <w:color w:val="auto"/>
              </w:rPr>
            </w:pPr>
            <w:r>
              <w:rPr>
                <w:rFonts w:ascii="Times New Roman" w:cs="Times New Roman" w:eastAsia="Times New Roman" w:hAnsi="Times New Roman"/>
                <w:sz w:val="22"/>
                <w:szCs w:val="22"/>
                <w:color w:val="auto"/>
              </w:rPr>
              <w:t>TSR Vested Percentage</w:t>
            </w:r>
          </w:p>
        </w:tc>
      </w:tr>
      <w:tr>
        <w:trPr>
          <w:trHeight w:val="34"/>
        </w:trPr>
        <w:tc>
          <w:tcPr>
            <w:tcW w:w="640" w:type="dxa"/>
            <w:vAlign w:val="bottom"/>
            <w:tcBorders>
              <w:left w:val="single" w:sz="8" w:color="auto"/>
              <w:bottom w:val="single" w:sz="8" w:color="auto"/>
            </w:tcBorders>
          </w:tcPr>
          <w:p>
            <w:pPr>
              <w:spacing w:after="0"/>
              <w:rPr>
                <w:sz w:val="2"/>
                <w:szCs w:val="2"/>
                <w:color w:val="auto"/>
              </w:rPr>
            </w:pPr>
          </w:p>
        </w:tc>
        <w:tc>
          <w:tcPr>
            <w:tcW w:w="4000" w:type="dxa"/>
            <w:vAlign w:val="bottom"/>
            <w:tcBorders>
              <w:top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20" w:type="dxa"/>
            <w:vAlign w:val="bottom"/>
            <w:tcBorders>
              <w:top w:val="single" w:sz="8" w:color="auto"/>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331"/>
        </w:trPr>
        <w:tc>
          <w:tcPr>
            <w:tcW w:w="640" w:type="dxa"/>
            <w:vAlign w:val="bottom"/>
            <w:tcBorders>
              <w:left w:val="single" w:sz="8" w:color="auto"/>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2"/>
                <w:szCs w:val="22"/>
                <w:color w:val="auto"/>
                <w:w w:val="96"/>
              </w:rPr>
              <w:t>&lt;30</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2740" w:type="dxa"/>
            <w:vAlign w:val="bottom"/>
            <w:tcBorders>
              <w:bottom w:val="single" w:sz="8" w:color="auto"/>
            </w:tcBorders>
            <w:gridSpan w:val="2"/>
          </w:tcPr>
          <w:p>
            <w:pPr>
              <w:jc w:val="center"/>
              <w:ind w:left="632"/>
              <w:spacing w:after="0"/>
              <w:rPr>
                <w:sz w:val="20"/>
                <w:szCs w:val="20"/>
                <w:color w:val="auto"/>
              </w:rPr>
            </w:pPr>
            <w:r>
              <w:rPr>
                <w:rFonts w:ascii="Times New Roman" w:cs="Times New Roman" w:eastAsia="Times New Roman" w:hAnsi="Times New Roman"/>
                <w:sz w:val="22"/>
                <w:szCs w:val="22"/>
                <w:color w:val="auto"/>
                <w:w w:val="95"/>
              </w:rPr>
              <w:t>0%</w:t>
            </w:r>
          </w:p>
        </w:tc>
        <w:tc>
          <w:tcPr>
            <w:tcW w:w="760" w:type="dxa"/>
            <w:vAlign w:val="bottom"/>
            <w:tcBorders>
              <w:bottom w:val="single" w:sz="8" w:color="auto"/>
              <w:right w:val="single" w:sz="8" w:color="auto"/>
            </w:tcBorders>
          </w:tcPr>
          <w:p>
            <w:pPr>
              <w:spacing w:after="0"/>
              <w:rPr>
                <w:sz w:val="24"/>
                <w:szCs w:val="24"/>
                <w:color w:val="auto"/>
              </w:rPr>
            </w:pPr>
          </w:p>
        </w:tc>
      </w:tr>
      <w:tr>
        <w:trPr>
          <w:trHeight w:val="331"/>
        </w:trPr>
        <w:tc>
          <w:tcPr>
            <w:tcW w:w="640" w:type="dxa"/>
            <w:vAlign w:val="bottom"/>
            <w:tcBorders>
              <w:left w:val="single" w:sz="8" w:color="auto"/>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2"/>
                <w:szCs w:val="22"/>
                <w:color w:val="auto"/>
                <w:w w:val="96"/>
              </w:rPr>
              <w:t>30</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2740" w:type="dxa"/>
            <w:vAlign w:val="bottom"/>
            <w:tcBorders>
              <w:bottom w:val="single" w:sz="8" w:color="auto"/>
            </w:tcBorders>
            <w:gridSpan w:val="2"/>
          </w:tcPr>
          <w:p>
            <w:pPr>
              <w:jc w:val="center"/>
              <w:ind w:left="632"/>
              <w:spacing w:after="0"/>
              <w:rPr>
                <w:sz w:val="20"/>
                <w:szCs w:val="20"/>
                <w:color w:val="auto"/>
              </w:rPr>
            </w:pPr>
            <w:r>
              <w:rPr>
                <w:rFonts w:ascii="Times New Roman" w:cs="Times New Roman" w:eastAsia="Times New Roman" w:hAnsi="Times New Roman"/>
                <w:sz w:val="22"/>
                <w:szCs w:val="22"/>
                <w:color w:val="auto"/>
                <w:w w:val="99"/>
              </w:rPr>
              <w:t>50%</w:t>
            </w:r>
          </w:p>
        </w:tc>
        <w:tc>
          <w:tcPr>
            <w:tcW w:w="760" w:type="dxa"/>
            <w:vAlign w:val="bottom"/>
            <w:tcBorders>
              <w:bottom w:val="single" w:sz="8" w:color="auto"/>
              <w:right w:val="single" w:sz="8" w:color="auto"/>
            </w:tcBorders>
          </w:tcPr>
          <w:p>
            <w:pPr>
              <w:spacing w:after="0"/>
              <w:rPr>
                <w:sz w:val="24"/>
                <w:szCs w:val="24"/>
                <w:color w:val="auto"/>
              </w:rPr>
            </w:pPr>
          </w:p>
        </w:tc>
      </w:tr>
      <w:tr>
        <w:trPr>
          <w:trHeight w:val="331"/>
        </w:trPr>
        <w:tc>
          <w:tcPr>
            <w:tcW w:w="640" w:type="dxa"/>
            <w:vAlign w:val="bottom"/>
            <w:tcBorders>
              <w:left w:val="single" w:sz="8" w:color="auto"/>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2"/>
                <w:szCs w:val="22"/>
                <w:color w:val="auto"/>
                <w:w w:val="96"/>
              </w:rPr>
              <w:t>50</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2740" w:type="dxa"/>
            <w:vAlign w:val="bottom"/>
            <w:tcBorders>
              <w:bottom w:val="single" w:sz="8" w:color="auto"/>
            </w:tcBorders>
            <w:gridSpan w:val="2"/>
          </w:tcPr>
          <w:p>
            <w:pPr>
              <w:jc w:val="center"/>
              <w:ind w:left="612"/>
              <w:spacing w:after="0"/>
              <w:rPr>
                <w:sz w:val="20"/>
                <w:szCs w:val="20"/>
                <w:color w:val="auto"/>
              </w:rPr>
            </w:pPr>
            <w:r>
              <w:rPr>
                <w:rFonts w:ascii="Times New Roman" w:cs="Times New Roman" w:eastAsia="Times New Roman" w:hAnsi="Times New Roman"/>
                <w:sz w:val="22"/>
                <w:szCs w:val="22"/>
                <w:color w:val="auto"/>
                <w:w w:val="97"/>
              </w:rPr>
              <w:t>100%</w:t>
            </w:r>
          </w:p>
        </w:tc>
        <w:tc>
          <w:tcPr>
            <w:tcW w:w="760" w:type="dxa"/>
            <w:vAlign w:val="bottom"/>
            <w:tcBorders>
              <w:bottom w:val="single" w:sz="8" w:color="auto"/>
              <w:right w:val="single" w:sz="8" w:color="auto"/>
            </w:tcBorders>
          </w:tcPr>
          <w:p>
            <w:pPr>
              <w:spacing w:after="0"/>
              <w:rPr>
                <w:sz w:val="24"/>
                <w:szCs w:val="24"/>
                <w:color w:val="auto"/>
              </w:rPr>
            </w:pPr>
          </w:p>
        </w:tc>
      </w:tr>
      <w:tr>
        <w:trPr>
          <w:trHeight w:val="345"/>
        </w:trPr>
        <w:tc>
          <w:tcPr>
            <w:tcW w:w="640" w:type="dxa"/>
            <w:vAlign w:val="bottom"/>
            <w:tcBorders>
              <w:left w:val="single" w:sz="8" w:color="auto"/>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22"/>
                <w:szCs w:val="22"/>
                <w:color w:val="auto"/>
                <w:w w:val="96"/>
              </w:rPr>
              <w:t>&gt;80</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percentile</w:t>
            </w:r>
          </w:p>
        </w:tc>
        <w:tc>
          <w:tcPr>
            <w:tcW w:w="2740" w:type="dxa"/>
            <w:vAlign w:val="bottom"/>
            <w:tcBorders>
              <w:bottom w:val="single" w:sz="8" w:color="auto"/>
            </w:tcBorders>
            <w:gridSpan w:val="2"/>
          </w:tcPr>
          <w:p>
            <w:pPr>
              <w:jc w:val="center"/>
              <w:ind w:left="612"/>
              <w:spacing w:after="0"/>
              <w:rPr>
                <w:sz w:val="20"/>
                <w:szCs w:val="20"/>
                <w:color w:val="auto"/>
              </w:rPr>
            </w:pPr>
            <w:r>
              <w:rPr>
                <w:rFonts w:ascii="Times New Roman" w:cs="Times New Roman" w:eastAsia="Times New Roman" w:hAnsi="Times New Roman"/>
                <w:sz w:val="22"/>
                <w:szCs w:val="22"/>
                <w:color w:val="auto"/>
                <w:w w:val="97"/>
              </w:rPr>
              <w:t>200%</w:t>
            </w:r>
          </w:p>
        </w:tc>
        <w:tc>
          <w:tcPr>
            <w:tcW w:w="760" w:type="dxa"/>
            <w:vAlign w:val="bottom"/>
            <w:tcBorders>
              <w:bottom w:val="single" w:sz="8" w:color="auto"/>
              <w:right w:val="single" w:sz="8" w:color="auto"/>
            </w:tcBorders>
          </w:tcPr>
          <w:p>
            <w:pPr>
              <w:spacing w:after="0"/>
              <w:rPr>
                <w:sz w:val="24"/>
                <w:szCs w:val="24"/>
                <w:color w:val="auto"/>
              </w:rPr>
            </w:pPr>
          </w:p>
        </w:tc>
      </w:tr>
    </w:tbl>
    <w:p>
      <w:pPr>
        <w:spacing w:after="0" w:line="256" w:lineRule="exact"/>
        <w:rPr>
          <w:sz w:val="20"/>
          <w:szCs w:val="20"/>
          <w:color w:val="auto"/>
        </w:rPr>
      </w:pPr>
    </w:p>
    <w:p>
      <w:pPr>
        <w:jc w:val="both"/>
        <w:ind w:left="60" w:right="60"/>
        <w:spacing w:after="0" w:line="207" w:lineRule="auto"/>
        <w:rPr>
          <w:sz w:val="20"/>
          <w:szCs w:val="20"/>
          <w:color w:val="auto"/>
        </w:rPr>
      </w:pPr>
      <w:r>
        <w:rPr>
          <w:rFonts w:ascii="Times New Roman" w:cs="Times New Roman" w:eastAsia="Times New Roman" w:hAnsi="Times New Roman"/>
          <w:sz w:val="22"/>
          <w:szCs w:val="22"/>
          <w:color w:val="auto"/>
        </w:rPr>
        <w:t>Vested percentages between the amounts shown will be calculated by linear interpolation. The vested percentage applicable to TSR will be 0% if AMETEK TSR ranks lower than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relative to the S&amp;P 500 Industrials. In no event will the vested percentage applicable to TSR be greater than 200%.</w:t>
      </w:r>
    </w:p>
    <w:p>
      <w:pPr>
        <w:spacing w:after="0" w:line="177" w:lineRule="exact"/>
        <w:rPr>
          <w:sz w:val="20"/>
          <w:szCs w:val="20"/>
          <w:color w:val="auto"/>
        </w:rPr>
      </w:pPr>
    </w:p>
    <w:p>
      <w:pPr>
        <w:ind w:left="60"/>
        <w:spacing w:after="0" w:line="213" w:lineRule="auto"/>
        <w:rPr>
          <w:sz w:val="20"/>
          <w:szCs w:val="20"/>
          <w:color w:val="auto"/>
        </w:rPr>
      </w:pPr>
      <w:r>
        <w:rPr>
          <w:rFonts w:ascii="Times New Roman" w:cs="Times New Roman" w:eastAsia="Times New Roman" w:hAnsi="Times New Roman"/>
          <w:sz w:val="22"/>
          <w:szCs w:val="22"/>
          <w:color w:val="auto"/>
        </w:rPr>
        <w:t>For purposes of this Agreement, the term “TSR” means [(a) – (b) + (c)] / (b), where (a) is the Stock Price (as defined below) on the last business day of the Performance Period, (b) is the Stock Price on the first business day of the Performance Period and (c) is dividends paid during the Performance Period. The term Stock Price means the average daily closing price of a share of common stock of the Company or the companies comprising the S&amp;P 500 Industrials, as applicable, during the preceding 10 trading days. The Stock Price for the Company shall be adjusted to reflect a stock split, reverse stock split, spin-off or other similar extraordinary event affecting the shares in question without the issuer’s receipt of consideration occurring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13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60" w:top="1440" w:right="519" w:bottom="1440" w:gutter="0" w:footer="0" w:header="0"/>
        </w:sectPr>
      </w:pPr>
    </w:p>
    <w:bookmarkStart w:id="56" w:name="page57"/>
    <w:bookmarkEnd w:id="56"/>
    <w:p>
      <w:pPr>
        <w:spacing w:after="0" w:line="1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ADDENDUM</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SPECIAL TERMS AND CONDITIONS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u w:val="single" w:color="auto"/>
          <w:color w:val="auto"/>
        </w:rPr>
        <w:t>PERFORMANCE RESTRICTED STOCK UNIT AGREEMENT FOR NON-U.S. RECIPIENTS</w:t>
      </w:r>
    </w:p>
    <w:p>
      <w:pPr>
        <w:spacing w:after="0" w:line="206" w:lineRule="exact"/>
        <w:rPr>
          <w:sz w:val="20"/>
          <w:szCs w:val="20"/>
          <w:color w:val="auto"/>
        </w:rPr>
      </w:pPr>
    </w:p>
    <w:p>
      <w:pPr>
        <w:ind w:left="60" w:firstLine="648"/>
        <w:spacing w:after="0" w:line="225" w:lineRule="auto"/>
        <w:rPr>
          <w:sz w:val="20"/>
          <w:szCs w:val="20"/>
          <w:color w:val="auto"/>
        </w:rPr>
      </w:pPr>
      <w:r>
        <w:rPr>
          <w:rFonts w:ascii="Times New Roman" w:cs="Times New Roman" w:eastAsia="Times New Roman" w:hAnsi="Times New Roman"/>
          <w:sz w:val="22"/>
          <w:szCs w:val="22"/>
          <w:color w:val="auto"/>
        </w:rPr>
        <w:t>Capitalized terms used but not otherwise defined herein shall have the meanings given to them in the Performance Restricted Stock Unit Agreement for Non-U.S. Recipients (the “Agreement”) or in the 2011 Omnibus Incentive Compensation Plan of AMETEK, Inc. (the “Plan”).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ind w:left="60" w:right="120" w:firstLine="648"/>
        <w:spacing w:after="0" w:line="215" w:lineRule="auto"/>
        <w:rPr>
          <w:sz w:val="20"/>
          <w:szCs w:val="20"/>
          <w:color w:val="auto"/>
        </w:rPr>
      </w:pPr>
      <w:r>
        <w:rPr>
          <w:rFonts w:ascii="Times New Roman" w:cs="Times New Roman" w:eastAsia="Times New Roman" w:hAnsi="Times New Roman"/>
          <w:sz w:val="22"/>
          <w:szCs w:val="22"/>
          <w:color w:val="auto"/>
        </w:rPr>
        <w:t>This Addendum includes special terms and conditions that govern the Performance Restricted Stock Units granted to the Recipient under the Plan if he or she resides and/or works in one of the countries listed below. If the Recipient is a citizen (or is considered as such for local law purposes) of a country other than the country in which he or she is currently residing and/or working, or if he or she relocates to another country after the Performance Restricted Stock Units are granted, the Recipient acknowledges and agrees that the Company will, in its discretion, determine the extent to which the terms and conditions contained herein will be applicable to the Recipient.</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ind w:left="60" w:right="320" w:firstLine="648"/>
        <w:spacing w:after="0" w:line="213" w:lineRule="auto"/>
        <w:rPr>
          <w:sz w:val="20"/>
          <w:szCs w:val="20"/>
          <w:color w:val="auto"/>
        </w:rPr>
      </w:pPr>
      <w:r>
        <w:rPr>
          <w:rFonts w:ascii="Times New Roman" w:cs="Times New Roman" w:eastAsia="Times New Roman" w:hAnsi="Times New Roman"/>
          <w:sz w:val="22"/>
          <w:szCs w:val="22"/>
          <w:color w:val="auto"/>
        </w:rPr>
        <w:t>This Addendum also includes information regarding securities law, exchange controls and certain other issues of which the Recipient should be aware with respect to participation in the Plan. The information is based on the securities, exchange control and other laws in effect in the respective countries as of October 2017. Such laws are often complex and change frequently. As a result, the Company strongly recommends that the Recipient not rely on the information contained herein as the only source of information relating to the consequences of his or her participation in the Plan because the information may be out of date by the time he or she vests in the Performance Restricted Stock Units or sells PRSU Shares acquired under the Plan.</w:t>
      </w:r>
    </w:p>
    <w:p>
      <w:pPr>
        <w:spacing w:after="0" w:line="197" w:lineRule="exact"/>
        <w:rPr>
          <w:sz w:val="20"/>
          <w:szCs w:val="20"/>
          <w:color w:val="auto"/>
        </w:rPr>
      </w:pPr>
    </w:p>
    <w:p>
      <w:pPr>
        <w:ind w:left="60" w:right="120" w:firstLine="648"/>
        <w:spacing w:after="0" w:line="220"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Recipient’s particular situation, and the Company is not in a position to assure the Recipient of a particular result. Accordingly, the Recipient is advised to seek appropriate professional advice as to how the relevant laws in his or her country may apply to the Recipient’s particular situation.</w:t>
      </w:r>
    </w:p>
    <w:p>
      <w:pPr>
        <w:spacing w:after="0" w:line="179" w:lineRule="exact"/>
        <w:rPr>
          <w:sz w:val="20"/>
          <w:szCs w:val="20"/>
          <w:color w:val="auto"/>
        </w:rPr>
      </w:pPr>
    </w:p>
    <w:p>
      <w:pPr>
        <w:ind w:left="60" w:right="60" w:firstLine="648"/>
        <w:spacing w:after="0" w:line="220" w:lineRule="auto"/>
        <w:rPr>
          <w:sz w:val="20"/>
          <w:szCs w:val="20"/>
          <w:color w:val="auto"/>
        </w:rPr>
      </w:pPr>
      <w:r>
        <w:rPr>
          <w:rFonts w:ascii="Times New Roman" w:cs="Times New Roman" w:eastAsia="Times New Roman" w:hAnsi="Times New Roman"/>
          <w:sz w:val="22"/>
          <w:szCs w:val="22"/>
          <w:color w:val="auto"/>
        </w:rPr>
        <w:t>Finally, if the Recipient is a citizen or resident (or is considered as such for local law purposes) of a country other than the country in which he or she is currently residing and/or working, or if the Recipient relocated to another country after the grant of Performance Restricted Stock Units, the notifications contained herein may not be applicable to the Recipient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14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60" w:top="1440" w:right="539" w:bottom="1440" w:gutter="0" w:footer="0" w:header="0"/>
        </w:sectPr>
      </w:pPr>
    </w:p>
    <w:bookmarkStart w:id="57" w:name="page58"/>
    <w:bookmarkEnd w:id="57"/>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The following provision replaces paragraph 13 of the Agreement:</w:t>
      </w:r>
    </w:p>
    <w:p>
      <w:pPr>
        <w:spacing w:after="0" w:line="287" w:lineRule="exact"/>
        <w:rPr>
          <w:sz w:val="20"/>
          <w:szCs w:val="20"/>
          <w:color w:val="auto"/>
        </w:rPr>
      </w:pPr>
    </w:p>
    <w:p>
      <w:pPr>
        <w:ind w:left="60" w:right="180" w:firstLine="648"/>
        <w:spacing w:after="0" w:line="209" w:lineRule="auto"/>
        <w:rPr>
          <w:sz w:val="20"/>
          <w:szCs w:val="20"/>
          <w:color w:val="auto"/>
        </w:rPr>
      </w:pPr>
      <w:r>
        <w:rPr>
          <w:rFonts w:ascii="Times New Roman" w:cs="Times New Roman" w:eastAsia="Times New Roman" w:hAnsi="Times New Roman"/>
          <w:sz w:val="22"/>
          <w:szCs w:val="22"/>
          <w:color w:val="auto"/>
        </w:rPr>
        <w:t>For purposes of the Performance Restricted Stock Units, the Recipient’s Separation from Service shall be deemed to occur (regardless of the reason for such Separation from Service, and whether or not later found to be invalid or in breach of employment laws in the jurisdiction where the Recipient is employed or rendering services, or the terms of his or her employment or service agreement, if any) as of the date that is the earliest of (i) the date of Separation from Service, (ii) the date on which the Recipient receives a notice of Separation from Service, and</w:t>
      </w:r>
    </w:p>
    <w:p>
      <w:pPr>
        <w:spacing w:after="0" w:line="2" w:lineRule="exact"/>
        <w:rPr>
          <w:sz w:val="20"/>
          <w:szCs w:val="20"/>
          <w:color w:val="auto"/>
        </w:rPr>
      </w:pPr>
    </w:p>
    <w:p>
      <w:pPr>
        <w:ind w:left="60" w:right="80" w:hanging="2"/>
        <w:spacing w:after="0" w:line="221" w:lineRule="auto"/>
        <w:tabs>
          <w:tab w:leader="none" w:pos="43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Recipient is no longer actively providing services to the Company, Affiliate or Subsidiary Corporation, and shall not be extended by any period following such day during which he or she is in receipt of or eligible to receive any notice of Separation from Service, pay in lieu of notice of Separation from Service, severance pay or any other payments or damages, whether arising under statute, contract or common law. The Committee shall have exclusive discretion to determine when the Recipient is no longer actively providing services for purposes of the Performance Restricted Stock Units (including whether the Recipient may still be considered to be providing services while on a leave of absence).</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i w:val="1"/>
          <w:iCs w:val="1"/>
          <w:color w:val="auto"/>
        </w:rPr>
        <w:t>The following provisions apply if the Recipient resides in Quebec:</w:t>
      </w:r>
    </w:p>
    <w:p>
      <w:pPr>
        <w:spacing w:after="0" w:line="210" w:lineRule="exact"/>
        <w:rPr>
          <w:sz w:val="20"/>
          <w:szCs w:val="20"/>
          <w:color w:val="auto"/>
        </w:rPr>
      </w:pPr>
    </w:p>
    <w:p>
      <w:pPr>
        <w:jc w:val="both"/>
        <w:ind w:left="60" w:right="180"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Consent to Receive Information in English</w:t>
      </w:r>
      <w:r>
        <w:rPr>
          <w:rFonts w:ascii="Times New Roman" w:cs="Times New Roman" w:eastAsia="Times New Roman" w:hAnsi="Times New Roman"/>
          <w:sz w:val="22"/>
          <w:szCs w:val="22"/>
          <w:color w:val="auto"/>
        </w:rPr>
        <w:t>. The parties acknowledge that it is their express wish that the Agreement, as well as any documents, notices and legal proceedings entered into, given or instituted pursuant hereto or relating directly or indirectly hereto, be draw up in English.</w:t>
      </w:r>
    </w:p>
    <w:p>
      <w:pPr>
        <w:spacing w:after="0" w:line="176" w:lineRule="exact"/>
        <w:rPr>
          <w:sz w:val="20"/>
          <w:szCs w:val="20"/>
          <w:color w:val="auto"/>
        </w:rPr>
      </w:pPr>
    </w:p>
    <w:p>
      <w:pPr>
        <w:ind w:left="60" w:firstLine="648"/>
        <w:spacing w:after="0" w:line="227" w:lineRule="auto"/>
        <w:rPr>
          <w:sz w:val="20"/>
          <w:szCs w:val="20"/>
          <w:color w:val="auto"/>
        </w:rPr>
      </w:pPr>
      <w:r>
        <w:rPr>
          <w:rFonts w:ascii="Times New Roman" w:cs="Times New Roman" w:eastAsia="Times New Roman" w:hAnsi="Times New Roman"/>
          <w:sz w:val="22"/>
          <w:szCs w:val="22"/>
          <w:i w:val="1"/>
          <w:iCs w:val="1"/>
          <w:u w:val="single" w:color="auto"/>
          <w:color w:val="auto"/>
        </w:rPr>
        <w:t>Consentement Pour Recevoir Des Informations en Anglais</w:t>
      </w:r>
      <w:r>
        <w:rPr>
          <w:rFonts w:ascii="Times New Roman" w:cs="Times New Roman" w:eastAsia="Times New Roman" w:hAnsi="Times New Roman"/>
          <w:sz w:val="22"/>
          <w:szCs w:val="22"/>
          <w:i w:val="1"/>
          <w:iCs w:val="1"/>
          <w:color w:val="auto"/>
        </w:rPr>
        <w:t>. Les parties reconnaissent avoir exigé la rédaction en anglais de la convention, ainsi que de tous documents, avis et procédures judiciaires, exécutés, donnés ou intentés en vertu de, ou liés directement ou indirectement, à la présente convention.</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following provision supplements paragraph 15 of the Agreement:</w:t>
      </w:r>
    </w:p>
    <w:p>
      <w:pPr>
        <w:spacing w:after="0" w:line="301" w:lineRule="exact"/>
        <w:rPr>
          <w:sz w:val="20"/>
          <w:szCs w:val="20"/>
          <w:color w:val="auto"/>
        </w:rPr>
      </w:pPr>
    </w:p>
    <w:p>
      <w:pPr>
        <w:ind w:left="60" w:right="100" w:firstLine="648"/>
        <w:spacing w:after="0" w:line="217" w:lineRule="auto"/>
        <w:rPr>
          <w:sz w:val="20"/>
          <w:szCs w:val="20"/>
          <w:color w:val="auto"/>
        </w:rPr>
      </w:pPr>
      <w:r>
        <w:rPr>
          <w:rFonts w:ascii="Times New Roman" w:cs="Times New Roman" w:eastAsia="Times New Roman" w:hAnsi="Times New Roman"/>
          <w:sz w:val="22"/>
          <w:szCs w:val="22"/>
          <w:color w:val="auto"/>
        </w:rPr>
        <w:t>The Recipient hereby authorizes the Company and the Company’s representatives to discuss and obtain all relevant information from all personnel, professional or non-professional, involved in the administration of the Plan. The Recipient further authorizes the Company, Affiliate and/or Subsidiary Corporation to disclose and discuss such information with their advisors. The Recipient also authorizes the Company, Affiliate and/or Subsidiary Corporation to record such information and to keep such information in the Recipient’s employment file.</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ind w:left="60" w:right="240"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Recipient is permitted to sell the PRSU Shares acquired under the Plan through the designated broker appointed under the Plan, provided the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15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440" w:right="559" w:bottom="1440" w:gutter="0" w:footer="0" w:header="0"/>
        </w:sectPr>
      </w:pPr>
    </w:p>
    <w:bookmarkStart w:id="58" w:name="page59"/>
    <w:bookmarkEnd w:id="58"/>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shares takes place outside of Canada through the facilities of a stock exchange on which the Company Stock is listed.</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Canadian residents are required to report to the tax authorities any</w:t>
      </w:r>
    </w:p>
    <w:p>
      <w:pPr>
        <w:ind w:left="60"/>
        <w:spacing w:after="0" w:line="204" w:lineRule="auto"/>
        <w:rPr>
          <w:sz w:val="20"/>
          <w:szCs w:val="20"/>
          <w:color w:val="auto"/>
        </w:rPr>
      </w:pPr>
      <w:r>
        <w:rPr>
          <w:rFonts w:ascii="Times New Roman" w:cs="Times New Roman" w:eastAsia="Times New Roman" w:hAnsi="Times New Roman"/>
          <w:sz w:val="22"/>
          <w:szCs w:val="22"/>
          <w:color w:val="auto"/>
        </w:rPr>
        <w:t>foreign property held outside of Canada (including Performance Restricted Stock Units and PRSU Shares acquired under the</w:t>
      </w:r>
    </w:p>
    <w:p>
      <w:pPr>
        <w:ind w:left="60"/>
        <w:spacing w:after="0" w:line="205" w:lineRule="auto"/>
        <w:rPr>
          <w:sz w:val="20"/>
          <w:szCs w:val="20"/>
          <w:color w:val="auto"/>
        </w:rPr>
      </w:pPr>
      <w:r>
        <w:rPr>
          <w:rFonts w:ascii="Times New Roman" w:cs="Times New Roman" w:eastAsia="Times New Roman" w:hAnsi="Times New Roman"/>
          <w:sz w:val="22"/>
          <w:szCs w:val="22"/>
          <w:color w:val="auto"/>
        </w:rPr>
        <w:t>Plan) annually on form Tl 135 (Foreign Income Verification Statement) if the total value of the foreign property exceeds</w:t>
      </w:r>
    </w:p>
    <w:p>
      <w:pPr>
        <w:ind w:left="60"/>
        <w:spacing w:after="0" w:line="205" w:lineRule="auto"/>
        <w:rPr>
          <w:sz w:val="20"/>
          <w:szCs w:val="20"/>
          <w:color w:val="auto"/>
        </w:rPr>
      </w:pPr>
      <w:r>
        <w:rPr>
          <w:rFonts w:ascii="Times New Roman" w:cs="Times New Roman" w:eastAsia="Times New Roman" w:hAnsi="Times New Roman"/>
          <w:sz w:val="22"/>
          <w:szCs w:val="22"/>
          <w:color w:val="auto"/>
        </w:rPr>
        <w:t>C$100,000 at any time during the year. Thus, if the C$100,000 cost threshold is exceeded by other foreign property held by</w:t>
      </w:r>
    </w:p>
    <w:p>
      <w:pPr>
        <w:ind w:left="60"/>
        <w:spacing w:after="0" w:line="215" w:lineRule="auto"/>
        <w:rPr>
          <w:sz w:val="20"/>
          <w:szCs w:val="20"/>
          <w:color w:val="auto"/>
        </w:rPr>
      </w:pPr>
      <w:r>
        <w:rPr>
          <w:rFonts w:ascii="Times New Roman" w:cs="Times New Roman" w:eastAsia="Times New Roman" w:hAnsi="Times New Roman"/>
          <w:sz w:val="21"/>
          <w:szCs w:val="21"/>
          <w:color w:val="auto"/>
        </w:rPr>
        <w:t>the Recipient, the Performance Restricted Stock Units must be reported (generally at nil cost). For purposes of such reporting,</w:t>
      </w:r>
    </w:p>
    <w:p>
      <w:pPr>
        <w:ind w:left="60"/>
        <w:spacing w:after="0" w:line="205" w:lineRule="auto"/>
        <w:rPr>
          <w:sz w:val="20"/>
          <w:szCs w:val="20"/>
          <w:color w:val="auto"/>
        </w:rPr>
      </w:pPr>
      <w:r>
        <w:rPr>
          <w:rFonts w:ascii="Times New Roman" w:cs="Times New Roman" w:eastAsia="Times New Roman" w:hAnsi="Times New Roman"/>
          <w:sz w:val="22"/>
          <w:szCs w:val="22"/>
          <w:color w:val="auto"/>
        </w:rPr>
        <w:t>Company Stock acquired under the Plan may be reported at their adjusted cost base. The adjusted costs basis of stock is</w:t>
      </w:r>
    </w:p>
    <w:p>
      <w:pPr>
        <w:ind w:left="60"/>
        <w:spacing w:after="0" w:line="215" w:lineRule="auto"/>
        <w:rPr>
          <w:sz w:val="20"/>
          <w:szCs w:val="20"/>
          <w:color w:val="auto"/>
        </w:rPr>
      </w:pPr>
      <w:r>
        <w:rPr>
          <w:rFonts w:ascii="Times New Roman" w:cs="Times New Roman" w:eastAsia="Times New Roman" w:hAnsi="Times New Roman"/>
          <w:sz w:val="21"/>
          <w:szCs w:val="21"/>
          <w:color w:val="auto"/>
        </w:rPr>
        <w:t>generally equal to the fair market value of the stock at the time of acquisition; however, if the Recipient owns other stock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w:t>
      </w:r>
    </w:p>
    <w:p>
      <w:pPr>
        <w:ind w:left="60"/>
        <w:spacing w:after="0" w:line="204" w:lineRule="auto"/>
        <w:rPr>
          <w:sz w:val="20"/>
          <w:szCs w:val="20"/>
          <w:color w:val="auto"/>
        </w:rPr>
      </w:pPr>
      <w:r>
        <w:rPr>
          <w:rFonts w:ascii="Times New Roman" w:cs="Times New Roman" w:eastAsia="Times New Roman" w:hAnsi="Times New Roman"/>
          <w:sz w:val="22"/>
          <w:szCs w:val="22"/>
          <w:color w:val="auto"/>
        </w:rPr>
        <w:t>acquired under other circumstances or at another time), the adjusted cost basis may have to be averaged with the adjusted</w:t>
      </w:r>
    </w:p>
    <w:p>
      <w:pPr>
        <w:ind w:left="60"/>
        <w:spacing w:after="0" w:line="205" w:lineRule="auto"/>
        <w:rPr>
          <w:sz w:val="20"/>
          <w:szCs w:val="20"/>
          <w:color w:val="auto"/>
        </w:rPr>
      </w:pPr>
      <w:r>
        <w:rPr>
          <w:rFonts w:ascii="Times New Roman" w:cs="Times New Roman" w:eastAsia="Times New Roman" w:hAnsi="Times New Roman"/>
          <w:sz w:val="22"/>
          <w:szCs w:val="22"/>
          <w:color w:val="auto"/>
        </w:rPr>
        <w:t xml:space="preserve">costs basis of the other stock. </w:t>
      </w:r>
      <w:r>
        <w:rPr>
          <w:rFonts w:ascii="Times New Roman" w:cs="Times New Roman" w:eastAsia="Times New Roman" w:hAnsi="Times New Roman"/>
          <w:sz w:val="22"/>
          <w:szCs w:val="22"/>
          <w:i w:val="1"/>
          <w:iCs w:val="1"/>
          <w:color w:val="auto"/>
        </w:rPr>
        <w:t>The Recipient should consult his or her personal legal advisor to ensure compliance with</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applicable reporting obligations.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CZECH REPUBLIC</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Regulatory</w:t>
      </w:r>
    </w:p>
    <w:p>
      <w:pPr>
        <w:spacing w:after="0" w:line="226" w:lineRule="exact"/>
        <w:rPr>
          <w:sz w:val="20"/>
          <w:szCs w:val="20"/>
          <w:color w:val="auto"/>
        </w:rPr>
      </w:pPr>
    </w:p>
    <w:p>
      <w:pPr>
        <w:jc w:val="both"/>
        <w:ind w:left="60"/>
        <w:spacing w:after="0" w:line="215" w:lineRule="auto"/>
        <w:rPr>
          <w:sz w:val="20"/>
          <w:szCs w:val="20"/>
          <w:color w:val="auto"/>
        </w:rPr>
      </w:pPr>
      <w:r>
        <w:rPr>
          <w:rFonts w:ascii="Times New Roman" w:cs="Times New Roman" w:eastAsia="Times New Roman" w:hAnsi="Times New Roman"/>
          <w:sz w:val="22"/>
          <w:szCs w:val="22"/>
          <w:color w:val="auto"/>
        </w:rPr>
        <w:t>The Performance Restricted Stock Unit is not transferable and is not deemed to qualify as an offering of securities in the Czech Republic within the meaning of the Prospectus Regulation ((EU) Regulation 2017/1129). To the extent that a supervisory body would qualify the offering of the Performance Restricted Stock Unit or its underlying securities as an offering of securities within the meaning of the Prospectus Regulation, such offering will only be made in reliance of Article 1(4) of the Prospectus Regulation provided that no such offering of securities shall require Ametek, Inc. to publish a prospectus pursuant to Article 3 of the Prospectus Regulation.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Data Protection</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The following provision replaces Paragraph 16 of the Award in its entirety:</w:t>
      </w:r>
    </w:p>
    <w:p>
      <w:pPr>
        <w:spacing w:after="0" w:line="206" w:lineRule="exact"/>
        <w:rPr>
          <w:sz w:val="20"/>
          <w:szCs w:val="20"/>
          <w:color w:val="auto"/>
        </w:rPr>
      </w:pPr>
    </w:p>
    <w:p>
      <w:pPr>
        <w:jc w:val="both"/>
        <w:ind w:left="60"/>
        <w:spacing w:after="0" w:line="212" w:lineRule="auto"/>
        <w:rPr>
          <w:sz w:val="20"/>
          <w:szCs w:val="20"/>
          <w:color w:val="auto"/>
        </w:rPr>
      </w:pPr>
      <w:r>
        <w:rPr>
          <w:rFonts w:ascii="Times New Roman" w:cs="Times New Roman" w:eastAsia="Times New Roman" w:hAnsi="Times New Roman"/>
          <w:sz w:val="22"/>
          <w:szCs w:val="22"/>
          <w:color w:val="auto"/>
        </w:rPr>
        <w:t>The Recipient understands that the Company, the Employer and other subsidiary of the Company or Affiliate (the “</w:t>
      </w:r>
      <w:r>
        <w:rPr>
          <w:rFonts w:ascii="Times New Roman" w:cs="Times New Roman" w:eastAsia="Times New Roman" w:hAnsi="Times New Roman"/>
          <w:sz w:val="22"/>
          <w:szCs w:val="22"/>
          <w:b w:val="1"/>
          <w:bCs w:val="1"/>
          <w:color w:val="auto"/>
        </w:rPr>
        <w:t>Controller</w:t>
      </w:r>
      <w:r>
        <w:rPr>
          <w:rFonts w:ascii="Times New Roman" w:cs="Times New Roman" w:eastAsia="Times New Roman" w:hAnsi="Times New Roman"/>
          <w:sz w:val="22"/>
          <w:szCs w:val="22"/>
          <w:color w:val="auto"/>
        </w:rPr>
        <w:t>”) may process certain personal information about the Recipient, including, but not limited to, the Recipient’s name, home address, email address and telephone number, date of birth, social insurance number, government or tax identification number, brokerage account information, passport or other identification number, salary, nationality, citizenship, work authorization, job title, any shares or directorships held in the Company, details of all Restricted Stock Awards or any other entitlement to Company Stock awarded, canceled, exercised, vested, unvested or outstanding in the Recipient’s favor and beneficiaries’ contact information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for the exclusive purpose of implementing, administering and managing the Recipient’s participation in the Plan.</w:t>
      </w:r>
    </w:p>
    <w:p>
      <w:pPr>
        <w:spacing w:after="0" w:line="197" w:lineRule="exact"/>
        <w:rPr>
          <w:sz w:val="20"/>
          <w:szCs w:val="20"/>
          <w:color w:val="auto"/>
        </w:rPr>
      </w:pPr>
    </w:p>
    <w:p>
      <w:pPr>
        <w:jc w:val="both"/>
        <w:ind w:left="60"/>
        <w:spacing w:after="0" w:line="225" w:lineRule="auto"/>
        <w:rPr>
          <w:sz w:val="20"/>
          <w:szCs w:val="20"/>
          <w:color w:val="auto"/>
        </w:rPr>
      </w:pPr>
      <w:r>
        <w:rPr>
          <w:rFonts w:ascii="Times New Roman" w:cs="Times New Roman" w:eastAsia="Times New Roman" w:hAnsi="Times New Roman"/>
          <w:sz w:val="22"/>
          <w:szCs w:val="22"/>
          <w:color w:val="auto"/>
        </w:rPr>
        <w:t>The legal basis for such processing and/or transfer of the Recipient’s Data is that such being necessary for purposes of implementing, administering and managing the Recipient’s participation in the Plan. The Recipient also understands that providing the Controller with Data is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16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440" w:right="439" w:bottom="1440" w:gutter="0" w:footer="0" w:header="0"/>
        </w:sectPr>
      </w:pPr>
    </w:p>
    <w:bookmarkStart w:id="59" w:name="page60"/>
    <w:bookmarkEnd w:id="59"/>
    <w:p>
      <w:pPr>
        <w:spacing w:after="0" w:line="198" w:lineRule="exact"/>
        <w:rPr>
          <w:sz w:val="20"/>
          <w:szCs w:val="20"/>
          <w:color w:val="auto"/>
        </w:rPr>
      </w:pPr>
    </w:p>
    <w:p>
      <w:pPr>
        <w:jc w:val="both"/>
        <w:ind w:left="60" w:right="20"/>
        <w:spacing w:after="0" w:line="236" w:lineRule="auto"/>
        <w:rPr>
          <w:sz w:val="20"/>
          <w:szCs w:val="20"/>
          <w:color w:val="auto"/>
        </w:rPr>
      </w:pPr>
      <w:r>
        <w:rPr>
          <w:rFonts w:ascii="Times New Roman" w:cs="Times New Roman" w:eastAsia="Times New Roman" w:hAnsi="Times New Roman"/>
          <w:sz w:val="22"/>
          <w:szCs w:val="22"/>
          <w:color w:val="auto"/>
        </w:rPr>
        <w:t>effectuate the Recipient’s participation in the Plan and that the Recipient’s refusal to do so would make it impossible for the Recipient to participate in the Plan.</w:t>
      </w:r>
    </w:p>
    <w:p>
      <w:pPr>
        <w:spacing w:after="0" w:line="191" w:lineRule="exact"/>
        <w:rPr>
          <w:sz w:val="20"/>
          <w:szCs w:val="20"/>
          <w:color w:val="auto"/>
        </w:rPr>
      </w:pPr>
    </w:p>
    <w:p>
      <w:pPr>
        <w:jc w:val="both"/>
        <w:ind w:left="60"/>
        <w:spacing w:after="0" w:line="210" w:lineRule="auto"/>
        <w:rPr>
          <w:sz w:val="20"/>
          <w:szCs w:val="20"/>
          <w:color w:val="auto"/>
        </w:rPr>
      </w:pPr>
      <w:r>
        <w:rPr>
          <w:rFonts w:ascii="Times New Roman" w:cs="Times New Roman" w:eastAsia="Times New Roman" w:hAnsi="Times New Roman"/>
          <w:sz w:val="22"/>
          <w:szCs w:val="22"/>
          <w:color w:val="auto"/>
        </w:rPr>
        <w:t>The Recipient understands that Data may be transferred to the providers administering the Plan, e.g., Schwab Stock Plan Services, or other administrators that may be engaged by the Company in the future. The Recipient further understands that the Company, the Employer and other subsidiary or Affiliate of the Company may transfer Data among themselves as necessary for the purpose of the implementation, administration and management of the Recipient’s participation in the Plan. In addition, the Controller may disclose the Recipient’s Data to supervisory authorities, judicial bodies and other parties in accordance with applicable law. The Recipient understands that the recipients of the Data may be located in the United States or elsewhere, subject to appropriate safeguards, and that the recipient’s country (e.g., the United States) may have different data privacy laws and protections than the Recipient’s country. The Recipient understands that he or she may request a list with the names and addresses of any potential recipients of the Data and a copy of the appropriate safeguards used for the transfer of Data by contacting his or her local human resources representative. The Recipient understands that he or she may contact the Controller by contacting the Recipient’s local human resources representative.</w:t>
      </w:r>
    </w:p>
    <w:p>
      <w:pPr>
        <w:spacing w:after="0" w:line="198" w:lineRule="exact"/>
        <w:rPr>
          <w:sz w:val="20"/>
          <w:szCs w:val="20"/>
          <w:color w:val="auto"/>
        </w:rPr>
      </w:pPr>
    </w:p>
    <w:p>
      <w:pPr>
        <w:jc w:val="both"/>
        <w:ind w:left="60"/>
        <w:spacing w:after="0" w:line="217" w:lineRule="auto"/>
        <w:rPr>
          <w:sz w:val="20"/>
          <w:szCs w:val="20"/>
          <w:color w:val="auto"/>
        </w:rPr>
      </w:pPr>
      <w:r>
        <w:rPr>
          <w:rFonts w:ascii="Times New Roman" w:cs="Times New Roman" w:eastAsia="Times New Roman" w:hAnsi="Times New Roman"/>
          <w:sz w:val="22"/>
          <w:szCs w:val="22"/>
          <w:color w:val="auto"/>
        </w:rPr>
        <w:t xml:space="preserve">The Recipient understands that Data will be held only as long as is necessary to implement, administer and manage the Recipient’s participation in the Plan or as long as required by applicable law. The Recipient understands that he or she may, at any time, request access to Data, require rectification, erasure, restriction of processing, </w:t>
      </w:r>
      <w:r>
        <w:rPr>
          <w:rFonts w:ascii="Times New Roman" w:cs="Times New Roman" w:eastAsia="Times New Roman" w:hAnsi="Times New Roman"/>
          <w:sz w:val="22"/>
          <w:szCs w:val="22"/>
          <w:b w:val="1"/>
          <w:bCs w:val="1"/>
          <w:color w:val="auto"/>
        </w:rPr>
        <w:t>object to processing</w:t>
      </w:r>
      <w:r>
        <w:rPr>
          <w:rFonts w:ascii="Times New Roman" w:cs="Times New Roman" w:eastAsia="Times New Roman" w:hAnsi="Times New Roman"/>
          <w:sz w:val="22"/>
          <w:szCs w:val="22"/>
          <w:color w:val="auto"/>
        </w:rPr>
        <w:t xml:space="preserve"> as well as exercise the right to data portability, as the case may be, by contacting in writing his or her local human resources representative.</w:t>
      </w:r>
    </w:p>
    <w:p>
      <w:pPr>
        <w:spacing w:after="0" w:line="179" w:lineRule="exact"/>
        <w:rPr>
          <w:sz w:val="20"/>
          <w:szCs w:val="20"/>
          <w:color w:val="auto"/>
        </w:rPr>
      </w:pPr>
    </w:p>
    <w:p>
      <w:pPr>
        <w:jc w:val="both"/>
        <w:ind w:left="60"/>
        <w:spacing w:after="0" w:line="236" w:lineRule="auto"/>
        <w:rPr>
          <w:sz w:val="20"/>
          <w:szCs w:val="20"/>
          <w:color w:val="auto"/>
        </w:rPr>
      </w:pPr>
      <w:r>
        <w:rPr>
          <w:rFonts w:ascii="Times New Roman" w:cs="Times New Roman" w:eastAsia="Times New Roman" w:hAnsi="Times New Roman"/>
          <w:sz w:val="22"/>
          <w:szCs w:val="22"/>
          <w:color w:val="auto"/>
        </w:rPr>
        <w:t>The Recipient also has the right to file a complaint with the Czech Data Protection Authority (in Czech: “Úřad pro ochranu osobních údajů”), if the Recipient finds that the Controller processes the Recipient’s Data incorrectly.</w:t>
      </w: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CHINA</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2" w:lineRule="exact"/>
        <w:rPr>
          <w:sz w:val="20"/>
          <w:szCs w:val="20"/>
          <w:color w:val="auto"/>
        </w:rPr>
      </w:pPr>
    </w:p>
    <w:p>
      <w:pPr>
        <w:ind w:left="60" w:right="260"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The following terms and conditions apply only if the Recipient is subject to, as determined by the Company in its sole discretion, the Circular on Issues concerning Administration of Foreign Exchange Used for Domestic Individuals Participation in Equity Incentive Plan of Companies Listed Overseas (“Circular 7”) issued by the State Administration of Foreign Exchange (“SAFE”).</w:t>
      </w:r>
    </w:p>
    <w:p>
      <w:pPr>
        <w:spacing w:after="0" w:line="179" w:lineRule="exact"/>
        <w:rPr>
          <w:sz w:val="20"/>
          <w:szCs w:val="20"/>
          <w:color w:val="auto"/>
        </w:rPr>
      </w:pPr>
    </w:p>
    <w:p>
      <w:pPr>
        <w:ind w:left="60" w:right="60" w:firstLine="648"/>
        <w:spacing w:after="0" w:line="217" w:lineRule="auto"/>
        <w:rPr>
          <w:sz w:val="20"/>
          <w:szCs w:val="20"/>
          <w:color w:val="auto"/>
        </w:rPr>
      </w:pPr>
      <w:r>
        <w:rPr>
          <w:rFonts w:ascii="Times New Roman" w:cs="Times New Roman" w:eastAsia="Times New Roman" w:hAnsi="Times New Roman"/>
          <w:sz w:val="22"/>
          <w:szCs w:val="22"/>
          <w:u w:val="single" w:color="auto"/>
          <w:color w:val="auto"/>
        </w:rPr>
        <w:t>Immediate Sale Restriction</w:t>
      </w:r>
      <w:r>
        <w:rPr>
          <w:rFonts w:ascii="Times New Roman" w:cs="Times New Roman" w:eastAsia="Times New Roman" w:hAnsi="Times New Roman"/>
          <w:sz w:val="22"/>
          <w:szCs w:val="22"/>
          <w:color w:val="auto"/>
        </w:rPr>
        <w:t>. Due to exchange control laws in the People’s Republic of China, the Recipient understands and agrees that the Company may require that any PRSU Shares acquired upon the vesting and settlement of the Performance Restricted Stock Units be immediately sold. The Recipient further acknowledges and agrees that shares of Company Stock may be sold to satisfy any tax withholding obligation of the Employer with respect to the Performance Restricted Stock Units. If the Company, in its discretion, does not exercise its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17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60" w:top="1440" w:right="439" w:bottom="1440" w:gutter="0" w:footer="0" w:header="0"/>
        </w:sectPr>
      </w:pPr>
    </w:p>
    <w:bookmarkStart w:id="60" w:name="page61"/>
    <w:bookmarkEnd w:id="60"/>
    <w:p>
      <w:pPr>
        <w:spacing w:after="0" w:line="198" w:lineRule="exact"/>
        <w:rPr>
          <w:sz w:val="20"/>
          <w:szCs w:val="20"/>
          <w:color w:val="auto"/>
        </w:rPr>
      </w:pPr>
    </w:p>
    <w:p>
      <w:pPr>
        <w:ind w:left="60"/>
        <w:spacing w:after="0" w:line="215" w:lineRule="auto"/>
        <w:rPr>
          <w:sz w:val="20"/>
          <w:szCs w:val="20"/>
          <w:color w:val="auto"/>
        </w:rPr>
      </w:pPr>
      <w:r>
        <w:rPr>
          <w:rFonts w:ascii="Times New Roman" w:cs="Times New Roman" w:eastAsia="Times New Roman" w:hAnsi="Times New Roman"/>
          <w:sz w:val="22"/>
          <w:szCs w:val="22"/>
          <w:color w:val="auto"/>
        </w:rPr>
        <w:t>to require the automatic sale of PRSU Shares issuable upon vesting, as described herein, the Recipient understands and agrees that any PRSU Shares acquired by the Recipient under the Plan must be sold no later six (6) month after the Recipient’s Separation from Service, or within any other such time frame as permitted by the Company or required by the China SAFE. The Recipient understands that any PRSU Shares acquired by the Recipient under the Plan that have not been sold within six (6) months of the Recipient’s Separation from Service will be automatically sold by a designated broker at the Company’s discretion, pursuant to this authorization.</w:t>
      </w:r>
    </w:p>
    <w:p>
      <w:pPr>
        <w:spacing w:after="0" w:line="179" w:lineRule="exact"/>
        <w:rPr>
          <w:sz w:val="20"/>
          <w:szCs w:val="20"/>
          <w:color w:val="auto"/>
        </w:rPr>
      </w:pPr>
    </w:p>
    <w:p>
      <w:pPr>
        <w:ind w:left="60" w:right="180" w:firstLine="648"/>
        <w:spacing w:after="0" w:line="209" w:lineRule="auto"/>
        <w:rPr>
          <w:sz w:val="20"/>
          <w:szCs w:val="20"/>
          <w:color w:val="auto"/>
        </w:rPr>
      </w:pPr>
      <w:r>
        <w:rPr>
          <w:rFonts w:ascii="Times New Roman" w:cs="Times New Roman" w:eastAsia="Times New Roman" w:hAnsi="Times New Roman"/>
          <w:sz w:val="22"/>
          <w:szCs w:val="22"/>
          <w:color w:val="auto"/>
        </w:rPr>
        <w:t>The Recipient agrees that the Company is authorized to instruct the designated broker to assist with the mandatory sale of such shares (on the Recipient’s behalf pursuant to this authorization), and the Recipient expressly authorizes the designated broker to complete such sale of PRSU Shares. The Recipient also agrees to sign any agreements, forms and/or consents that may be reasonably requested by the Company (or the designated broker) to effectuate the sale (including, without limitation, as to the transfers of the proceeds and other exchange control matters noted below) and shall otherwise cooperate with the Company with respect to such matters, provided that the Recipient shall not be permitted to exercise any influence over how, when or whether the sale occurs. The Recipient acknowledges that the designated broker is under no obligation to arrange for the sale of the PRSU Shares at any particular price. Due to fluctuations in the Company Stock price and/or applicable exchange rates between vesting and (if later) the date on which the PRSU Shares are sold, the amount of proceeds ultimately distributed to the Recipient may be more or less than the market value of the PRSU Shares upon vesting (which is the amount relevant to determining the Recipient’s liability for Tax-Related Items). The Recipient understands and agrees that the Company is not responsible for the amount of any loss the Recipient may incur and the Company assumes no liability for any fluctuations in Company Stock price and/or any applicable exchange rate.</w:t>
      </w:r>
    </w:p>
    <w:p>
      <w:pPr>
        <w:spacing w:after="0" w:line="201" w:lineRule="exact"/>
        <w:rPr>
          <w:sz w:val="20"/>
          <w:szCs w:val="20"/>
          <w:color w:val="auto"/>
        </w:rPr>
      </w:pPr>
    </w:p>
    <w:p>
      <w:pPr>
        <w:ind w:left="60" w:right="340" w:firstLine="648"/>
        <w:spacing w:after="0" w:line="220" w:lineRule="auto"/>
        <w:rPr>
          <w:sz w:val="20"/>
          <w:szCs w:val="20"/>
          <w:color w:val="auto"/>
        </w:rPr>
      </w:pPr>
      <w:r>
        <w:rPr>
          <w:rFonts w:ascii="Times New Roman" w:cs="Times New Roman" w:eastAsia="Times New Roman" w:hAnsi="Times New Roman"/>
          <w:sz w:val="22"/>
          <w:szCs w:val="22"/>
          <w:color w:val="auto"/>
        </w:rPr>
        <w:t>Upon the sale of the PRSU Shares, the Company agrees to pay the cash proceeds from the sale (less any Tax-Related Items, brokerage fees or commissions) to the Recipient in accordance with the applicable exchange control laws and regulations, including, but not limited to, restrictions set forth in this Addendum for China below under “Exchange Control Requirements.”</w:t>
      </w:r>
    </w:p>
    <w:p>
      <w:pPr>
        <w:spacing w:after="0" w:line="179" w:lineRule="exact"/>
        <w:rPr>
          <w:sz w:val="20"/>
          <w:szCs w:val="20"/>
          <w:color w:val="auto"/>
        </w:rPr>
      </w:pPr>
    </w:p>
    <w:p>
      <w:pPr>
        <w:ind w:left="60" w:right="80" w:firstLine="648"/>
        <w:spacing w:after="0" w:line="207" w:lineRule="auto"/>
        <w:rPr>
          <w:sz w:val="20"/>
          <w:szCs w:val="20"/>
          <w:color w:val="auto"/>
        </w:rPr>
      </w:pPr>
      <w:r>
        <w:rPr>
          <w:rFonts w:ascii="Times New Roman" w:cs="Times New Roman" w:eastAsia="Times New Roman" w:hAnsi="Times New Roman"/>
          <w:sz w:val="22"/>
          <w:szCs w:val="22"/>
          <w:u w:val="single" w:color="auto"/>
          <w:color w:val="auto"/>
        </w:rPr>
        <w:t>Exchange Control Requirements</w:t>
      </w:r>
      <w:r>
        <w:rPr>
          <w:rFonts w:ascii="Times New Roman" w:cs="Times New Roman" w:eastAsia="Times New Roman" w:hAnsi="Times New Roman"/>
          <w:sz w:val="22"/>
          <w:szCs w:val="22"/>
          <w:color w:val="auto"/>
        </w:rPr>
        <w:t>. By accepting the Performance Restricted Stock Unit award, the Recipient understands and agrees that, pursuant to local exchange control requirements, the Recipient will be required to immediately repatriate the cash proceeds from the sale of the PRSU Shares to China. The Recipient further understands that, under local law, such repatriation of cash proceeds may need to be effectuated through a special exchange control account established by the Company and/or a Subsidiary Corporation, and the Recipient hereby consents and agrees that any proceeds from the sale of any PRSU Shares the Recipient acquires may be transferred to such special account prior to being delivered to the Recipient. The Recipient further agrees to comply with any other requirements that may be imposed by the Company in the future to facilitate compliance with exchange control requirements in China.</w:t>
      </w:r>
    </w:p>
    <w:p>
      <w:pPr>
        <w:spacing w:after="0" w:line="6" w:lineRule="exact"/>
        <w:rPr>
          <w:sz w:val="20"/>
          <w:szCs w:val="20"/>
          <w:color w:val="auto"/>
        </w:rPr>
      </w:pPr>
    </w:p>
    <w:p>
      <w:pPr>
        <w:jc w:val="both"/>
        <w:ind w:left="60" w:right="100"/>
        <w:spacing w:after="0" w:line="218" w:lineRule="auto"/>
        <w:rPr>
          <w:sz w:val="20"/>
          <w:szCs w:val="20"/>
          <w:color w:val="auto"/>
        </w:rPr>
      </w:pPr>
      <w:r>
        <w:rPr>
          <w:rFonts w:ascii="Times New Roman" w:cs="Times New Roman" w:eastAsia="Times New Roman" w:hAnsi="Times New Roman"/>
          <w:sz w:val="22"/>
          <w:szCs w:val="22"/>
          <w:color w:val="auto"/>
        </w:rPr>
        <w:t>The proceeds may be paid to the Recipient in U. S. dollars or in local currency, at the Company’s discretion. If the proceeds are paid in U.S. dollars, the Recipient understands and agrees that he or she will be required to set up a U.S. dollar bank account in China (if the Recipient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18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60" w:top="1440" w:right="379" w:bottom="1440" w:gutter="0" w:footer="0" w:header="0"/>
        </w:sectPr>
      </w:pPr>
    </w:p>
    <w:bookmarkStart w:id="61" w:name="page62"/>
    <w:bookmarkEnd w:id="61"/>
    <w:p>
      <w:pPr>
        <w:spacing w:after="0" w:line="198" w:lineRule="exact"/>
        <w:rPr>
          <w:sz w:val="20"/>
          <w:szCs w:val="20"/>
          <w:color w:val="auto"/>
        </w:rPr>
      </w:pPr>
    </w:p>
    <w:p>
      <w:pPr>
        <w:ind w:left="60"/>
        <w:spacing w:after="0" w:line="213" w:lineRule="auto"/>
        <w:rPr>
          <w:sz w:val="20"/>
          <w:szCs w:val="20"/>
          <w:color w:val="auto"/>
        </w:rPr>
      </w:pPr>
      <w:r>
        <w:rPr>
          <w:rFonts w:ascii="Times New Roman" w:cs="Times New Roman" w:eastAsia="Times New Roman" w:hAnsi="Times New Roman"/>
          <w:sz w:val="22"/>
          <w:szCs w:val="22"/>
          <w:color w:val="auto"/>
        </w:rPr>
        <w:t>already have one) so that the proceeds may be deposited into this account. If the proceeds are paid in local currency, the Recipient further understands and agrees that the Company and/or the Employer is under no obligation to secure any particular exchange conversion rate and there may be delays in converting the cash proceeds to local currency due to exchange control restrictions. The Recipient agrees to bear any currency fluctuation risk between the time the cash proceeds are received and the time the cash proceeds are distributed to the Recipient through the special account described above. The Recipient further agrees to comply with any other requirements that may be imposed by the Company in the future to facilitate compliance with China exchange control requirements.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DENMARK</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ind w:left="60" w:right="32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Danish Stock Option Act</w:t>
      </w:r>
      <w:r>
        <w:rPr>
          <w:rFonts w:ascii="Times New Roman" w:cs="Times New Roman" w:eastAsia="Times New Roman" w:hAnsi="Times New Roman"/>
          <w:sz w:val="22"/>
          <w:szCs w:val="22"/>
          <w:color w:val="auto"/>
        </w:rPr>
        <w:t>. In accepting the Performance Restrict Stock Units, the Recipient acknowledges that he or she has received an Employer Statement translated into Danish, which is being provided to comply with the Danish Stock Option Act. To the extent more favorable to the Recipient and required to comply with the Stock Option Act, the terms set forth in the Employer Statement will apply to the Recipient’s participation in the Plan.</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u w:val="single" w:color="auto"/>
          <w:color w:val="auto"/>
        </w:rPr>
        <w:t>Exclusion from Termination Indemnities and Other Benefits</w:t>
      </w:r>
      <w:r>
        <w:rPr>
          <w:rFonts w:ascii="Times New Roman" w:cs="Times New Roman" w:eastAsia="Times New Roman" w:hAnsi="Times New Roman"/>
          <w:sz w:val="22"/>
          <w:szCs w:val="22"/>
          <w:color w:val="auto"/>
        </w:rPr>
        <w:t>. This provision supplements paragraph 13 of the</w:t>
      </w:r>
    </w:p>
    <w:p>
      <w:pPr>
        <w:ind w:left="6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60" w:right="20" w:firstLine="648"/>
        <w:spacing w:after="0" w:line="236" w:lineRule="auto"/>
        <w:rPr>
          <w:sz w:val="20"/>
          <w:szCs w:val="20"/>
          <w:color w:val="auto"/>
        </w:rPr>
      </w:pPr>
      <w:r>
        <w:rPr>
          <w:rFonts w:ascii="Times New Roman" w:cs="Times New Roman" w:eastAsia="Times New Roman" w:hAnsi="Times New Roman"/>
          <w:sz w:val="22"/>
          <w:szCs w:val="22"/>
          <w:color w:val="auto"/>
        </w:rPr>
        <w:t>In accepting the Performance Restricted Stock Units, the Recipient acknowledges that he or she understands and agrees that this grant relates to future services to be performed and is not a bonus or compensation for past services.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ind w:left="60" w:firstLine="648"/>
        <w:spacing w:after="0" w:line="209" w:lineRule="auto"/>
        <w:rPr>
          <w:sz w:val="20"/>
          <w:szCs w:val="20"/>
          <w:color w:val="auto"/>
        </w:rPr>
      </w:pPr>
      <w:r>
        <w:rPr>
          <w:rFonts w:ascii="Times New Roman" w:cs="Times New Roman" w:eastAsia="Times New Roman" w:hAnsi="Times New Roman"/>
          <w:sz w:val="22"/>
          <w:szCs w:val="22"/>
          <w:u w:val="single" w:color="auto"/>
          <w:color w:val="auto"/>
        </w:rPr>
        <w:t>Exchange Control and Tax Reporting Information</w:t>
      </w:r>
      <w:r>
        <w:rPr>
          <w:rFonts w:ascii="Times New Roman" w:cs="Times New Roman" w:eastAsia="Times New Roman" w:hAnsi="Times New Roman"/>
          <w:sz w:val="22"/>
          <w:szCs w:val="22"/>
          <w:color w:val="auto"/>
        </w:rPr>
        <w:t>. The Recipient may hold Company Stock acquired under the Plan in a safety-deposit account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brokerage account) with either a Danish bank or with an approved foreign broker or bank. If the Company Stock is held with a non-Danish broker or bank, the Recipient is required to inform the Danish Tax Administration about the safety-deposit account. For this purpose, the Recipient must file a Declaration V (</w:t>
      </w:r>
      <w:r>
        <w:rPr>
          <w:rFonts w:ascii="Times New Roman" w:cs="Times New Roman" w:eastAsia="Times New Roman" w:hAnsi="Times New Roman"/>
          <w:sz w:val="22"/>
          <w:szCs w:val="22"/>
          <w:i w:val="1"/>
          <w:iCs w:val="1"/>
          <w:color w:val="auto"/>
        </w:rPr>
        <w:t>Erklaering V</w:t>
      </w:r>
      <w:r>
        <w:rPr>
          <w:rFonts w:ascii="Times New Roman" w:cs="Times New Roman" w:eastAsia="Times New Roman" w:hAnsi="Times New Roman"/>
          <w:sz w:val="22"/>
          <w:szCs w:val="22"/>
          <w:color w:val="auto"/>
        </w:rPr>
        <w:t>) with the Danish Tax Administration. Both the Recipient and the bank/broker must sign the Declaration V. By signing the Declaration V, the bank/broker undertakes an obligation, without further request each year not later than on February 1 of the year following the calendar year to which the information relates, to forward certain information to the Danish Tax Administration concerning the content of the safety-deposit account. In the event that the applicable broker or bank with which the safety-deposit account is held does not wish to, or, pursuant to the laws of the country in question, is not allowed to assume such obligation to report, the Recipient acknowledges that he or she is solely responsible for providing certain details regarding the foreign brokerage or bank account and any Company Stock acquired under the Plan and held in such account to the Danish Tax Administration as part of the Recipient’s annual income tax return. By signing the Form V, the Recipient at the same time authorizes the Danish Tax Administration to examine the account. A sample of the Declaration V can be found at the following website: www.skat.dk/getFile.aspx?Id=47392.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19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440" w:right="499" w:bottom="1440" w:gutter="0" w:footer="0" w:header="0"/>
        </w:sectPr>
      </w:pPr>
    </w:p>
    <w:bookmarkStart w:id="62" w:name="page63"/>
    <w:bookmarkEnd w:id="62"/>
    <w:p>
      <w:pPr>
        <w:spacing w:after="0" w:line="333" w:lineRule="exact"/>
        <w:rPr>
          <w:sz w:val="20"/>
          <w:szCs w:val="20"/>
          <w:color w:val="auto"/>
        </w:rPr>
      </w:pPr>
    </w:p>
    <w:p>
      <w:pPr>
        <w:ind w:left="60" w:right="100" w:firstLine="648"/>
        <w:spacing w:after="0" w:line="220" w:lineRule="auto"/>
        <w:rPr>
          <w:sz w:val="20"/>
          <w:szCs w:val="20"/>
          <w:color w:val="auto"/>
        </w:rPr>
      </w:pPr>
      <w:r>
        <w:rPr>
          <w:rFonts w:ascii="Times New Roman" w:cs="Times New Roman" w:eastAsia="Times New Roman" w:hAnsi="Times New Roman"/>
          <w:sz w:val="21"/>
          <w:szCs w:val="21"/>
          <w:color w:val="auto"/>
        </w:rPr>
        <w:t>In addition, when the Recipient opens a deposit account or a brokerage account for the purpose of holding cash outside Denmark, the bank or brokerage account, as applicable, will be treated as a deposit account because cash can be held in the account. Therefore, the Recipient must also file a Declaration K (</w:t>
      </w:r>
      <w:r>
        <w:rPr>
          <w:rFonts w:ascii="Times New Roman" w:cs="Times New Roman" w:eastAsia="Times New Roman" w:hAnsi="Times New Roman"/>
          <w:sz w:val="21"/>
          <w:szCs w:val="21"/>
          <w:i w:val="1"/>
          <w:iCs w:val="1"/>
          <w:color w:val="auto"/>
        </w:rPr>
        <w:t>Erklaering K</w:t>
      </w:r>
      <w:r>
        <w:rPr>
          <w:rFonts w:ascii="Times New Roman" w:cs="Times New Roman" w:eastAsia="Times New Roman" w:hAnsi="Times New Roman"/>
          <w:sz w:val="21"/>
          <w:szCs w:val="21"/>
          <w:color w:val="auto"/>
        </w:rPr>
        <w:t>) with the Danish Tax Administration. Both the Recipient and the bank/broker must sign the Declaration K. By signing the Declaration K, the bank/broker undertakes an obligation, without further request each year, not later than on February 1 of the year following the calendar year to which the information relates, to forward certain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Recipient acknowledges that he or she is solely responsible for providing certain details regarding the foreign brokerage or bank account to the Danish Tax Administration as part of the Recipient’s annual income tax return. By signing the Declaration K, the Recipient at the same time authorizes the Danish Tax Administration to examine the account. A sample of Declaration K can be found at the following website: www.skat.dk/getFile.aspx?Id=42409&amp;newwindow=true.</w:t>
      </w:r>
    </w:p>
    <w:p>
      <w:pPr>
        <w:spacing w:after="0" w:line="260" w:lineRule="exact"/>
        <w:rPr>
          <w:sz w:val="20"/>
          <w:szCs w:val="20"/>
          <w:color w:val="auto"/>
        </w:rPr>
      </w:pPr>
    </w:p>
    <w:p>
      <w:pPr>
        <w:ind w:left="60" w:right="8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If the Recipient establishes an account holding Company Stock or cash outside Denmark, the Recipient must report the account to the Danish Tax Administration. The form which should be used in this respect can be obtained from a local bank. Please note that these obligations are separate from and in addition to the obligations described above.</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ind w:left="60" w:right="440"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Non-Tax-Qualified Award</w:t>
      </w:r>
      <w:r>
        <w:rPr>
          <w:rFonts w:ascii="Times New Roman" w:cs="Times New Roman" w:eastAsia="Times New Roman" w:hAnsi="Times New Roman"/>
          <w:sz w:val="22"/>
          <w:szCs w:val="22"/>
          <w:color w:val="auto"/>
        </w:rPr>
        <w:t>. The Performance Restricted Stock Units are not eligible for the specific tax and social regime provided by section L. 225-197-1 to L. 225-197-6 of the French Commercial Code and the relevant sections of the French Tax Code or French Social Security Code.</w:t>
      </w:r>
    </w:p>
    <w:p>
      <w:pPr>
        <w:spacing w:after="0" w:line="180" w:lineRule="exact"/>
        <w:rPr>
          <w:sz w:val="20"/>
          <w:szCs w:val="20"/>
          <w:color w:val="auto"/>
        </w:rPr>
      </w:pPr>
    </w:p>
    <w:p>
      <w:pPr>
        <w:ind w:left="60" w:right="120"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Language Consent</w:t>
      </w:r>
      <w:r>
        <w:rPr>
          <w:rFonts w:ascii="Times New Roman" w:cs="Times New Roman" w:eastAsia="Times New Roman" w:hAnsi="Times New Roman"/>
          <w:sz w:val="22"/>
          <w:szCs w:val="22"/>
          <w:color w:val="auto"/>
        </w:rPr>
        <w:t>. By accepting the Agreement providing for the terms and conditions of the Recipient’s grant, the Recipient confirms having read and understood the documents relating to this grant (the Plan and the Agreement) which were provided in the English language. The Recipient accepts the terms of these documents accordingly.</w:t>
      </w:r>
    </w:p>
    <w:p>
      <w:pPr>
        <w:spacing w:after="0" w:line="175" w:lineRule="exact"/>
        <w:rPr>
          <w:sz w:val="20"/>
          <w:szCs w:val="20"/>
          <w:color w:val="auto"/>
        </w:rPr>
      </w:pPr>
    </w:p>
    <w:p>
      <w:pPr>
        <w:jc w:val="both"/>
        <w:ind w:left="60" w:firstLine="648"/>
        <w:spacing w:after="0" w:line="213" w:lineRule="auto"/>
        <w:rPr>
          <w:sz w:val="20"/>
          <w:szCs w:val="20"/>
          <w:color w:val="auto"/>
        </w:rPr>
      </w:pPr>
      <w:r>
        <w:rPr>
          <w:rFonts w:ascii="Times New Roman" w:cs="Times New Roman" w:eastAsia="Times New Roman" w:hAnsi="Times New Roman"/>
          <w:sz w:val="22"/>
          <w:szCs w:val="22"/>
          <w:i w:val="1"/>
          <w:iCs w:val="1"/>
          <w:u w:val="single" w:color="auto"/>
          <w:color w:val="auto"/>
        </w:rPr>
        <w:t>Consentement relative à la réception d’informations en langue anglaise</w:t>
      </w:r>
      <w:r>
        <w:rPr>
          <w:rFonts w:ascii="Times New Roman" w:cs="Times New Roman" w:eastAsia="Times New Roman" w:hAnsi="Times New Roman"/>
          <w:sz w:val="22"/>
          <w:szCs w:val="22"/>
          <w:i w:val="1"/>
          <w:iCs w:val="1"/>
          <w:color w:val="auto"/>
        </w:rPr>
        <w:t>. En acceptant le Contrat d’Attribution décrivant les termes et conditions de l’attribution, le Beneficiare confirme ainsi avoir lu et compris les documents relatifs à cette attribution (le Plan et le Contrat</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d’Attribution) qui ont été communiqués en langue anglaise. Le Beneficiare accepte les termes en connaissance de cause.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20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440" w:right="499"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ind w:left="60"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Foreign Asset/Account Reporting Information</w:t>
      </w:r>
      <w:r>
        <w:rPr>
          <w:rFonts w:ascii="Times New Roman" w:cs="Times New Roman" w:eastAsia="Times New Roman" w:hAnsi="Times New Roman"/>
          <w:sz w:val="22"/>
          <w:szCs w:val="22"/>
          <w:color w:val="auto"/>
        </w:rPr>
        <w:t>. The Recipient may hold Company Stock acquired under the Plan provided the Recipient declares all foreign and bank and brokerage accounts (including accounts opened or closed during the tax year) in the Recipient’s tax return. Failure to comply may trigger significant penalties.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ind w:left="60" w:right="32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Cross-border payments in excess of €12,500 must be reported monthly to the German 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the event that the Recipient makes or receives a payment in excess of this amount, he or she must report the payment to Bundesbank electronically using the “General Statistics Reporting Portal” (“</w:t>
      </w:r>
      <w:r>
        <w:rPr>
          <w:rFonts w:ascii="Times New Roman" w:cs="Times New Roman" w:eastAsia="Times New Roman" w:hAnsi="Times New Roman"/>
          <w:sz w:val="22"/>
          <w:szCs w:val="22"/>
          <w:i w:val="1"/>
          <w:iCs w:val="1"/>
          <w:color w:val="auto"/>
        </w:rPr>
        <w:t>Allgemeines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Meldeportal Statistik</w:t>
      </w:r>
      <w:r>
        <w:rPr>
          <w:rFonts w:ascii="Times New Roman" w:cs="Times New Roman" w:eastAsia="Times New Roman" w:hAnsi="Times New Roman"/>
          <w:sz w:val="22"/>
          <w:szCs w:val="22"/>
          <w:color w:val="auto"/>
        </w:rPr>
        <w:t>”) available via Bundesbank’s website (www.bundesbank.de).</w:t>
      </w:r>
    </w:p>
    <w:p>
      <w:pPr>
        <w:spacing w:after="0" w:line="260" w:lineRule="exact"/>
        <w:rPr>
          <w:sz w:val="20"/>
          <w:szCs w:val="20"/>
          <w:color w:val="auto"/>
        </w:rPr>
      </w:pPr>
    </w:p>
    <w:p>
      <w:pPr>
        <w:ind w:left="60" w:right="140" w:firstLine="648"/>
        <w:spacing w:after="0" w:line="213" w:lineRule="auto"/>
        <w:rPr>
          <w:sz w:val="20"/>
          <w:szCs w:val="20"/>
          <w:color w:val="auto"/>
        </w:rPr>
      </w:pP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xml:space="preserve"> The Company and the Employer will at all times, in operating and administering the Plan, adhere to the applicable data protection laws, in particular the GDPR and the German Federal Data Protection Act and, if applicable internal codes or policies applicable to them. The Recipient has received from the Company or, if different, from his Employer, a privacy notice according to Art.13, 14 GDPR describing the details on the processing of his personal data in connection with the Plan. For the avoidance of doubt, the Company and/or Employer is not processing any personal data of the Recipient on the basis of the consent set out in paragraph 15 of this Agreement. If the Recipient will be asked for his consent for specific data processing operations this will be done by a separate declaration of consent.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HONG KONG</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ind w:left="60" w:right="26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Restrictions on Sale of Company Stock</w:t>
      </w:r>
      <w:r>
        <w:rPr>
          <w:rFonts w:ascii="Times New Roman" w:cs="Times New Roman" w:eastAsia="Times New Roman" w:hAnsi="Times New Roman"/>
          <w:sz w:val="22"/>
          <w:szCs w:val="22"/>
          <w:color w:val="auto"/>
        </w:rPr>
        <w:t>. Any Company Stock received at vesting is accepted as a personal investment. In the event the Performance Restricted Stock Units vest and Company Stock is issued to the Recipient within six (6) months of the award grant, the Recipient agrees that he or she will not sell any Company Stock acquired prior to the six-month anniversary of the grant.</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ind w:left="60" w:right="280" w:firstLine="648"/>
        <w:spacing w:after="0" w:line="211"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WARNING: Neither the grant of the Performance Restricted Stock Units nor the issuance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of PRSU Shares upon vesting constitutes a public offering of securities under Hong Kong law and is available only to employees of the Company or its affiliates. The Agreement, including the Addendum, the Plan and other incidental communication materials distributed in connection with the Performance Restricted Stock Units</w:t>
      </w:r>
    </w:p>
    <w:p>
      <w:pPr>
        <w:spacing w:after="0" w:line="2" w:lineRule="exact"/>
        <w:rPr>
          <w:sz w:val="20"/>
          <w:szCs w:val="20"/>
          <w:color w:val="auto"/>
        </w:rPr>
      </w:pPr>
    </w:p>
    <w:p>
      <w:pPr>
        <w:ind w:left="60" w:right="240" w:hanging="2"/>
        <w:spacing w:after="0" w:line="218" w:lineRule="auto"/>
        <w:tabs>
          <w:tab w:leader="none" w:pos="615" w:val="left"/>
        </w:tabs>
        <w:numPr>
          <w:ilvl w:val="0"/>
          <w:numId w:val="5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have not been prepared in accordance with and are not intended to constitute a “prospectus “ for a public offering of securities under the applicable securities legislation in Hong Kong, (ii) have not been reviewed by any regulatory authority in Hong Kong, and (iii) are intended only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21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1389" w:right="339" w:bottom="1440" w:gutter="0" w:footer="0" w:header="0"/>
        </w:sectPr>
      </w:pPr>
    </w:p>
    <w:bookmarkStart w:id="64" w:name="page65"/>
    <w:bookmarkEnd w:id="64"/>
    <w:p>
      <w:pPr>
        <w:ind w:left="100"/>
        <w:spacing w:after="0" w:line="227" w:lineRule="auto"/>
        <w:rPr>
          <w:sz w:val="20"/>
          <w:szCs w:val="20"/>
          <w:color w:val="auto"/>
        </w:rPr>
      </w:pPr>
      <w:r>
        <w:rPr>
          <w:rFonts w:ascii="Times New Roman" w:cs="Times New Roman" w:eastAsia="Times New Roman" w:hAnsi="Times New Roman"/>
          <w:sz w:val="22"/>
          <w:szCs w:val="22"/>
          <w:i w:val="1"/>
          <w:iCs w:val="1"/>
          <w:color w:val="auto"/>
        </w:rPr>
        <w:t>for the personal use of each eligible employee of the Company or its affiliates and may not be distributed to any other person. If the Recipient has any questions regarding the contents of the Agreement, including the Addendum or the Plan, the Recipient should obtain independent professional advice.</w:t>
      </w:r>
    </w:p>
    <w:p>
      <w:pPr>
        <w:spacing w:after="0" w:line="177" w:lineRule="exact"/>
        <w:rPr>
          <w:sz w:val="20"/>
          <w:szCs w:val="20"/>
          <w:color w:val="auto"/>
        </w:rPr>
      </w:pPr>
    </w:p>
    <w:p>
      <w:pPr>
        <w:ind w:left="100" w:right="100"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Nature of Scheme</w:t>
      </w:r>
      <w:r>
        <w:rPr>
          <w:rFonts w:ascii="Times New Roman" w:cs="Times New Roman" w:eastAsia="Times New Roman" w:hAnsi="Times New Roman"/>
          <w:sz w:val="22"/>
          <w:szCs w:val="22"/>
          <w:color w:val="auto"/>
        </w:rPr>
        <w:t>. The Company specifically intends that the Plan will not be an occupational retirement scheme for purposes of the Occupational Retirement Schemes Ordinance (“</w:t>
      </w:r>
      <w:r>
        <w:rPr>
          <w:rFonts w:ascii="Times New Roman" w:cs="Times New Roman" w:eastAsia="Times New Roman" w:hAnsi="Times New Roman"/>
          <w:sz w:val="22"/>
          <w:szCs w:val="22"/>
          <w:u w:val="single" w:color="auto"/>
          <w:color w:val="auto"/>
        </w:rPr>
        <w:t>ORSO</w:t>
      </w:r>
      <w:r>
        <w:rPr>
          <w:rFonts w:ascii="Times New Roman" w:cs="Times New Roman" w:eastAsia="Times New Roman" w:hAnsi="Times New Roman"/>
          <w:sz w:val="22"/>
          <w:szCs w:val="22"/>
          <w:color w:val="auto"/>
        </w:rPr>
        <w:t>”). Notwithstanding the foregoing, if the Plan is deemed to constitute an occupational retirement scheme for purposes of ORSO, then the Recipient’s grant shall be void.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The following provision replaces paragraph 15 of the Agreement in its entirety:</w:t>
      </w:r>
    </w:p>
    <w:p>
      <w:pPr>
        <w:spacing w:after="0" w:line="200" w:lineRule="exact"/>
        <w:rPr>
          <w:sz w:val="20"/>
          <w:szCs w:val="20"/>
          <w:color w:val="auto"/>
        </w:rPr>
      </w:pPr>
    </w:p>
    <w:p>
      <w:pPr>
        <w:ind w:left="100" w:right="1100" w:firstLine="648"/>
        <w:spacing w:after="0" w:line="219" w:lineRule="auto"/>
        <w:rPr>
          <w:sz w:val="20"/>
          <w:szCs w:val="20"/>
          <w:color w:val="auto"/>
        </w:rPr>
      </w:pPr>
      <w:r>
        <w:rPr>
          <w:rFonts w:ascii="Times New Roman" w:cs="Times New Roman" w:eastAsia="Times New Roman" w:hAnsi="Times New Roman"/>
          <w:sz w:val="22"/>
          <w:szCs w:val="22"/>
          <w:b w:val="1"/>
          <w:bCs w:val="1"/>
          <w:i w:val="1"/>
          <w:iCs w:val="1"/>
          <w:color w:val="auto"/>
        </w:rPr>
        <w:t>The Recipient understands that the Company and any Subsidiary Corporation may hold certain personal information about the Recipient, including, but not limited to, the</w:t>
      </w:r>
    </w:p>
    <w:p>
      <w:pPr>
        <w:ind w:left="100" w:right="100"/>
        <w:spacing w:after="0" w:line="210" w:lineRule="auto"/>
        <w:rPr>
          <w:sz w:val="20"/>
          <w:szCs w:val="20"/>
          <w:color w:val="auto"/>
        </w:rPr>
      </w:pPr>
      <w:r>
        <w:rPr>
          <w:rFonts w:ascii="Times New Roman" w:cs="Times New Roman" w:eastAsia="Times New Roman" w:hAnsi="Times New Roman"/>
          <w:sz w:val="22"/>
          <w:szCs w:val="22"/>
          <w:b w:val="1"/>
          <w:bCs w:val="1"/>
          <w:i w:val="1"/>
          <w:iCs w:val="1"/>
          <w:color w:val="auto"/>
        </w:rPr>
        <w:t>Recipient’s name, home address, email address and telephone number, date of birth, social insurance, passport or other identification number (to the extent permitted under Italian law), salary, nationality, job title, any shares of stock or directorships held in the Company or any Subsidiary Corporation, details of all Performance Restricted Stock Units or other entitlement to common units or equivalent benefits granted, awarded, canceled, exercised, vested, unvested or outstanding in the Recipient’s favor, and that the Company and the Employer will process said data and other data lawfully received from third parties (“Data”) for the exclusive purpose of implementing, managing and administering the Recipient’s participation in the Plan and complying with applicable laws, including community legislation.</w:t>
      </w:r>
    </w:p>
    <w:p>
      <w:pPr>
        <w:spacing w:after="0" w:line="176" w:lineRule="exact"/>
        <w:rPr>
          <w:sz w:val="20"/>
          <w:szCs w:val="20"/>
          <w:color w:val="auto"/>
        </w:rPr>
      </w:pPr>
    </w:p>
    <w:p>
      <w:pPr>
        <w:ind w:left="100" w:right="200" w:firstLine="648"/>
        <w:spacing w:after="0" w:line="212" w:lineRule="auto"/>
        <w:rPr>
          <w:sz w:val="20"/>
          <w:szCs w:val="20"/>
          <w:color w:val="auto"/>
        </w:rPr>
      </w:pPr>
      <w:r>
        <w:rPr>
          <w:rFonts w:ascii="Times New Roman" w:cs="Times New Roman" w:eastAsia="Times New Roman" w:hAnsi="Times New Roman"/>
          <w:sz w:val="22"/>
          <w:szCs w:val="22"/>
          <w:b w:val="1"/>
          <w:bCs w:val="1"/>
          <w:i w:val="1"/>
          <w:iCs w:val="1"/>
          <w:color w:val="auto"/>
        </w:rPr>
        <w:t>The Recipient also understands that providing the Company with Data is necessary to effectuate the Recipient’s participation in the Plan and that the Recipient’s refusal to do so would make it impossible for the Company to perform its contractual obligations and may affect the Recipient’s ability to participate in the Plan. The controllers of Data processing are</w:t>
      </w:r>
    </w:p>
    <w:p>
      <w:pPr>
        <w:jc w:val="both"/>
        <w:ind w:left="100" w:right="820"/>
        <w:spacing w:after="0" w:line="218" w:lineRule="auto"/>
        <w:rPr>
          <w:sz w:val="20"/>
          <w:szCs w:val="20"/>
          <w:color w:val="auto"/>
        </w:rPr>
      </w:pPr>
      <w:r>
        <w:rPr>
          <w:rFonts w:ascii="Times New Roman" w:cs="Times New Roman" w:eastAsia="Times New Roman" w:hAnsi="Times New Roman"/>
          <w:sz w:val="22"/>
          <w:szCs w:val="22"/>
          <w:b w:val="1"/>
          <w:bCs w:val="1"/>
          <w:i w:val="1"/>
          <w:iCs w:val="1"/>
          <w:color w:val="auto"/>
        </w:rPr>
        <w:t>Ametek, Inc. with registered offices at 1100 Cassatt Road, Berwyn, PA 19312, U.S.A., which is also the Company’s representative in Italy for privacy purposes pursuant to GDPR and Legislative Decree no. 196/2003, as amended by Legislative Decree no. 101/2018.</w:t>
      </w:r>
    </w:p>
    <w:p>
      <w:pPr>
        <w:spacing w:after="0" w:line="172" w:lineRule="exact"/>
        <w:rPr>
          <w:sz w:val="20"/>
          <w:szCs w:val="20"/>
          <w:color w:val="auto"/>
        </w:rPr>
      </w:pPr>
    </w:p>
    <w:p>
      <w:pPr>
        <w:jc w:val="both"/>
        <w:ind w:left="100" w:right="220" w:firstLine="648"/>
        <w:spacing w:after="0" w:line="222" w:lineRule="auto"/>
        <w:rPr>
          <w:sz w:val="20"/>
          <w:szCs w:val="20"/>
          <w:color w:val="auto"/>
        </w:rPr>
      </w:pPr>
      <w:r>
        <w:rPr>
          <w:rFonts w:ascii="Times New Roman" w:cs="Times New Roman" w:eastAsia="Times New Roman" w:hAnsi="Times New Roman"/>
          <w:sz w:val="22"/>
          <w:szCs w:val="22"/>
          <w:b w:val="1"/>
          <w:bCs w:val="1"/>
          <w:i w:val="1"/>
          <w:iCs w:val="1"/>
          <w:color w:val="auto"/>
        </w:rPr>
        <w:t xml:space="preserve">The Recipient understands that Data will not be publicized, but it may be accessible by the Employer as the privacy representative of the Company and within the Employer’s organization by its internal and external personnel in charge of processing such Data and the data processor (“Processor”). An updated list of Processors and other transferees of Data is available upon </w:t>
      </w:r>
      <w:r>
        <w:rPr>
          <w:rFonts w:ascii="Times New Roman" w:cs="Times New Roman" w:eastAsia="Times New Roman" w:hAnsi="Times New Roman"/>
          <w:sz w:val="22"/>
          <w:szCs w:val="22"/>
          <w:i w:val="1"/>
          <w:iCs w:val="1"/>
          <w:color w:val="auto"/>
        </w:rPr>
        <w:t>request from the Employer.</w:t>
      </w:r>
    </w:p>
    <w:p>
      <w:pPr>
        <w:spacing w:after="0" w:line="171" w:lineRule="exact"/>
        <w:rPr>
          <w:sz w:val="20"/>
          <w:szCs w:val="20"/>
          <w:color w:val="auto"/>
        </w:rPr>
      </w:pPr>
    </w:p>
    <w:p>
      <w:pPr>
        <w:ind w:left="100" w:right="100" w:firstLine="648"/>
        <w:spacing w:after="0" w:line="222" w:lineRule="auto"/>
        <w:rPr>
          <w:sz w:val="20"/>
          <w:szCs w:val="20"/>
          <w:color w:val="auto"/>
        </w:rPr>
      </w:pPr>
      <w:r>
        <w:rPr>
          <w:rFonts w:ascii="Times New Roman" w:cs="Times New Roman" w:eastAsia="Times New Roman" w:hAnsi="Times New Roman"/>
          <w:sz w:val="22"/>
          <w:szCs w:val="22"/>
          <w:b w:val="1"/>
          <w:bCs w:val="1"/>
          <w:i w:val="1"/>
          <w:iCs w:val="1"/>
          <w:color w:val="auto"/>
        </w:rPr>
        <w:t>Furthermore, Data may be transferred to banks, other financial institutions, or brokers involved in the management and administration of the Plan. The Recipient understands that Data may also be transferred to the Recipient’s stock plan service provider, Schwab Stock Plan Services, or such other administrator that may be engaged by the Company in the future. The Recipient further understands that the Company and/or any Subsidiary Corporation will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22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1391" w:right="419" w:bottom="1440" w:gutter="0" w:footer="0" w:header="0"/>
        </w:sectPr>
      </w:pPr>
    </w:p>
    <w:bookmarkStart w:id="65" w:name="page66"/>
    <w:bookmarkEnd w:id="65"/>
    <w:p>
      <w:pPr>
        <w:ind w:left="60" w:right="280"/>
        <w:spacing w:after="0" w:line="212" w:lineRule="auto"/>
        <w:rPr>
          <w:sz w:val="20"/>
          <w:szCs w:val="20"/>
          <w:color w:val="auto"/>
        </w:rPr>
      </w:pPr>
      <w:r>
        <w:rPr>
          <w:rFonts w:ascii="Times New Roman" w:cs="Times New Roman" w:eastAsia="Times New Roman" w:hAnsi="Times New Roman"/>
          <w:sz w:val="22"/>
          <w:szCs w:val="22"/>
          <w:b w:val="1"/>
          <w:bCs w:val="1"/>
          <w:i w:val="1"/>
          <w:iCs w:val="1"/>
          <w:color w:val="auto"/>
        </w:rPr>
        <w:t>transfer Data among themselves as necessary for the purpose of the implementation, administration and management of the Recipient’s participation in the Plan. The Data recipients may receive, possess, use, retain, and transfer Data in electronic or other form, for the purpose of implementing, administering, and managing the Recipient’s participation in the Plan. The Recipient understands that these recipients may be acting as controllers,</w:t>
      </w:r>
    </w:p>
    <w:p>
      <w:pPr>
        <w:ind w:left="60" w:right="120"/>
        <w:spacing w:after="0" w:line="212" w:lineRule="auto"/>
        <w:rPr>
          <w:sz w:val="20"/>
          <w:szCs w:val="20"/>
          <w:color w:val="auto"/>
        </w:rPr>
      </w:pPr>
      <w:r>
        <w:rPr>
          <w:rFonts w:ascii="Times New Roman" w:cs="Times New Roman" w:eastAsia="Times New Roman" w:hAnsi="Times New Roman"/>
          <w:sz w:val="22"/>
          <w:szCs w:val="22"/>
          <w:b w:val="1"/>
          <w:bCs w:val="1"/>
          <w:i w:val="1"/>
          <w:iCs w:val="1"/>
          <w:color w:val="auto"/>
        </w:rPr>
        <w:t>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 Should the Company exercise its discretion in suspending or terminating the Plan, it will delete Data as soon as it has accomplished all the necessary legal obligations connected with the management and administration of the Plan.</w:t>
      </w:r>
    </w:p>
    <w:p>
      <w:pPr>
        <w:spacing w:after="0" w:line="176" w:lineRule="exact"/>
        <w:rPr>
          <w:sz w:val="20"/>
          <w:szCs w:val="20"/>
          <w:color w:val="auto"/>
        </w:rPr>
      </w:pPr>
    </w:p>
    <w:p>
      <w:pPr>
        <w:ind w:left="60" w:firstLine="648"/>
        <w:spacing w:after="0" w:line="211" w:lineRule="auto"/>
        <w:rPr>
          <w:sz w:val="20"/>
          <w:szCs w:val="20"/>
          <w:color w:val="auto"/>
        </w:rPr>
      </w:pPr>
      <w:r>
        <w:rPr>
          <w:rFonts w:ascii="Times New Roman" w:cs="Times New Roman" w:eastAsia="Times New Roman" w:hAnsi="Times New Roman"/>
          <w:sz w:val="22"/>
          <w:szCs w:val="22"/>
          <w:b w:val="1"/>
          <w:bCs w:val="1"/>
          <w:i w:val="1"/>
          <w:iCs w:val="1"/>
          <w:color w:val="auto"/>
        </w:rPr>
        <w:t>The Recipient understands that Data processing for the purposes specified in the Agreement shall take place under automated or non-automated conditions, anonymously when possible, and with confidentiality and security provisions, as set forth by applicable laws, with specific reference to GDPR and Legislative Decree no. 196/2003, as amended by Legislative Decree no. 101/2018. The processing activity, including the transfer of Data abroad, including outside of the European Economic Area, as specified in the Agreement does not require the Recipient’s consent thereto as the processing is necessary for the performance of legal and contractual obligations related to implementation, administration and management of the Plan. The Recipient understands that, pursuant to GDPR and Legislative Decree no. 196/2003, as amended by Legislative Decree no. 101/2018, the Recipient has the right at any moment to, without limitation, obtain information on Data held, access and verify its contents, origin and accuracy, delete, update, integrate, correct, block or stop, for legitimate reason, the Data processing by contacting the Recipient’s local human resources representative. Finally, the Recipient is aware that Data will not be used for direct marketing purposes.</w:t>
      </w:r>
    </w:p>
    <w:p>
      <w:pPr>
        <w:spacing w:after="0" w:line="192" w:lineRule="exact"/>
        <w:rPr>
          <w:sz w:val="20"/>
          <w:szCs w:val="20"/>
          <w:color w:val="auto"/>
        </w:rPr>
      </w:pPr>
    </w:p>
    <w:p>
      <w:pPr>
        <w:ind w:left="60" w:right="320" w:firstLine="648"/>
        <w:spacing w:after="0" w:line="220" w:lineRule="auto"/>
        <w:rPr>
          <w:sz w:val="20"/>
          <w:szCs w:val="20"/>
          <w:color w:val="auto"/>
        </w:rPr>
      </w:pPr>
      <w:r>
        <w:rPr>
          <w:rFonts w:ascii="Times New Roman" w:cs="Times New Roman" w:eastAsia="Times New Roman" w:hAnsi="Times New Roman"/>
          <w:sz w:val="22"/>
          <w:szCs w:val="22"/>
          <w:u w:val="single" w:color="auto"/>
          <w:color w:val="auto"/>
        </w:rPr>
        <w:t>Grant Terms Acknowledgement</w:t>
      </w:r>
      <w:r>
        <w:rPr>
          <w:rFonts w:ascii="Times New Roman" w:cs="Times New Roman" w:eastAsia="Times New Roman" w:hAnsi="Times New Roman"/>
          <w:sz w:val="22"/>
          <w:szCs w:val="22"/>
          <w:color w:val="auto"/>
        </w:rPr>
        <w:t>. By accepting the Performance Restricted Stock Units, the Recipient acknowledges having received and reviewed the Plan and the Agreement, in their entirety and fully understands and accepts all provisions of the Plan and the Agreement. The Recipient further acknowledges that he or she has specifically read and expressly approves the following provisions of the Agreement: paragraphs 3, 9, 18 and 24.</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u w:val="single" w:color="auto"/>
          <w:color w:val="auto"/>
        </w:rPr>
        <w:t>Reporting requirements and taxes on financial activities held abroad</w:t>
      </w:r>
    </w:p>
    <w:p>
      <w:pPr>
        <w:spacing w:after="0" w:line="287" w:lineRule="exact"/>
        <w:rPr>
          <w:sz w:val="20"/>
          <w:szCs w:val="20"/>
          <w:color w:val="auto"/>
        </w:rPr>
      </w:pPr>
    </w:p>
    <w:p>
      <w:pPr>
        <w:ind w:left="60" w:right="340" w:firstLine="648"/>
        <w:spacing w:after="0" w:line="225" w:lineRule="auto"/>
        <w:rPr>
          <w:sz w:val="20"/>
          <w:szCs w:val="20"/>
          <w:color w:val="auto"/>
        </w:rPr>
      </w:pPr>
      <w:r>
        <w:rPr>
          <w:rFonts w:ascii="Times New Roman" w:cs="Times New Roman" w:eastAsia="Times New Roman" w:hAnsi="Times New Roman"/>
          <w:sz w:val="22"/>
          <w:szCs w:val="22"/>
          <w:color w:val="auto"/>
        </w:rPr>
        <w:t>Individuals fiscally resident in Italy who hold abroad financial activities directly (i.e. without the interposition of an Italian financial intermediary), are required to fill in a specific section of the personal income tax return (so called “RW form”); they are also obliged to pay a flat tax at the rate of 0.2% on the value of such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23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389" w:right="499" w:bottom="1440" w:gutter="0" w:footer="0" w:header="0"/>
        </w:sectPr>
      </w:pPr>
    </w:p>
    <w:bookmarkStart w:id="66" w:name="page67"/>
    <w:bookmarkEnd w:id="66"/>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MEXICO</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ind w:left="60" w:firstLine="648"/>
        <w:spacing w:after="0" w:line="217" w:lineRule="auto"/>
        <w:rPr>
          <w:sz w:val="20"/>
          <w:szCs w:val="20"/>
          <w:color w:val="auto"/>
        </w:rPr>
      </w:pPr>
      <w:r>
        <w:rPr>
          <w:rFonts w:ascii="Times New Roman" w:cs="Times New Roman" w:eastAsia="Times New Roman" w:hAnsi="Times New Roman"/>
          <w:sz w:val="22"/>
          <w:szCs w:val="22"/>
          <w:u w:val="single" w:color="auto"/>
          <w:color w:val="auto"/>
        </w:rPr>
        <w:t>Acknowledgement of the Agreement</w:t>
      </w:r>
      <w:r>
        <w:rPr>
          <w:rFonts w:ascii="Times New Roman" w:cs="Times New Roman" w:eastAsia="Times New Roman" w:hAnsi="Times New Roman"/>
          <w:sz w:val="22"/>
          <w:szCs w:val="22"/>
          <w:color w:val="auto"/>
        </w:rPr>
        <w:t>. By accepting the Performance Restricted Stock Units, the Recipient acknowledges that he or she has received a copy of the Plan and the Agreement, including this Addendum, which he or she has reviewed. The Recipient further acknowledges that he or she accepts all the provisions of the Plan and the Agreement, including this Addendum. The Recipient also acknowledges that he or she has read and specifically and expressly approves the terms and conditions set forth in paragraph 13 of the Agreement, which clearly provides as follows:</w:t>
      </w:r>
    </w:p>
    <w:p>
      <w:pPr>
        <w:spacing w:after="0" w:line="179" w:lineRule="exact"/>
        <w:rPr>
          <w:sz w:val="20"/>
          <w:szCs w:val="20"/>
          <w:color w:val="auto"/>
        </w:rPr>
      </w:pPr>
    </w:p>
    <w:p>
      <w:pPr>
        <w:ind w:left="2000" w:hanging="646"/>
        <w:spacing w:after="0"/>
        <w:tabs>
          <w:tab w:leader="none" w:pos="20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Recipient’s participation in the Plan does not constitute an acquired right;</w:t>
      </w:r>
    </w:p>
    <w:p>
      <w:pPr>
        <w:spacing w:after="0" w:line="206" w:lineRule="exact"/>
        <w:rPr>
          <w:rFonts w:ascii="Times New Roman" w:cs="Times New Roman" w:eastAsia="Times New Roman" w:hAnsi="Times New Roman"/>
          <w:sz w:val="22"/>
          <w:szCs w:val="22"/>
          <w:color w:val="auto"/>
        </w:rPr>
      </w:pPr>
    </w:p>
    <w:p>
      <w:pPr>
        <w:ind w:left="2000" w:right="1580" w:hanging="646"/>
        <w:spacing w:after="0" w:line="236" w:lineRule="auto"/>
        <w:tabs>
          <w:tab w:leader="none" w:pos="199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the Recipient’s participation in it are offered by the Company on a wholly discretionary basis;</w:t>
      </w:r>
    </w:p>
    <w:p>
      <w:pPr>
        <w:spacing w:after="0" w:line="190" w:lineRule="exact"/>
        <w:rPr>
          <w:rFonts w:ascii="Times New Roman" w:cs="Times New Roman" w:eastAsia="Times New Roman" w:hAnsi="Times New Roman"/>
          <w:sz w:val="22"/>
          <w:szCs w:val="22"/>
          <w:color w:val="auto"/>
        </w:rPr>
      </w:pPr>
    </w:p>
    <w:p>
      <w:pPr>
        <w:ind w:left="2000" w:hanging="647"/>
        <w:spacing w:after="0"/>
        <w:tabs>
          <w:tab w:leader="none" w:pos="20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Recipient’s participation in the Plan is voluntary; and</w:t>
      </w:r>
    </w:p>
    <w:p>
      <w:pPr>
        <w:spacing w:after="0" w:line="219" w:lineRule="exact"/>
        <w:rPr>
          <w:rFonts w:ascii="Times New Roman" w:cs="Times New Roman" w:eastAsia="Times New Roman" w:hAnsi="Times New Roman"/>
          <w:sz w:val="22"/>
          <w:szCs w:val="22"/>
          <w:color w:val="auto"/>
        </w:rPr>
      </w:pPr>
    </w:p>
    <w:p>
      <w:pPr>
        <w:ind w:left="2000" w:right="320" w:hanging="646"/>
        <w:spacing w:after="0" w:line="236" w:lineRule="auto"/>
        <w:tabs>
          <w:tab w:leader="none" w:pos="199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Subsidiary Corporations are not responsible for any decrease in the value of any PRSU Shares acquired under the Plan.</w:t>
      </w:r>
    </w:p>
    <w:p>
      <w:pPr>
        <w:spacing w:after="0" w:line="177" w:lineRule="exact"/>
        <w:rPr>
          <w:sz w:val="20"/>
          <w:szCs w:val="20"/>
          <w:color w:val="auto"/>
        </w:rPr>
      </w:pPr>
    </w:p>
    <w:p>
      <w:pPr>
        <w:ind w:left="60" w:right="200" w:firstLine="648"/>
        <w:spacing w:after="0" w:line="211" w:lineRule="auto"/>
        <w:rPr>
          <w:sz w:val="20"/>
          <w:szCs w:val="20"/>
          <w:color w:val="auto"/>
        </w:rPr>
      </w:pPr>
      <w:r>
        <w:rPr>
          <w:rFonts w:ascii="Times New Roman" w:cs="Times New Roman" w:eastAsia="Times New Roman" w:hAnsi="Times New Roman"/>
          <w:sz w:val="22"/>
          <w:szCs w:val="22"/>
          <w:u w:val="single" w:color="auto"/>
          <w:color w:val="auto"/>
        </w:rPr>
        <w:t>Labor Law Acknowledgement and Policy Statement</w:t>
      </w:r>
      <w:r>
        <w:rPr>
          <w:rFonts w:ascii="Times New Roman" w:cs="Times New Roman" w:eastAsia="Times New Roman" w:hAnsi="Times New Roman"/>
          <w:sz w:val="22"/>
          <w:szCs w:val="22"/>
          <w:color w:val="auto"/>
        </w:rPr>
        <w:t>. By accepting the Performance Restricted Stock Units, the Recipient acknowledges that the Company, with registered offices at 1100 Cassatt Road, Berwyn, PA 19312, U.S.A., is solely responsible for the administration of the Plan. The Recipient further acknowledges that his or her participation in the Plan, the grant of Performance Restricted Stock Units and any acquisition of PRSU Shares under the Plan do not constitute an employment relationship between the Recipient and the Company because the Recipient is participating in the Plan on a wholly commercial basis. Based on the foregoing, the Recipient expressly acknowledges that the Plan and the benefits that he or she may derive from participation in the Plan do not establish any rights between the Recipient and the Employer and do not form part of the employment conditions and/or benefits provided by the Employer, and any modification of the Plan or its termination shall not constitute a change or impairment of the terms and conditions of the Recipient’s employment.</w:t>
      </w:r>
    </w:p>
    <w:p>
      <w:pPr>
        <w:spacing w:after="0" w:line="199" w:lineRule="exact"/>
        <w:rPr>
          <w:sz w:val="20"/>
          <w:szCs w:val="20"/>
          <w:color w:val="auto"/>
        </w:rPr>
      </w:pPr>
    </w:p>
    <w:p>
      <w:pPr>
        <w:jc w:val="both"/>
        <w:ind w:left="60" w:right="240" w:firstLine="648"/>
        <w:spacing w:after="0" w:line="225" w:lineRule="auto"/>
        <w:rPr>
          <w:sz w:val="20"/>
          <w:szCs w:val="20"/>
          <w:color w:val="auto"/>
        </w:rPr>
      </w:pPr>
      <w:r>
        <w:rPr>
          <w:rFonts w:ascii="Times New Roman" w:cs="Times New Roman" w:eastAsia="Times New Roman" w:hAnsi="Times New Roman"/>
          <w:sz w:val="22"/>
          <w:szCs w:val="22"/>
          <w:color w:val="auto"/>
        </w:rPr>
        <w:t>The Recipient further understands that his or her participation in the Plan is the result of a unilateral and discretionary decision of the Company and, therefore, the Company reserves the absolute right to amend and/or discontinue the Recipient’s participation in the Plan at any time, without any liability to the Recipient.</w:t>
      </w:r>
    </w:p>
    <w:p>
      <w:pPr>
        <w:spacing w:after="0" w:line="179" w:lineRule="exact"/>
        <w:rPr>
          <w:sz w:val="20"/>
          <w:szCs w:val="20"/>
          <w:color w:val="auto"/>
        </w:rPr>
      </w:pPr>
    </w:p>
    <w:p>
      <w:pPr>
        <w:ind w:left="60" w:right="200" w:firstLine="648"/>
        <w:spacing w:after="0" w:line="231" w:lineRule="auto"/>
        <w:rPr>
          <w:sz w:val="20"/>
          <w:szCs w:val="20"/>
          <w:color w:val="auto"/>
        </w:rPr>
      </w:pPr>
      <w:r>
        <w:rPr>
          <w:rFonts w:ascii="Times New Roman" w:cs="Times New Roman" w:eastAsia="Times New Roman" w:hAnsi="Times New Roman"/>
          <w:sz w:val="21"/>
          <w:szCs w:val="21"/>
          <w:color w:val="auto"/>
        </w:rPr>
        <w:t>Finally, the Recipient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parent, subsidiaries, branches, representation offices, stockholders,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24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60" w:top="1440" w:right="399" w:bottom="1440" w:gutter="0" w:footer="0" w:header="0"/>
        </w:sectPr>
      </w:pPr>
    </w:p>
    <w:bookmarkStart w:id="67" w:name="page68"/>
    <w:bookmarkEnd w:id="67"/>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Spanish Translation</w:t>
      </w:r>
    </w:p>
    <w:p>
      <w:pPr>
        <w:spacing w:after="0" w:line="208" w:lineRule="exact"/>
        <w:rPr>
          <w:sz w:val="20"/>
          <w:szCs w:val="20"/>
          <w:color w:val="auto"/>
        </w:rPr>
      </w:pPr>
    </w:p>
    <w:p>
      <w:pPr>
        <w:ind w:left="60" w:right="120" w:firstLine="648"/>
        <w:spacing w:after="0" w:line="216" w:lineRule="auto"/>
        <w:rPr>
          <w:sz w:val="20"/>
          <w:szCs w:val="20"/>
          <w:color w:val="auto"/>
        </w:rPr>
      </w:pPr>
      <w:r>
        <w:rPr>
          <w:rFonts w:ascii="Times New Roman" w:cs="Times New Roman" w:eastAsia="Times New Roman" w:hAnsi="Times New Roman"/>
          <w:sz w:val="21"/>
          <w:szCs w:val="21"/>
          <w:i w:val="1"/>
          <w:iCs w:val="1"/>
          <w:u w:val="single" w:color="auto"/>
          <w:color w:val="auto"/>
        </w:rPr>
        <w:t>Reconocimiento del Convenio de Concesión</w:t>
      </w:r>
      <w:r>
        <w:rPr>
          <w:rFonts w:ascii="Times New Roman" w:cs="Times New Roman" w:eastAsia="Times New Roman" w:hAnsi="Times New Roman"/>
          <w:sz w:val="21"/>
          <w:szCs w:val="21"/>
          <w:i w:val="1"/>
          <w:iCs w:val="1"/>
          <w:color w:val="auto"/>
        </w:rPr>
        <w:t>. Al aceptar el Premio,</w:t>
      </w:r>
      <w:r>
        <w:rPr>
          <w:rFonts w:ascii="Times New Roman" w:cs="Times New Roman" w:eastAsia="Times New Roman" w:hAnsi="Times New Roman"/>
          <w:sz w:val="27"/>
          <w:szCs w:val="27"/>
          <w:i w:val="1"/>
          <w:iCs w:val="1"/>
          <w:color w:val="auto"/>
          <w:vertAlign w:val="superscript"/>
        </w:rPr>
        <w:t>1</w:t>
      </w:r>
      <w:r>
        <w:rPr>
          <w:rFonts w:ascii="Times New Roman" w:cs="Times New Roman" w:eastAsia="Times New Roman" w:hAnsi="Times New Roman"/>
          <w:sz w:val="21"/>
          <w:szCs w:val="21"/>
          <w:i w:val="1"/>
          <w:iCs w:val="1"/>
          <w:color w:val="auto"/>
        </w:rPr>
        <w:t xml:space="preserve"> el Recipiente reconoce que ha recibido y revisado una copia del Plan y del Convenio, incluyendo este Apéndice. Además, el Recipiente reconoce y acepta todas las disposiciones del Plan y del Convenio, incluyendo este Apéndice. El Recipiente también reconoce que ha leído y aprobado de forma expresa los términos y condiciones establecidos en el párrafo 13 del Convenio, que claramente establece lo siguiente:</w:t>
      </w:r>
    </w:p>
    <w:p>
      <w:pPr>
        <w:spacing w:after="0" w:line="176" w:lineRule="exact"/>
        <w:rPr>
          <w:sz w:val="20"/>
          <w:szCs w:val="20"/>
          <w:color w:val="auto"/>
        </w:rPr>
      </w:pPr>
    </w:p>
    <w:p>
      <w:pPr>
        <w:ind w:left="2000" w:hanging="646"/>
        <w:spacing w:after="0"/>
        <w:tabs>
          <w:tab w:leader="none" w:pos="2000" w:val="left"/>
        </w:tabs>
        <w:numPr>
          <w:ilvl w:val="0"/>
          <w:numId w:val="6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participación del Recipiente en el Plan no constituye un derecho adquirido;</w:t>
      </w:r>
    </w:p>
    <w:p>
      <w:pPr>
        <w:spacing w:after="0" w:line="219" w:lineRule="exact"/>
        <w:rPr>
          <w:rFonts w:ascii="Times New Roman" w:cs="Times New Roman" w:eastAsia="Times New Roman" w:hAnsi="Times New Roman"/>
          <w:sz w:val="22"/>
          <w:szCs w:val="22"/>
          <w:i w:val="1"/>
          <w:iCs w:val="1"/>
          <w:color w:val="auto"/>
        </w:rPr>
      </w:pPr>
    </w:p>
    <w:p>
      <w:pPr>
        <w:ind w:left="2000" w:right="920" w:hanging="646"/>
        <w:spacing w:after="0" w:line="238" w:lineRule="auto"/>
        <w:tabs>
          <w:tab w:leader="none" w:pos="1995" w:val="left"/>
        </w:tabs>
        <w:numPr>
          <w:ilvl w:val="0"/>
          <w:numId w:val="6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 Plan y la participación del Recipiente en lo mismo es ofrecido por la Compañía de manera completamente discrecional;</w:t>
      </w:r>
    </w:p>
    <w:p>
      <w:pPr>
        <w:spacing w:after="0" w:line="186" w:lineRule="exact"/>
        <w:rPr>
          <w:rFonts w:ascii="Times New Roman" w:cs="Times New Roman" w:eastAsia="Times New Roman" w:hAnsi="Times New Roman"/>
          <w:sz w:val="22"/>
          <w:szCs w:val="22"/>
          <w:i w:val="1"/>
          <w:iCs w:val="1"/>
          <w:color w:val="auto"/>
        </w:rPr>
      </w:pPr>
    </w:p>
    <w:p>
      <w:pPr>
        <w:ind w:left="2000" w:hanging="647"/>
        <w:spacing w:after="0"/>
        <w:tabs>
          <w:tab w:leader="none" w:pos="2000" w:val="left"/>
        </w:tabs>
        <w:numPr>
          <w:ilvl w:val="0"/>
          <w:numId w:val="6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participación del Recipiente en el Plan es voluntaria; y</w:t>
      </w:r>
    </w:p>
    <w:p>
      <w:pPr>
        <w:spacing w:after="0" w:line="206" w:lineRule="exact"/>
        <w:rPr>
          <w:rFonts w:ascii="Times New Roman" w:cs="Times New Roman" w:eastAsia="Times New Roman" w:hAnsi="Times New Roman"/>
          <w:sz w:val="22"/>
          <w:szCs w:val="22"/>
          <w:i w:val="1"/>
          <w:iCs w:val="1"/>
          <w:color w:val="auto"/>
        </w:rPr>
      </w:pPr>
    </w:p>
    <w:p>
      <w:pPr>
        <w:ind w:left="2000" w:right="460" w:hanging="646"/>
        <w:spacing w:after="0" w:line="238" w:lineRule="auto"/>
        <w:tabs>
          <w:tab w:leader="none" w:pos="1995" w:val="left"/>
        </w:tabs>
        <w:numPr>
          <w:ilvl w:val="0"/>
          <w:numId w:val="6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La Compañía y sus Corporaciones Subsidiaras no son responsables por ninguna disminución en el valor de las Acciones de PRSU (en Inglés, “PRSU Shares”) adquiridas en virtud del Plan.</w:t>
      </w:r>
    </w:p>
    <w:p>
      <w:pPr>
        <w:spacing w:after="0" w:line="187" w:lineRule="exact"/>
        <w:rPr>
          <w:sz w:val="20"/>
          <w:szCs w:val="20"/>
          <w:color w:val="auto"/>
        </w:rPr>
      </w:pPr>
    </w:p>
    <w:p>
      <w:pPr>
        <w:ind w:left="60" w:firstLine="648"/>
        <w:spacing w:after="0" w:line="212" w:lineRule="auto"/>
        <w:rPr>
          <w:sz w:val="20"/>
          <w:szCs w:val="20"/>
          <w:color w:val="auto"/>
        </w:rPr>
      </w:pPr>
      <w:r>
        <w:rPr>
          <w:rFonts w:ascii="Times New Roman" w:cs="Times New Roman" w:eastAsia="Times New Roman" w:hAnsi="Times New Roman"/>
          <w:sz w:val="22"/>
          <w:szCs w:val="22"/>
          <w:i w:val="1"/>
          <w:iCs w:val="1"/>
          <w:u w:val="single" w:color="auto"/>
          <w:color w:val="auto"/>
        </w:rPr>
        <w:t>Reconocimiento del Derecho Laboral y Declaración de la Política</w:t>
      </w:r>
      <w:r>
        <w:rPr>
          <w:rFonts w:ascii="Times New Roman" w:cs="Times New Roman" w:eastAsia="Times New Roman" w:hAnsi="Times New Roman"/>
          <w:sz w:val="22"/>
          <w:szCs w:val="22"/>
          <w:i w:val="1"/>
          <w:iCs w:val="1"/>
          <w:color w:val="auto"/>
        </w:rPr>
        <w:t>. Al aceptar el Premio, el Recipiente reconoce que la Compañía, con domicilio social en 1100 Cassatt Road, Berwyn, PA 19312, E.U.A., es la única responsable de la administración del Plan. Además, el Recipiente reconoce que su participación en el Plan, la concesión del Premio y cualquier adquisición de Acciones de PRSU en virtud del Plan no constituyen una relación laboral entre el Recipiente y la Compañía, en virtud de que el Recipiente está participando en el Plan sobre una base totalmente comercial. Por lo anterior, el Recipiente expresamente reconoce que el Plan y los beneficios que puedan derivarse de su participación no establecen ningún derecho entre el Recipiente y el Empleador y que no forman parte de las condiciones de trabajo y/o beneficios otorgados por el Empleador, y cualquier modificación del Plan o la terminación del mismo no constituirá un cambio o modificación de los términos y condiciones en el empleo del Recipiente.</w:t>
      </w:r>
    </w:p>
    <w:p>
      <w:pPr>
        <w:spacing w:after="0" w:line="189" w:lineRule="exact"/>
        <w:rPr>
          <w:sz w:val="20"/>
          <w:szCs w:val="20"/>
          <w:color w:val="auto"/>
        </w:rPr>
      </w:pPr>
    </w:p>
    <w:p>
      <w:pPr>
        <w:ind w:left="60" w:right="340"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Además, el Recipiente comprende que su participación en el Plan es el resultado de una decisión discrecional y unilateral de la Compañía, por lo que la misma se reserva el derecho absoluto de modificar y/o suspender la participación del Recipiente en el Plan en cualquier momento, sin responsabilidad alguna al Recipiente.</w:t>
      </w:r>
    </w:p>
    <w:p>
      <w:pPr>
        <w:spacing w:after="0" w:line="173" w:lineRule="exact"/>
        <w:rPr>
          <w:sz w:val="20"/>
          <w:szCs w:val="20"/>
          <w:color w:val="auto"/>
        </w:rPr>
      </w:pPr>
    </w:p>
    <w:p>
      <w:pPr>
        <w:ind w:left="60" w:right="900"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Finalmente, el Recipiente manifiesta que no se reserva acción o derecho alguno que origine una demanda en contra de la Compañía, por cualquier indemnización o daño relacionado con las disposiciones del Plan o de los beneficios otorgados en el mismo, y en consecuencia el Recipiente libera de la manera más amplia y total de responsabilidad a la Compañía, su padre y sus subsidiarias, sucursales, oficinas de representación, accionistas,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hanging="102"/>
        <w:spacing w:after="0"/>
        <w:tabs>
          <w:tab w:leader="none" w:pos="16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i w:val="1"/>
          <w:iCs w:val="1"/>
          <w:color w:val="auto"/>
        </w:rPr>
        <w:t>El término “Premio” se refiere al termino “Performance Restricted Stock Units” en Inglés.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25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440" w:right="499"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22"/>
          <w:szCs w:val="22"/>
          <w:i w:val="1"/>
          <w:iCs w:val="1"/>
          <w:color w:val="auto"/>
        </w:rPr>
        <w:t>directores, agentes y representantes legales con respecto a cualquier demanda que pudiera surgir.</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ind w:left="60" w:right="1160"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Form of Settlement</w:t>
      </w:r>
      <w:r>
        <w:rPr>
          <w:rFonts w:ascii="Times New Roman" w:cs="Times New Roman" w:eastAsia="Times New Roman" w:hAnsi="Times New Roman"/>
          <w:sz w:val="22"/>
          <w:szCs w:val="22"/>
          <w:color w:val="auto"/>
        </w:rPr>
        <w:t>. Notwithstanding any discretion in the Plan or anything contrary in the Agreement, the Performance Restricted Stock Units are payable in PRSU Shares only.</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provisions supplement paragraph 9 of the Agreement:</w:t>
      </w:r>
    </w:p>
    <w:p>
      <w:pPr>
        <w:spacing w:after="0" w:line="206" w:lineRule="exact"/>
        <w:rPr>
          <w:sz w:val="20"/>
          <w:szCs w:val="20"/>
          <w:color w:val="auto"/>
        </w:rPr>
      </w:pPr>
    </w:p>
    <w:p>
      <w:pPr>
        <w:ind w:left="60" w:right="120" w:firstLine="648"/>
        <w:spacing w:after="0" w:line="215" w:lineRule="auto"/>
        <w:rPr>
          <w:sz w:val="20"/>
          <w:szCs w:val="20"/>
          <w:color w:val="auto"/>
        </w:rPr>
      </w:pPr>
      <w:r>
        <w:rPr>
          <w:rFonts w:ascii="Times New Roman" w:cs="Times New Roman" w:eastAsia="Times New Roman" w:hAnsi="Times New Roman"/>
          <w:sz w:val="22"/>
          <w:szCs w:val="22"/>
          <w:color w:val="auto"/>
        </w:rPr>
        <w:t>Without limitation to any provision of the Agreement, the Recipient agrees that the Recipient is liable for all Tax-Related Items and hereby covenants to pay all such Tax-Related Items, as and when requested by the Company or the Employer or by Her Majesty’s Revenue &amp; Customs (“HRMC”) (or any other tax authority or any other relevant authority). The Recipient also agrees to indemnify and keep indemnified the Company and, the Employer against any Tax- Related Items that they are required to pay or withhold or have paid or will pay to HMRC (or any other tax authority or any other relevant authority) on the Recipient’s behalf.</w:t>
      </w:r>
    </w:p>
    <w:p>
      <w:pPr>
        <w:spacing w:after="0" w:line="179" w:lineRule="exact"/>
        <w:rPr>
          <w:sz w:val="20"/>
          <w:szCs w:val="20"/>
          <w:color w:val="auto"/>
        </w:rPr>
      </w:pPr>
    </w:p>
    <w:p>
      <w:pPr>
        <w:ind w:left="60" w:right="40" w:firstLine="648"/>
        <w:spacing w:after="0" w:line="211" w:lineRule="auto"/>
        <w:rPr>
          <w:sz w:val="20"/>
          <w:szCs w:val="20"/>
          <w:color w:val="auto"/>
        </w:rPr>
      </w:pPr>
      <w:r>
        <w:rPr>
          <w:rFonts w:ascii="Times New Roman" w:cs="Times New Roman" w:eastAsia="Times New Roman" w:hAnsi="Times New Roman"/>
          <w:sz w:val="22"/>
          <w:szCs w:val="22"/>
          <w:color w:val="auto"/>
        </w:rPr>
        <w:t>Notwithstanding the foregoing, in the event that the Recipient is a director or executive officer of the Company (within the meaning of Section 13(k) of the Exchange Act), the Recipient understands that he or she may not be able to indemnify the Company for the amount of any income tax not collected from or paid by the Recipient, in case the indemnification could be considered to be a loan. In this case, the income tax not collected or paid may constitute a benefit to the Recipient on which additional income tax and National Insurance contributions may be payable. The Recipient understands that he or she will be responsible for reporting and paying any income tax due on this additional benefit directly to HMRC under the self-assessment regime and for reimbursing the Company or the Employer, as applicable, for the value of any National Insurance contributions due on this additional benefit, which may also be recovered from the Recipient at any time by any of the means referred to in paragraph 9 of the Agreement.</w:t>
      </w:r>
    </w:p>
    <w:p>
      <w:pPr>
        <w:spacing w:after="0" w:line="199" w:lineRule="exact"/>
        <w:rPr>
          <w:sz w:val="20"/>
          <w:szCs w:val="20"/>
          <w:color w:val="auto"/>
        </w:rPr>
      </w:pPr>
    </w:p>
    <w:p>
      <w:pPr>
        <w:jc w:val="both"/>
        <w:ind w:left="2640" w:hanging="1943"/>
        <w:spacing w:after="0" w:line="217" w:lineRule="auto"/>
        <w:rPr>
          <w:sz w:val="20"/>
          <w:szCs w:val="20"/>
          <w:color w:val="auto"/>
        </w:rPr>
      </w:pPr>
      <w:r>
        <w:rPr>
          <w:rFonts w:ascii="Times New Roman" w:cs="Times New Roman" w:eastAsia="Times New Roman" w:hAnsi="Times New Roman"/>
          <w:sz w:val="22"/>
          <w:szCs w:val="22"/>
          <w:u w:val="single" w:color="auto"/>
          <w:color w:val="auto"/>
        </w:rPr>
        <w:t>Data Protection.</w:t>
      </w:r>
      <w:r>
        <w:rPr>
          <w:rFonts w:ascii="Times New Roman" w:cs="Times New Roman" w:eastAsia="Times New Roman" w:hAnsi="Times New Roman"/>
          <w:sz w:val="22"/>
          <w:szCs w:val="22"/>
          <w:color w:val="auto"/>
        </w:rPr>
        <w:t xml:space="preserve"> The Company and the Employer will at all times, in operating and administering the Plan, be bound by the provisions (as from time to time in force) of the internal code and/or policies that regulate the Company's compliance with applicable data privacy laws and for this purpose, the Recipient has received from the Company or, if different, his Employer, a privacy notice that includes details of how his personal data may be used in connection with the Plan.</w:t>
      </w:r>
    </w:p>
    <w:p>
      <w:pPr>
        <w:spacing w:after="0" w:line="193" w:lineRule="exact"/>
        <w:rPr>
          <w:sz w:val="20"/>
          <w:szCs w:val="20"/>
          <w:color w:val="auto"/>
        </w:rPr>
      </w:pPr>
    </w:p>
    <w:p>
      <w:pPr>
        <w:ind w:left="2640" w:right="340" w:hanging="1943"/>
        <w:spacing w:after="0" w:line="236" w:lineRule="auto"/>
        <w:rPr>
          <w:sz w:val="20"/>
          <w:szCs w:val="20"/>
          <w:color w:val="auto"/>
        </w:rPr>
      </w:pPr>
      <w:r>
        <w:rPr>
          <w:rFonts w:ascii="Times New Roman" w:cs="Times New Roman" w:eastAsia="Times New Roman" w:hAnsi="Times New Roman"/>
          <w:sz w:val="22"/>
          <w:szCs w:val="22"/>
          <w:color w:val="auto"/>
        </w:rPr>
        <w:t>For the avoidance of doubt, the Company and/or the Employer is not processing any personal data of a Recipient on the basis of the consent set out in paragraph 15 of the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26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391" w:right="459" w:bottom="1440" w:gutter="0" w:footer="0" w:header="0"/>
        </w:sectPr>
      </w:pPr>
    </w:p>
    <w:bookmarkStart w:id="69" w:name="page70"/>
    <w:bookmarkEnd w:id="69"/>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24" w:lineRule="exact"/>
        <w:rPr>
          <w:sz w:val="20"/>
          <w:szCs w:val="20"/>
          <w:color w:val="auto"/>
        </w:rPr>
      </w:pPr>
    </w:p>
    <w:p>
      <w:pPr>
        <w:ind w:left="60" w:right="300"/>
        <w:spacing w:after="0" w:line="22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Performance Restricted Stock Units are being granted to the Recipient pursuant to the “Qualifying Person” exemption under section 273(1)(i) of the Securities and Futures Act of Singapore (Cap. 289). The Plan has not been lodged or registered as a prospectus with the Monetary Authority of Singapore.</w:t>
      </w:r>
    </w:p>
    <w:p>
      <w:pPr>
        <w:spacing w:after="0" w:line="179" w:lineRule="exact"/>
        <w:rPr>
          <w:sz w:val="20"/>
          <w:szCs w:val="20"/>
          <w:color w:val="auto"/>
        </w:rPr>
      </w:pPr>
    </w:p>
    <w:p>
      <w:pPr>
        <w:ind w:left="60" w:right="140"/>
        <w:spacing w:after="0" w:line="231" w:lineRule="auto"/>
        <w:rPr>
          <w:sz w:val="20"/>
          <w:szCs w:val="20"/>
          <w:color w:val="auto"/>
        </w:rPr>
      </w:pPr>
      <w:r>
        <w:rPr>
          <w:rFonts w:ascii="Times New Roman" w:cs="Times New Roman" w:eastAsia="Times New Roman" w:hAnsi="Times New Roman"/>
          <w:sz w:val="21"/>
          <w:szCs w:val="21"/>
          <w:u w:val="single" w:color="auto"/>
          <w:color w:val="auto"/>
        </w:rPr>
        <w:t>Director Notification Obligation</w:t>
      </w:r>
      <w:r>
        <w:rPr>
          <w:rFonts w:ascii="Times New Roman" w:cs="Times New Roman" w:eastAsia="Times New Roman" w:hAnsi="Times New Roman"/>
          <w:sz w:val="21"/>
          <w:szCs w:val="21"/>
          <w:color w:val="auto"/>
        </w:rPr>
        <w:t>. If a Recipient is a director or CEO of a Singaporean Subsidiary Corporation or Affiliate, Recipient is subject to a requirement to notify such entity of the receipt of an interest (i.e. Performance Restricted Stock Units or PRSU Shares) in the Company and on the sale of any such interest. Notifications must be made within two (2) business days of the date of acquiring or disposing of any interest in the Company or the date of becoming a director / CEO.</w:t>
      </w:r>
    </w:p>
    <w:p>
      <w:pPr>
        <w:spacing w:after="0" w:line="177" w:lineRule="exact"/>
        <w:rPr>
          <w:sz w:val="20"/>
          <w:szCs w:val="20"/>
          <w:color w:val="auto"/>
        </w:rPr>
      </w:pPr>
    </w:p>
    <w:p>
      <w:pPr>
        <w:ind w:left="60" w:right="100"/>
        <w:spacing w:after="0" w:line="217" w:lineRule="auto"/>
        <w:rPr>
          <w:sz w:val="20"/>
          <w:szCs w:val="20"/>
          <w:color w:val="auto"/>
        </w:rPr>
      </w:pPr>
      <w:r>
        <w:rPr>
          <w:rFonts w:ascii="Times New Roman" w:cs="Times New Roman" w:eastAsia="Times New Roman" w:hAnsi="Times New Roman"/>
          <w:sz w:val="22"/>
          <w:szCs w:val="22"/>
          <w:u w:val="single" w:color="auto"/>
          <w:color w:val="auto"/>
        </w:rPr>
        <w:t>Insider-Trading Notification</w:t>
      </w:r>
      <w:r>
        <w:rPr>
          <w:rFonts w:ascii="Times New Roman" w:cs="Times New Roman" w:eastAsia="Times New Roman" w:hAnsi="Times New Roman"/>
          <w:sz w:val="22"/>
          <w:szCs w:val="22"/>
          <w:color w:val="auto"/>
        </w:rPr>
        <w:t>. The Recipient should be aware of Singapore’s insider-trading rules, which may impact his or her acquisition or disposal of shares or rights to shares under the Plan. Under the Singapore insider-trading rules, the Recipient is prohibited from selling shares (including PRSU Shares) when he or she possesses information, not generally available, which the Recipient knows or should know will have a material effect on the price of the shares once such information is generally available.</w:t>
      </w:r>
    </w:p>
    <w:p>
      <w:pPr>
        <w:spacing w:after="0" w:line="175" w:lineRule="exact"/>
        <w:rPr>
          <w:sz w:val="20"/>
          <w:szCs w:val="20"/>
          <w:color w:val="auto"/>
        </w:rPr>
      </w:pPr>
    </w:p>
    <w:p>
      <w:pPr>
        <w:ind w:left="60"/>
        <w:spacing w:after="0" w:line="218" w:lineRule="auto"/>
        <w:rPr>
          <w:sz w:val="20"/>
          <w:szCs w:val="20"/>
          <w:color w:val="auto"/>
        </w:rPr>
      </w:pPr>
      <w:r>
        <w:rPr>
          <w:rFonts w:ascii="Times New Roman" w:cs="Times New Roman" w:eastAsia="Times New Roman" w:hAnsi="Times New Roman"/>
          <w:sz w:val="22"/>
          <w:szCs w:val="22"/>
          <w:u w:val="single" w:color="auto"/>
          <w:color w:val="auto"/>
        </w:rPr>
        <w:t>Central Provident Fund (“</w:t>
      </w:r>
      <w:r>
        <w:rPr>
          <w:rFonts w:ascii="Times New Roman" w:cs="Times New Roman" w:eastAsia="Times New Roman" w:hAnsi="Times New Roman"/>
          <w:sz w:val="22"/>
          <w:szCs w:val="22"/>
          <w:b w:val="1"/>
          <w:bCs w:val="1"/>
          <w:u w:val="single" w:color="auto"/>
          <w:color w:val="auto"/>
        </w:rPr>
        <w:t>CPF</w:t>
      </w:r>
      <w:r>
        <w:rPr>
          <w:rFonts w:ascii="Times New Roman" w:cs="Times New Roman" w:eastAsia="Times New Roman" w:hAnsi="Times New Roman"/>
          <w:sz w:val="22"/>
          <w:szCs w:val="22"/>
          <w:u w:val="single" w:color="auto"/>
          <w:color w:val="auto"/>
        </w:rPr>
        <w:t>”) Contributions.</w:t>
      </w:r>
      <w:r>
        <w:rPr>
          <w:rFonts w:ascii="Times New Roman" w:cs="Times New Roman" w:eastAsia="Times New Roman" w:hAnsi="Times New Roman"/>
          <w:sz w:val="22"/>
          <w:szCs w:val="22"/>
          <w:color w:val="auto"/>
        </w:rPr>
        <w:t xml:space="preserve"> Notwithstanding Paragraph 9 of the Agreement, if the Recipient is a citizen or permanent resident of Singapore, the Recipient and the Recipient’s employer shall make contributions to the CPF Board in accordance with the Central Provident Fund Act (Cap. 36) of Singapore as amended from time to time (the “</w:t>
      </w:r>
      <w:r>
        <w:rPr>
          <w:rFonts w:ascii="Times New Roman" w:cs="Times New Roman" w:eastAsia="Times New Roman" w:hAnsi="Times New Roman"/>
          <w:sz w:val="22"/>
          <w:szCs w:val="22"/>
          <w:b w:val="1"/>
          <w:bCs w:val="1"/>
          <w:color w:val="auto"/>
        </w:rPr>
        <w:t>CPF Scheme</w:t>
      </w:r>
      <w:r>
        <w:rPr>
          <w:rFonts w:ascii="Times New Roman" w:cs="Times New Roman" w:eastAsia="Times New Roman" w:hAnsi="Times New Roman"/>
          <w:sz w:val="22"/>
          <w:szCs w:val="22"/>
          <w:color w:val="auto"/>
        </w:rPr>
        <w:t>”). In relation to such contributions, the Recipient’s employer shall deduct from the Recipient’s salary the mandatory contributions required to be made by the Recipient under the CPF Scheme.</w:t>
      </w:r>
    </w:p>
    <w:p>
      <w:pPr>
        <w:spacing w:after="0" w:line="192" w:lineRule="exact"/>
        <w:rPr>
          <w:sz w:val="20"/>
          <w:szCs w:val="20"/>
          <w:color w:val="auto"/>
        </w:rPr>
      </w:pPr>
    </w:p>
    <w:p>
      <w:pPr>
        <w:ind w:left="60" w:right="180"/>
        <w:spacing w:after="0" w:line="215" w:lineRule="auto"/>
        <w:rPr>
          <w:sz w:val="20"/>
          <w:szCs w:val="20"/>
          <w:color w:val="auto"/>
        </w:rPr>
      </w:pPr>
      <w:r>
        <w:rPr>
          <w:rFonts w:ascii="Times New Roman" w:cs="Times New Roman" w:eastAsia="Times New Roman" w:hAnsi="Times New Roman"/>
          <w:sz w:val="22"/>
          <w:szCs w:val="22"/>
          <w:u w:val="single" w:color="auto"/>
          <w:color w:val="auto"/>
        </w:rPr>
        <w:t>Leaving Singapore Withholding Tax Notification</w:t>
      </w:r>
      <w:r>
        <w:rPr>
          <w:rFonts w:ascii="Times New Roman" w:cs="Times New Roman" w:eastAsia="Times New Roman" w:hAnsi="Times New Roman"/>
          <w:sz w:val="22"/>
          <w:szCs w:val="22"/>
          <w:color w:val="auto"/>
        </w:rPr>
        <w:t>. Any foreign citizen or Singapore permanent resident leaving Singapore for more than 3 months and ceasing employment shall be taxed on a “deemed exercise” basis in respect of any Performance Restricted Stock Units which have been granted in respect of his/her Singapore employment and are not forfeited at the point of cessation of his/her employment. The deemed gains are based on the market value one month before the Recipient ceases employment in Singapore or the date of grant (whichever is the later). If the actual gain is less than the deemed gain, the Recipient may seek a refund within 4 years from that year of assessment.</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u w:val="single" w:color="auto"/>
          <w:color w:val="auto"/>
        </w:rPr>
        <w:t>Labor Law Acknowledgement (to be signed by Employee)</w:t>
      </w:r>
      <w:r>
        <w:rPr>
          <w:rFonts w:ascii="Times New Roman" w:cs="Times New Roman" w:eastAsia="Times New Roman" w:hAnsi="Times New Roman"/>
          <w:sz w:val="22"/>
          <w:szCs w:val="22"/>
          <w:color w:val="auto"/>
        </w:rPr>
        <w:t>.</w:t>
      </w:r>
    </w:p>
    <w:p>
      <w:pPr>
        <w:ind w:left="700" w:right="2720" w:hanging="319"/>
        <w:spacing w:after="0" w:line="216" w:lineRule="auto"/>
        <w:tabs>
          <w:tab w:leader="none" w:pos="687" w:val="left"/>
        </w:tabs>
        <w:numPr>
          <w:ilvl w:val="0"/>
          <w:numId w:val="6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Employee agrees to partcipate in the Omnibus Incentve Compensaton Plan (the “Plan”) sponsored by AMETEK, INC.</w:t>
      </w:r>
    </w:p>
    <w:p>
      <w:pPr>
        <w:spacing w:after="0" w:line="9" w:lineRule="exact"/>
        <w:rPr>
          <w:rFonts w:ascii="Times New Roman" w:cs="Times New Roman" w:eastAsia="Times New Roman" w:hAnsi="Times New Roman"/>
          <w:sz w:val="20"/>
          <w:szCs w:val="20"/>
          <w:color w:val="auto"/>
        </w:rPr>
      </w:pPr>
    </w:p>
    <w:p>
      <w:pPr>
        <w:ind w:left="700" w:hanging="318"/>
        <w:spacing w:after="0" w:line="214" w:lineRule="auto"/>
        <w:tabs>
          <w:tab w:leader="none" w:pos="688" w:val="left"/>
        </w:tabs>
        <w:numPr>
          <w:ilvl w:val="0"/>
          <w:numId w:val="6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Employee expressly acknowledges that the contractual party to the Plan is AMETEK, Inc. and that partcipaton in the Plan, the grant of Performance Restricted Stock Units and 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27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60" w:top="1440" w:right="479" w:bottom="1440" w:gutter="0" w:footer="0" w:header="0"/>
        </w:sectPr>
      </w:pPr>
    </w:p>
    <w:bookmarkStart w:id="70" w:name="page71"/>
    <w:bookmarkEnd w:id="70"/>
    <w:p>
      <w:pPr>
        <w:ind w:left="700" w:right="520"/>
        <w:spacing w:after="0" w:line="208" w:lineRule="auto"/>
        <w:rPr>
          <w:sz w:val="20"/>
          <w:szCs w:val="20"/>
          <w:color w:val="auto"/>
        </w:rPr>
      </w:pPr>
      <w:r>
        <w:rPr>
          <w:rFonts w:ascii="Calibri" w:cs="Calibri" w:eastAsia="Calibri" w:hAnsi="Calibri"/>
          <w:sz w:val="20"/>
          <w:szCs w:val="20"/>
          <w:color w:val="auto"/>
        </w:rPr>
        <w:t>acquisiton of PRSU Shares under the Plan do not consttute an employment relatonship between the Employee and AMETEK, INC.</w:t>
      </w:r>
    </w:p>
    <w:p>
      <w:pPr>
        <w:ind w:left="700" w:hanging="318"/>
        <w:spacing w:after="0" w:line="203" w:lineRule="auto"/>
        <w:tabs>
          <w:tab w:leader="none" w:pos="688"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Employee is aware of and accepts Paragraph 23 of the Plan which states that the Plan is governed by the laws of the State of Delaware and that place of jurisdicton is Chester County, or the federal courts for the United States for the District of Pennsylvania.</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Place: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362585</wp:posOffset>
            </wp:positionV>
            <wp:extent cx="29489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Name of Swiss Employee: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28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60" w:top="1384" w:right="759" w:bottom="1440" w:gutter="0" w:footer="0" w:header="0"/>
        </w:sectPr>
      </w:pPr>
    </w:p>
    <w:bookmarkStart w:id="71" w:name="page72"/>
    <w:bookmarkEnd w:id="71"/>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SPECIAL NOTICE FOR EMPLOYEES IN DENMARK EMPLOYER STATEMENT</w:t>
      </w:r>
    </w:p>
    <w:p>
      <w:pPr>
        <w:spacing w:after="0" w:line="98" w:lineRule="exact"/>
        <w:rPr>
          <w:sz w:val="20"/>
          <w:szCs w:val="20"/>
          <w:color w:val="auto"/>
        </w:rPr>
      </w:pPr>
    </w:p>
    <w:p>
      <w:pPr>
        <w:ind w:left="60" w:right="640" w:firstLine="648"/>
        <w:spacing w:after="0" w:line="225" w:lineRule="auto"/>
        <w:rPr>
          <w:sz w:val="20"/>
          <w:szCs w:val="20"/>
          <w:color w:val="auto"/>
        </w:rPr>
      </w:pPr>
      <w:r>
        <w:rPr>
          <w:rFonts w:ascii="Times New Roman" w:cs="Times New Roman" w:eastAsia="Times New Roman" w:hAnsi="Times New Roman"/>
          <w:sz w:val="22"/>
          <w:szCs w:val="22"/>
          <w:color w:val="auto"/>
        </w:rPr>
        <w:t>Pursuant to Section 3(1) of the Act on Stock Options in employment relations (the “Stock Option Act”), you are entitled to receive the following information regarding participation in the Ametek, Inc. 2011 Omnibus Incentive Compensation Plan (the “Plan”) in a separate written statement.</w:t>
      </w:r>
    </w:p>
    <w:p>
      <w:pPr>
        <w:spacing w:after="0" w:line="179" w:lineRule="exact"/>
        <w:rPr>
          <w:sz w:val="20"/>
          <w:szCs w:val="20"/>
          <w:color w:val="auto"/>
        </w:rPr>
      </w:pPr>
    </w:p>
    <w:p>
      <w:pPr>
        <w:ind w:left="60" w:right="140" w:firstLine="648"/>
        <w:spacing w:after="0" w:line="220" w:lineRule="auto"/>
        <w:rPr>
          <w:sz w:val="20"/>
          <w:szCs w:val="20"/>
          <w:color w:val="auto"/>
        </w:rPr>
      </w:pPr>
      <w:r>
        <w:rPr>
          <w:rFonts w:ascii="Times New Roman" w:cs="Times New Roman" w:eastAsia="Times New Roman" w:hAnsi="Times New Roman"/>
          <w:sz w:val="22"/>
          <w:szCs w:val="22"/>
          <w:color w:val="auto"/>
        </w:rPr>
        <w:t>This statement contains only the information mentioned in the Stock Option Act, while the other terms and conditions of your performance restricted stock unit (“PRSU”) grant are described in detail in the Plan, Performance Restricted Stock Unit Agreement for Global Recipients (the “Agreement”) and the applicable country-specific supplement, which have been made available to you.</w:t>
      </w:r>
    </w:p>
    <w:p>
      <w:pPr>
        <w:spacing w:after="0" w:line="179" w:lineRule="exact"/>
        <w:rPr>
          <w:sz w:val="20"/>
          <w:szCs w:val="20"/>
          <w:color w:val="auto"/>
        </w:rPr>
      </w:pPr>
    </w:p>
    <w:p>
      <w:pPr>
        <w:ind w:left="700" w:hanging="643"/>
        <w:spacing w:after="0"/>
        <w:tabs>
          <w:tab w:leader="none" w:pos="7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of grant of unfunded right to receive stock upon satisfying certain conditions</w:t>
      </w:r>
    </w:p>
    <w:p>
      <w:pPr>
        <w:spacing w:after="0" w:line="219" w:lineRule="exact"/>
        <w:rPr>
          <w:rFonts w:ascii="Times New Roman" w:cs="Times New Roman" w:eastAsia="Times New Roman" w:hAnsi="Times New Roman"/>
          <w:sz w:val="22"/>
          <w:szCs w:val="22"/>
          <w:color w:val="auto"/>
        </w:rPr>
      </w:pPr>
    </w:p>
    <w:p>
      <w:pPr>
        <w:ind w:left="700" w:right="88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date of your PRSUs is the date that the Company approved a grant for you, which is set forth in the Agreement.</w:t>
      </w:r>
    </w:p>
    <w:p>
      <w:pPr>
        <w:spacing w:after="0" w:line="177" w:lineRule="exact"/>
        <w:rPr>
          <w:rFonts w:ascii="Times New Roman" w:cs="Times New Roman" w:eastAsia="Times New Roman" w:hAnsi="Times New Roman"/>
          <w:sz w:val="22"/>
          <w:szCs w:val="22"/>
          <w:color w:val="auto"/>
        </w:rPr>
      </w:pPr>
    </w:p>
    <w:p>
      <w:pPr>
        <w:ind w:left="700" w:hanging="643"/>
        <w:spacing w:after="0"/>
        <w:tabs>
          <w:tab w:leader="none" w:pos="7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or conditions for grant of a right to future award of stock</w:t>
      </w:r>
    </w:p>
    <w:p>
      <w:pPr>
        <w:spacing w:after="0" w:line="206"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persons identified in Section 6 of the Plan are eligible to participate in the Plan.</w:t>
      </w:r>
    </w:p>
    <w:p>
      <w:pPr>
        <w:ind w:left="700"/>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PRSUs under the Plan is offered at the sole discretion of the Company and is intended to achieve the purposes identified in Section 6 of the Plan, including (among other things) encouraging share ownership in the Company by employees of the Company and any parents and subsidiaries that exist now or in the future. The Company may decide, in its sole discretion, not to make any PRSU grants to you in the future.</w:t>
      </w:r>
    </w:p>
    <w:p>
      <w:pPr>
        <w:spacing w:after="0" w:line="3" w:lineRule="exact"/>
        <w:rPr>
          <w:rFonts w:ascii="Times New Roman" w:cs="Times New Roman" w:eastAsia="Times New Roman" w:hAnsi="Times New Roman"/>
          <w:sz w:val="22"/>
          <w:szCs w:val="22"/>
          <w:color w:val="auto"/>
        </w:rPr>
      </w:pPr>
    </w:p>
    <w:p>
      <w:pPr>
        <w:ind w:left="70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terms of the Plan, the Agreement and the applicable country-specific supplement, you have no entitlement or claim to receive future PRSU grants or awards in lieu of PRSUs.</w:t>
      </w:r>
    </w:p>
    <w:p>
      <w:pPr>
        <w:spacing w:after="0" w:line="190" w:lineRule="exact"/>
        <w:rPr>
          <w:rFonts w:ascii="Times New Roman" w:cs="Times New Roman" w:eastAsia="Times New Roman" w:hAnsi="Times New Roman"/>
          <w:sz w:val="22"/>
          <w:szCs w:val="22"/>
          <w:color w:val="auto"/>
        </w:rPr>
      </w:pPr>
    </w:p>
    <w:p>
      <w:pPr>
        <w:ind w:left="700" w:hanging="643"/>
        <w:spacing w:after="0"/>
        <w:tabs>
          <w:tab w:leader="none" w:pos="7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Date or Period</w:t>
      </w:r>
    </w:p>
    <w:p>
      <w:pPr>
        <w:spacing w:after="0" w:line="206" w:lineRule="exact"/>
        <w:rPr>
          <w:rFonts w:ascii="Times New Roman" w:cs="Times New Roman" w:eastAsia="Times New Roman" w:hAnsi="Times New Roman"/>
          <w:sz w:val="22"/>
          <w:szCs w:val="22"/>
          <w:color w:val="auto"/>
        </w:rPr>
      </w:pPr>
    </w:p>
    <w:p>
      <w:pPr>
        <w:ind w:left="700" w:right="58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your PRSUs will vest over a number of years, and subject to performance criteria, as provided in your Agreement. Your PRSUs shall be converted into an equivalent number of shares of the common stock of the Company upon vesting, assuming the performance criteria is also met.</w:t>
      </w:r>
    </w:p>
    <w:p>
      <w:pPr>
        <w:spacing w:after="0" w:line="192" w:lineRule="exact"/>
        <w:rPr>
          <w:rFonts w:ascii="Times New Roman" w:cs="Times New Roman" w:eastAsia="Times New Roman" w:hAnsi="Times New Roman"/>
          <w:sz w:val="22"/>
          <w:szCs w:val="22"/>
          <w:color w:val="auto"/>
        </w:rPr>
      </w:pPr>
    </w:p>
    <w:p>
      <w:pPr>
        <w:ind w:left="700" w:hanging="643"/>
        <w:spacing w:after="0"/>
        <w:tabs>
          <w:tab w:leader="none" w:pos="7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Price</w:t>
      </w:r>
    </w:p>
    <w:p>
      <w:pPr>
        <w:spacing w:after="0" w:line="219" w:lineRule="exact"/>
        <w:rPr>
          <w:rFonts w:ascii="Times New Roman" w:cs="Times New Roman" w:eastAsia="Times New Roman" w:hAnsi="Times New Roman"/>
          <w:sz w:val="22"/>
          <w:szCs w:val="22"/>
          <w:color w:val="auto"/>
        </w:rPr>
      </w:pPr>
    </w:p>
    <w:p>
      <w:pPr>
        <w:ind w:left="700" w:right="360"/>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exercise price is payable upon the vesting of your PRSUs and the issuance of shares of the Company’s common stock to you in accordance with the vesting schedule described above.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29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440" w:right="499" w:bottom="1440" w:gutter="0" w:footer="0" w:header="0"/>
        </w:sectPr>
      </w:pPr>
    </w:p>
    <w:bookmarkStart w:id="72" w:name="page73"/>
    <w:bookmarkEnd w:id="72"/>
    <w:p>
      <w:pPr>
        <w:spacing w:after="0" w:line="198" w:lineRule="exact"/>
        <w:rPr>
          <w:sz w:val="20"/>
          <w:szCs w:val="20"/>
          <w:color w:val="auto"/>
        </w:rPr>
      </w:pPr>
    </w:p>
    <w:p>
      <w:pPr>
        <w:ind w:left="700" w:hanging="643"/>
        <w:spacing w:after="0"/>
        <w:tabs>
          <w:tab w:leader="none" w:pos="7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rights upon termination of employment</w:t>
      </w:r>
    </w:p>
    <w:p>
      <w:pPr>
        <w:spacing w:after="0" w:line="219" w:lineRule="exact"/>
        <w:rPr>
          <w:rFonts w:ascii="Times New Roman" w:cs="Times New Roman" w:eastAsia="Times New Roman" w:hAnsi="Times New Roman"/>
          <w:sz w:val="22"/>
          <w:szCs w:val="22"/>
          <w:color w:val="auto"/>
        </w:rPr>
      </w:pPr>
    </w:p>
    <w:p>
      <w:pPr>
        <w:ind w:left="700" w:right="14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treatment of your PRSUs upon termination of employment will be determined under Sections 4 and 5 of the Stock Option Act unless the terms contained in the Plan, the Agreement and the applicable country-specific supplement are more favorable to you than Sections 4 and 5 of the Stock Option Act.</w:t>
      </w:r>
    </w:p>
    <w:p>
      <w:pPr>
        <w:spacing w:after="0" w:line="192" w:lineRule="exact"/>
        <w:rPr>
          <w:rFonts w:ascii="Times New Roman" w:cs="Times New Roman" w:eastAsia="Times New Roman" w:hAnsi="Times New Roman"/>
          <w:sz w:val="22"/>
          <w:szCs w:val="22"/>
          <w:color w:val="auto"/>
        </w:rPr>
      </w:pPr>
    </w:p>
    <w:p>
      <w:pPr>
        <w:ind w:left="700" w:hanging="643"/>
        <w:spacing w:after="0"/>
        <w:tabs>
          <w:tab w:leader="none" w:pos="7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aspects of participating in the Plan</w:t>
      </w:r>
    </w:p>
    <w:p>
      <w:pPr>
        <w:spacing w:after="0" w:line="206" w:lineRule="exact"/>
        <w:rPr>
          <w:rFonts w:ascii="Times New Roman" w:cs="Times New Roman" w:eastAsia="Times New Roman" w:hAnsi="Times New Roman"/>
          <w:sz w:val="22"/>
          <w:szCs w:val="22"/>
          <w:color w:val="auto"/>
        </w:rPr>
      </w:pPr>
    </w:p>
    <w:p>
      <w:pPr>
        <w:ind w:left="700"/>
        <w:spacing w:after="0" w:line="22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PRSUs has no immediate financial consequences for you. The value of the PRSUs is not taken into account when calculating holiday allowances, pension contributions or other statutory consideration calculated on the basis of salary.</w:t>
      </w:r>
    </w:p>
    <w:p>
      <w:pPr>
        <w:spacing w:after="0" w:line="193" w:lineRule="exact"/>
        <w:rPr>
          <w:sz w:val="20"/>
          <w:szCs w:val="20"/>
          <w:color w:val="auto"/>
        </w:rPr>
      </w:pPr>
    </w:p>
    <w:p>
      <w:pPr>
        <w:ind w:left="700" w:right="500"/>
        <w:spacing w:after="0" w:line="236" w:lineRule="auto"/>
        <w:rPr>
          <w:sz w:val="20"/>
          <w:szCs w:val="20"/>
          <w:color w:val="auto"/>
        </w:rPr>
      </w:pPr>
      <w:r>
        <w:rPr>
          <w:rFonts w:ascii="Times New Roman" w:cs="Times New Roman" w:eastAsia="Times New Roman" w:hAnsi="Times New Roman"/>
          <w:sz w:val="22"/>
          <w:szCs w:val="22"/>
          <w:color w:val="auto"/>
        </w:rPr>
        <w:t>Shares of stock are financial instruments and investing in stock will always have financial risk. The future value of Company shares is unknown and cannot be predicted with certainty.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AMETEK, INC.</w:t>
      </w:r>
    </w:p>
    <w:p>
      <w:pPr>
        <w:ind w:left="60"/>
        <w:spacing w:after="0" w:line="204" w:lineRule="auto"/>
        <w:rPr>
          <w:sz w:val="20"/>
          <w:szCs w:val="20"/>
          <w:color w:val="auto"/>
        </w:rPr>
      </w:pPr>
      <w:r>
        <w:rPr>
          <w:rFonts w:ascii="Times New Roman" w:cs="Times New Roman" w:eastAsia="Times New Roman" w:hAnsi="Times New Roman"/>
          <w:sz w:val="22"/>
          <w:szCs w:val="22"/>
          <w:color w:val="auto"/>
        </w:rPr>
        <w:t>1100 Cassatt Road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Berwyn, PA 19132 U.S.A.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nonUS EE Perf RSU NS 2022</w:t>
            </w:r>
          </w:p>
        </w:tc>
        <w:tc>
          <w:tcPr>
            <w:tcW w:w="180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8"/>
              </w:rPr>
              <w:t>Page 30 of 30</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 Plan: 20UNP3 PRSU-EE-nonUS-2020 Legal Plan NS 3-21-2022</w:t>
            </w:r>
          </w:p>
        </w:tc>
        <w:tc>
          <w:tcPr>
            <w:tcW w:w="1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60" w:top="1440" w:right="4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2022</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Burke,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2022</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William J. Burke</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March 31, 2022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2022</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March 31, 2022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6"/>
          <w:szCs w:val="16"/>
          <w:color w:val="auto"/>
        </w:rPr>
        <w:t>ILLIAM</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Burke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2022</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decimal"/>
      <w:start w:val="11"/>
    </w:lvl>
  </w:abstractNum>
  <w:abstractNum w:abstractNumId="10">
    <w:nsid w:val="2D517796"/>
    <w:multiLevelType w:val="hybridMultilevel"/>
    <w:lvl w:ilvl="0">
      <w:lvlJc w:val="left"/>
      <w:lvlText w:val="1"/>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104"/>
    </w:lvl>
  </w:abstractNum>
  <w:abstractNum w:abstractNumId="13">
    <w:nsid w:val="3855585C"/>
    <w:multiLevelType w:val="hybridMultilevel"/>
    <w:lvl w:ilvl="0">
      <w:lvlJc w:val="left"/>
      <w:lvlText w:val="%1"/>
      <w:numFmt w:val="upperLetter"/>
      <w:start w:val="1"/>
    </w:lvl>
    <w:lvl w:ilvl="1">
      <w:lvlJc w:val="left"/>
      <w:lvlText w:val="%2."/>
      <w:numFmt w:val="decimal"/>
      <w:start w:val="1"/>
    </w:lvl>
  </w:abstractNum>
  <w:abstractNum w:abstractNumId="14">
    <w:nsid w:val="70A64E2A"/>
    <w:multiLevelType w:val="hybridMultilevel"/>
    <w:lvl w:ilvl="0">
      <w:lvlJc w:val="left"/>
      <w:lvlText w:val="%1."/>
      <w:numFmt w:val="decimal"/>
      <w:start w:val="9"/>
    </w:lvl>
    <w:lvl w:ilvl="1">
      <w:lvlJc w:val="left"/>
      <w:lvlText w:val="(%2)"/>
      <w:numFmt w:val="lowerLetter"/>
      <w:start w:val="1"/>
    </w:lvl>
  </w:abstractNum>
  <w:abstractNum w:abstractNumId="15">
    <w:nsid w:val="6A2342EC"/>
    <w:multiLevelType w:val="hybridMultilevel"/>
    <w:lvl w:ilvl="0">
      <w:lvlJc w:val="left"/>
      <w:lvlText w:val="%1."/>
      <w:numFmt w:val="decimal"/>
      <w:start w:val="10"/>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lowerLetter"/>
      <w:start w:val="3"/>
    </w:lvl>
  </w:abstractNum>
  <w:abstractNum w:abstractNumId="18">
    <w:nsid w:val="725A06FB"/>
    <w:multiLevelType w:val="hybridMultilevel"/>
    <w:lvl w:ilvl="0">
      <w:lvlJc w:val="left"/>
      <w:lvlText w:val="%1"/>
      <w:numFmt w:val="lowerRoman"/>
      <w:start w:val="1"/>
    </w:lvl>
    <w:lvl w:ilvl="1">
      <w:lvlJc w:val="left"/>
      <w:lvlText w:val="%2."/>
      <w:numFmt w:val="decimal"/>
      <w:start w:val="11"/>
    </w:lvl>
  </w:abstractNum>
  <w:abstractNum w:abstractNumId="19">
    <w:nsid w:val="2CD89A32"/>
    <w:multiLevelType w:val="hybridMultilevel"/>
    <w:lvl w:ilvl="0">
      <w:lvlJc w:val="left"/>
      <w:lvlText w:val="(%1)"/>
      <w:numFmt w:val="lowerRoman"/>
      <w:start w:val="2"/>
    </w:lvl>
    <w:lvl w:ilvl="1">
      <w:lvlJc w:val="left"/>
      <w:lvlText w:val="%2"/>
      <w:numFmt w:val="decimal"/>
      <w:start w:val="1"/>
    </w:lvl>
  </w:abstractNum>
  <w:abstractNum w:abstractNumId="20">
    <w:nsid w:val="57E4CCAF"/>
    <w:multiLevelType w:val="hybridMultilevel"/>
    <w:lvl w:ilvl="0">
      <w:lvlJc w:val="left"/>
      <w:lvlText w:val="(%1)"/>
      <w:numFmt w:val="lowerRoman"/>
      <w:start w:val="6"/>
    </w:lvl>
    <w:lvl w:ilvl="1">
      <w:lvlJc w:val="left"/>
      <w:lvlText w:val="%2"/>
      <w:numFmt w:val="decimal"/>
      <w:start w:val="1"/>
    </w:lvl>
  </w:abstractNum>
  <w:abstractNum w:abstractNumId="21">
    <w:nsid w:val="7A6D8D3C"/>
    <w:multiLevelType w:val="hybridMultilevel"/>
    <w:lvl w:ilvl="0">
      <w:lvlJc w:val="left"/>
      <w:lvlText w:val="(%1)"/>
      <w:numFmt w:val="lowerRoman"/>
      <w:start w:val="13"/>
    </w:lvl>
    <w:lvl w:ilvl="1">
      <w:lvlJc w:val="left"/>
      <w:lvlText w:val="%2."/>
      <w:numFmt w:val="decimal"/>
      <w:start w:val="12"/>
    </w:lvl>
  </w:abstractNum>
  <w:abstractNum w:abstractNumId="22">
    <w:nsid w:val="4B588F54"/>
    <w:multiLevelType w:val="hybridMultilevel"/>
    <w:lvl w:ilvl="0">
      <w:lvlJc w:val="left"/>
      <w:lvlText w:val="%1."/>
      <w:numFmt w:val="decimal"/>
      <w:start w:val="13"/>
    </w:lvl>
  </w:abstractNum>
  <w:abstractNum w:abstractNumId="23">
    <w:nsid w:val="542289EC"/>
    <w:multiLevelType w:val="hybridMultilevel"/>
    <w:lvl w:ilvl="0">
      <w:lvlJc w:val="left"/>
      <w:lvlText w:val="%1."/>
      <w:numFmt w:val="decimal"/>
      <w:start w:val="14"/>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9"/>
    </w:lvl>
  </w:abstractNum>
  <w:abstractNum w:abstractNumId="26">
    <w:nsid w:val="7644A45C"/>
    <w:multiLevelType w:val="hybridMultilevel"/>
    <w:lvl w:ilvl="0">
      <w:lvlJc w:val="left"/>
      <w:lvlText w:val="%1."/>
      <w:numFmt w:val="decimal"/>
      <w:start w:val="27"/>
    </w:lvl>
    <w:lvl w:ilvl="1">
      <w:lvlJc w:val="left"/>
      <w:lvlText w:val="(%2)"/>
      <w:numFmt w:val="lowerLetter"/>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lowerLetter"/>
      <w:start w:val="1"/>
    </w:lvl>
    <w:lvl w:ilvl="1">
      <w:lvlJc w:val="left"/>
      <w:lvlText w:val="%2."/>
      <w:numFmt w:val="decimal"/>
      <w:start w:val="1"/>
    </w:lvl>
  </w:abstractNum>
  <w:abstractNum w:abstractNumId="29">
    <w:nsid w:val="579478FE"/>
    <w:multiLevelType w:val="hybridMultilevel"/>
    <w:lvl w:ilvl="0">
      <w:lvlJc w:val="left"/>
      <w:lvlText w:val="%1)"/>
      <w:numFmt w:val="lowerLetter"/>
      <w:start w:val="1"/>
    </w:lvl>
    <w:lvl w:ilvl="1">
      <w:lvlJc w:val="left"/>
      <w:lvlText w:val="%2"/>
      <w:numFmt w:val="decimal"/>
      <w:start w:val="1"/>
    </w:lvl>
  </w:abstractNum>
  <w:abstractNum w:abstractNumId="30">
    <w:nsid w:val="749ABB43"/>
    <w:multiLevelType w:val="hybridMultilevel"/>
    <w:lvl w:ilvl="0">
      <w:lvlJc w:val="left"/>
      <w:lvlText w:val="%1."/>
      <w:numFmt w:val="decimal"/>
      <w:start w:val="4"/>
    </w:lvl>
  </w:abstractNum>
  <w:abstractNum w:abstractNumId="31">
    <w:nsid w:val="3DC240FB"/>
    <w:multiLevelType w:val="hybridMultilevel"/>
    <w:lvl w:ilvl="0">
      <w:lvlJc w:val="left"/>
      <w:lvlText w:val="%1."/>
      <w:numFmt w:val="decimal"/>
      <w:start w:val="5"/>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decimal"/>
      <w:start w:val="6"/>
    </w:lvl>
  </w:abstractNum>
  <w:abstractNum w:abstractNumId="34">
    <w:nsid w:val="75C6C33A"/>
    <w:multiLevelType w:val="hybridMultilevel"/>
    <w:lvl w:ilvl="0">
      <w:lvlJc w:val="left"/>
      <w:lvlText w:val="%1."/>
      <w:numFmt w:val="decimal"/>
      <w:start w:val="8"/>
    </w:lvl>
    <w:lvl w:ilvl="1">
      <w:lvlJc w:val="left"/>
      <w:lvlText w:val="%2."/>
      <w:numFmt w:val="decimal"/>
      <w:start w:val="10"/>
    </w:lvl>
  </w:abstractNum>
  <w:abstractNum w:abstractNumId="35">
    <w:nsid w:val="12E685FB"/>
    <w:multiLevelType w:val="hybridMultilevel"/>
    <w:lvl w:ilvl="0">
      <w:lvlJc w:val="left"/>
      <w:lvlText w:val="%1."/>
      <w:numFmt w:val="decimal"/>
      <w:start w:val="11"/>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8"/>
    </w:lvl>
  </w:abstractNum>
  <w:abstractNum w:abstractNumId="38">
    <w:nsid w:val="374A3FE6"/>
    <w:multiLevelType w:val="hybridMultilevel"/>
    <w:lvl w:ilvl="0">
      <w:lvlJc w:val="left"/>
      <w:lvlText w:val="%1."/>
      <w:numFmt w:val="decimal"/>
      <w:start w:val="20"/>
    </w:lvl>
  </w:abstractNum>
  <w:abstractNum w:abstractNumId="39">
    <w:nsid w:val="4F4EF005"/>
    <w:multiLevelType w:val="hybridMultilevel"/>
    <w:lvl w:ilvl="0">
      <w:lvlJc w:val="left"/>
      <w:lvlText w:val="%1."/>
      <w:numFmt w:val="decimal"/>
      <w:start w:val="25"/>
    </w:lvl>
  </w:abstractNum>
  <w:abstractNum w:abstractNumId="40">
    <w:nsid w:val="23F9C13C"/>
    <w:multiLevelType w:val="hybridMultilevel"/>
    <w:lvl w:ilvl="0">
      <w:lvlJc w:val="left"/>
      <w:lvlText w:val="%1"/>
      <w:numFmt w:val="decimal"/>
      <w:start w:val="1"/>
    </w:lvl>
    <w:lvl w:ilvl="1">
      <w:lvlJc w:val="left"/>
      <w:lvlText w:val="(%2)"/>
      <w:numFmt w:val="lowerLetter"/>
      <w:start w:val="1"/>
    </w:lvl>
  </w:abstractNum>
  <w:abstractNum w:abstractNumId="41">
    <w:nsid w:val="649BB77C"/>
    <w:multiLevelType w:val="hybridMultilevel"/>
    <w:lvl w:ilvl="0">
      <w:lvlJc w:val="left"/>
      <w:lvlText w:val="%1."/>
      <w:numFmt w:val="decimal"/>
      <w:start w:val="31"/>
    </w:lvl>
    <w:lvl w:ilvl="1">
      <w:lvlJc w:val="left"/>
      <w:lvlText w:val="%2"/>
      <w:numFmt w:val="lowerLetter"/>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decimal"/>
      <w:start w:val="3"/>
    </w:lvl>
    <w:lvl w:ilvl="1">
      <w:lvlJc w:val="left"/>
      <w:lvlText w:val="(%2)"/>
      <w:numFmt w:val="lowerLetter"/>
      <w:start w:val="1"/>
    </w:lvl>
  </w:abstractNum>
  <w:abstractNum w:abstractNumId="44">
    <w:nsid w:val="1CF10FD8"/>
    <w:multiLevelType w:val="hybridMultilevel"/>
    <w:lvl w:ilvl="0">
      <w:lvlJc w:val="left"/>
      <w:lvlText w:val="%1"/>
      <w:numFmt w:val="lowerRoman"/>
      <w:start w:val="1"/>
    </w:lvl>
    <w:lvl w:ilvl="1">
      <w:lvlJc w:val="left"/>
      <w:lvlText w:val="%2."/>
      <w:numFmt w:val="decimal"/>
      <w:start w:val="4"/>
    </w:lvl>
  </w:abstractNum>
  <w:abstractNum w:abstractNumId="45">
    <w:nsid w:val="180115BE"/>
    <w:multiLevelType w:val="hybridMultilevel"/>
    <w:lvl w:ilvl="0">
      <w:lvlJc w:val="left"/>
      <w:lvlText w:val="(%1)"/>
      <w:numFmt w:val="lowerRoman"/>
      <w:start w:val="1"/>
    </w:lvl>
    <w:lvl w:ilvl="1">
      <w:lvlJc w:val="left"/>
      <w:lvlText w:val="%2."/>
      <w:numFmt w:val="decimal"/>
      <w:start w:val="5"/>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decimal"/>
      <w:start w:val="10"/>
    </w:lvl>
  </w:abstractNum>
  <w:abstractNum w:abstractNumId="48">
    <w:nsid w:val="354FE9F9"/>
    <w:multiLevelType w:val="hybridMultilevel"/>
    <w:lvl w:ilvl="0">
      <w:lvlJc w:val="left"/>
      <w:lvlText w:val="%1."/>
      <w:numFmt w:val="decimal"/>
      <w:start w:val="11"/>
    </w:lvl>
  </w:abstractNum>
  <w:abstractNum w:abstractNumId="49">
    <w:nsid w:val="15B5AF5C"/>
    <w:multiLevelType w:val="hybridMultilevel"/>
    <w:lvl w:ilvl="0">
      <w:lvlJc w:val="left"/>
      <w:lvlText w:val="%1."/>
      <w:numFmt w:val="decimal"/>
      <w:start w:val="14"/>
    </w:lvl>
  </w:abstractNum>
  <w:abstractNum w:abstractNumId="50">
    <w:nsid w:val="741226BB"/>
    <w:multiLevelType w:val="hybridMultilevel"/>
    <w:lvl w:ilvl="0">
      <w:lvlJc w:val="left"/>
      <w:lvlText w:val="%1."/>
      <w:numFmt w:val="decimal"/>
      <w:start w:val="17"/>
    </w:lvl>
  </w:abstractNum>
  <w:abstractNum w:abstractNumId="51">
    <w:nsid w:val="D34B6A8"/>
    <w:multiLevelType w:val="hybridMultilevel"/>
    <w:lvl w:ilvl="0">
      <w:lvlJc w:val="left"/>
      <w:lvlText w:val="%1."/>
      <w:numFmt w:val="decimal"/>
      <w:start w:val="1"/>
    </w:lvl>
  </w:abstractNum>
  <w:abstractNum w:abstractNumId="52">
    <w:nsid w:val="10233C99"/>
    <w:multiLevelType w:val="hybridMultilevel"/>
    <w:lvl w:ilvl="0">
      <w:lvlJc w:val="left"/>
      <w:lvlText w:val="%1."/>
      <w:numFmt w:val="decimal"/>
      <w:start w:val="28"/>
    </w:lvl>
  </w:abstractNum>
  <w:abstractNum w:abstractNumId="53">
    <w:nsid w:val="3F6AB60F"/>
    <w:multiLevelType w:val="hybridMultilevel"/>
    <w:lvl w:ilvl="0">
      <w:lvlJc w:val="left"/>
      <w:lvlText w:val="%1."/>
      <w:numFmt w:val="decimal"/>
      <w:start w:val="30"/>
    </w:lvl>
    <w:lvl w:ilvl="1">
      <w:lvlJc w:val="left"/>
      <w:lvlText w:val="(%2)"/>
      <w:numFmt w:val="lowerLetter"/>
      <w:start w:val="1"/>
    </w:lvl>
  </w:abstractNum>
  <w:abstractNum w:abstractNumId="54">
    <w:nsid w:val="61574095"/>
    <w:multiLevelType w:val="hybridMultilevel"/>
    <w:lvl w:ilvl="0">
      <w:lvlJc w:val="left"/>
      <w:lvlText w:val="%1"/>
      <w:numFmt w:val="decimal"/>
      <w:start w:val="1"/>
    </w:lvl>
    <w:lvl w:ilvl="1">
      <w:lvlJc w:val="left"/>
      <w:lvlText w:val="(%2)"/>
      <w:numFmt w:val="lowerLetter"/>
      <w:start w:val="3"/>
    </w:lvl>
  </w:abstractNum>
  <w:abstractNum w:abstractNumId="55">
    <w:nsid w:val="7E0C57B1"/>
    <w:multiLevelType w:val="hybridMultilevel"/>
    <w:lvl w:ilvl="0">
      <w:lvlJc w:val="left"/>
      <w:lvlText w:val="%1."/>
      <w:numFmt w:val="decimal"/>
      <w:start w:val="33"/>
    </w:lvl>
    <w:lvl w:ilvl="1">
      <w:lvlJc w:val="left"/>
      <w:lvlText w:val="%2"/>
      <w:numFmt w:val="lowerLetter"/>
      <w:start w:val="1"/>
    </w:lvl>
  </w:abstractNum>
  <w:abstractNum w:abstractNumId="56">
    <w:nsid w:val="77AE35EB"/>
    <w:multiLevelType w:val="hybridMultilevel"/>
    <w:lvl w:ilvl="0">
      <w:lvlJc w:val="left"/>
      <w:lvlText w:val="(%1)"/>
      <w:numFmt w:val="lowerRoman"/>
      <w:start w:val="3"/>
    </w:lvl>
  </w:abstractNum>
  <w:abstractNum w:abstractNumId="57">
    <w:nsid w:val="579BE4F1"/>
    <w:multiLevelType w:val="hybridMultilevel"/>
    <w:lvl w:ilvl="0">
      <w:lvlJc w:val="left"/>
      <w:lvlText w:val="(%1)"/>
      <w:numFmt w:val="lowerRoman"/>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5"/>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lowerLetter"/>
      <w:start w:val="1"/>
    </w:lvl>
  </w:abstractNum>
  <w:abstractNum w:abstractNumId="68">
    <w:nsid w:val="6590700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2022-05-03T13:06:40Z</dcterms:created>
  <dcterms:modified xsi:type="dcterms:W3CDTF">2022-05-03T13:06:40Z</dcterms:modified>
</cp:coreProperties>
</file>