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8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83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Speranza Emanuela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CASSATT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AMETEK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37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right"/>
              <w:ind w:right="156"/>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3"/>
          </w:tcPr>
          <w:p>
            <w:pPr>
              <w:ind w:left="160"/>
              <w:spacing w:after="0" w:line="182" w:lineRule="exact"/>
              <w:rPr>
                <w:sz w:val="20"/>
                <w:szCs w:val="20"/>
                <w:color w:val="auto"/>
              </w:rPr>
            </w:pPr>
            <w:r>
              <w:rPr>
                <w:rFonts w:ascii="Times New Roman" w:cs="Times New Roman" w:eastAsia="Times New Roman" w:hAnsi="Times New Roman"/>
                <w:sz w:val="17"/>
                <w:szCs w:val="17"/>
                <w:color w:val="0000FF"/>
              </w:rPr>
              <w:t>03/20/2025</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BERWYN</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19312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03/19/2025</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0000FF"/>
              </w:rPr>
              <w:t>230</w:t>
            </w:r>
          </w:p>
        </w:tc>
        <w:tc>
          <w:tcPr>
            <w:tcW w:w="6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31,664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03/19/2025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60" w:type="dxa"/>
            <w:vAlign w:val="bottom"/>
            <w:tcBorders>
              <w:bottom w:val="single" w:sz="8" w:color="2C2C2C"/>
            </w:tcBorders>
          </w:tcPr>
          <w:p>
            <w:pPr>
              <w:jc w:val="right"/>
              <w:ind w:right="18"/>
              <w:spacing w:after="0"/>
              <w:rPr>
                <w:sz w:val="20"/>
                <w:szCs w:val="20"/>
                <w:color w:val="auto"/>
              </w:rPr>
            </w:pPr>
            <w:r>
              <w:rPr>
                <w:rFonts w:ascii="Times New Roman" w:cs="Times New Roman" w:eastAsia="Times New Roman" w:hAnsi="Times New Roman"/>
                <w:sz w:val="17"/>
                <w:szCs w:val="17"/>
                <w:color w:val="0000FF"/>
              </w:rPr>
              <w:t>104</w:t>
            </w:r>
          </w:p>
        </w:tc>
        <w:tc>
          <w:tcPr>
            <w:tcW w:w="6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177.07</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31,560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18"/>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890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176.08</w:t>
            </w: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03/18/2025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82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890</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890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176.08</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03/18/2025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82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2,720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2,720</w:t>
            </w:r>
          </w:p>
        </w:tc>
        <w:tc>
          <w:tcPr>
            <w:tcW w:w="180" w:type="dxa"/>
            <w:vAlign w:val="bottom"/>
          </w:tcPr>
          <w:p>
            <w:pPr>
              <w:spacing w:after="0"/>
              <w:rPr>
                <w:sz w:val="20"/>
                <w:szCs w:val="20"/>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2,720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03/19/2025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230</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460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-2727960</wp:posOffset>
            </wp:positionV>
            <wp:extent cx="29210" cy="2733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330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to pay taxes. Ms. Speranza owns 29,270 shares of common stock as of the date this amendment is filed.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will become exercisable in three equal annual installments beginning March 18, 2026.</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annual installments beginning on March 22, 2024. This amendment lists shares that vested in connection with the forfeiture of shares that were previously reported.</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Lynn Carino,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02/13/2026</w:t>
            </w:r>
          </w:p>
        </w:tc>
        <w:tc>
          <w:tcPr>
            <w:tcW w:w="0" w:type="dxa"/>
            <w:vAlign w:val="bottom"/>
          </w:tcPr>
          <w:p>
            <w:pPr>
              <w:spacing w:after="0"/>
              <w:rPr>
                <w:sz w:val="1"/>
                <w:szCs w:val="1"/>
                <w:color w:val="auto"/>
              </w:rPr>
            </w:pPr>
          </w:p>
        </w:tc>
      </w:tr>
      <w:tr>
        <w:trPr>
          <w:trHeight w:val="89"/>
        </w:trPr>
        <w:tc>
          <w:tcPr>
            <w:tcW w:w="192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Ms. Speranza</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3078" TargetMode="External"/><Relationship Id="rId14" Type="http://schemas.openxmlformats.org/officeDocument/2006/relationships/hyperlink" Target="http://www.sec.gov/cgi-bin/browse-edgar?action=getcompany&amp;CIK=0001037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2026-02-13T16:23:35Z</dcterms:created>
  <dcterms:modified xsi:type="dcterms:W3CDTF">2026-02-13T16:23:35Z</dcterms:modified>
</cp:coreProperties>
</file>