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6"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5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2"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7"/>
          <w:szCs w:val="27"/>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3"/>
          <w:szCs w:val="2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ind w:left="34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1-12981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AMETEK,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Cassatt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Berwyn, Pennsylvania</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14-1682544</w:t>
      </w:r>
    </w:p>
    <w:p>
      <w:pPr>
        <w:spacing w:after="0" w:line="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19312-1177</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647-2121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21" w:lineRule="exact"/>
        <w:rPr>
          <w:sz w:val="24"/>
          <w:szCs w:val="24"/>
          <w:color w:val="auto"/>
        </w:rPr>
      </w:pPr>
    </w:p>
    <w:p>
      <w:pPr>
        <w:jc w:val="both"/>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7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78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229"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27"/>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outstanding as of the latest practicable date was: Common Stock, $0.01 Par Value, outstanding at October 29, 2024 was 231,307,680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0" w:type="dxa"/>
            <w:vAlign w:val="bottom"/>
            <w:gridSpan w:val="18"/>
            <w:vMerge w:val="continue"/>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1.Financial Statements</w:t>
            </w:r>
          </w:p>
        </w:tc>
        <w:tc>
          <w:tcPr>
            <w:tcW w:w="73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 of Income for the three and nine months ended September 30, 2024 and 2023</w:t>
            </w:r>
          </w:p>
        </w:tc>
        <w:tc>
          <w:tcPr>
            <w:tcW w:w="242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3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for the three and nine months ended September 30, 2024 and 2023</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Balance Sheet at September 30, 2024 and December 31,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 of Stockholders’ Equity for the three and nine months ended September 30, 2024 and 2023</w:t>
            </w:r>
          </w:p>
        </w:tc>
        <w:tc>
          <w:tcPr>
            <w:tcW w:w="1440" w:type="dxa"/>
            <w:vAlign w:val="bottom"/>
            <w:gridSpan w:val="2"/>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7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nine months ended September 30, 2024 and 2023</w:t>
            </w:r>
          </w:p>
        </w:tc>
        <w:tc>
          <w:tcPr>
            <w:tcW w:w="1980" w:type="dxa"/>
            <w:vAlign w:val="bottom"/>
            <w:gridSpan w:val="3"/>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2.Management’s Discussion and Analysis of Financial Condition and Results of Operations</w:t>
            </w:r>
          </w:p>
        </w:tc>
        <w:tc>
          <w:tcPr>
            <w:tcW w:w="298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4.Controls and Procedures</w:t>
            </w:r>
          </w:p>
        </w:tc>
        <w:tc>
          <w:tcPr>
            <w:tcW w:w="7660" w:type="dxa"/>
            <w:vAlign w:val="bottom"/>
            <w:gridSpan w:val="11"/>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100" w:type="dxa"/>
            <w:vAlign w:val="bottom"/>
            <w:gridSpan w:val="7"/>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6.Exhibits</w:t>
            </w:r>
          </w:p>
        </w:tc>
        <w:tc>
          <w:tcPr>
            <w:tcW w:w="8080" w:type="dxa"/>
            <w:vAlign w:val="bottom"/>
            <w:gridSpan w:val="13"/>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4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4"/>
                <w:szCs w:val="24"/>
                <w:color w:val="auto"/>
              </w:rPr>
            </w:pPr>
          </w:p>
        </w:tc>
        <w:tc>
          <w:tcPr>
            <w:tcW w:w="4940" w:type="dxa"/>
            <w:vAlign w:val="bottom"/>
            <w:gridSpan w:val="9"/>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1,708,564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1,622,837</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5,179,578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4,866,065</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1,092,754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1,020,920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3,347,860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3,096,635</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169,959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163,782</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521,137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506,963</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1,262,713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1,184,702</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3,868,997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3,603,598</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445,851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438,135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1,310,581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1,262,467</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(90,962)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418,845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413,493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1,217,184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1,189,476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78,604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73,123</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228,317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219,152</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340,241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340,370</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988,867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970,324</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4.26</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shares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231,342</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230,691</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231,292</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230,431</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shares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232,224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231,751</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232,188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231,414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Dividends declared and paid per share</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0.28</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0.25</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0.84</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Comprehensive Income</w:t>
      </w:r>
    </w:p>
    <w:p>
      <w:pPr>
        <w:spacing w:after="0" w:line="21"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4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300" w:type="dxa"/>
            <w:vAlign w:val="bottom"/>
            <w:gridSpan w:val="4"/>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196"/>
        </w:trPr>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405,095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294,757</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1,016,270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977,660</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-187960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20" w:space="720"/>
            <w:col w:w="800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396,266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409,804</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968,240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1,012,932</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1,084,622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1,132,471</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284,562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269,461</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2,733,690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2,824,668</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822,609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891,293</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211,381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229,723</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6,550,267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6,447,629</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3,950,989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4,165,317</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498,703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464,903</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14,767,639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15,023,533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571,061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1,417,915</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511,680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516,588</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advanced payments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350,865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375,513</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64,763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69,567</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468,556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502,990</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1,966,925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2,882,573</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1,765,473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1,895,432</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792,540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836,695</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692,478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678,642</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5,217,416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6,293,342</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1,228,670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1,168,694</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10,735,140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9,940,343</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(457,539)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(484,942)</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(1,958,765)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(1,896,613)</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9,550,223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8,730,191</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14,767,639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15,023,533</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00" w:type="dxa"/>
            <w:vAlign w:val="bottom"/>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Shares issued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in excess of par value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1,094,236</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18,098</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12,743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35,773</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1,228,670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1,148,107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1,228,670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1,148,107</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10,459,556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9,372,368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9,940,343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8,857,485</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340,241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988,867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970,324</w:t>
            </w: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(64,657)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(194,068)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(172,693)</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10,735,140</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9,655,114</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10,735,140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9,655,114</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income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(368,124)</w:t>
            </w:r>
          </w:p>
        </w:tc>
        <w:tc>
          <w:tcPr>
            <w:tcW w:w="0" w:type="dxa"/>
            <w:vAlign w:val="bottom"/>
          </w:tcPr>
          <w:p>
            <w:pPr>
              <w:spacing w:after="0"/>
              <w:rPr>
                <w:sz w:val="1"/>
                <w:szCs w:val="1"/>
                <w:color w:val="auto"/>
              </w:rPr>
            </w:pPr>
          </w:p>
        </w:tc>
      </w:tr>
      <w:tr>
        <w:trPr>
          <w:trHeight w:val="229"/>
        </w:trPr>
        <w:tc>
          <w:tcPr>
            <w:tcW w:w="6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Translation adjustments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91,052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long-term intercompany notes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175"/>
        </w:trPr>
        <w:tc>
          <w:tcPr>
            <w:tcW w:w="62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Net investment hedge instruments (loss) gain , net of tax of $9,595 and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$(7,126) for the quarter ended September 30, 2024 and 2023, and $4,678</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00" w:type="dxa"/>
            <w:vAlign w:val="bottom"/>
          </w:tcPr>
          <w:p>
            <w:pPr>
              <w:ind w:left="680"/>
              <w:spacing w:after="0" w:line="184" w:lineRule="exact"/>
              <w:rPr>
                <w:sz w:val="20"/>
                <w:szCs w:val="20"/>
                <w:color w:val="auto"/>
              </w:rPr>
            </w:pPr>
            <w:r>
              <w:rPr>
                <w:rFonts w:ascii="Times New Roman" w:cs="Times New Roman" w:eastAsia="Times New Roman" w:hAnsi="Times New Roman"/>
                <w:sz w:val="18"/>
                <w:szCs w:val="18"/>
                <w:color w:val="auto"/>
              </w:rPr>
              <w:t>and $(1,004) for the nine months ended September 30, 2024 and 2023,</w:t>
            </w:r>
          </w:p>
        </w:tc>
        <w:tc>
          <w:tcPr>
            <w:tcW w:w="1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(29,464)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(14,366)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21,881</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(274,912)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(365,564)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(274,912)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(365,564)</w:t>
            </w:r>
          </w:p>
        </w:tc>
        <w:tc>
          <w:tcPr>
            <w:tcW w:w="0" w:type="dxa"/>
            <w:vAlign w:val="bottom"/>
          </w:tcPr>
          <w:p>
            <w:pPr>
              <w:spacing w:after="0"/>
              <w:rPr>
                <w:sz w:val="1"/>
                <w:szCs w:val="1"/>
                <w:color w:val="auto"/>
              </w:rPr>
            </w:pPr>
          </w:p>
        </w:tc>
      </w:tr>
      <w:tr>
        <w:trPr>
          <w:trHeight w:val="21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(206,821)</w:t>
            </w:r>
          </w:p>
        </w:tc>
        <w:tc>
          <w:tcPr>
            <w:tcW w:w="0" w:type="dxa"/>
            <w:vAlign w:val="bottom"/>
          </w:tcPr>
          <w:p>
            <w:pPr>
              <w:spacing w:after="0"/>
              <w:rPr>
                <w:sz w:val="1"/>
                <w:szCs w:val="1"/>
                <w:color w:val="auto"/>
              </w:rPr>
            </w:pPr>
          </w:p>
        </w:tc>
      </w:tr>
      <w:tr>
        <w:trPr>
          <w:trHeight w:val="176"/>
        </w:trPr>
        <w:tc>
          <w:tcPr>
            <w:tcW w:w="62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Amortization of net actuarial loss and other, net of tax of $(365) and $(518)</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for the quarter ended September 30, 2024 and 2023 and $(1,095) and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00" w:type="dxa"/>
            <w:vAlign w:val="bottom"/>
          </w:tcPr>
          <w:p>
            <w:pPr>
              <w:ind w:left="680"/>
              <w:spacing w:after="0" w:line="184" w:lineRule="exact"/>
              <w:rPr>
                <w:sz w:val="20"/>
                <w:szCs w:val="20"/>
                <w:color w:val="auto"/>
              </w:rPr>
            </w:pPr>
            <w:r>
              <w:rPr>
                <w:rFonts w:ascii="Times New Roman" w:cs="Times New Roman" w:eastAsia="Times New Roman" w:hAnsi="Times New Roman"/>
                <w:sz w:val="18"/>
                <w:szCs w:val="18"/>
                <w:color w:val="auto"/>
              </w:rPr>
              <w:t>$(1,554) for the nine months ended September 30, 2024 and 2023 ,</w:t>
            </w:r>
          </w:p>
        </w:tc>
        <w:tc>
          <w:tcPr>
            <w:tcW w:w="1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3,480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(202,045)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(202,045)</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Accumulated other comprehensive loss at the end of the period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(457,539)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(567,609)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(457,539)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(567,609)</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(1,897,889)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(1,895,628)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(1,896,613)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(1,902,964)</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(67,995)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(1,958,765)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(1,895,811)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(1,958,765)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(1,895,811)</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9,550,223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8,342,509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9,550,223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8,342,509</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for):</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988,867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970,324</w:t>
            </w:r>
          </w:p>
        </w:tc>
      </w:tr>
      <w:tr>
        <w:trPr>
          <w:trHeight w:val="229"/>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Adjustments to reconcile net income to total operating activities: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287,049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245,713</w:t>
            </w:r>
          </w:p>
        </w:tc>
      </w:tr>
      <w:tr>
        <w:trPr>
          <w:trHeight w:val="230"/>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(67,525)</w:t>
            </w: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35,773</w:t>
            </w:r>
          </w:p>
        </w:tc>
      </w:tr>
      <w:tr>
        <w:trPr>
          <w:trHeight w:val="230"/>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Gain on sale of facilities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change in assets and liabilities, net of acquisitions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27,266</w:t>
            </w:r>
          </w:p>
        </w:tc>
      </w:tr>
      <w:tr>
        <w:trPr>
          <w:trHeight w:val="229"/>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Pension contributions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30"/>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1,278,832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1,194,639</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(76,506)</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businesses, net of cash acquired</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(246,656)</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facilities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investing activities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(326,311)</w:t>
            </w: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(698,099)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(220,555)</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long-term borrowings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(67,995)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(194,068)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(172,693)</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40,120</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(7,976)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financing activities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(1,228,410)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(364,774)</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496,515</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409,804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345,386</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396,266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841,901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September 30, 2024, the consolidated results of its operations for the three and nine months ended September 30, 2024 and 2023 and its cash flows for the nine months ended September 30, 2024 and 2023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2023 as filed with the U.S. Securities and Exchange Commission.</w:t>
      </w:r>
    </w:p>
    <w:p>
      <w:pPr>
        <w:spacing w:after="0" w:line="2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requires disclosure of significant segment expenses and other segment items on an annual and interim basis under ASC 280. ASU 2023-07 is effective for the Company's annual period ending December 31, 2024, and for interim periods within the annual period ending December 31, 2025. The amendments in this ASU will be applied on a retrospective basis to all periods presented. ASU 2023-07 will require additional disclosures in the Reportable Segments footnote, but will not have a material impact on the Company's consolidated financial statements.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The ASU indicates that all entities will apply its guidance prospectively with an option for retroactive application to each period in the financial statements. The Company has not determined the impact ASU 2023-09 may have on the Company’s financial statement disclosures.</w:t>
      </w: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contract asset and liability accounts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assets—January 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119,741</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 September 30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151,451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139,771</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increase (decrease)</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Contract liabilities – January 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432,830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398,692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September 30</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396,172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422,415</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contract liabilities – decrease (increase)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36,658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(23,723)</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change for the nine months ended September 30, 2024 was primarily driven by contract liabilities, specifically lower advance payments from customers. For the nine months ended September 30, 2024 and 2023, the Company recognized revenue of $324.8 million and $297.7 million, respectively, that was previously included in the beginning balance of contract liabilities.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assets are reported as a component of Other current assets in the consolidated balance sheet. At September 30, 2024 and December 31, 2023, $45.3 million and $57.3 million of Customer advanced payments (contract liabilities), respectively, were recorded in Other long-term liabilities in the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remaining performance obligations not expected to be completed within one year as of September 30, 2024 and December 31, 2023 were $611.2 million and $607.5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Areas</w:t>
      </w:r>
    </w:p>
    <w:p>
      <w:pPr>
        <w:spacing w:after="0" w:line="1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sales were attributed to geographic areas based on the location of the customer. Information about the Company’s operations in different geographic areas was as follows for the three and nine months ended September 30: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20" w:type="dxa"/>
            <w:vAlign w:val="bottom"/>
          </w:tcPr>
          <w:p>
            <w:pPr>
              <w:spacing w:after="0"/>
              <w:rPr>
                <w:sz w:val="16"/>
                <w:szCs w:val="16"/>
                <w:color w:val="auto"/>
              </w:rPr>
            </w:pPr>
          </w:p>
        </w:tc>
        <w:tc>
          <w:tcPr>
            <w:tcW w:w="3380" w:type="dxa"/>
            <w:vAlign w:val="bottom"/>
            <w:gridSpan w:val="7"/>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r>
      <w:tr>
        <w:trPr>
          <w:trHeight w:val="23"/>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9"/>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7"/>
                <w:szCs w:val="17"/>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3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561,273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333,575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894,848</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1,732,847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1,019,636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2,752,483</w:t>
            </w:r>
          </w:p>
        </w:tc>
      </w:tr>
      <w:tr>
        <w:trPr>
          <w:trHeight w:val="210"/>
        </w:trPr>
        <w:tc>
          <w:tcPr>
            <w:tcW w:w="392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56,407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79,713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95,107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174,820</w:t>
            </w:r>
          </w:p>
        </w:tc>
      </w:tr>
      <w:tr>
        <w:trPr>
          <w:trHeight w:val="229"/>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123,271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109,071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232,342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393,941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331,047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724,988</w:t>
            </w:r>
          </w:p>
        </w:tc>
      </w:tr>
      <w:tr>
        <w:trPr>
          <w:trHeight w:val="230"/>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301,858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361,866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881,893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166,517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1,048,410</w:t>
            </w:r>
          </w:p>
        </w:tc>
      </w:tr>
      <w:tr>
        <w:trPr>
          <w:trHeight w:val="229"/>
        </w:trPr>
        <w:tc>
          <w:tcPr>
            <w:tcW w:w="3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122,939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163,101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356,586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122,291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478,877</w:t>
            </w:r>
          </w:p>
        </w:tc>
      </w:tr>
      <w:tr>
        <w:trPr>
          <w:trHeight w:val="223"/>
        </w:trPr>
        <w:tc>
          <w:tcPr>
            <w:tcW w:w="3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573,315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240,401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813,716</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1,712,133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714,962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2,427,095</w:t>
            </w: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1,134,588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573,976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1,708,564</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3,444,980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1,734,598</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5,179,578</w:t>
            </w:r>
          </w:p>
        </w:tc>
      </w:tr>
      <w:tr>
        <w:trPr>
          <w:trHeight w:val="21"/>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$465.1 million and $1,374.4 million for the three and nine months ended September 30, 2024, respectively.</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20" w:type="dxa"/>
            <w:vAlign w:val="bottom"/>
          </w:tcPr>
          <w:p>
            <w:pPr>
              <w:spacing w:after="0"/>
              <w:rPr>
                <w:sz w:val="16"/>
                <w:szCs w:val="16"/>
                <w:color w:val="auto"/>
              </w:rPr>
            </w:pPr>
          </w:p>
        </w:tc>
        <w:tc>
          <w:tcPr>
            <w:tcW w:w="3420" w:type="dxa"/>
            <w:vAlign w:val="bottom"/>
            <w:gridSpan w:val="7"/>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r>
      <w:tr>
        <w:trPr>
          <w:trHeight w:val="23"/>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38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616,988</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274,146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891,134</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1,754,165</w:t>
            </w: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805,876</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2,560,041</w:t>
            </w:r>
          </w:p>
        </w:tc>
      </w:tr>
      <w:tr>
        <w:trPr>
          <w:trHeight w:val="210"/>
        </w:trPr>
        <w:tc>
          <w:tcPr>
            <w:tcW w:w="388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164,327</w:t>
            </w:r>
          </w:p>
        </w:tc>
      </w:tr>
      <w:tr>
        <w:trPr>
          <w:trHeight w:val="230"/>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214,957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381,495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327,614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709,109</w:t>
            </w:r>
          </w:p>
        </w:tc>
      </w:tr>
      <w:tr>
        <w:trPr>
          <w:trHeight w:val="230"/>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319,621</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846,450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997,807</w:t>
            </w:r>
          </w:p>
        </w:tc>
      </w:tr>
      <w:tr>
        <w:trPr>
          <w:trHeight w:val="230"/>
        </w:trPr>
        <w:tc>
          <w:tcPr>
            <w:tcW w:w="3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143,450</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331,398</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103,383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434,781</w:t>
            </w:r>
          </w:p>
        </w:tc>
      </w:tr>
      <w:tr>
        <w:trPr>
          <w:trHeight w:val="223"/>
        </w:trPr>
        <w:tc>
          <w:tcPr>
            <w:tcW w:w="3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519,142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731,703</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1,633,858</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672,166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2,306,024</w:t>
            </w: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1,136,130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1,622,837</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3,388,023</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1,478,042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4,866,065</w:t>
            </w:r>
          </w:p>
        </w:tc>
      </w:tr>
      <w:tr>
        <w:trPr>
          <w:trHeight w:val="20"/>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$391.7 million and $1,265.0 million for the three and nine months ended September 30, 2023, respectively.</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Products and Services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major products and services in the reportable segments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20" w:type="dxa"/>
            <w:vAlign w:val="bottom"/>
          </w:tcPr>
          <w:p>
            <w:pPr>
              <w:spacing w:after="0"/>
              <w:rPr>
                <w:sz w:val="16"/>
                <w:szCs w:val="16"/>
                <w:color w:val="auto"/>
              </w:rPr>
            </w:pPr>
          </w:p>
        </w:tc>
        <w:tc>
          <w:tcPr>
            <w:tcW w:w="3300" w:type="dxa"/>
            <w:vAlign w:val="bottom"/>
            <w:gridSpan w:val="7"/>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779,772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779,772</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2,374,034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2,374,034</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354,816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160,177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514,993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1,070,946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467,092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1,538,038</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413,799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413,799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1,267,506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1,267,506</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1,134,588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573,976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1,708,564</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3,444,980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1,734,598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5,179,578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20" w:type="dxa"/>
            <w:vAlign w:val="bottom"/>
          </w:tcPr>
          <w:p>
            <w:pPr>
              <w:spacing w:after="0"/>
              <w:rPr>
                <w:sz w:val="24"/>
                <w:szCs w:val="24"/>
                <w:color w:val="auto"/>
              </w:rPr>
            </w:pPr>
          </w:p>
        </w:tc>
        <w:tc>
          <w:tcPr>
            <w:tcW w:w="3300" w:type="dxa"/>
            <w:vAlign w:val="bottom"/>
            <w:gridSpan w:val="7"/>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801,027</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2,394,127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2,394,127</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481,946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1,433,581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339,864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1,038,357</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1,136,130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486,707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1,622,837</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3,388,023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1,478,042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4,866,065</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20" w:type="dxa"/>
            <w:vAlign w:val="bottom"/>
          </w:tcPr>
          <w:p>
            <w:pPr>
              <w:spacing w:after="0"/>
              <w:rPr>
                <w:sz w:val="24"/>
                <w:szCs w:val="24"/>
                <w:color w:val="auto"/>
              </w:rPr>
            </w:pPr>
          </w:p>
        </w:tc>
        <w:tc>
          <w:tcPr>
            <w:tcW w:w="3300" w:type="dxa"/>
            <w:vAlign w:val="bottom"/>
            <w:gridSpan w:val="7"/>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Pr>
          <w:p>
            <w:pPr>
              <w:spacing w:after="0"/>
              <w:rPr>
                <w:sz w:val="17"/>
                <w:szCs w:val="17"/>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7"/>
                <w:szCs w:val="17"/>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4" w:lineRule="exact"/>
        <w:rPr>
          <w:sz w:val="20"/>
          <w:szCs w:val="20"/>
          <w:color w:val="auto"/>
        </w:rPr>
      </w:pPr>
    </w:p>
    <w:p>
      <w:pPr>
        <w:ind w:left="20" w:right="140"/>
        <w:spacing w:after="0" w:line="289" w:lineRule="auto"/>
        <w:rPr>
          <w:sz w:val="20"/>
          <w:szCs w:val="20"/>
          <w:color w:val="auto"/>
        </w:rPr>
      </w:pPr>
      <w:r>
        <w:rPr>
          <w:rFonts w:ascii="Times New Roman" w:cs="Times New Roman" w:eastAsia="Times New Roman" w:hAnsi="Times New Roman"/>
          <w:sz w:val="18"/>
          <w:szCs w:val="18"/>
          <w:color w:val="auto"/>
        </w:rPr>
        <w:t>Products transferred at a point in time Products and services transferred over time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904,622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515,035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1,419,657</w:t>
            </w:r>
          </w:p>
        </w:tc>
        <w:tc>
          <w:tcPr>
            <w:tcW w:w="2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2,776,552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1,557,412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4,333,964</w:t>
            </w:r>
          </w:p>
        </w:tc>
      </w:tr>
      <w:tr>
        <w:trPr>
          <w:trHeight w:val="238"/>
        </w:trPr>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229,966</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58,941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288,907</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668,428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177,186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845,614</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1,134,588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573,976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1,708,564</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3,444,980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1,734,598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5,179,578</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-479425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-187960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r>
      <w:tr>
        <w:trPr>
          <w:trHeight w:val="23"/>
        </w:trPr>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11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EIG</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EMG</w:t>
            </w:r>
          </w:p>
        </w:tc>
        <w:tc>
          <w:tcPr>
            <w:tcW w:w="7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EIG</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EMG</w:t>
            </w:r>
          </w:p>
        </w:tc>
        <w:tc>
          <w:tcPr>
            <w:tcW w:w="11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37" w:lineRule="exact"/>
        <w:rPr>
          <w:sz w:val="20"/>
          <w:szCs w:val="20"/>
          <w:color w:val="auto"/>
        </w:rPr>
      </w:pPr>
    </w:p>
    <w:p>
      <w:pPr>
        <w:sectPr>
          <w:pgSz w:w="11900" w:h="16838" w:orient="portrait"/>
          <w:cols w:equalWidth="0" w:num="2">
            <w:col w:w="3280" w:space="720"/>
            <w:col w:w="7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1,374,924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2,809,624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4,124,385</w:t>
            </w: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Products and services transferred over time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247,913</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741,680</w:t>
            </w: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1,622,837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4,866,065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accrued product warranty obligation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r>
      <w:tr>
        <w:trPr>
          <w:trHeight w:val="37"/>
        </w:trPr>
        <w:tc>
          <w:tcPr>
            <w:tcW w:w="8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26,487</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18,049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15,711</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(16,219)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Warranty accruals related to acquired businesses and other during the period</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39,164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2024, the Company had $968.2 million of accounts receivable, net of allowances of $14.3 million. Changes in the allowance were not material for the three and nine months ended September 30, 2024.</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The number of weighted average shares used in the calculation of basic earnings per share and diluted earnings per share was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8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12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r>
      <w:tr>
        <w:trPr>
          <w:trHeight w:val="23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231,342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230,691</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231,292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230,431</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plans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232,224</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231,751</w:t>
            </w:r>
          </w:p>
        </w:tc>
        <w:tc>
          <w:tcPr>
            <w:tcW w:w="2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232,188</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231,414</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diluted earnings per share for the three and nine months ended September 30, 2024 excluded an immaterial number of stock options because the exercise prices of these stock options exceeded the average market price of the Company’s common shares, and the effect of their inclusion would have been antidilutive. There were no antidilutive shares for the three and nine months ended September 30, 2023.</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Company’s assets that are measured at fair value on a recurring basis, consistent with the fair value hierarchy,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10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10,910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10,910</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0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1,489</w:t>
            </w:r>
          </w:p>
        </w:tc>
        <w:tc>
          <w:tcPr>
            <w:tcW w:w="36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0"/>
                <w:szCs w:val="20"/>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1,489</w:t>
            </w:r>
          </w:p>
        </w:tc>
        <w:tc>
          <w:tcPr>
            <w:tcW w:w="340" w:type="dxa"/>
            <w:vAlign w:val="bottom"/>
          </w:tcPr>
          <w:p>
            <w:pPr>
              <w:spacing w:after="0"/>
              <w:rPr>
                <w:sz w:val="20"/>
                <w:szCs w:val="20"/>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386"/>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10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11,922</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11,922</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0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2,035</w:t>
            </w:r>
          </w:p>
        </w:tc>
        <w:tc>
          <w:tcPr>
            <w:tcW w:w="36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2,035</w:t>
            </w:r>
          </w:p>
        </w:tc>
        <w:tc>
          <w:tcPr>
            <w:tcW w:w="340" w:type="dxa"/>
            <w:vAlign w:val="bottom"/>
          </w:tcPr>
          <w:p>
            <w:pPr>
              <w:spacing w:after="0"/>
              <w:rPr>
                <w:sz w:val="20"/>
                <w:szCs w:val="20"/>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fair value of mutual fund investments is based on quoted market prices. The mutual fund investments are shown as a component of investments and other assets on the consolidated balance sheet.</w:t>
      </w:r>
    </w:p>
    <w:p>
      <w:pPr>
        <w:spacing w:after="0" w:line="16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2023, gains and losses on the investments noted above were not significant. No transfers between level 1 and level 2 investments occurred during the nine months ended September 30, 2024 and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September 30, 2024, the Company had a Euro forward contract for a total notional value of 65.0 million Euros. The foreign currency forward contract is valued as a level 2 liability as it is corroborated by foreign currency exchange rates and shown as a component of other current liabilities on the consolidated balance sheet. For the nine months ended September 30, 2024, realized and unrealized gains and losses on the foreign currency forward contracts were not significant.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cash equivalents and mutual fund investments are recorded at fair value at September 30, 2024 and December 31, 2023 in the accompanying consolidated balance sheet.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estimated fair values of the Company’s financial instrument liabilities, for which fair value is measured for disclosure purposes only, compared to the recorded amounts at September 30, 2024 and December 31,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40" w:type="dxa"/>
            <w:vAlign w:val="bottom"/>
          </w:tcPr>
          <w:p>
            <w:pPr>
              <w:spacing w:after="0"/>
              <w:rPr>
                <w:sz w:val="16"/>
                <w:szCs w:val="16"/>
                <w:color w:val="auto"/>
              </w:rPr>
            </w:pPr>
          </w:p>
        </w:tc>
        <w:tc>
          <w:tcPr>
            <w:tcW w:w="276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8"/>
        </w:trPr>
        <w:tc>
          <w:tcPr>
            <w:tcW w:w="4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264"/>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center"/>
              <w:ind w:right="404"/>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4"/>
        </w:trPr>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7"/>
                <w:szCs w:val="17"/>
                <w:color w:val="auto"/>
              </w:rPr>
            </w:pPr>
          </w:p>
        </w:tc>
        <w:tc>
          <w:tcPr>
            <w:tcW w:w="1160" w:type="dxa"/>
            <w:vAlign w:val="bottom"/>
          </w:tcPr>
          <w:p>
            <w:pPr>
              <w:jc w:val="center"/>
              <w:ind w:right="4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7"/>
                <w:szCs w:val="17"/>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4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(1,917,123)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(1,855,522)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(2,197,538)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(2,087,607)</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net short-term borrowings approximates the carrying value.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Hedging Activities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designated certain foreign-currency-denominated long-term borrowings as hedges of the net investment in certain foreign operations. As of September 30, 2024, these net investment hedges included British-pound-and Euro-denominated long-term debt. These borrowings were designed to create net investment hedges in certain designated foreign subsidiaries. The Company designated the British-pound- and Euro-denominated loans as hedging instruments to offset translation gains or losses on the net investment due to changes in the British pound and Euro exchange rates. These net investment hedges are evidenced by management’s contemporaneous documentation supporting the hedge designation. 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September 30, 2024, the Company had $301.4 million of British-pound-denominated loans, which were designated as a hedge against the net investment in British pound functional currency foreign subsidiaries. At September 30, 2024, the Company had $565.4 million in Euro-denominated loans, which were designated as a hedge against the net investment in Euro functional currency foreign subsidiaries. As a result of the British-pound- and Euro-denominated loans designated and 100% effective as net investment hedges, $19.0 million of pre-tax currency remeasurement losses have been included in the foreign currency translation component of other comprehensive income for the nine months ended September 30, 2024.</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40" w:type="dxa"/>
            <w:vAlign w:val="bottom"/>
          </w:tcPr>
          <w:p>
            <w:pPr>
              <w:spacing w:after="0"/>
              <w:rPr>
                <w:sz w:val="22"/>
                <w:szCs w:val="22"/>
                <w:color w:val="auto"/>
              </w:rPr>
            </w:pPr>
          </w:p>
        </w:tc>
        <w:tc>
          <w:tcPr>
            <w:tcW w:w="7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80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and parts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123,401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186,254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774,967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1,084,622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8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240" w:type="dxa"/>
            <w:vAlign w:val="bottom"/>
            <w:vMerge w:val="continue"/>
          </w:tcPr>
          <w:p>
            <w:pPr>
              <w:spacing w:after="0"/>
              <w:rPr>
                <w:sz w:val="24"/>
                <w:szCs w:val="24"/>
                <w:color w:val="auto"/>
              </w:rPr>
            </w:pPr>
          </w:p>
        </w:tc>
        <w:tc>
          <w:tcPr>
            <w:tcW w:w="7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1100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The Company has commitments under operating leases for certain facilities, vehicles and equipment used in its operations. Cash used in</w:t>
            </w:r>
          </w:p>
        </w:tc>
        <w:tc>
          <w:tcPr>
            <w:tcW w:w="0" w:type="dxa"/>
            <w:vAlign w:val="bottom"/>
          </w:tcPr>
          <w:p>
            <w:pPr>
              <w:spacing w:after="0"/>
              <w:rPr>
                <w:sz w:val="1"/>
                <w:szCs w:val="1"/>
                <w:color w:val="auto"/>
              </w:rPr>
            </w:pP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operations for operating leases was not materially different from operating lease expense for the nine months ended September 30, 2024 and 2023. The Company's leases have a weighted average remaining lease term of approximately seven years. Certain lease agreements contain provisions for future rent increases.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5"/>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8"/>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15,901</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52,894</w:t>
            </w:r>
          </w:p>
        </w:tc>
        <w:tc>
          <w:tcPr>
            <w:tcW w:w="3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2,501</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9,334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18,402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62,228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7"/>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211,381</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Accrued Liabilities and other</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54,323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61,055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Other long-term liabilities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166,472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220,795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Maturities of lease liabilities as of September 30, 2024 were as follows:</w:t>
            </w: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2"/>
        </w:trPr>
        <w:tc>
          <w:tcPr>
            <w:tcW w:w="5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 Liability Maturity Analysis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gridSpan w:val="3"/>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251,277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220,795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any significant leases that have not yet commenced.</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initial accounting for the December 2023 Paragon Medical acquisition has been adjusted, including the measurement of the acquired tangible and intangible assets and liabilities, as well as the associated income tax considerations. The adjustments include an increase to goodwill of $60.8 million, a decrease to fixed assets of $40.7 million, a decrease to intangibles of $21.7 million, a decrease to inventory and other of $11.3 million, and a decrease to income taxes of $12.9 million. Any further adjustments are not expected to be material to the consolidated statement of income and balance sheet. The Company is in the process of finalizing the value of intangible assets, inventory, and accounting for income taxes.</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finalized its measurements of tangible and intangible assets and liabilities for its August 2023 acquisition of United Electronic Industries, which had no material impact to the consolidated statement of income and balance sheet. The Company is in the process of finalizing the accounting for income taxes for its October 2023 acquisition of Amplifier Research Corp.</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Acquisition Subsequent to September 30, 2024</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October 2024, the Company acquired Virtek Vision International ("Virtek"). Virtek has estimated annual sales of approximately $40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Virtek is a leading provider of advanced laser-based projection and inspection systems. Virtek will join EIG.</w:t>
      </w:r>
    </w:p>
    <w:p>
      <w:pPr>
        <w:spacing w:after="0" w:line="31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amounts of goodwill by segment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EIG</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EMG</w:t>
            </w:r>
          </w:p>
        </w:tc>
        <w:tc>
          <w:tcPr>
            <w:tcW w:w="360" w:type="dxa"/>
            <w:vAlign w:val="bottom"/>
          </w:tcPr>
          <w:p>
            <w:pPr>
              <w:spacing w:after="0"/>
              <w:rPr>
                <w:sz w:val="16"/>
                <w:szCs w:val="16"/>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4,365.0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6,447.6</w:t>
            </w:r>
          </w:p>
        </w:tc>
      </w:tr>
      <w:tr>
        <w:trPr>
          <w:trHeight w:val="229"/>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price allocation adjustments and other</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86.7</w:t>
            </w:r>
          </w:p>
        </w:tc>
      </w:tr>
      <w:tr>
        <w:trPr>
          <w:trHeight w:val="23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4,399.9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2,150.4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6,550.3</w:t>
            </w:r>
          </w:p>
        </w:tc>
      </w:tr>
      <w:tr>
        <w:trPr>
          <w:trHeight w:val="20"/>
        </w:trPr>
        <w:tc>
          <w:tcPr>
            <w:tcW w:w="6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2024, the Company had gross uncertain tax benefits of $271.5 million, of which $205.6 million, if recognized, would impact the effective tax rate.</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is a reconciliation of the liability for uncertain tax positions (in millions):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Additions for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Reductions for tax positions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1028" w:hanging="1028"/>
        <w:spacing w:after="0"/>
        <w:tabs>
          <w:tab w:leader="none" w:pos="10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233.5</w:t>
      </w:r>
    </w:p>
    <w:p>
      <w:pPr>
        <w:spacing w:after="0" w:line="27" w:lineRule="exact"/>
        <w:rPr>
          <w:rFonts w:ascii="Times New Roman" w:cs="Times New Roman" w:eastAsia="Times New Roman" w:hAnsi="Times New Roman"/>
          <w:sz w:val="18"/>
          <w:szCs w:val="18"/>
          <w:color w:val="auto"/>
        </w:rPr>
      </w:pPr>
    </w:p>
    <w:p>
      <w:pPr>
        <w:ind w:left="11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40.0</w:t>
      </w:r>
    </w:p>
    <w:p>
      <w:pPr>
        <w:spacing w:after="0" w:line="22" w:lineRule="exact"/>
        <w:rPr>
          <w:rFonts w:ascii="Times New Roman" w:cs="Times New Roman" w:eastAsia="Times New Roman" w:hAnsi="Times New Roman"/>
          <w:sz w:val="18"/>
          <w:szCs w:val="18"/>
          <w:color w:val="auto"/>
        </w:rPr>
      </w:pPr>
    </w:p>
    <w:p>
      <w:pPr>
        <w:ind w:left="11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83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7" w:lineRule="exact"/>
        <w:rPr>
          <w:sz w:val="20"/>
          <w:szCs w:val="20"/>
          <w:color w:val="auto"/>
        </w:rPr>
      </w:pPr>
    </w:p>
    <w:p>
      <w:pPr>
        <w:ind w:left="1028" w:hanging="1028"/>
        <w:spacing w:after="0"/>
        <w:tabs>
          <w:tab w:leader="none" w:pos="102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683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683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8972" w:space="720"/>
            <w:col w:w="1548"/>
          </w:cols>
          <w:pgMar w:left="320" w:top="121" w:right="339" w:bottom="1440" w:gutter="0" w:footer="0" w:header="0"/>
          <w:type w:val="continuous"/>
        </w:sectPr>
      </w:pPr>
    </w:p>
    <w:p>
      <w:pPr>
        <w:spacing w:after="0" w:line="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additions above primarily reflect the tax positions for foreign tax planning initiatives. The Company recognizes interest and penalties accrued related to uncertain tax positions in income tax expense. The amounts recognized in income tax expense for interest and penalties during the three and nine months ended September 30, 2024 and 2023 were not significant.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2024 was 18.8%, compared with 17.7% for the three months ended September 30, 2023. The higher tax rate in the third quarter of 2024 primarily reflects higher year over year tax cost on foreign sourced income.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third quarter of 2024, the Company paid in full, at maturity, a $300.0 million in aggregate principal amount of 3.73% senior notes.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plans are described in Note 11, Share-Based Compensation, to the consolidated financial statements in Part II, Item 8, filed on the Company’s Annual Report on Form 10-K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share-based compensation expense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6"/>
        </w:trPr>
        <w:tc>
          <w:tcPr>
            <w:tcW w:w="47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3,417</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expense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5,106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15,232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 expense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expense</w:t>
            </w: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12,743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34,907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35,773</w:t>
            </w:r>
          </w:p>
        </w:tc>
      </w:tr>
      <w:tr>
        <w:trPr>
          <w:trHeight w:val="21"/>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7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5"/>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76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0.72 %</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Black-Scholes-Merton fair value per stock option granted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56.42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38.11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stock option activity and related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1"/>
                <w:szCs w:val="11"/>
                <w:color w:val="auto"/>
              </w:rPr>
            </w:pPr>
          </w:p>
        </w:tc>
        <w:tc>
          <w:tcPr>
            <w:tcW w:w="128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7"/>
                <w:szCs w:val="17"/>
                <w:color w:val="auto"/>
              </w:rPr>
            </w:pPr>
          </w:p>
        </w:tc>
        <w:tc>
          <w:tcPr>
            <w:tcW w:w="12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54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181.93</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149.47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149.8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1,809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96.89</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2"/>
              <w:spacing w:after="0" w:line="203" w:lineRule="exact"/>
              <w:rPr>
                <w:sz w:val="20"/>
                <w:szCs w:val="20"/>
                <w:color w:val="auto"/>
              </w:rPr>
            </w:pPr>
            <w:r>
              <w:rPr>
                <w:rFonts w:ascii="Times New Roman" w:cs="Times New Roman" w:eastAsia="Times New Roman" w:hAnsi="Times New Roman"/>
                <w:sz w:val="18"/>
                <w:szCs w:val="18"/>
                <w:b w:val="1"/>
                <w:bCs w:val="1"/>
                <w:color w:val="auto"/>
              </w:rPr>
              <w:t>135.4</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nine months ended September 30, 2024 was $43.1 million. The total fair value of stock options vested during the nine months ended September 30, 2024 was $14.8 million. As of September 30, 2024, there was approximately $19.3 million of expected future pre-tax compensation expense related to the 0.6 million non-vested stock options outstanding, which is expected to be recognized over a weighted average period of approximately two years.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restricted stock activity and related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26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181.60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132.77</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153.79</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September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159.52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vested during the nine months ended September 30, 2024 was $18.7 million. As of September 30, 2024, there was approximately $32.3 million of expected future pre-tax compensation expense related to the 0.3 million non-vested restricted shares outstanding, which is expected to be recognized over a weighted average period of approximately two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2024, the Company granted performance restricted stock units ("PRSU") to officers and certain key management-level employees. 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of the year of grant to December 31 of the third year. Half of the PRSUs were valued in a manner similar to restricted stock as the financial targets are based on the Company’s operating results, which represents a performance condition. The grant date fair value of these PRSUs are recognized as compensation expense over the vesting period based on the probable number of awards to vest at each reporting date.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performance restricted stock activity and related information: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181.93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Performance assumption change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121.91</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121.91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155.48</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September 30,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150.93</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120" w:hanging="112"/>
        <w:spacing w:after="0" w:line="220" w:lineRule="auto"/>
        <w:tabs>
          <w:tab w:leader="none" w:pos="1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number of PRSUs above target levels based on performance metrics.</w:t>
      </w:r>
    </w:p>
    <w:p>
      <w:pPr>
        <w:spacing w:after="0" w:line="10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approximately $8.9 million of expected future pre-tax compensation expense related to the 0.2 million non-vested restricted shares outstanding, which is expected to be recognized over a weighted average period of less than one year.</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Retirement and Pension Plans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periodic pension benefit expense (income)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2,194</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21,010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22,655</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(13,702)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(40,953)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(39,167)</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Pension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w:t>
            </w: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plans: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9,759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35,339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33,936</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plans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41,590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40,517</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pension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30,869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defined benefit plans, the net periodic benefit income, other than the service cost component, is included in “Other (expense) income, net” in the consolidated statement of income.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and 2023, contributions to the Company’s defined benefit pension plans were $4.4 million and $3.9 million, respectively. The Company’s current estimate of 2024 contributions to its worldwide defined benefit pension plans is in line with the range disclosed in Note 12 of the Company’s Annual Report on Form 10-K for the year ended December 31,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tab/>
        <w:t>Contingencies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historic processes in the manufacture of products have resulted in environmentally hazardous waste by-products as defined by federal and state laws and regulations. At September 30, 2024, the Company is named a Potentially Responsible Party (“PRP”) at 12 non-AMETEK-owned former waste disposal or treatment sites (the “non-owned” sites). The Company is identified as a “de minimis” party in a majority of these sites based on the low volume of waste attributed to the Company relative to the amounts attributed to other named PRPs.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environmental reserves at September 30, 2024 and December 31, 2023 were $30.6 million and $37.1 million, respectively, for both non-owned and owned sites. For the nine months ended September 30, 2024, the Company recorded $7.8 million in reserves. Additionally, the Company spent $14.3 million on environmental matters for the nine months ended September 30, 2024.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net sales and income by reportable segment and on a consolidated basis: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38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5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Instruments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1,134,588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1,136,130</w:t>
            </w:r>
          </w:p>
        </w:tc>
        <w:tc>
          <w:tcPr>
            <w:tcW w:w="2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3,444,980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3,388,023</w:t>
            </w: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Electromechanical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573,976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486,707</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1,734,598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1,478,042</w:t>
            </w:r>
          </w:p>
        </w:tc>
      </w:tr>
      <w:tr>
        <w:trPr>
          <w:trHeight w:val="223"/>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1,708,564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1,622,837</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5,179,578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4,866,065</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5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and income before income taxes: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Electronic Instruments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338,963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335,171</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1,041,760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951,970</w:t>
            </w:r>
          </w:p>
        </w:tc>
      </w:tr>
      <w:tr>
        <w:trPr>
          <w:trHeight w:val="229"/>
        </w:trPr>
        <w:tc>
          <w:tcPr>
            <w:tcW w:w="53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Electromechanical</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131,519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127,534</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345,312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384,253</w:t>
            </w:r>
          </w:p>
        </w:tc>
      </w:tr>
      <w:tr>
        <w:trPr>
          <w:trHeight w:val="223"/>
        </w:trPr>
        <w:tc>
          <w:tcPr>
            <w:tcW w:w="5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470,482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462,705</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1,387,072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1,336,223</w:t>
            </w:r>
          </w:p>
        </w:tc>
      </w:tr>
      <w:tr>
        <w:trPr>
          <w:trHeight w:val="229"/>
        </w:trPr>
        <w:tc>
          <w:tcPr>
            <w:tcW w:w="53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Corporate administrative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(24,631)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(24,570)</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(76,491)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(73,756)</w:t>
            </w:r>
          </w:p>
        </w:tc>
      </w:tr>
      <w:tr>
        <w:trPr>
          <w:trHeight w:val="223"/>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445,851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438,135</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1,310,581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1,262,467</w:t>
            </w: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(25,118)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(18,386)</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(90,962)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(57,678)</w:t>
            </w: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(15,313)</w:t>
            </w:r>
          </w:p>
        </w:tc>
      </w:tr>
      <w:tr>
        <w:trPr>
          <w:trHeight w:val="223"/>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418,845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413,493</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1,217,184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1,189,476</w:t>
            </w:r>
          </w:p>
        </w:tc>
      </w:tr>
      <w:tr>
        <w:trPr>
          <w:trHeight w:val="21"/>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quarter ended September 30, 2024, the Company posted strong orders, sales, and operating income. Contributions from the acquisitions of Amplifier Research Corp. ("Amplifier Research") in October 2023, and Paragon Medical ("Paragon") in December 2023, as well as our Operational Excellence initiatives, all of which had a positive impact on the third quarter of 2024 results. In the first quarter of 2024, the Company recorded pre-tax integration costs related to the Paragon acquisition totaling $29.2 million, of which $22.4 million was employee severance. The integration costs reduced net income by $22.2 million in the year-to-date period. For the first nine months of 2024, EMG experienced customer inventory normalization in our automation and engineered solutions core businesses. The full year impact of the 2023 acquisitions, including the continued integration of Paragon, and focus on and implementation of our Operational Excellence initiatives are expected to have a positive impact on the remainder of our 2024 results.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third quarter of 2024 compared with the third quarter of 2023</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for the third quarter of 2024 were $1,708.6 million, an increase of $85.8 million or 5.3%, compared with net sales of $1,622.8 million for the third quarter of 2023. The increase in net sales for the third quarter of 2024 was due to a 7% increase from acquisitions, partially offset by a 2% organic sales decline.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international sales for the third quarter of 2024 were $813.5 million or 47.6% of net sales, an increase of $81.8 million or 11.2%, compared with international sales of $731.7 million or 45.1% of net sales for the third quarter of 2023. The increase in international sales was primarily driven by strong demand in Europe and Asia as well as contributions from the 2023 acquisitions.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Orders for the third quarter of 2024 were $1,743.4 million, an increase of $192.8 million or 12.4%, compared with $1,550.6 million for the third quarter of 2023. The increase in orders for the third quarter of 2024 was due to a 7% increase from acquisitions, a 2% organic order increase, as well as a 4% favorable effect of foreign currency translation. The Company's backlog of unfilled orders at September 30, 2024 was $3,437.8 million, a decrease of $96.3 million or 2.7% compared with $3,534.1 million at December 31, 2023.</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sales for the third quarter of 2024 was $1,092.8 million or 64.0% of net sales, an increase of $71.9 million or 7.0%, compared with $1,020.9 million or 62.9% of net sales for the third quarter of 2023. The cost of sales increase was primarily due to the net sales increase discussed above.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Segment operating income for the third quarter of 2024 was $470.5 million, an increase of $7.8 million or 1.7%, compared with segment operating income of $462.7 million for the third quarter of 2023. Segment operating margins, as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percentage of net sales, decreased to 27.5% for the third quarter of 2024, compared with 28.5% for the third quarter of 2023. Segment operating margins were negatively impacted in the third quarter of 2024 by the dilutive impact of the 2023 acquisitions and the effect of foreign currency translation. In the third quarter of 2024, the dilutive impact of recent acquisitions negatively impacted segment operating margins by 100 basis points. Foreign currency exchange headwinds in the third quarter of 2024 negatively impacted margins by 50 basis points. Excluding the dilutive impact of recent acquisitions and the effect of foreign currency translation, segment operating margins increased 50 basis points compared to the third quarter of 2023.</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third quarter of 2024 were $170.0 million or 9.9% of net sales, an increase of $6.2 million or 3.8%, compared with $163.8 million or 10.1% of net sales for the third quarter of 2023. Selling expenses increased primarily due to the net sales increase discussed above. General and administrative expenses for the third quarter of 2024 were flat at $24.6 million, compared to the third quarter of 2023.</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Consolidated operating income was $445.9 million or 26.1% of net sales for the third quarter of 2024, an increase of $7.8 million or 1.8%, compared with $438.1 million or 27.0% of net sales for the third quarter of 2023. Operating margins were negatively impacted in the third quarter of 2024 by the dilutive impact of the 2023 acquisitions and the effect of foreign currency translation. In the third quarter of 2024, the dilutive impact of recent acquisitions negatively impacted operating margins by 90 basis points. Foreign currency exchange headwinds in the third quarter of 2024 negatively impacted margins by 40 basis points. Excluding the dilutive impact of these acquisitions and the effect of foreign currency translation, operating margins increased 40 basis points compared to the third quarter of 2023.</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third quarter of 2024 was $25.1 million, an increase of $6.7 million or 36.6%, compared with $18.4 million for the third quarter of 2023. The increase in the third quarter of 2024 is primarily driven by higher borrowings under the revolving credit facility, related to the 2023 acquisitions.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expense, net was $1.9 million for the third quarter of 2024, compared with $6.3 million of other expense, net for the third quarter of 2023. The decrease of $4.4 million of other expense in the third quarter of 2024 includes higher pension income of $1.6 million and lower acquisition-related due diligence expense compared to the third quarter of 2023.</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third quarter of 2024 was 18.8%, compared with 17.7% for the third quarter of 2023. The higher tax rate in the third quarter of 2024 primarily reflects higher year over year tax cost on foreign sourced income.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for the third quarter of 2024 was flat at $340.2 million, compared with $340.4 million for the third quarter of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Diluted earnings per share for the third quarter of 2024 were flat at $1.47, compared with the third quarter of 2023.</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 net sales totaled $1,134.6 million for the third quarter of 2024, a decrease of $1.5 million or 0.1%, compared with $1,136.1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of 2023. The net sales decrease was due to a 2% organic sales decline, offset by a 2% increase from the 2023 acquisitions. The organic sales decrease for the third quarter of 2024 is due to temporary delays in project spending across parts of our EIG business.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EIG’s operating income was $339.0 million for the third quarter of 2024, an increase of $3.8 million or 1.1%, compared with $335.2 million for the third quarter of 2023. EIG’s operating margins were 29.9% of net sales for the third quarter of 2024, compared with 29.5% for the third quarter of 2023. Foreign currency exchange headwinds negatively impacted EIG's operating margins in the third quarter of 2024 by 40 basis points. EIG's operating margins increased in the third quarter of 2024 compared to the third quarter of 2023 due to the continued benefits from the Company's Operational Excellence initiatives.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$574.0 million for the third quarter of 2024, an increase of $87.3 million or 17.9%, compared with $486.7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of 2023. The net sales increase was due to a 21% increase from the recent acquisitions, partially offset by a 3% organic sales decrease. The organic sales decrease for the third quarter of 2024 is due to customer inventory normalization in our automation and engineered solutions core businesses.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EMG’s operating income was $131.5 million for the third quarter of 2024, an increase of $4.0 million or 3.1%, compared with $127.5 million for the third quarter of 2023. EMG’s operating margins were 22.9% of net sales for the third quarter of 2024, compared with 26.2% for the third quarter of 2023. EMG's operating income and operating margins were negatively impacted in the third quarter of 2024 by the dilutive impact of the 2023 acquisitions and the effect of foreign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currency translation. The dilutive impact of recent acquisitions in the third quarter of 2024 negatively impacted EMG's operating margins by 270 basis points. Foreign currency exchange headwinds negatively impacted EMG's margins in the third quarter of 2024 by 50 basis points. Excluding the dilutive impact of the 2023 acquisitions and the effect of foreign currency translation, EMG's operating margins decreased 10 basis points compared to the third quarter of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first nine months of 2024 compared with the first nine months of 2023</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for the first nine months of 2024 were $5,179.6 million, an increase of $313.5 million or 6.4%, compared with net sales of $4,866.1 million for the first nine months of 2023. The increase in net sales for the first nine months of 2024 was due to an 8% increase from acquisitions, partially offset by a 2% organic sales decline.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international sales for the first nine months of 2024 were $2,426.9 million or 46.9% of net sales, an increase of $120.9 million or 5.2%, compared with international sales of $2,306.0 million or 47.4% of net sales for the first nine months of 2023. The increase in international sales was primarily driven by contributions from the 2023 acquisitions.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Orders for the first nine months of 2024 were $5,083.3 million, an increase of $66.2 million or 1.3%, compared with $5,017.1 million for the first nine months of 2023. The increase in orders for the first nine months of 2024 was due to a 5% increase from acquisitions, partially offset by a 4% organic order decline. The organic orders decrease for the first nine months of 2024 is due to customer inventory normalization in our automation and engineered solutions core businesses.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sales for the first nine months of 2024 was $3,347.9 million or 64.6% of net sales, an increase of $251.3 million or 8.1%, compared with $3,096.6 million or 63.6% of net sales for the first nine months of 2023. The cost of sales increase was primarily due to the net sales increase discussed above.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Segment operating income for the first nine months of 2024 was $1,387.1 million, an increase of $50.9 million or 3.8%, compared with segment operating income of $1,336.2 million for the first nine months of 2023. Segment operating margins, as a percentage of net sales, decreased to 26.8% for the first nine months of 2024, compared with 27.5% for the first nine months of 2023. Segment operating income and operating margins for the first nine months of 2024 included $29.2 million of integration costs related to the Paragon acquisition, which negatively impacted segment operating margins by 50 basis points. The dilutive impact of the 2023 acquisitions negatively impacted segment operating margins by 140 basis points in the first nine months of 2024. Excluding the dilutive impact of the 2023 acquisitions and the Paragon integration costs, segment operating margins increased 120 basis points compared to the first nine months of 2023, due to the continued benefits from the Company's Operational Excellence initiatives.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first nine months of 2024 were $521.1 million or 10.1% of net sales, an increase of $14.1 million or 2.8%, compared with $507.0 million or 10.4% of net sales for the first nine months of 2023. Selling expenses increased primarily due to the net sales increase discussed above. General and administrative expenses for the first nine months of 2024 were $76.5 million, compared with $73.8 million for the first nine months of 2023.</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Consolidated operating income was $1,310.6 million or 25.3% of net sales for the first nine months of 2024, an increase of $48.1 million or 3.8%, compared with $1,262.5 million or 25.9% of net sales for the first nine months of 2023.</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first nine months of 2024 was $91.0 million, an increase of $33.3 million or 57.7%, compared with $57.7 million for the first nine months of 2023. The increase in the first nine months of 2024 is primarily driven by higher borrowings under the revolving credit facility, related to the 2023 acquisitions.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expense, net was $2.4 million for the first nine months of 2024, compared with $15.3 million of other expense, net for the first nine months of 2023, a decrease of $12.9 million of other expense. The first nine months of 2024 includes $4.7 million of higher pension income, foreign exchange gains of $3.7 million, and lower acquisition-related due diligence expense, compared to the first nine months of 2023.</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first nine months of 2024 was 18.8%, compared with 18.4% for the first nine months of 2023. The higher tax rate in the first nine months of 2024 primarily reflects higher year over year tax cost on foreign sourced income.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for the first nine months of 2024 was $988.9 million, an increase of $18.6 million or 1.9%, compared with $970.3 million for the first nine months of 2023.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first nine months of 2024 were $4.26, an increase of $0.07 or 1.7%, compared with $4.19 per diluted share for the first nine months of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color w:val="auto"/>
        </w:rPr>
        <w:t>s net sales totaled $3,445.0 million for the first nine months of 2024, an increase of $57.0 million or 1.7%, compared with $3,388.0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nine months of 2023. The net sales increase was due to a 2% increase from acquisitions.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EIG’s operating income was $1,041.8 million for the first nine months of 2024, an increase of $89.8 million or 9.4%, compared with $952.0 million for the first nine months of 2023. EIG’s operating margins were 30.2% of net sales for the first nine months of 2024, compared with 28.1% for the first nine months of 2023. EIG operating margins increased in the first nine months of 2024 compared to the first nine months of 2023, due to the increase in net sales discussed above, as well as continued benefits from the Company's Operational Excellence initiatives.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$1,734.6 million for the first nine months of 2024, an increase of $256.6 million or 17.4%, compared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$1,478.0 million for the first nine months of 2023. The net sales increase was due to a 22% increase from acquisitions, partially offset by a 4% organic sales decrease. The organic sales decrease for the first nine months of 2024 is due to customer inventory normalization in our automation and engineered solutions core businesses.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EMG’s operating income was $345.3 million for the first nine months of 2024, a decrease of $39.0 million or 10.1%, compared with $384.3 million for the first nine months of 2023. EMG’s operating margins were 19.9% of net sales for the first nine months of 2024, compared with 26.0% for the first nine months of 2023. EMG's operating income and operating margins for the first nine months of 2024 included $29.2 million of integration costs related to the Paragon acquisition, which negatively impacted segment operating margins by 170 basis points. Segment operating margins were also negatively impacted in the first nine months of 2024 by the dilutive impact of the 2023 acquisitions. Excluding the dilutive impact of the 2023 acquisitions and the Paragon integration costs, segment operating margins decreased 110 basis points compared to the first nine months of 2023, due to the organic sales decrease discussed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totaled $1,278.8 million for the first nine months of 2024, an increase of $84.2 million or 7.0%, compared with $1,194.6 million for the first nine months of 2023. The increase in cash provided by operating activities for the first nine months of 2024 was primarily due to higher net income, net of higher noncash depreciation and amortization expense related to recent acquisitions, and improved working capital management.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Free cash flow (cash flow provided by operating activities less capital expenditures) was $1,203.5 million for the first nine months of 2024, compared with $1,118.1 million for the first nine months of 2023. EBITDA (earnings before interest, income taxes, depreciation and amortization) was $1,590.5 million for the first nine months of 2024, compared with $1,488.3 million for the first nine months of 2023. Free cash flow and EBITDA are presented because the Company is aware that they are measures used by third parties in evaluating the Company.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used by investing activities totaled $69.5 million for the first nine months of 2024, compared with cash used by investing activities of $326.3 million for the first nine months of 2023. For the first nine months of 2023, the Company paid $246.7 million, net of cash acquired, to purchase United Electronic Industries and Bison Gear &amp; Engineering Corp. For the first nine months of 2024, the Company received $4.2 million from the sale of a facility. Additions to property, plant and equipment totaled $75.4 million for the first nine months of 2024, compared with $76.5 million for the first nine months of 2023.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used by financing activities totaled $1,228.4 million for the first nine months of 2024, compared with cash used by financing activities of $364.8 million for the first nine months of 2023. At September 30, 2024, total debt, net was $2,336.5 million, compared with $3,313.3 million at December 31, 2023. For the first nine months of 2024, total borrowings decreased by $998.1 million compared with a $220.6 million decrease for the first nine months of 2023. At September 30, 2024, the Company had available borrowing capacity of $2,520.3 million under its revolving credit facility, including the $700 million accordion feature.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third quarter of 2024, the Company paid in full, at maturity, a $300 million in aggregate principal amount of 3.73% senior notes. The debt-to-capital ratio was 19.7% at September 30, 2024, compared with 27.5% at December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debt-to-capital ratio (total debt, net less cash and cash equivalents divided by the sum of net debt and stockholders’ equity) was 16.9% at September 30, 2024, compared with 25.0% at December 31, 2023. The net debt-to-capital ratio is presented because the Company is aware that this measure is used by third parties in evaluating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 financing activities for the first nine months of 2024 included cash dividends paid of $194.1 million, compared with $172.7 million for the first nine months of 2023. Effective February 9, 2024, the Company’s Board of Directors approved a 12% increase in the quarterly cash dividend on the Company’s common stock to $0.28 per common share from $0.25 per common share. The Company repurchased $68.0 million of its common stock for the first nine months of 2024, compared with $6.6 million for the first nine months of 2023. Proceeds from stock option exercises were $39.7 million for the first nine months of 2024, compared with $40.1 million for the first nine months of 2023.</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all of the Company’s cash flow activities for the first nine months of 2024, cash and cash equivalents at September 30, 2024 totaled $396.3 million, compared with $409.8 million at December 31, 2023. At September 30, 2024, the Company had $365.2 million in cash outside the United States, compared with $375.9 million at December 31, 2023.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critical accounting policies are detailed in Part II, Item 7, Management’s Discussion and Analysis of Financial Condition of its Annual Report on Form 10-K for the year ended December 31, 2023. Primary disclosure of the Company’s significant accounting policies is also included in Note 1 to the Consolidated Financial Statements included in Part II, Item 8 of its Annual Report on Form 10-K.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Company’s ability to consummate and successfully integrate future acquisitions; risks associated with international sales and operations, including supply chain disruptions; the Company’s ability to successfully develop new products, open new facilities or transfer product lines; the price and availability of raw materials; compliance with government regulations, including environmental regulations; changes in the competitive environment or the effects of competition in the Company’s markets; the ability to maintain adequate liquidity and financing sources; and general economic conditions affecting the industries the Company serves. A detailed discussion of these and other factors that may affect the Company’s future results is contained in AMETEK’s filings with the U.S. Securities and Exchange Commission, including its most recent reports on Form 10-K, 10-Q, and 8-K. AMETEK disclaims any intention or obligation to update or revise any forward-looking statements, unless required by the securities laws to do so.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September 30, 2024. Based on that evaluation, the Company’s principal executive officer and principal financial officer concluded that the Company’s disclosure controls and procedures are effective at the reasonable assurance level.</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Such evaluation did not identify any change in the Company’s internal control over financial reporting during the quarter ended September 30, 2024 that has materially affected, or is reasonably likely to materially affect, the Company’s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Purchase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purchases of AMETEK, Inc. common stock by the Company during the three months ended September 30,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 (1)(2)</w:t>
            </w: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Plan (2)</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37"/>
        </w:trPr>
        <w:tc>
          <w:tcPr>
            <w:tcW w:w="474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to July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808,535,864</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2024 to August 31,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758,140,398</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to September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748,135,553</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162.48</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7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60" w:lineRule="auto"/>
        <w:tabs>
          <w:tab w:leader="none" w:pos="5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surrendered to the Company to satisfy tax withholding obligations in connection with employees’ share-based compensation awards.</w:t>
      </w:r>
    </w:p>
    <w:p>
      <w:pPr>
        <w:spacing w:after="0" w:line="194" w:lineRule="exact"/>
        <w:rPr>
          <w:rFonts w:ascii="Times New Roman" w:cs="Times New Roman" w:eastAsia="Times New Roman" w:hAnsi="Times New Roman"/>
          <w:sz w:val="18"/>
          <w:szCs w:val="18"/>
          <w:color w:val="auto"/>
        </w:rPr>
      </w:pPr>
    </w:p>
    <w:p>
      <w:pPr>
        <w:ind w:left="660" w:hanging="652"/>
        <w:spacing w:after="0" w:line="250" w:lineRule="auto"/>
        <w:tabs>
          <w:tab w:leader="none" w:pos="4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number of shares purchased pursuant to the Company’s Board of Directors $1 billion authorization for the repurchase of its common stock announced in May 2022. Such purchases may be effected from time to time in the open market or in private transactions, subject to market conditions and at management’s discretion.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5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440" w:type="dxa"/>
            <w:vAlign w:val="bottom"/>
            <w:gridSpan w:val="3"/>
            <w:vMerge w:val="restart"/>
          </w:tcPr>
          <w:p>
            <w:pPr>
              <w:ind w:left="4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4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42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7"/>
              </w:rPr>
              <w:t>101.SCH*</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760" w:right="640" w:hanging="1266"/>
        <w:spacing w:after="0" w:line="237" w:lineRule="auto"/>
        <w:tabs>
          <w:tab w:leader="none" w:pos="1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Filed electronically herewith.</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u w:val="single" w:color="auto"/>
          <w:color w:val="auto"/>
        </w:rPr>
        <w:t>AMETEK, Inc.</w:t>
      </w:r>
    </w:p>
    <w:p>
      <w:pPr>
        <w:spacing w:after="0" w:line="200" w:lineRule="exact"/>
        <w:rPr>
          <w:sz w:val="20"/>
          <w:szCs w:val="20"/>
          <w:color w:val="auto"/>
        </w:rPr>
      </w:pPr>
    </w:p>
    <w:p>
      <w:pPr>
        <w:spacing w:after="0" w:line="336"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THOMAS M.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Thomas M. Montgomery</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 – Comptroller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31,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Zapico, certify that:</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AMETEK, Inc. (the “registrant”);</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995"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Dalip M. Puri, certify that:</w:t>
      </w:r>
    </w:p>
    <w:p>
      <w:pPr>
        <w:spacing w:after="0" w:line="117" w:lineRule="exact"/>
        <w:rPr>
          <w:sz w:val="20"/>
          <w:szCs w:val="20"/>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Dalip M. Puri</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ectPr>
          <w:pgSz w:w="11900" w:h="16838" w:orient="portrait"/>
          <w:cols w:equalWidth="0" w:num="1">
            <w:col w:w="11240"/>
          </w:cols>
          <w:pgMar w:left="320" w:top="995"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September 30, 2024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00" w:lineRule="exact"/>
        <w:rPr>
          <w:sz w:val="20"/>
          <w:szCs w:val="20"/>
          <w:color w:val="auto"/>
        </w:rPr>
      </w:pPr>
    </w:p>
    <w:p>
      <w:pPr>
        <w:spacing w:after="0" w:line="2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September 30, 2024 as filed with the Securities and Exchange Commission on the date hereof (the “Report”), I, Dalip M. Puri, Executive Vice President –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Dalip M. Puri</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00" w:lineRule="exact"/>
        <w:rPr>
          <w:sz w:val="20"/>
          <w:szCs w:val="20"/>
          <w:color w:val="auto"/>
        </w:rPr>
      </w:pPr>
    </w:p>
    <w:p>
      <w:pPr>
        <w:spacing w:after="0" w:line="2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04"/>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2024-10-31T12:57:31Z</dcterms:created>
  <dcterms:modified xsi:type="dcterms:W3CDTF">2024-10-31T12:57:31Z</dcterms:modified>
</cp:coreProperties>
</file>