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7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FORM 10-Q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1-12981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AMETEK,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Delaware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Cassatt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Berwyn, Pennsylvania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14-1682544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19312-1177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(610) 647-2121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76" w:type="dxa"/>
        <w:jc w:val="left"/>
        <w:tblInd w:w="0" w:type="dxa"/>
        <w:tblLayout w:type="fixed"/>
        <w:tblCellMar>
          <w:top w:w="28" w:type="dxa"/>
          <w:left w:w="28" w:type="dxa"/>
          <w:bottom w:w="28" w:type="dxa"/>
          <w:right w:w="28" w:type="dxa"/>
        </w:tblCellMar>
      </w:tblPr>
      <w:tblGrid>
        <w:gridCol w:w="695"/>
        <w:gridCol w:w="611"/>
        <w:gridCol w:w="613"/>
        <w:gridCol w:w="125"/>
        <w:gridCol w:w="125"/>
        <w:gridCol w:w="125"/>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 xml:space="preserv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bl>
    <w:p>
      <w:pPr>
        <w:pStyle w:val="TextBody"/>
        <w:bidi w:val="0"/>
        <w:spacing w:lineRule="auto" w:line="288" w:before="20" w:after="283"/>
        <w:ind w:left="0" w:right="0" w:firstLine="7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72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5273" w:type="dxa"/>
        <w:jc w:val="left"/>
        <w:tblInd w:w="0" w:type="dxa"/>
        <w:tblLayout w:type="fixed"/>
        <w:tblCellMar>
          <w:top w:w="28" w:type="dxa"/>
          <w:left w:w="28" w:type="dxa"/>
          <w:bottom w:w="28" w:type="dxa"/>
          <w:right w:w="28" w:type="dxa"/>
        </w:tblCellMar>
      </w:tblPr>
      <w:tblGrid>
        <w:gridCol w:w="510"/>
        <w:gridCol w:w="447"/>
        <w:gridCol w:w="453"/>
        <w:gridCol w:w="109"/>
        <w:gridCol w:w="109"/>
        <w:gridCol w:w="109"/>
        <w:gridCol w:w="274"/>
        <w:gridCol w:w="274"/>
        <w:gridCol w:w="276"/>
        <w:gridCol w:w="109"/>
        <w:gridCol w:w="109"/>
        <w:gridCol w:w="109"/>
        <w:gridCol w:w="698"/>
        <w:gridCol w:w="698"/>
        <w:gridCol w:w="989"/>
      </w:tblGrid>
      <w:tr>
        <w:trPr/>
        <w:tc>
          <w:tcPr>
            <w:tcW w:w="51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shares of the registrant’s common stock outstanding as of the latest practicable date was: Common Stock, $0.01 Par Value, outstanding at July 28, 2026 was 229,261,244 shares.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8"/>
        <w:gridCol w:w="3079"/>
        <w:gridCol w:w="3095"/>
        <w:gridCol w:w="149"/>
        <w:gridCol w:w="149"/>
        <w:gridCol w:w="215"/>
      </w:tblGrid>
      <w:tr>
        <w:trPr/>
        <w:tc>
          <w:tcPr>
            <w:tcW w:w="351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10">
              <w:r>
                <w:rPr>
                  <w:rStyle w:val="InternetLink"/>
                  <w:rFonts w:ascii="Times New Roman;serif" w:hAnsi="Times New Roman;serif"/>
                  <w:b/>
                  <w:color w:val="0000FF"/>
                  <w:sz w:val="20"/>
                  <w:u w:val="single"/>
                </w:rPr>
                <w:t>PART I. FINANCIAL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a6eb790350034068963cd61e7ed0b800_13">
              <w:r>
                <w:rPr>
                  <w:rStyle w:val="InternetLink"/>
                  <w:rFonts w:ascii="Times New Roman;serif" w:hAnsi="Times New Roman;serif"/>
                  <w:b w:val="false"/>
                  <w:color w:val="0000FF"/>
                  <w:sz w:val="20"/>
                  <w:u w:val="single"/>
                </w:rPr>
                <w:t>Item 1.Financial Statements</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16">
              <w:r>
                <w:rPr>
                  <w:rStyle w:val="InternetLink"/>
                  <w:rFonts w:ascii="Times New Roman;serif" w:hAnsi="Times New Roman;serif"/>
                  <w:b w:val="false"/>
                  <w:color w:val="000080"/>
                  <w:sz w:val="20"/>
                  <w:u w:val="single"/>
                </w:rPr>
                <w:t>Consolidated Statement of Income for the three</w:t>
              </w:r>
            </w:hyperlink>
            <w:hyperlink w:anchor="ia6eb790350034068963cd61e7ed0b800_16">
              <w:r>
                <w:rPr>
                  <w:rStyle w:val="InternetLink"/>
                  <w:rFonts w:ascii="Times New Roman;serif" w:hAnsi="Times New Roman;serif"/>
                  <w:b w:val="false"/>
                  <w:color w:val="000080"/>
                  <w:sz w:val="20"/>
                  <w:u w:val="single"/>
                </w:rPr>
                <w:t xml:space="preserve"> and six</w:t>
              </w:r>
            </w:hyperlink>
            <w:hyperlink w:anchor="ia6eb790350034068963cd61e7ed0b800_16">
              <w:r>
                <w:rPr>
                  <w:rStyle w:val="InternetLink"/>
                  <w:rFonts w:ascii="Times New Roman;serif" w:hAnsi="Times New Roman;serif"/>
                  <w:b w:val="false"/>
                  <w:color w:val="000080"/>
                  <w:sz w:val="20"/>
                  <w:u w:val="single"/>
                </w:rPr>
                <w:t xml:space="preserve"> months ended </w:t>
              </w:r>
            </w:hyperlink>
            <w:hyperlink w:anchor="ia6eb790350034068963cd61e7ed0b800_16">
              <w:r>
                <w:rPr>
                  <w:rStyle w:val="InternetLink"/>
                  <w:rFonts w:ascii="Times New Roman;serif" w:hAnsi="Times New Roman;serif"/>
                  <w:b w:val="false"/>
                  <w:color w:val="000080"/>
                  <w:sz w:val="20"/>
                  <w:u w:val="single"/>
                </w:rPr>
                <w:t>June 30</w:t>
              </w:r>
            </w:hyperlink>
            <w:hyperlink w:anchor="ia6eb790350034068963cd61e7ed0b800_16">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6">
              <w:r>
                <w:rPr>
                  <w:rStyle w:val="InternetLink"/>
                  <w:rFonts w:ascii="Times New Roman;serif" w:hAnsi="Times New Roman;serif"/>
                  <w:b w:val="false"/>
                  <w:strike w:val="false"/>
                  <w:dstrike w:val="false"/>
                  <w:color w:val="000000"/>
                  <w:sz w:val="20"/>
                  <w:u w:val="none"/>
                  <w:effect w:val="non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eb790350034068963cd61e7ed0b800_19">
              <w:r>
                <w:rPr>
                  <w:rStyle w:val="InternetLink"/>
                  <w:rFonts w:ascii="Times New Roman;serif" w:hAnsi="Times New Roman;serif"/>
                  <w:b w:val="false"/>
                  <w:color w:val="000080"/>
                  <w:sz w:val="20"/>
                  <w:u w:val="single"/>
                </w:rPr>
                <w:t xml:space="preserve">Condensed Consolidated Statement of Comprehensive Income for the three </w:t>
              </w:r>
            </w:hyperlink>
            <w:hyperlink w:anchor="ia6eb790350034068963cd61e7ed0b800_19">
              <w:r>
                <w:rPr>
                  <w:rStyle w:val="InternetLink"/>
                  <w:rFonts w:ascii="Times New Roman;serif" w:hAnsi="Times New Roman;serif"/>
                  <w:b w:val="false"/>
                  <w:color w:val="000080"/>
                  <w:sz w:val="20"/>
                  <w:u w:val="single"/>
                </w:rPr>
                <w:t xml:space="preserve">and six </w:t>
              </w:r>
            </w:hyperlink>
            <w:hyperlink w:anchor="ia6eb790350034068963cd61e7ed0b800_19">
              <w:r>
                <w:rPr>
                  <w:rStyle w:val="InternetLink"/>
                  <w:rFonts w:ascii="Times New Roman;serif" w:hAnsi="Times New Roman;serif"/>
                  <w:b w:val="false"/>
                  <w:color w:val="000080"/>
                  <w:sz w:val="20"/>
                  <w:u w:val="single"/>
                </w:rPr>
                <w:t xml:space="preserve">months ended </w:t>
              </w:r>
            </w:hyperlink>
            <w:hyperlink w:anchor="ia6eb790350034068963cd61e7ed0b800_19">
              <w:r>
                <w:rPr>
                  <w:rStyle w:val="InternetLink"/>
                  <w:rFonts w:ascii="Times New Roman;serif" w:hAnsi="Times New Roman;serif"/>
                  <w:b w:val="false"/>
                  <w:color w:val="000080"/>
                  <w:sz w:val="20"/>
                  <w:u w:val="single"/>
                </w:rPr>
                <w:t>June 30</w:t>
              </w:r>
            </w:hyperlink>
            <w:hyperlink w:anchor="ia6eb790350034068963cd61e7ed0b800_19">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22">
              <w:r>
                <w:rPr>
                  <w:rStyle w:val="InternetLink"/>
                  <w:rFonts w:ascii="Times New Roman;serif" w:hAnsi="Times New Roman;serif"/>
                  <w:b w:val="false"/>
                  <w:strike w:val="false"/>
                  <w:dstrike w:val="false"/>
                  <w:color w:val="000000"/>
                  <w:sz w:val="20"/>
                  <w:u w:val="none"/>
                  <w:effect w:val="non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25">
              <w:r>
                <w:rPr>
                  <w:rStyle w:val="InternetLink"/>
                  <w:rFonts w:ascii="Times New Roman;serif" w:hAnsi="Times New Roman;serif"/>
                  <w:b w:val="false"/>
                  <w:color w:val="000080"/>
                  <w:sz w:val="20"/>
                  <w:u w:val="single"/>
                </w:rPr>
                <w:t xml:space="preserve">Consolidated Balance Sheet at </w:t>
              </w:r>
            </w:hyperlink>
            <w:hyperlink w:anchor="ia6eb790350034068963cd61e7ed0b800_25">
              <w:r>
                <w:rPr>
                  <w:rStyle w:val="InternetLink"/>
                  <w:rFonts w:ascii="Times New Roman;serif" w:hAnsi="Times New Roman;serif"/>
                  <w:b w:val="false"/>
                  <w:color w:val="000080"/>
                  <w:sz w:val="20"/>
                  <w:u w:val="single"/>
                </w:rPr>
                <w:t>June 30</w:t>
              </w:r>
            </w:hyperlink>
            <w:hyperlink w:anchor="ia6eb790350034068963cd61e7ed0b800_25">
              <w:r>
                <w:rPr>
                  <w:rStyle w:val="InternetLink"/>
                  <w:rFonts w:ascii="Times New Roman;serif" w:hAnsi="Times New Roman;serif"/>
                  <w:b w:val="false"/>
                  <w:color w:val="000080"/>
                  <w:sz w:val="20"/>
                  <w:u w:val="single"/>
                </w:rPr>
                <w:t>,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25">
              <w:r>
                <w:rPr>
                  <w:rStyle w:val="InternetLink"/>
                  <w:rFonts w:ascii="Times New Roman;serif" w:hAnsi="Times New Roman;serif"/>
                  <w:b w:val="false"/>
                  <w:strike w:val="false"/>
                  <w:dstrike w:val="false"/>
                  <w:color w:val="000000"/>
                  <w:sz w:val="20"/>
                  <w:u w:val="none"/>
                  <w:effect w:val="non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eb790350034068963cd61e7ed0b800_28">
              <w:r>
                <w:rPr>
                  <w:rStyle w:val="InternetLink"/>
                  <w:rFonts w:ascii="Times New Roman;serif" w:hAnsi="Times New Roman;serif"/>
                  <w:b w:val="false"/>
                  <w:color w:val="000080"/>
                  <w:sz w:val="20"/>
                  <w:u w:val="single"/>
                </w:rPr>
                <w:t xml:space="preserve">Consolidated Statement of Stockholders’ Equity for the three </w:t>
              </w:r>
            </w:hyperlink>
            <w:hyperlink w:anchor="ia6eb790350034068963cd61e7ed0b800_28">
              <w:r>
                <w:rPr>
                  <w:rStyle w:val="InternetLink"/>
                  <w:rFonts w:ascii="Times New Roman;serif" w:hAnsi="Times New Roman;serif"/>
                  <w:b w:val="false"/>
                  <w:color w:val="000080"/>
                  <w:sz w:val="20"/>
                  <w:u w:val="single"/>
                </w:rPr>
                <w:t xml:space="preserve">and six </w:t>
              </w:r>
            </w:hyperlink>
            <w:hyperlink w:anchor="ia6eb790350034068963cd61e7ed0b800_28">
              <w:r>
                <w:rPr>
                  <w:rStyle w:val="InternetLink"/>
                  <w:rFonts w:ascii="Times New Roman;serif" w:hAnsi="Times New Roman;serif"/>
                  <w:b w:val="false"/>
                  <w:color w:val="000080"/>
                  <w:sz w:val="20"/>
                  <w:u w:val="single"/>
                </w:rPr>
                <w:t xml:space="preserve">months ended </w:t>
              </w:r>
            </w:hyperlink>
            <w:hyperlink w:anchor="ia6eb790350034068963cd61e7ed0b800_28">
              <w:r>
                <w:rPr>
                  <w:rStyle w:val="InternetLink"/>
                  <w:rFonts w:ascii="Times New Roman;serif" w:hAnsi="Times New Roman;serif"/>
                  <w:b w:val="false"/>
                  <w:color w:val="000080"/>
                  <w:sz w:val="20"/>
                  <w:u w:val="single"/>
                </w:rPr>
                <w:t>June 30</w:t>
              </w:r>
            </w:hyperlink>
            <w:hyperlink w:anchor="ia6eb790350034068963cd61e7ed0b800_28">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31">
              <w:r>
                <w:rPr>
                  <w:rStyle w:val="InternetLink"/>
                  <w:rFonts w:ascii="Times New Roman;serif" w:hAnsi="Times New Roman;serif"/>
                  <w:b w:val="false"/>
                  <w:strike w:val="false"/>
                  <w:dstrike w:val="false"/>
                  <w:color w:val="000000"/>
                  <w:sz w:val="20"/>
                  <w:u w:val="none"/>
                  <w:effect w:val="non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eb790350034068963cd61e7ed0b800_37">
              <w:r>
                <w:rPr>
                  <w:rStyle w:val="InternetLink"/>
                  <w:rFonts w:ascii="Times New Roman;serif" w:hAnsi="Times New Roman;serif"/>
                  <w:b w:val="false"/>
                  <w:color w:val="000080"/>
                  <w:sz w:val="20"/>
                  <w:u w:val="single"/>
                </w:rPr>
                <w:t xml:space="preserve">Condensed Consolidated Statement of Cash Flows for the </w:t>
              </w:r>
            </w:hyperlink>
            <w:hyperlink w:anchor="ia6eb790350034068963cd61e7ed0b800_37">
              <w:r>
                <w:rPr>
                  <w:rStyle w:val="InternetLink"/>
                  <w:rFonts w:ascii="Times New Roman;serif" w:hAnsi="Times New Roman;serif"/>
                  <w:b w:val="false"/>
                  <w:color w:val="000080"/>
                  <w:sz w:val="20"/>
                  <w:u w:val="single"/>
                </w:rPr>
                <w:t>six</w:t>
              </w:r>
            </w:hyperlink>
            <w:hyperlink w:anchor="ia6eb790350034068963cd61e7ed0b800_37">
              <w:r>
                <w:rPr>
                  <w:rStyle w:val="InternetLink"/>
                  <w:rFonts w:ascii="Times New Roman;serif" w:hAnsi="Times New Roman;serif"/>
                  <w:b w:val="false"/>
                  <w:color w:val="000080"/>
                  <w:sz w:val="20"/>
                  <w:u w:val="single"/>
                </w:rPr>
                <w:t xml:space="preserve"> months ended </w:t>
              </w:r>
            </w:hyperlink>
            <w:hyperlink w:anchor="ia6eb790350034068963cd61e7ed0b800_37">
              <w:r>
                <w:rPr>
                  <w:rStyle w:val="InternetLink"/>
                  <w:rFonts w:ascii="Times New Roman;serif" w:hAnsi="Times New Roman;serif"/>
                  <w:b w:val="false"/>
                  <w:color w:val="000080"/>
                  <w:sz w:val="20"/>
                  <w:u w:val="single"/>
                </w:rPr>
                <w:t>June 30</w:t>
              </w:r>
            </w:hyperlink>
            <w:hyperlink w:anchor="ia6eb790350034068963cd61e7ed0b800_37">
              <w:r>
                <w:rPr>
                  <w:rStyle w:val="InternetLink"/>
                  <w:rFonts w:ascii="Times New Roman;serif" w:hAnsi="Times New Roman;serif"/>
                  <w:b w:val="false"/>
                  <w:color w:val="000080"/>
                  <w:sz w:val="20"/>
                  <w:u w:val="single"/>
                </w:rPr>
                <w:t>,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37">
              <w:r>
                <w:rPr>
                  <w:rStyle w:val="InternetLink"/>
                  <w:rFonts w:ascii="Times New Roman;serif" w:hAnsi="Times New Roman;serif"/>
                  <w:b w:val="false"/>
                  <w:strike w:val="false"/>
                  <w:dstrike w:val="false"/>
                  <w:color w:val="000000"/>
                  <w:sz w:val="20"/>
                  <w:u w:val="none"/>
                  <w:effect w:val="none"/>
                </w:rPr>
                <w:t>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40">
              <w:r>
                <w:rPr>
                  <w:rStyle w:val="InternetLink"/>
                  <w:rFonts w:ascii="Times New Roman;serif" w:hAnsi="Times New Roman;serif"/>
                  <w:b w:val="false"/>
                  <w:color w:val="0000FF"/>
                  <w:sz w:val="20"/>
                  <w:u w:val="single"/>
                </w:rPr>
                <w:t>Notes to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40">
              <w:r>
                <w:rPr>
                  <w:rStyle w:val="InternetLink"/>
                  <w:rFonts w:ascii="Times New Roman;serif" w:hAnsi="Times New Roman;serif"/>
                  <w:b w:val="false"/>
                  <w:strike w:val="false"/>
                  <w:dstrike w:val="false"/>
                  <w:color w:val="000000"/>
                  <w:sz w:val="20"/>
                  <w:u w:val="none"/>
                  <w:effect w:val="none"/>
                </w:rPr>
                <w:t>9</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a6eb790350034068963cd61e7ed0b800_100">
              <w:r>
                <w:rPr>
                  <w:rStyle w:val="InternetLink"/>
                  <w:rFonts w:ascii="Times New Roman;serif" w:hAnsi="Times New Roman;serif"/>
                  <w:b w:val="false"/>
                  <w:color w:val="0000FF"/>
                  <w:sz w:val="20"/>
                  <w:u w:val="single"/>
                </w:rPr>
                <w:t>Item 2.Management’s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00">
              <w:r>
                <w:rPr>
                  <w:rStyle w:val="InternetLink"/>
                  <w:rFonts w:ascii="Times New Roman;serif" w:hAnsi="Times New Roman;serif"/>
                  <w:b w:val="false"/>
                  <w:strike w:val="false"/>
                  <w:dstrike w:val="false"/>
                  <w:color w:val="000000"/>
                  <w:sz w:val="20"/>
                  <w:u w:val="none"/>
                  <w:effect w:val="none"/>
                </w:rPr>
                <w:t>24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a6eb790350034068963cd61e7ed0b800_118">
              <w:r>
                <w:rPr>
                  <w:rStyle w:val="InternetLink"/>
                  <w:rFonts w:ascii="Times New Roman;serif" w:hAnsi="Times New Roman;serif"/>
                  <w:b w:val="false"/>
                  <w:color w:val="0000FF"/>
                  <w:sz w:val="20"/>
                  <w:u w:val="single"/>
                </w:rPr>
                <w:t>Item 4.Controls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18">
              <w:r>
                <w:rPr>
                  <w:rStyle w:val="InternetLink"/>
                  <w:rFonts w:ascii="Times New Roman;serif" w:hAnsi="Times New Roman;serif"/>
                  <w:b w:val="false"/>
                  <w:strike w:val="false"/>
                  <w:dstrike w:val="false"/>
                  <w:color w:val="000000"/>
                  <w:sz w:val="20"/>
                  <w:u w:val="none"/>
                  <w:effect w:val="none"/>
                </w:rPr>
                <w:t>30</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121">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a6eb790350034068963cd61e7ed0b800_127">
              <w:r>
                <w:rPr>
                  <w:rStyle w:val="InternetLink"/>
                  <w:rFonts w:ascii="Times New Roman;serif" w:hAnsi="Times New Roman;serif"/>
                  <w:b w:val="false"/>
                  <w:color w:val="0000FF"/>
                  <w:sz w:val="20"/>
                  <w:u w:val="single"/>
                </w:rPr>
                <w:t>Item 2.Unregistered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27">
              <w:r>
                <w:rPr>
                  <w:rStyle w:val="InternetLink"/>
                  <w:rFonts w:ascii="Times New Roman;serif" w:hAnsi="Times New Roman;serif"/>
                  <w:b w:val="false"/>
                  <w:strike w:val="false"/>
                  <w:dstrike w:val="false"/>
                  <w:color w:val="000000"/>
                  <w:sz w:val="20"/>
                  <w:u w:val="none"/>
                  <w:effect w:val="none"/>
                </w:rPr>
                <w:t>31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0"/>
              <w:jc w:val="left"/>
              <w:rPr/>
            </w:pPr>
            <w:r>
              <w:rPr>
                <w:color w:val="000000"/>
              </w:rPr>
              <w:t> </w:t>
            </w:r>
            <w:hyperlink w:anchor="ia6eb790350034068963cd61e7ed0b800_130">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27">
              <w:r>
                <w:rPr>
                  <w:rStyle w:val="InternetLink"/>
                  <w:rFonts w:ascii="Times New Roman;serif" w:hAnsi="Times New Roman;serif"/>
                  <w:b w:val="false"/>
                  <w:strike w:val="false"/>
                  <w:dstrike w:val="false"/>
                  <w:color w:val="000000"/>
                  <w:sz w:val="20"/>
                  <w:u w:val="none"/>
                  <w:effect w:val="none"/>
                </w:rPr>
                <w:t>31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95"/>
              <w:jc w:val="left"/>
              <w:rPr/>
            </w:pPr>
            <w:hyperlink w:anchor="ia6eb790350034068963cd61e7ed0b800_133">
              <w:r>
                <w:rPr>
                  <w:rStyle w:val="InternetLink"/>
                  <w:rFonts w:ascii="Times New Roman;serif" w:hAnsi="Times New Roman;serif"/>
                  <w:b w:val="false"/>
                  <w:color w:val="0000FF"/>
                  <w:sz w:val="20"/>
                  <w:u w:val="single"/>
                </w:rPr>
                <w:t>Item 6.Exhibits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33">
              <w:r>
                <w:rPr>
                  <w:rStyle w:val="InternetLink"/>
                  <w:rFonts w:ascii="Times New Roman;serif" w:hAnsi="Times New Roman;serif"/>
                  <w:b w:val="false"/>
                  <w:strike w:val="false"/>
                  <w:dstrike w:val="false"/>
                  <w:color w:val="000000"/>
                  <w:sz w:val="20"/>
                  <w:u w:val="none"/>
                  <w:effect w:val="none"/>
                </w:rPr>
                <w:t>32</w:t>
              </w:r>
            </w:hyperlink>
          </w:p>
        </w:tc>
      </w:tr>
      <w:tr>
        <w:trPr/>
        <w:tc>
          <w:tcPr>
            <w:tcW w:w="9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6eb790350034068963cd61e7ed0b800_136">
              <w:r>
                <w:rPr>
                  <w:rStyle w:val="InternetLink"/>
                  <w:rFonts w:ascii="Times New Roman;serif" w:hAnsi="Times New Roman;serif"/>
                  <w:b/>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6eb790350034068963cd61e7ed0b800_136">
              <w:r>
                <w:rPr>
                  <w:rStyle w:val="InternetLink"/>
                  <w:rFonts w:ascii="Times New Roman;serif" w:hAnsi="Times New Roman;serif"/>
                  <w:b w:val="false"/>
                  <w:strike w:val="false"/>
                  <w:dstrike w:val="false"/>
                  <w:color w:val="000000"/>
                  <w:sz w:val="20"/>
                  <w:u w:val="none"/>
                  <w:effect w:val="non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0" w:type="dxa"/>
        <w:jc w:val="left"/>
        <w:tblInd w:w="0" w:type="dxa"/>
        <w:tblLayout w:type="fixed"/>
        <w:tblCellMar>
          <w:top w:w="28" w:type="dxa"/>
          <w:left w:w="28" w:type="dxa"/>
          <w:bottom w:w="28" w:type="dxa"/>
          <w:right w:w="28" w:type="dxa"/>
        </w:tblCellMar>
      </w:tblPr>
      <w:tblGrid>
        <w:gridCol w:w="1429"/>
        <w:gridCol w:w="1255"/>
        <w:gridCol w:w="1276"/>
        <w:gridCol w:w="211"/>
        <w:gridCol w:w="991"/>
        <w:gridCol w:w="109"/>
        <w:gridCol w:w="109"/>
        <w:gridCol w:w="109"/>
        <w:gridCol w:w="109"/>
        <w:gridCol w:w="211"/>
        <w:gridCol w:w="976"/>
        <w:gridCol w:w="109"/>
        <w:gridCol w:w="109"/>
        <w:gridCol w:w="109"/>
        <w:gridCol w:w="109"/>
        <w:gridCol w:w="211"/>
        <w:gridCol w:w="991"/>
        <w:gridCol w:w="109"/>
        <w:gridCol w:w="109"/>
        <w:gridCol w:w="109"/>
        <w:gridCol w:w="109"/>
        <w:gridCol w:w="211"/>
        <w:gridCol w:w="9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3,972,834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1,309,356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2,520,234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206,848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409,471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1,516,204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2,929,705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2,593,572 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528,193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985,352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85,476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406,896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806,253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229,855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231,472 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229,845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231,507 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declared and paid per share</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0.34</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0.68</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 of Comprehensive Income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48"/>
        <w:gridCol w:w="1448"/>
        <w:gridCol w:w="1468"/>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6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406,896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806,253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w:t>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arising during the period – gains (losses), net of tax (expense) benefit:</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adjustments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(16,487)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long-term intercompany notes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investment hedge instruments gain (loss), net of tax of $(981) and $17,857 for the quarter ended June 30, 2026 and 2025, and $(5,378) and $25,956 for the six months ended June 30, 2026 and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pension plans: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net of tax of $(167) and $(296) for the quarter ended June 30, 2026 and 2025 and $(334) and $(592) for the six months ended June 30, 2026 and 2025, respectively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(45,553)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394,620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760,700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859,463 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8528" w:type="dxa"/>
        <w:jc w:val="left"/>
        <w:tblInd w:w="0" w:type="dxa"/>
        <w:tblLayout w:type="fixed"/>
        <w:tblCellMar>
          <w:top w:w="28" w:type="dxa"/>
          <w:left w:w="28" w:type="dxa"/>
          <w:bottom w:w="28" w:type="dxa"/>
          <w:right w:w="28" w:type="dxa"/>
        </w:tblCellMar>
      </w:tblPr>
      <w:tblGrid>
        <w:gridCol w:w="1931"/>
        <w:gridCol w:w="1701"/>
        <w:gridCol w:w="1707"/>
        <w:gridCol w:w="211"/>
        <w:gridCol w:w="1096"/>
        <w:gridCol w:w="109"/>
        <w:gridCol w:w="109"/>
        <w:gridCol w:w="109"/>
        <w:gridCol w:w="109"/>
        <w:gridCol w:w="211"/>
        <w:gridCol w:w="108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1,170,497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1,195,383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3,226,801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850,173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7,418,304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4,191,606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4,128,394 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and other assets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648,521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16,594,713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and current portion of long-term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980,633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647,161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advanced payments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453,623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73,601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2,658,598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2,842,752 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1,055,541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874,224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745,587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5,333,950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5,438,757 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1,339,427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12,903,079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12,252,480 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(444,773)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(2,539,699)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(2,544,487)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11,260,763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10,628,786 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16,594,713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16,067,543 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404" w:type="dxa"/>
        <w:jc w:val="center"/>
        <w:tblInd w:w="0" w:type="dxa"/>
        <w:tblLayout w:type="fixed"/>
        <w:tblCellMar>
          <w:top w:w="28" w:type="dxa"/>
          <w:left w:w="28" w:type="dxa"/>
          <w:bottom w:w="28" w:type="dxa"/>
          <w:right w:w="28" w:type="dxa"/>
        </w:tblCellMar>
      </w:tblPr>
      <w:tblGrid>
        <w:gridCol w:w="726"/>
        <w:gridCol w:w="229"/>
        <w:gridCol w:w="231"/>
        <w:gridCol w:w="109"/>
        <w:gridCol w:w="109"/>
        <w:gridCol w:w="109"/>
        <w:gridCol w:w="198"/>
        <w:gridCol w:w="577"/>
        <w:gridCol w:w="111"/>
        <w:gridCol w:w="109"/>
        <w:gridCol w:w="109"/>
        <w:gridCol w:w="109"/>
        <w:gridCol w:w="196"/>
        <w:gridCol w:w="886"/>
        <w:gridCol w:w="109"/>
        <w:gridCol w:w="109"/>
        <w:gridCol w:w="109"/>
        <w:gridCol w:w="109"/>
        <w:gridCol w:w="196"/>
        <w:gridCol w:w="976"/>
        <w:gridCol w:w="109"/>
        <w:gridCol w:w="109"/>
        <w:gridCol w:w="109"/>
        <w:gridCol w:w="109"/>
        <w:gridCol w:w="256"/>
        <w:gridCol w:w="982"/>
        <w:gridCol w:w="143"/>
        <w:gridCol w:w="109"/>
        <w:gridCol w:w="109"/>
        <w:gridCol w:w="109"/>
        <w:gridCol w:w="196"/>
        <w:gridCol w:w="886"/>
        <w:gridCol w:w="109"/>
        <w:gridCol w:w="109"/>
        <w:gridCol w:w="109"/>
        <w:gridCol w:w="109"/>
        <w:gridCol w:w="196"/>
        <w:gridCol w:w="97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2,728</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1,314,400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12,574,041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(432,497)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(2,539,375)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10,919,297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406,896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406,896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10,977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1,339,427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12,903,079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(444,773)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(2,539,699)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11,260,763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4"/>
        <w:gridCol w:w="298"/>
        <w:gridCol w:w="301"/>
        <w:gridCol w:w="109"/>
        <w:gridCol w:w="109"/>
        <w:gridCol w:w="109"/>
        <w:gridCol w:w="196"/>
        <w:gridCol w:w="556"/>
        <w:gridCol w:w="109"/>
        <w:gridCol w:w="109"/>
        <w:gridCol w:w="109"/>
        <w:gridCol w:w="109"/>
        <w:gridCol w:w="196"/>
        <w:gridCol w:w="871"/>
        <w:gridCol w:w="109"/>
        <w:gridCol w:w="109"/>
        <w:gridCol w:w="109"/>
        <w:gridCol w:w="109"/>
        <w:gridCol w:w="196"/>
        <w:gridCol w:w="961"/>
        <w:gridCol w:w="109"/>
        <w:gridCol w:w="109"/>
        <w:gridCol w:w="109"/>
        <w:gridCol w:w="109"/>
        <w:gridCol w:w="196"/>
        <w:gridCol w:w="754"/>
        <w:gridCol w:w="109"/>
        <w:gridCol w:w="109"/>
        <w:gridCol w:w="109"/>
        <w:gridCol w:w="109"/>
        <w:gridCol w:w="196"/>
        <w:gridCol w:w="889"/>
        <w:gridCol w:w="109"/>
        <w:gridCol w:w="109"/>
        <w:gridCol w:w="109"/>
        <w:gridCol w:w="109"/>
        <w:gridCol w:w="196"/>
        <w:gridCol w:w="961"/>
        <w:gridCol w:w="157"/>
      </w:tblGrid>
      <w:tr>
        <w:trPr/>
        <w:tc>
          <w:tcPr>
            <w:tcW w:w="7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(2,107,845)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9,969,946 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11,624,849 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10,388,672 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27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Stockholders’ Equity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404" w:type="dxa"/>
        <w:jc w:val="left"/>
        <w:tblInd w:w="0" w:type="dxa"/>
        <w:tblLayout w:type="fixed"/>
        <w:tblCellMar>
          <w:top w:w="28" w:type="dxa"/>
          <w:left w:w="28" w:type="dxa"/>
          <w:bottom w:w="28" w:type="dxa"/>
          <w:right w:w="28" w:type="dxa"/>
        </w:tblCellMar>
      </w:tblPr>
      <w:tblGrid>
        <w:gridCol w:w="726"/>
        <w:gridCol w:w="229"/>
        <w:gridCol w:w="231"/>
        <w:gridCol w:w="109"/>
        <w:gridCol w:w="109"/>
        <w:gridCol w:w="109"/>
        <w:gridCol w:w="198"/>
        <w:gridCol w:w="577"/>
        <w:gridCol w:w="111"/>
        <w:gridCol w:w="109"/>
        <w:gridCol w:w="109"/>
        <w:gridCol w:w="109"/>
        <w:gridCol w:w="196"/>
        <w:gridCol w:w="886"/>
        <w:gridCol w:w="109"/>
        <w:gridCol w:w="109"/>
        <w:gridCol w:w="109"/>
        <w:gridCol w:w="109"/>
        <w:gridCol w:w="196"/>
        <w:gridCol w:w="976"/>
        <w:gridCol w:w="109"/>
        <w:gridCol w:w="109"/>
        <w:gridCol w:w="109"/>
        <w:gridCol w:w="109"/>
        <w:gridCol w:w="256"/>
        <w:gridCol w:w="982"/>
        <w:gridCol w:w="143"/>
        <w:gridCol w:w="109"/>
        <w:gridCol w:w="109"/>
        <w:gridCol w:w="109"/>
        <w:gridCol w:w="196"/>
        <w:gridCol w:w="886"/>
        <w:gridCol w:w="109"/>
        <w:gridCol w:w="109"/>
        <w:gridCol w:w="109"/>
        <w:gridCol w:w="109"/>
        <w:gridCol w:w="196"/>
        <w:gridCol w:w="97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equity</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1,317,288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12,252,480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(399,220)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(2,544,487)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10,628,786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806,253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11,427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(155,651)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(45,553)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(45,553)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2,729</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1,339,427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12,903,079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(444,773)</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(2,539,699)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11,260,763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774"/>
        <w:gridCol w:w="298"/>
        <w:gridCol w:w="301"/>
        <w:gridCol w:w="109"/>
        <w:gridCol w:w="109"/>
        <w:gridCol w:w="109"/>
        <w:gridCol w:w="196"/>
        <w:gridCol w:w="556"/>
        <w:gridCol w:w="109"/>
        <w:gridCol w:w="109"/>
        <w:gridCol w:w="109"/>
        <w:gridCol w:w="109"/>
        <w:gridCol w:w="196"/>
        <w:gridCol w:w="871"/>
        <w:gridCol w:w="109"/>
        <w:gridCol w:w="109"/>
        <w:gridCol w:w="109"/>
        <w:gridCol w:w="109"/>
        <w:gridCol w:w="196"/>
        <w:gridCol w:w="961"/>
        <w:gridCol w:w="109"/>
        <w:gridCol w:w="109"/>
        <w:gridCol w:w="109"/>
        <w:gridCol w:w="109"/>
        <w:gridCol w:w="196"/>
        <w:gridCol w:w="754"/>
        <w:gridCol w:w="109"/>
        <w:gridCol w:w="109"/>
        <w:gridCol w:w="109"/>
        <w:gridCol w:w="109"/>
        <w:gridCol w:w="196"/>
        <w:gridCol w:w="889"/>
        <w:gridCol w:w="109"/>
        <w:gridCol w:w="109"/>
        <w:gridCol w:w="109"/>
        <w:gridCol w:w="109"/>
        <w:gridCol w:w="196"/>
        <w:gridCol w:w="961"/>
        <w:gridCol w:w="157"/>
      </w:tblGrid>
      <w:tr>
        <w:trPr/>
        <w:tc>
          <w:tcPr>
            <w:tcW w:w="77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Six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9,655,304 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employee stock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11,624,849 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10,388,672 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079" w:type="dxa"/>
        <w:jc w:val="left"/>
        <w:tblInd w:w="0" w:type="dxa"/>
        <w:tblLayout w:type="fixed"/>
        <w:tblCellMar>
          <w:top w:w="28" w:type="dxa"/>
          <w:left w:w="28" w:type="dxa"/>
          <w:bottom w:w="28" w:type="dxa"/>
          <w:right w:w="28" w:type="dxa"/>
        </w:tblCellMar>
      </w:tblPr>
      <w:tblGrid>
        <w:gridCol w:w="1956"/>
        <w:gridCol w:w="1719"/>
        <w:gridCol w:w="1725"/>
        <w:gridCol w:w="211"/>
        <w:gridCol w:w="841"/>
        <w:gridCol w:w="109"/>
        <w:gridCol w:w="109"/>
        <w:gridCol w:w="109"/>
        <w:gridCol w:w="109"/>
        <w:gridCol w:w="211"/>
        <w:gridCol w:w="826"/>
        <w:gridCol w:w="154"/>
      </w:tblGrid>
      <w:tr>
        <w:trPr/>
        <w:tc>
          <w:tcPr>
            <w:tcW w:w="19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by (used for):</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total operating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assets and liabilities, net of acquisitions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935,210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businesses, net of cash acquired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(424,484)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facilities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investing activities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(481,490)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(155,727)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short-term borrowings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(208,689)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borrowings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(155,651)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 exercises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financing activities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(408,108)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(8,117)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495,446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2026, the consolidated results of its operations for the three and six months ended June 30, 2026 and 2025 and its cash flows for the six months ended June 30, 2026 and 2025 have been included. The Company has two reportable segments, Electronic Instruments Group (“EIG”) and Electromechanical Group (“EMG”). The Company identifies its operating segments for segment reporting purposes primarily on the basis of product type, production processes, distribution methods and management organizations.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2025 as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Derivatives and Hedging (Topic 815) - Hedge Accounting Improvements ("ASU 2025-09"). The amendments in this update aim to better align financial reporting with an entity's risk management strategies. It makes improvements in five key areas to help entities achieve and maintain hedge accounting for highly effective economic hedges. Improvements include changes to similar risk assessment for cash flow hedges, a new model for Choose-Your-Rate debt instruments, a principles-based approach for nonfinancial forecasted transactions, clarification on net written options, and addressing the mismatch in dual-hedge accounting. ASU 2025-09 is effective for annual periods beginning after December 15, 2026, and interim reporting periods within those annual reporting periods. The Company is evaluating the impact ASU 2025-09 may have on the Company's financial statement disclosures.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(ASU 2025-06) updating guidance on accounting for internal-use software. The amendments modernize guidance to consider different methods of software development, updating the requirements for capitalization of software costs. ASU 2025-06 is effective for annual and interim reporting periods beginning after December 15, 2027. Prospective, modified prospective, or retrospective application is allowed and early adoption is permitted. The Company has not determined the impact ASU 2025-06 may have on the Company’s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 —Expense Disaggregation Disclosures (Subtopic 220-40): Disaggregation of Income Statement Expenses, which requires additional disclosures about significant expenses included in certain expense captions presented on the face of the income statement. ASU 2024-03 is effective for annual periods beginning after December 15, 2026, and interim reporting periods beginning after December 15, 2027. Prospective or retrospective application is allowed and early adoption is permitted. The Company has not determined the impact ASU 2024-03 may have on the Company’s financial statement disclosures.</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3.    Revenues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outstanding contract asset and liability accounts were as follows:</w:t>
      </w:r>
    </w:p>
    <w:tbl>
      <w:tblPr>
        <w:tblW w:w="6863" w:type="dxa"/>
        <w:jc w:val="left"/>
        <w:tblInd w:w="0" w:type="dxa"/>
        <w:tblLayout w:type="fixed"/>
        <w:tblCellMar>
          <w:top w:w="28" w:type="dxa"/>
          <w:left w:w="28" w:type="dxa"/>
          <w:bottom w:w="28" w:type="dxa"/>
          <w:right w:w="28" w:type="dxa"/>
        </w:tblCellMar>
      </w:tblPr>
      <w:tblGrid>
        <w:gridCol w:w="1520"/>
        <w:gridCol w:w="1336"/>
        <w:gridCol w:w="1343"/>
        <w:gridCol w:w="211"/>
        <w:gridCol w:w="826"/>
        <w:gridCol w:w="109"/>
        <w:gridCol w:w="109"/>
        <w:gridCol w:w="109"/>
        <w:gridCol w:w="109"/>
        <w:gridCol w:w="211"/>
        <w:gridCol w:w="826"/>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 June 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177,868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assets – increase (decrease)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January 1</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400,689 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 June 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502,973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contract liabilities – (increase) decrease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shd w:fill="FFFFFF" w:val="clear"/>
        </w:rPr>
        <w:t xml:space="preserve">The net change for the six months ended June 30, 2026 was primarily driven by an increase in customer advance payments. </w:t>
      </w:r>
      <w:r>
        <w:rPr>
          <w:rFonts w:ascii="Times New Roman;serif" w:hAnsi="Times New Roman;serif"/>
          <w:b w:val="false"/>
          <w:color w:val="000000"/>
          <w:sz w:val="20"/>
        </w:rPr>
        <w:t>For the six months ended June 30, 2026 and 2025, the Company recognized revenue of $307.1 million and $243.7 million, respectively, that was previously included in the beginning balance of contract liabilities.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Contract assets are reported as a component of Other current assets in the consolidated balance sheet. At June 30, 2026 and December 31, 2025, $49.4 million and $52.7 million of Customer advanced payments (contract liabilities), respectively, were recorded in Other long-term liabilities in the consolidated balance sheets.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remaining performance obligations not expected to be completed within one year as of June 30, 2026 and December 31, 2025 were $747.7 million and $627.4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Geographic Areas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were attributed to geographic areas based on the location of the customer. Information about the Company’s operations in different geographic areas was as follows for the three and six months ended June 30:</w:t>
      </w:r>
    </w:p>
    <w:tbl>
      <w:tblPr>
        <w:tblW w:w="10612" w:type="dxa"/>
        <w:jc w:val="left"/>
        <w:tblInd w:w="0" w:type="dxa"/>
        <w:tblLayout w:type="fixed"/>
        <w:tblCellMar>
          <w:top w:w="28" w:type="dxa"/>
          <w:left w:w="28" w:type="dxa"/>
          <w:bottom w:w="28" w:type="dxa"/>
          <w:right w:w="28" w:type="dxa"/>
        </w:tblCellMar>
      </w:tblPr>
      <w:tblGrid>
        <w:gridCol w:w="440"/>
        <w:gridCol w:w="386"/>
        <w:gridCol w:w="390"/>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654,569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1,080,743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1,273,953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811,565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2,085,518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135,803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291,154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256,637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581,746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336,784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660,251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808,660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countries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190,308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96,664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361,107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666,584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1,311,736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575,580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1,887,316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1,321,153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723,244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1,387,145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3,972,834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Includes U.S. export sales of $570.5 million and $1,103.9 million for the three and six months ended June 30, 2026, respectively.</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522" w:type="dxa"/>
        <w:jc w:val="left"/>
        <w:tblInd w:w="0" w:type="dxa"/>
        <w:tblLayout w:type="fixed"/>
        <w:tblCellMar>
          <w:top w:w="28" w:type="dxa"/>
          <w:left w:w="28" w:type="dxa"/>
          <w:bottom w:w="28" w:type="dxa"/>
          <w:right w:w="28" w:type="dxa"/>
        </w:tblCellMar>
      </w:tblPr>
      <w:tblGrid>
        <w:gridCol w:w="440"/>
        <w:gridCol w:w="386"/>
        <w:gridCol w:w="39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4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International</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European Union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countries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1,647,491 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Includes U.S. export sales of $472.9 million and $942.9 million for the three and six months ended June 30, 2025.</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Major Products and Services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major products and services in the reportable segments were as follows:</w:t>
      </w:r>
    </w:p>
    <w:tbl>
      <w:tblPr>
        <w:tblW w:w="10807" w:type="dxa"/>
        <w:jc w:val="left"/>
        <w:tblInd w:w="0" w:type="dxa"/>
        <w:tblLayout w:type="fixed"/>
        <w:tblCellMar>
          <w:top w:w="28" w:type="dxa"/>
          <w:left w:w="28" w:type="dxa"/>
          <w:bottom w:w="28" w:type="dxa"/>
          <w:right w:w="28" w:type="dxa"/>
        </w:tblCellMar>
      </w:tblPr>
      <w:tblGrid>
        <w:gridCol w:w="511"/>
        <w:gridCol w:w="449"/>
        <w:gridCol w:w="451"/>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943,965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1,835,595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1,835,595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and power</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1,168,607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Automation and engineered solutions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501,326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968,632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1,321,153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723,244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2,585,689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1,387,145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3,972,834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717" w:type="dxa"/>
        <w:jc w:val="left"/>
        <w:tblInd w:w="0" w:type="dxa"/>
        <w:tblLayout w:type="fixed"/>
        <w:tblCellMar>
          <w:top w:w="28" w:type="dxa"/>
          <w:left w:w="28" w:type="dxa"/>
          <w:bottom w:w="28" w:type="dxa"/>
          <w:right w:w="28" w:type="dxa"/>
        </w:tblCellMar>
      </w:tblPr>
      <w:tblGrid>
        <w:gridCol w:w="511"/>
        <w:gridCol w:w="449"/>
        <w:gridCol w:w="45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analytical instrumentation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and power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Automation and engineered solutions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both"/>
        <w:rPr>
          <w:rFonts w:ascii="Times New Roman;serif" w:hAnsi="Times New Roman;serif"/>
          <w:b w:val="false"/>
          <w:i/>
          <w:color w:val="000000"/>
          <w:sz w:val="20"/>
        </w:rPr>
      </w:pPr>
      <w:r>
        <w:rPr>
          <w:rFonts w:ascii="Times New Roman;serif" w:hAnsi="Times New Roman;serif"/>
          <w:b w:val="false"/>
          <w:i/>
          <w:color w:val="000000"/>
          <w:sz w:val="20"/>
        </w:rPr>
        <w:t>Timing of Revenue Recognition</w:t>
      </w:r>
    </w:p>
    <w:tbl>
      <w:tblPr>
        <w:tblW w:w="10612" w:type="dxa"/>
        <w:jc w:val="left"/>
        <w:tblInd w:w="0" w:type="dxa"/>
        <w:tblLayout w:type="fixed"/>
        <w:tblCellMar>
          <w:top w:w="28" w:type="dxa"/>
          <w:left w:w="28" w:type="dxa"/>
          <w:bottom w:w="28" w:type="dxa"/>
          <w:right w:w="28" w:type="dxa"/>
        </w:tblCellMar>
      </w:tblPr>
      <w:tblGrid>
        <w:gridCol w:w="593"/>
        <w:gridCol w:w="311"/>
        <w:gridCol w:w="312"/>
        <w:gridCol w:w="211"/>
        <w:gridCol w:w="991"/>
        <w:gridCol w:w="109"/>
        <w:gridCol w:w="109"/>
        <w:gridCol w:w="109"/>
        <w:gridCol w:w="109"/>
        <w:gridCol w:w="211"/>
        <w:gridCol w:w="84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09"/>
        <w:gridCol w:w="109"/>
        <w:gridCol w:w="109"/>
        <w:gridCol w:w="109"/>
        <w:gridCol w:w="211"/>
        <w:gridCol w:w="991"/>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6"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1,065,967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628,390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1,694,357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2,067,179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1,217,455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3,284,634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94,854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518,510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688,200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1,321,153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723,244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2,585,689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1,387,145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3,972,834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522" w:type="dxa"/>
        <w:jc w:val="left"/>
        <w:tblInd w:w="0" w:type="dxa"/>
        <w:tblLayout w:type="fixed"/>
        <w:tblCellMar>
          <w:top w:w="28" w:type="dxa"/>
          <w:left w:w="28" w:type="dxa"/>
          <w:bottom w:w="28" w:type="dxa"/>
          <w:right w:w="28" w:type="dxa"/>
        </w:tblCellMar>
      </w:tblPr>
      <w:tblGrid>
        <w:gridCol w:w="593"/>
        <w:gridCol w:w="311"/>
        <w:gridCol w:w="31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6"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transferred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services transferred over time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60" w:after="283"/>
        <w:jc w:val="both"/>
        <w:rPr>
          <w:rFonts w:ascii="Times New Roman;serif" w:hAnsi="Times New Roman;serif"/>
          <w:b w:val="false"/>
          <w:i/>
          <w:color w:val="000000"/>
          <w:sz w:val="20"/>
        </w:rPr>
      </w:pPr>
      <w:r>
        <w:rPr>
          <w:rFonts w:ascii="Times New Roman;serif" w:hAnsi="Times New Roman;serif"/>
          <w:b w:val="false"/>
          <w:i/>
          <w:color w:val="000000"/>
          <w:sz w:val="20"/>
        </w:rPr>
        <w:t>Product Warranties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accrued product warranty obligation were as follows:</w:t>
      </w:r>
    </w:p>
    <w:tbl>
      <w:tblPr>
        <w:tblW w:w="8768" w:type="dxa"/>
        <w:jc w:val="left"/>
        <w:tblInd w:w="0" w:type="dxa"/>
        <w:tblLayout w:type="fixed"/>
        <w:tblCellMar>
          <w:top w:w="28" w:type="dxa"/>
          <w:left w:w="28" w:type="dxa"/>
          <w:bottom w:w="28" w:type="dxa"/>
          <w:right w:w="28" w:type="dxa"/>
        </w:tblCellMar>
      </w:tblPr>
      <w:tblGrid>
        <w:gridCol w:w="2281"/>
        <w:gridCol w:w="2005"/>
        <w:gridCol w:w="2013"/>
        <w:gridCol w:w="211"/>
        <w:gridCol w:w="736"/>
        <w:gridCol w:w="109"/>
        <w:gridCol w:w="109"/>
        <w:gridCol w:w="109"/>
        <w:gridCol w:w="109"/>
        <w:gridCol w:w="211"/>
        <w:gridCol w:w="721"/>
        <w:gridCol w:w="154"/>
      </w:tblGrid>
      <w:tr>
        <w:trPr/>
        <w:tc>
          <w:tcPr>
            <w:tcW w:w="2281"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beginning of the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warranties issued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made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accruals related to acquired businesses and other during the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43,644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$1,170.5 million of accounts receivable, net of allowances of $14.4 million. At December 31, 2025, the Company had $1,119.3 million of accounts receivable, net of allowance of $13.7 million. Changes in the allowance were not material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The number of weighted average shares used in the calculation of basic earnings per share and diluted earnings per share was as follows:</w:t>
      </w:r>
    </w:p>
    <w:tbl>
      <w:tblPr>
        <w:tblW w:w="8994" w:type="dxa"/>
        <w:jc w:val="left"/>
        <w:tblInd w:w="0" w:type="dxa"/>
        <w:tblLayout w:type="fixed"/>
        <w:tblCellMar>
          <w:top w:w="28" w:type="dxa"/>
          <w:left w:w="28" w:type="dxa"/>
          <w:bottom w:w="28" w:type="dxa"/>
          <w:right w:w="28" w:type="dxa"/>
        </w:tblCellMar>
      </w:tblPr>
      <w:tblGrid>
        <w:gridCol w:w="1037"/>
        <w:gridCol w:w="911"/>
        <w:gridCol w:w="917"/>
        <w:gridCol w:w="584"/>
        <w:gridCol w:w="257"/>
        <w:gridCol w:w="251"/>
        <w:gridCol w:w="251"/>
        <w:gridCol w:w="251"/>
        <w:gridCol w:w="251"/>
        <w:gridCol w:w="573"/>
        <w:gridCol w:w="253"/>
        <w:gridCol w:w="251"/>
        <w:gridCol w:w="109"/>
        <w:gridCol w:w="109"/>
        <w:gridCol w:w="109"/>
        <w:gridCol w:w="527"/>
        <w:gridCol w:w="314"/>
        <w:gridCol w:w="224"/>
        <w:gridCol w:w="224"/>
        <w:gridCol w:w="224"/>
        <w:gridCol w:w="224"/>
        <w:gridCol w:w="518"/>
        <w:gridCol w:w="308"/>
        <w:gridCol w:w="317"/>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shares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229,086</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230,818 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228,994</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230,743 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 plans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851</w:t>
            </w: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229,855</w:t>
            </w:r>
            <w:r>
              <w:rPr>
                <w:color w:val="000000"/>
              </w:rPr>
              <w:t>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231,472 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229,845</w:t>
            </w: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231,507 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calculation of diluted earnings per share for the three and six months ended June 30, 2025 excluded an immaterial number of stock options because the exercise prices of these stock options exceeded the average market price of the Company’s common shares, and the effect of their inclusion would have been antidilutive. There were no antidilutive shares for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assets that are measured at fair value on a recurring basis, consistent with the fair value hierarchy, at June 30, 2026 and December 31, 2025:</w:t>
      </w:r>
    </w:p>
    <w:tbl>
      <w:tblPr>
        <w:tblW w:w="6540" w:type="dxa"/>
        <w:jc w:val="left"/>
        <w:tblInd w:w="0" w:type="dxa"/>
        <w:tblLayout w:type="fixed"/>
        <w:tblCellMar>
          <w:top w:w="28" w:type="dxa"/>
          <w:left w:w="28" w:type="dxa"/>
          <w:bottom w:w="28" w:type="dxa"/>
          <w:right w:w="28" w:type="dxa"/>
        </w:tblCellMar>
      </w:tblPr>
      <w:tblGrid>
        <w:gridCol w:w="782"/>
        <w:gridCol w:w="688"/>
        <w:gridCol w:w="690"/>
        <w:gridCol w:w="211"/>
        <w:gridCol w:w="631"/>
        <w:gridCol w:w="109"/>
        <w:gridCol w:w="109"/>
        <w:gridCol w:w="109"/>
        <w:gridCol w:w="109"/>
        <w:gridCol w:w="211"/>
        <w:gridCol w:w="631"/>
        <w:gridCol w:w="109"/>
        <w:gridCol w:w="109"/>
        <w:gridCol w:w="109"/>
        <w:gridCol w:w="109"/>
        <w:gridCol w:w="211"/>
        <w:gridCol w:w="406"/>
        <w:gridCol w:w="109"/>
        <w:gridCol w:w="109"/>
        <w:gridCol w:w="109"/>
        <w:gridCol w:w="109"/>
        <w:gridCol w:w="211"/>
        <w:gridCol w:w="40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tbl>
      <w:tblPr>
        <w:tblW w:w="6510" w:type="dxa"/>
        <w:jc w:val="left"/>
        <w:tblInd w:w="0" w:type="dxa"/>
        <w:tblLayout w:type="fixed"/>
        <w:tblCellMar>
          <w:top w:w="28" w:type="dxa"/>
          <w:left w:w="28" w:type="dxa"/>
          <w:bottom w:w="28" w:type="dxa"/>
          <w:right w:w="28" w:type="dxa"/>
        </w:tblCellMar>
      </w:tblPr>
      <w:tblGrid>
        <w:gridCol w:w="782"/>
        <w:gridCol w:w="688"/>
        <w:gridCol w:w="690"/>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 investments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The fair value of mutual fund investments is based on quoted market prices. The mutual fund investments are shown as a component of investments and other assets on the consolidated balance sheet.</w:t>
      </w:r>
    </w:p>
    <w:p>
      <w:pPr>
        <w:pStyle w:val="TextBody"/>
        <w:bidi w:val="0"/>
        <w:spacing w:lineRule="auto" w:line="288" w:before="240" w:after="283"/>
        <w:ind w:left="0" w:right="0" w:firstLine="63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gains and losses on the investments noted above were not significant. No transfers between level 1 and level 2 investments occurred during the six months ended June 30, 2026 and 2025.</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Cash, cash equivalents and mutual fund investments are recorded at fair value at June 30, 2026 and December 31, 2025 in the accompanying consolidated balance sheet.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estimated fair values of the Company’s financial instrument liabilities, for which fair value is measured for disclosure purposes only, compared to the recorded amounts at June 30, 2026 and December 31, 2025:</w:t>
      </w:r>
    </w:p>
    <w:tbl>
      <w:tblPr>
        <w:tblW w:w="10110" w:type="dxa"/>
        <w:jc w:val="left"/>
        <w:tblInd w:w="0" w:type="dxa"/>
        <w:tblLayout w:type="fixed"/>
        <w:tblCellMar>
          <w:top w:w="28" w:type="dxa"/>
          <w:left w:w="28" w:type="dxa"/>
          <w:bottom w:w="28" w:type="dxa"/>
          <w:right w:w="28" w:type="dxa"/>
        </w:tblCellMar>
      </w:tblPr>
      <w:tblGrid>
        <w:gridCol w:w="1302"/>
        <w:gridCol w:w="1147"/>
        <w:gridCol w:w="1151"/>
        <w:gridCol w:w="211"/>
        <w:gridCol w:w="1051"/>
        <w:gridCol w:w="109"/>
        <w:gridCol w:w="109"/>
        <w:gridCol w:w="109"/>
        <w:gridCol w:w="109"/>
        <w:gridCol w:w="211"/>
        <w:gridCol w:w="1051"/>
        <w:gridCol w:w="109"/>
        <w:gridCol w:w="109"/>
        <w:gridCol w:w="109"/>
        <w:gridCol w:w="109"/>
        <w:gridCol w:w="211"/>
        <w:gridCol w:w="1051"/>
        <w:gridCol w:w="109"/>
        <w:gridCol w:w="109"/>
        <w:gridCol w:w="109"/>
        <w:gridCol w:w="109"/>
        <w:gridCol w:w="211"/>
        <w:gridCol w:w="1051"/>
        <w:gridCol w:w="154"/>
      </w:tblGrid>
      <w:tr>
        <w:trPr/>
        <w:tc>
          <w:tcPr>
            <w:tcW w:w="1302"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Recorded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(including 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(1,504,731)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(1,464,015)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net short-term borrowings approximates the carrying value. The Company’s net long-term debt is all privately held with no public market for this debt, therefore, the fair value of net long-term debt was computed based on comparable current market data for similar debt instruments and is considered a level 3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6.    Hedging Activities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designated certain foreign-currency-denominated long-term borrowings as hedges of the net investment in certain foreign operations. As of June 30, 2026, these net investment hedges included British-pound and Euro-denominated long-term debt. These borrowings were designed to create net investment hedges in certain designated foreign subsidiaries. The Company designated the British-pound- and Euro-denominated loans as hedging instruments to offset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$298.3 million of British-pound-denominated loans and $656.4 million in Euro-denominated loans, which were designated as a hedge against the net investment in British pound and Euro functional currency foreign subsidiaries. As a result of the British-pound- and Euro-denominated loans designated and 100% effective as net investment hedges, $22.5 million of pre-tax currency remeasurement gains have been included in the foreign currency translation component of other comprehensive income 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7.    Inventories, net</w:t>
      </w:r>
    </w:p>
    <w:tbl>
      <w:tblPr>
        <w:tblW w:w="5889" w:type="dxa"/>
        <w:jc w:val="left"/>
        <w:tblInd w:w="0" w:type="dxa"/>
        <w:tblLayout w:type="fixed"/>
        <w:tblCellMar>
          <w:top w:w="28" w:type="dxa"/>
          <w:left w:w="28" w:type="dxa"/>
          <w:bottom w:w="28" w:type="dxa"/>
          <w:right w:w="28" w:type="dxa"/>
        </w:tblCellMar>
      </w:tblPr>
      <w:tblGrid>
        <w:gridCol w:w="1053"/>
        <w:gridCol w:w="927"/>
        <w:gridCol w:w="930"/>
        <w:gridCol w:w="211"/>
        <w:gridCol w:w="991"/>
        <w:gridCol w:w="109"/>
        <w:gridCol w:w="109"/>
        <w:gridCol w:w="109"/>
        <w:gridCol w:w="109"/>
        <w:gridCol w:w="211"/>
        <w:gridCol w:w="976"/>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and parts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106,701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202,826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purchased parts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885,856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1,195,383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8.    Leases and Other Commitments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commitments under operating leases for certain facilities, vehicles and equipment used in its operations. Cash used in operations for operating leases was not materially different from operating lease expense for the six months ended June 30, 2026 and 2025. The Company's leases have a weighted average remaining lease term of approximately six years.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6975" w:type="dxa"/>
        <w:jc w:val="left"/>
        <w:tblInd w:w="0" w:type="dxa"/>
        <w:tblLayout w:type="fixed"/>
        <w:tblCellMar>
          <w:top w:w="28" w:type="dxa"/>
          <w:left w:w="28" w:type="dxa"/>
          <w:bottom w:w="28" w:type="dxa"/>
          <w:right w:w="28" w:type="dxa"/>
        </w:tblCellMar>
      </w:tblPr>
      <w:tblGrid>
        <w:gridCol w:w="635"/>
        <w:gridCol w:w="558"/>
        <w:gridCol w:w="562"/>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w:t>
      </w:r>
    </w:p>
    <w:tbl>
      <w:tblPr>
        <w:tblW w:w="7478" w:type="dxa"/>
        <w:jc w:val="left"/>
        <w:tblInd w:w="0" w:type="dxa"/>
        <w:tblLayout w:type="fixed"/>
        <w:tblCellMar>
          <w:top w:w="28" w:type="dxa"/>
          <w:left w:w="28" w:type="dxa"/>
          <w:bottom w:w="28" w:type="dxa"/>
          <w:right w:w="28" w:type="dxa"/>
        </w:tblCellMar>
      </w:tblPr>
      <w:tblGrid>
        <w:gridCol w:w="1734"/>
        <w:gridCol w:w="1529"/>
        <w:gridCol w:w="1536"/>
        <w:gridCol w:w="211"/>
        <w:gridCol w:w="841"/>
        <w:gridCol w:w="109"/>
        <w:gridCol w:w="109"/>
        <w:gridCol w:w="109"/>
        <w:gridCol w:w="109"/>
        <w:gridCol w:w="211"/>
        <w:gridCol w:w="826"/>
        <w:gridCol w:w="154"/>
      </w:tblGrid>
      <w:tr>
        <w:trPr/>
        <w:tc>
          <w:tcPr>
            <w:tcW w:w="1734"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use assets,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259,308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Accrued Liabilities and other</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61,826</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61,133 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Other long-term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274,770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Maturities of lease liabilities as of June 30, 2026 were as follows:</w:t>
      </w:r>
    </w:p>
    <w:tbl>
      <w:tblPr>
        <w:tblW w:w="3945" w:type="dxa"/>
        <w:jc w:val="left"/>
        <w:tblInd w:w="0" w:type="dxa"/>
        <w:tblLayout w:type="fixed"/>
        <w:tblCellMar>
          <w:top w:w="28" w:type="dxa"/>
          <w:left w:w="28" w:type="dxa"/>
          <w:bottom w:w="28" w:type="dxa"/>
          <w:right w:w="28" w:type="dxa"/>
        </w:tblCellMar>
      </w:tblPr>
      <w:tblGrid>
        <w:gridCol w:w="918"/>
        <w:gridCol w:w="805"/>
        <w:gridCol w:w="811"/>
        <w:gridCol w:w="246"/>
        <w:gridCol w:w="983"/>
        <w:gridCol w:w="182"/>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Lease Liability Maturity Analysis</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37,517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2027</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68,429</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2028</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52,927</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2029</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43,994</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2030</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35,431</w:t>
            </w: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82,319</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320,617</w:t>
            </w: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45,847</w:t>
            </w: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274,770</w:t>
            </w:r>
            <w:r>
              <w:rPr>
                <w:color w:val="000000"/>
              </w:rPr>
              <w:t>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any significant leases that have not yet commenced.</w:t>
      </w:r>
    </w:p>
    <w:p>
      <w:pPr>
        <w:pStyle w:val="TextBody"/>
        <w:bidi w:val="0"/>
        <w:spacing w:lineRule="auto" w:line="288" w:before="360" w:after="283"/>
        <w:jc w:val="both"/>
        <w:rPr>
          <w:rFonts w:ascii="Times New Roman;serif" w:hAnsi="Times New Roman;serif"/>
          <w:b w:val="false"/>
          <w:i/>
          <w:color w:val="000000"/>
          <w:sz w:val="20"/>
        </w:rPr>
      </w:pPr>
      <w:r>
        <w:rPr>
          <w:rFonts w:ascii="Times New Roman;serif" w:hAnsi="Times New Roman;serif"/>
          <w:b w:val="false"/>
          <w:i/>
          <w:color w:val="000000"/>
          <w:sz w:val="20"/>
        </w:rPr>
        <w:t>Other Commitments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issues guarantees, stand-by letters of credit and surety bonds to provide financial or performance assurance to third parties on behalf of its consolidated subsidiaries to support or enhance the subsidiary's stand-alone creditworthiness. At June 30, 2026, the maximum amount of future payment obligations relative to these various guarantees was $326.4 million and the outstanding liability under certain of those guarantees was $187.9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9.    Acquisitions</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spent $424.5 million in cash, net of cash acquired, to acquire LKC Technologies ("LKC") in January 2026 and First Aviation Services, Inc. ("First Aviation") in May 2026. LKC is a leading provider of innovative technologies to enable the effective diagnosis and management of ophthalmic conditions. LKC is part of EIG. First Aviation is a leading provider of highly engineered, mission-critical defense and aviation maintenance, repair and overhaul services and a manufacturer of related proprietary components. First Aviation has annual sales of approximately $80 million. First Aviation is part of EMG.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represents the allocation of the purchase price for the net assets of the LKC and First Aviation acquisitions based on the estimated fair values at acquisition (in millions):</w:t>
      </w:r>
    </w:p>
    <w:tbl>
      <w:tblPr>
        <w:tblW w:w="5542" w:type="dxa"/>
        <w:jc w:val="left"/>
        <w:tblInd w:w="0" w:type="dxa"/>
        <w:tblLayout w:type="fixed"/>
        <w:tblCellMar>
          <w:top w:w="28" w:type="dxa"/>
          <w:left w:w="28" w:type="dxa"/>
          <w:bottom w:w="28" w:type="dxa"/>
          <w:right w:w="28" w:type="dxa"/>
        </w:tblCellMar>
      </w:tblPr>
      <w:tblGrid>
        <w:gridCol w:w="1489"/>
        <w:gridCol w:w="1306"/>
        <w:gridCol w:w="1315"/>
        <w:gridCol w:w="109"/>
        <w:gridCol w:w="109"/>
        <w:gridCol w:w="109"/>
        <w:gridCol w:w="109"/>
        <w:gridCol w:w="211"/>
        <w:gridCol w:w="631"/>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working capital and other</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Acquisition date fair value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424.5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6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(1)Includes $7.1 million in accounts receivable, whose fair value, contractual cash flows and expected cash flows are approximately equal.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allocated to goodwill is reflective of the benefits the Company expects to realize from the acquisitions. LKC's design and engineering capabilities complement the Company's existing ultra precision technologies business. First Aviation's proprietary products and services complement the Company's existing maintenance, repair and overhaul business.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purchase price allocated to other intangible assets of $211.5 million consists of $30.2 million of indefinite-lived intangible trade names, which are not subject to amortization. The remaining $181.3 million of other intangible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assets consists of $148.1 million of customer relationships, which are being amortized over a period of 17 to 20 years, and $33.2 million of purchased technology, which is being amortized over a period of 15 to 17 years. Amortization expense for each of the next five years for the 2026 acquisition is expected to approximate $10 million per year.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LKC and First Aviation acquisitions had an immaterial impact on reported net sales, net income, and diluted earnings per share for the three and six months ended June 30, 2026. Had the acquisitions been made at the beginning of 2026 or 2025, pro forma net sales, net income, and diluted earnings per share for the three and six months ended June 30, 2026 and 2025, would not have been materially different than the amounts reported. </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Company finalized its measurements of tangible and intangible assets and liabilities, </w:t>
      </w:r>
      <w:r>
        <w:rPr>
          <w:rFonts w:ascii="Times New Roman;serif" w:hAnsi="Times New Roman;serif"/>
          <w:b w:val="false"/>
          <w:color w:val="000000"/>
          <w:sz w:val="20"/>
          <w:shd w:fill="FFFFFF" w:val="clear"/>
        </w:rPr>
        <w:t xml:space="preserve">as well as the associated income tax considerations, </w:t>
      </w:r>
      <w:r>
        <w:rPr>
          <w:rFonts w:ascii="Times New Roman;serif" w:hAnsi="Times New Roman;serif"/>
          <w:b w:val="false"/>
          <w:color w:val="000000"/>
          <w:sz w:val="20"/>
        </w:rPr>
        <w:t xml:space="preserve">for its July 2025 acquisition of FARO Technologies and its January 2026 acquisition of LKC, which had no material impact to the consolidated statement of income. </w:t>
      </w:r>
      <w:r>
        <w:rPr>
          <w:rFonts w:ascii="Times New Roman;serif" w:hAnsi="Times New Roman;serif"/>
          <w:b w:val="false"/>
          <w:color w:val="000000"/>
          <w:sz w:val="20"/>
          <w:shd w:fill="FFFFFF" w:val="clear"/>
        </w:rPr>
        <w:t xml:space="preserve">The Company is in the process of finalizing the measurement of the intangible assets and tangible assets and liabilities, as well as the associated income tax considerations, for its May 2026 acquisition of First Aviation. </w:t>
      </w:r>
    </w:p>
    <w:p>
      <w:pPr>
        <w:pStyle w:val="TextBody"/>
        <w:bidi w:val="0"/>
        <w:spacing w:lineRule="auto" w:line="288" w:before="12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acquired Kern Microtechnik ("Kern"). The Kern acquisition included an $8.9 million estimated fair value contingent payment due upon Kern achieving certain cumulative revenue and EBITDA targets over the period January 1, 2025 to January 1, 2027. The contingent liability was based on a probabilistic approach using level 3 inputs. At June 30, 2026, there was no material change to the estimated fair value of the contingent payment liability.</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Indicor, LLC Agreement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2026, the Company announced that it has entered into a definitive agreement to acquire a portfolio of instrumentation business from Indicor, LLC ("Indicor Instrumentation") in an all-cash transaction valued at approximately $5.0 billion. Indicor Instrumentation is a collection of leading businesses that design and manufacture mission critical solutions for demanding industrial and scientific applications. Its products serve customers across end markets that align closely with the Company's existing portfolio of instrumentation businesses. Indicor Instrumentation has annual sales of approximately $1.1 billion. The transaction is subject to customary closing conditions, including applicable regulatory approvals, and is expected to close in the second half of 2026. Following closing of the transaction, the businesses will be integrated into EIG or EMG based on product offerings and market alignment.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10.    Goodwill</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amounts of goodwill by segment were as follows:</w:t>
      </w:r>
    </w:p>
    <w:tbl>
      <w:tblPr>
        <w:tblW w:w="7991" w:type="dxa"/>
        <w:jc w:val="left"/>
        <w:tblInd w:w="0" w:type="dxa"/>
        <w:tblLayout w:type="fixed"/>
        <w:tblCellMar>
          <w:top w:w="28" w:type="dxa"/>
          <w:left w:w="28" w:type="dxa"/>
          <w:bottom w:w="28" w:type="dxa"/>
          <w:right w:w="28" w:type="dxa"/>
        </w:tblCellMar>
      </w:tblPr>
      <w:tblGrid>
        <w:gridCol w:w="1445"/>
        <w:gridCol w:w="1268"/>
        <w:gridCol w:w="1276"/>
        <w:gridCol w:w="211"/>
        <w:gridCol w:w="781"/>
        <w:gridCol w:w="109"/>
        <w:gridCol w:w="109"/>
        <w:gridCol w:w="109"/>
        <w:gridCol w:w="109"/>
        <w:gridCol w:w="211"/>
        <w:gridCol w:w="781"/>
        <w:gridCol w:w="109"/>
        <w:gridCol w:w="109"/>
        <w:gridCol w:w="109"/>
        <w:gridCol w:w="109"/>
        <w:gridCol w:w="211"/>
        <w:gridCol w:w="781"/>
        <w:gridCol w:w="154"/>
      </w:tblGrid>
      <w:tr>
        <w:trPr/>
        <w:tc>
          <w:tcPr>
            <w:tcW w:w="1445"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from 2026 acquisitions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allocation adjustments and other</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2,218.3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7,418.3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4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was 17.4%, compared with 19.0% for the three months ended June 30, 2025. The decrease in the quarterly effective tax rate primarily reflects favorable international tax planning initiatives and favorable return to provision adjustments.</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gross uncertain tax benefits of $243.3 million, of which $192.6 million, if recognized, would impact the effective tax rate.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liability for uncertain tax positions (in millions):</w:t>
      </w:r>
    </w:p>
    <w:tbl>
      <w:tblPr>
        <w:tblW w:w="3590" w:type="dxa"/>
        <w:jc w:val="left"/>
        <w:tblInd w:w="0" w:type="dxa"/>
        <w:tblLayout w:type="fixed"/>
        <w:tblCellMar>
          <w:top w:w="28" w:type="dxa"/>
          <w:left w:w="28" w:type="dxa"/>
          <w:bottom w:w="28" w:type="dxa"/>
          <w:right w:w="28" w:type="dxa"/>
        </w:tblCellMar>
      </w:tblPr>
      <w:tblGrid>
        <w:gridCol w:w="939"/>
        <w:gridCol w:w="825"/>
        <w:gridCol w:w="830"/>
        <w:gridCol w:w="211"/>
        <w:gridCol w:w="63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for tax positions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for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additions above primarily reflect the tax positions for foreign tax planning initiatives. The Company recognizes interest and penalties accrued related to uncertain tax positions in income tax expense. The amounts recognized in income tax expense for interest and penalties during the three and six months ended June 30, 2026 and 2025 were not significant.</w:t>
      </w:r>
    </w:p>
    <w:p>
      <w:pPr>
        <w:pStyle w:val="TextBody"/>
        <w:bidi w:val="0"/>
        <w:spacing w:lineRule="auto" w:line="288" w:before="14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Development’s (“OECD”) Pillar Two initiative set a 15% global minimum tax for certain multinationals, effective January 1, 2024, in most countries where the Company operates. In January 2026, new OECD guidance proposed a Side</w:t>
        <w:noBreakHyphen/>
        <w:t>by</w:t>
        <w:noBreakHyphen/>
        <w:t>Side (“SbS”) framework to limit Pillar Two taxes for U.S.-parented groups. Relief is contingent upon the implementation of the SbS framework within each respective jurisdiction's domestic legislation. For the six months ended June 30, 2026, the Company has recorded $12.5 million of top-up tax in its income tax expense, based on the currently enacted Pillar Two framework, in jurisdictions where the effective tax rate does not meet the 15% minimum threshold.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12.    Debt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9, 2026, the Company, along with certain of its foreign subsidiaries, entered into an amended and restated revolving credit agreement (the “Revolving Credit Agreement”) and a separate term loan credit agreement (the “Term Loan Agreement”). The Revolving Credit Agreement increased the aggregate commitments from $2.3 billion to $3.5 billion and extended the maturity to June 9, 2031. The facility is subject to customary financial and restrictive covenants and may be used for general corporate purposes, including working capital, debt refinancing, and up to $1.0 billion to fund a portion of the consideration for the previously announced acquisition of Indicor Holdings, LLC (the “Indicor Acquisition”). At June 30, 2026, the Company had no borrowings outstanding under the revolver.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Agreement provides for a senior unsecured term loan facility of up to $4.0 billion, consisting of three tranches: $1.625 billion maturing three years after funding, $1.625 billion maturing four years after funding, and $750 million maturing five years after funding. Funding under the Term Loan Agreement is subject to customary conditions, including the consummation of the Indicor Acquisition, and the proceeds may be used solely to finance the acquisition. The term loans will be available in a single borrowing on the closing date of the Indicor Acquisition. At June 30, 2026, the Company had no borrowings outstanding under the term loans.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Both agreements contain customary affirmative and negative covenants, financial maintenance covenants, and events of default. Borrowings under the facilities bear interest at variable rates based on either a secured overnight financing rate (“SOFR”) or an alternate base rate, in each case plus an applicable margin determined by reference to the Company’s credit rating or leverage. The Company may prepay borrowings at any time without premium or penalty, subject to customary breakage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entering into the purchase agreement for the Indicor Acquisition, the Company previously obtained $5.0 billion in bridge financing commitments. Upon execution of the Revolving Credit Agreement and the Term Loan Agreement, these bridge commitments were automatically reduced and terminated in full.</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30, 2026, the Company had $545.0 million outstanding under its commercial paper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13.    Share-Based Compensation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share-based compensation plans are described in Note 11, Share-Based Compensation, to the consolidated financial statements in Part II, Item 8, filed on the Company’s Annual Report on Form 10-K for the year ended December 31,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Share Based Compensation Expense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share-based compensation expense was as follows:</w:t>
      </w:r>
    </w:p>
    <w:tbl>
      <w:tblPr>
        <w:tblW w:w="8699" w:type="dxa"/>
        <w:jc w:val="left"/>
        <w:tblInd w:w="0" w:type="dxa"/>
        <w:tblLayout w:type="fixed"/>
        <w:tblCellMar>
          <w:top w:w="28" w:type="dxa"/>
          <w:left w:w="28" w:type="dxa"/>
          <w:bottom w:w="28" w:type="dxa"/>
          <w:right w:w="28" w:type="dxa"/>
        </w:tblCellMar>
      </w:tblPr>
      <w:tblGrid>
        <w:gridCol w:w="1261"/>
        <w:gridCol w:w="1104"/>
        <w:gridCol w:w="1114"/>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126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expense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restricted stock unit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pre-tax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13,892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Pre-tax share-based compensation expense is included in the consolidated statement of income in either Cost of sales or Selling, general and administrative expenses, depending on where the recipient’s cash compensation is reported.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Stock Options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tbl>
      <w:tblPr>
        <w:tblW w:w="8966" w:type="dxa"/>
        <w:jc w:val="left"/>
        <w:tblInd w:w="0" w:type="dxa"/>
        <w:tblLayout w:type="fixed"/>
        <w:tblCellMar>
          <w:top w:w="28" w:type="dxa"/>
          <w:left w:w="28" w:type="dxa"/>
          <w:bottom w:w="28" w:type="dxa"/>
          <w:right w:w="28" w:type="dxa"/>
        </w:tblCellMar>
      </w:tblPr>
      <w:tblGrid>
        <w:gridCol w:w="1734"/>
        <w:gridCol w:w="1521"/>
        <w:gridCol w:w="1530"/>
        <w:gridCol w:w="260"/>
        <w:gridCol w:w="778"/>
        <w:gridCol w:w="371"/>
        <w:gridCol w:w="109"/>
        <w:gridCol w:w="109"/>
        <w:gridCol w:w="109"/>
        <w:gridCol w:w="451"/>
        <w:gridCol w:w="1318"/>
        <w:gridCol w:w="676"/>
      </w:tblGrid>
      <w:tr>
        <w:trPr/>
        <w:tc>
          <w:tcPr>
            <w:tcW w:w="1734"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20.1</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3.87</w:t>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0.64</w:t>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Black-Scholes-Merton fair value per stock option granted</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51.29</w:t>
            </w: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stock option activity and related information:</w:t>
      </w:r>
    </w:p>
    <w:tbl>
      <w:tblPr>
        <w:tblW w:w="8126" w:type="dxa"/>
        <w:jc w:val="left"/>
        <w:tblInd w:w="0" w:type="dxa"/>
        <w:tblLayout w:type="fixed"/>
        <w:tblCellMar>
          <w:top w:w="28" w:type="dxa"/>
          <w:left w:w="28" w:type="dxa"/>
          <w:bottom w:w="28" w:type="dxa"/>
          <w:right w:w="28" w:type="dxa"/>
        </w:tblCellMar>
      </w:tblPr>
      <w:tblGrid>
        <w:gridCol w:w="1065"/>
        <w:gridCol w:w="935"/>
        <w:gridCol w:w="940"/>
        <w:gridCol w:w="378"/>
        <w:gridCol w:w="378"/>
        <w:gridCol w:w="383"/>
        <w:gridCol w:w="109"/>
        <w:gridCol w:w="109"/>
        <w:gridCol w:w="109"/>
        <w:gridCol w:w="211"/>
        <w:gridCol w:w="736"/>
        <w:gridCol w:w="109"/>
        <w:gridCol w:w="109"/>
        <w:gridCol w:w="109"/>
        <w:gridCol w:w="109"/>
        <w:gridCol w:w="330"/>
        <w:gridCol w:w="330"/>
        <w:gridCol w:w="331"/>
        <w:gridCol w:w="109"/>
        <w:gridCol w:w="109"/>
        <w:gridCol w:w="109"/>
        <w:gridCol w:w="216"/>
        <w:gridCol w:w="646"/>
        <w:gridCol w:w="157"/>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Life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1,979</w:t>
            </w:r>
            <w:r>
              <w:rPr>
                <w:color w:val="000000"/>
              </w:rPr>
              <w:t>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208.5</w:t>
            </w: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75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1,531</w:t>
            </w:r>
            <w:r>
              <w:rPr>
                <w:color w:val="000000"/>
              </w:rPr>
              <w:t> </w:t>
            </w:r>
          </w:p>
        </w:tc>
        <w:tc>
          <w:tcPr>
            <w:tcW w:w="38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119.35</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w:t>
            </w:r>
            <w:r>
              <w:rPr>
                <w:color w:val="000000"/>
              </w:rPr>
              <w:t> </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 of stock options exercised during the six months ended June 30, 2026 was $20.4 million. The total fair value of stock options vested during the six months ended June 30, 2026 was $11.7 million.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there was approximately $19.0 million of expected future pre-tax compensation expense related to the 0.5 million non-vested stock options outstanding, which is expected to be recognized over a weighted average period of approximately two years.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Restricted Stock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non-vested restricted stock activity and related information:</w:t>
      </w:r>
    </w:p>
    <w:tbl>
      <w:tblPr>
        <w:tblW w:w="7727" w:type="dxa"/>
        <w:jc w:val="left"/>
        <w:tblInd w:w="0" w:type="dxa"/>
        <w:tblLayout w:type="fixed"/>
        <w:tblCellMar>
          <w:top w:w="28" w:type="dxa"/>
          <w:left w:w="28" w:type="dxa"/>
          <w:bottom w:w="28" w:type="dxa"/>
          <w:right w:w="28" w:type="dxa"/>
        </w:tblCellMar>
      </w:tblPr>
      <w:tblGrid>
        <w:gridCol w:w="1869"/>
        <w:gridCol w:w="1643"/>
        <w:gridCol w:w="1648"/>
        <w:gridCol w:w="378"/>
        <w:gridCol w:w="378"/>
        <w:gridCol w:w="383"/>
        <w:gridCol w:w="109"/>
        <w:gridCol w:w="109"/>
        <w:gridCol w:w="109"/>
        <w:gridCol w:w="211"/>
        <w:gridCol w:w="73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Grant Date</w:t>
              <w:br/>
              <w:t>Fair Value</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December 31,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213.81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167.44</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185.42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outstanding at June 30, 2026</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195.78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fair value of restricted stock vested during the six months ended June 30, 2026 was $21.0 million. As of June 30, 2026, there was approximately $45.1 million of expected future pre-tax compensation expense related to the 0.3 million non-vested restricted shares outstanding, which is expected to be recognized over a weighted average period of approximately two years.</w:t>
      </w:r>
    </w:p>
    <w:p>
      <w:pPr>
        <w:pStyle w:val="TextBody"/>
        <w:bidi w:val="0"/>
        <w:spacing w:before="240" w:after="283"/>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Restricted Stock Units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Company’s non-vested performance restricted stock activity and related information:</w:t>
      </w:r>
    </w:p>
    <w:tbl>
      <w:tblPr>
        <w:tblW w:w="8776" w:type="dxa"/>
        <w:jc w:val="left"/>
        <w:tblInd w:w="0" w:type="dxa"/>
        <w:tblLayout w:type="fixed"/>
        <w:tblCellMar>
          <w:top w:w="28" w:type="dxa"/>
          <w:left w:w="28" w:type="dxa"/>
          <w:bottom w:w="28" w:type="dxa"/>
          <w:right w:w="28" w:type="dxa"/>
        </w:tblCellMar>
      </w:tblPr>
      <w:tblGrid>
        <w:gridCol w:w="2250"/>
        <w:gridCol w:w="1974"/>
        <w:gridCol w:w="1985"/>
        <w:gridCol w:w="378"/>
        <w:gridCol w:w="378"/>
        <w:gridCol w:w="383"/>
        <w:gridCol w:w="109"/>
        <w:gridCol w:w="109"/>
        <w:gridCol w:w="109"/>
        <w:gridCol w:w="211"/>
        <w:gridCol w:w="736"/>
        <w:gridCol w:w="154"/>
      </w:tblGrid>
      <w:tr>
        <w:trPr/>
        <w:tc>
          <w:tcPr>
            <w:tcW w:w="225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Grant Date</w:t>
              <w:br/>
              <w:t>Fair Value</w:t>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performance restricted stock outstanding at December 31, 2025</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212.77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Performance assumption change </w:t>
            </w:r>
            <w:r>
              <w:rPr>
                <w:rFonts w:ascii="Times New Roman;serif" w:hAnsi="Times New Roman;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138.46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performance restricted stock outstanding at June 30, 2026</w:t>
            </w:r>
          </w:p>
        </w:tc>
        <w:tc>
          <w:tcPr>
            <w:tcW w:w="7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189.80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Reflects the number of PRSUs above target levels based on performance metrics.</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$17.7 million of expected future pre-tax compensation expense related to the 0.2 million non-vested restricted shares outstanding, which is expected to be recognized over a weighted average period of less than one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360" w:after="283"/>
        <w:ind w:left="0" w:right="0" w:hanging="720"/>
        <w:jc w:val="left"/>
        <w:rPr>
          <w:rFonts w:ascii="Times New Roman;serif" w:hAnsi="Times New Roman;serif"/>
          <w:b/>
          <w:color w:val="000000"/>
          <w:sz w:val="20"/>
        </w:rPr>
      </w:pPr>
      <w:r>
        <w:rPr>
          <w:rFonts w:ascii="Times New Roman;serif" w:hAnsi="Times New Roman;serif"/>
          <w:b/>
          <w:color w:val="000000"/>
          <w:sz w:val="20"/>
        </w:rPr>
        <w:t>14.    Retirement and Pension Plans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components of net periodic pension benefit expense (income) were as follows:</w:t>
      </w:r>
    </w:p>
    <w:tbl>
      <w:tblPr>
        <w:tblW w:w="8639" w:type="dxa"/>
        <w:jc w:val="left"/>
        <w:tblInd w:w="0" w:type="dxa"/>
        <w:tblLayout w:type="fixed"/>
        <w:tblCellMar>
          <w:top w:w="28" w:type="dxa"/>
          <w:left w:w="28" w:type="dxa"/>
          <w:bottom w:w="28" w:type="dxa"/>
          <w:right w:w="28" w:type="dxa"/>
        </w:tblCellMar>
      </w:tblPr>
      <w:tblGrid>
        <w:gridCol w:w="1313"/>
        <w:gridCol w:w="1155"/>
        <w:gridCol w:w="1161"/>
        <w:gridCol w:w="211"/>
        <w:gridCol w:w="631"/>
        <w:gridCol w:w="109"/>
        <w:gridCol w:w="109"/>
        <w:gridCol w:w="109"/>
        <w:gridCol w:w="109"/>
        <w:gridCol w:w="211"/>
        <w:gridCol w:w="616"/>
        <w:gridCol w:w="109"/>
        <w:gridCol w:w="109"/>
        <w:gridCol w:w="109"/>
        <w:gridCol w:w="109"/>
        <w:gridCol w:w="211"/>
        <w:gridCol w:w="736"/>
        <w:gridCol w:w="109"/>
        <w:gridCol w:w="109"/>
        <w:gridCol w:w="109"/>
        <w:gridCol w:w="109"/>
        <w:gridCol w:w="211"/>
        <w:gridCol w:w="721"/>
        <w:gridCol w:w="154"/>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Defined benefit plans: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actuarial loss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plans: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plans and 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plans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pension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9,631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defined benefit plans, the net periodic benefit income, other than the service cost component, is included in “Other (expense) income, net” in the consolidated statement of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contributions to the Company’s defined benefit pension plans were $2.5 million and $3.0 million, respectively. The Company’s current estimate of 2026 contributions to its worldwide defined benefit pension plans is in line with the range disclosed in Note 12 of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720"/>
        <w:jc w:val="both"/>
        <w:rPr>
          <w:rFonts w:ascii="Times New Roman;serif" w:hAnsi="Times New Roman;serif"/>
          <w:b/>
          <w:color w:val="000000"/>
          <w:sz w:val="20"/>
        </w:rPr>
      </w:pPr>
      <w:r>
        <w:rPr>
          <w:rFonts w:ascii="Times New Roman;serif" w:hAnsi="Times New Roman;serif"/>
          <w:b/>
          <w:color w:val="000000"/>
          <w:sz w:val="20"/>
        </w:rPr>
        <w:t>15.    Contingencies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Asbestos Litigation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historic processes in the manufacture of products have resulted in environmentally hazardous waste by-products as defined by federal and state laws and regulations. At June 30, 2026, the Company is named a Potentially Responsible Party (“PRP”) at 13 non-AMETEK-owned former waste disposal or treatment sites (the “non-owned” sites). The Company is identified as a “de minimis” party in a majority of these sites based on the low volume of waste attributed to the Company relative to the amounts attributed to other named PRPs.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environmental reserves at June 30, 2026 and December 31, 2025 were $40.1 million and $37.4 million, respectively, for both non-owned and owned sites. For the six months ended June 30, 2026, the Company recorded $7.0 million in reserves. Additionally, the Company spent $4.3 million on environmental matters for the six months ended June 30, 2026.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believes it has established reserves for the environmental matters described above, which are sufficient to perform all known responsibilities under existing claims and consent orders.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both"/>
        <w:rPr>
          <w:rFonts w:ascii="Times New Roman;serif" w:hAnsi="Times New Roman;serif"/>
          <w:b/>
          <w:color w:val="000000"/>
          <w:sz w:val="20"/>
        </w:rPr>
      </w:pPr>
      <w:r>
        <w:rPr>
          <w:rFonts w:ascii="Times New Roman;serif" w:hAnsi="Times New Roman;serif"/>
          <w:b/>
          <w:color w:val="000000"/>
          <w:sz w:val="20"/>
        </w:rPr>
        <w:t>16.    Reportable Segments</w:t>
      </w:r>
    </w:p>
    <w:p>
      <w:pPr>
        <w:pStyle w:val="TextBody"/>
        <w:bidi w:val="0"/>
        <w:spacing w:lineRule="auto" w:line="288" w:before="6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two reportable segments, Electronic Instruments Group and Electromechanical Group. The Company identifies its operating segments for segment reporting purposes primarily on the basis of product type, production processes, distribution methods and management organizations.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Reportable Segment Financial Information (in thousands):</w:t>
      </w:r>
    </w:p>
    <w:tbl>
      <w:tblPr>
        <w:tblW w:w="10205" w:type="dxa"/>
        <w:jc w:val="left"/>
        <w:tblInd w:w="0" w:type="dxa"/>
        <w:tblLayout w:type="fixed"/>
        <w:tblCellMar>
          <w:top w:w="28" w:type="dxa"/>
          <w:left w:w="28" w:type="dxa"/>
          <w:bottom w:w="28" w:type="dxa"/>
          <w:right w:w="28" w:type="dxa"/>
        </w:tblCellMar>
      </w:tblPr>
      <w:tblGrid>
        <w:gridCol w:w="1412"/>
        <w:gridCol w:w="1198"/>
        <w:gridCol w:w="1199"/>
        <w:gridCol w:w="211"/>
        <w:gridCol w:w="991"/>
        <w:gridCol w:w="109"/>
        <w:gridCol w:w="109"/>
        <w:gridCol w:w="109"/>
        <w:gridCol w:w="109"/>
        <w:gridCol w:w="211"/>
        <w:gridCol w:w="1096"/>
        <w:gridCol w:w="109"/>
        <w:gridCol w:w="109"/>
        <w:gridCol w:w="109"/>
        <w:gridCol w:w="109"/>
        <w:gridCol w:w="211"/>
        <w:gridCol w:w="841"/>
        <w:gridCol w:w="109"/>
        <w:gridCol w:w="109"/>
        <w:gridCol w:w="109"/>
        <w:gridCol w:w="109"/>
        <w:gridCol w:w="220"/>
        <w:gridCol w:w="1144"/>
        <w:gridCol w:w="163"/>
      </w:tblGrid>
      <w:tr>
        <w:trPr/>
        <w:tc>
          <w:tcPr>
            <w:tcW w:w="141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723,244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1,321,153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2,044,397</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509,125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1,309,356</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176,002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559,039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G&amp;A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30,846</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528,193</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(2)</w:t>
            </w:r>
            <w:r>
              <w:rPr>
                <w:color w:val="000000"/>
              </w:rPr>
              <w:t xml:space="preserve"> </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(30,101)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(5,720)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189,317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369,722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492,372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36,804</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69,127</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69,733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105,931</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Development &amp; Engineering costs </w:t>
            </w:r>
            <w:r>
              <w:rPr>
                <w:rFonts w:ascii="Times New Roman;serif" w:hAnsi="Times New Roman;serif"/>
                <w:b w:val="false"/>
                <w:color w:val="000000"/>
                <w:sz w:val="13"/>
              </w:rPr>
              <w:t>(3)</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22,099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110,921</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5,119,728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10,684,591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16,594,713</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32,011</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(1)Includes $16.2 million of acquisition-related costs.</w:t>
      </w:r>
    </w:p>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(2)Includes $10.0 million of acquisition-related financing fees.</w:t>
      </w:r>
    </w:p>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(3)Included in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42"/>
        <w:gridCol w:w="1254"/>
        <w:gridCol w:w="1260"/>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22"/>
        <w:gridCol w:w="1142"/>
        <w:gridCol w:w="166"/>
      </w:tblGrid>
      <w:tr>
        <w:trPr/>
        <w:tc>
          <w:tcPr>
            <w:tcW w:w="144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w:t>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1,778,056 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1,142,167 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488,316 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G&amp;A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461,626 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442,169 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Development &amp; Engineering costs </w:t>
            </w:r>
            <w:r>
              <w:rPr>
                <w:rFonts w:ascii="Times New Roman;serif" w:hAnsi="Times New Roman;serif"/>
                <w:b w:val="false"/>
                <w:color w:val="000000"/>
                <w:sz w:val="13"/>
              </w:rPr>
              <w:t>(1)</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94,227 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15,266,546 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(1)Included in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423"/>
        <w:gridCol w:w="1219"/>
        <w:gridCol w:w="1221"/>
        <w:gridCol w:w="211"/>
        <w:gridCol w:w="991"/>
        <w:gridCol w:w="109"/>
        <w:gridCol w:w="109"/>
        <w:gridCol w:w="109"/>
        <w:gridCol w:w="109"/>
        <w:gridCol w:w="211"/>
        <w:gridCol w:w="991"/>
        <w:gridCol w:w="109"/>
        <w:gridCol w:w="109"/>
        <w:gridCol w:w="109"/>
        <w:gridCol w:w="109"/>
        <w:gridCol w:w="211"/>
        <w:gridCol w:w="897"/>
        <w:gridCol w:w="109"/>
        <w:gridCol w:w="109"/>
        <w:gridCol w:w="109"/>
        <w:gridCol w:w="109"/>
        <w:gridCol w:w="236"/>
        <w:gridCol w:w="1111"/>
        <w:gridCol w:w="175"/>
      </w:tblGrid>
      <w:tr>
        <w:trPr/>
        <w:tc>
          <w:tcPr>
            <w:tcW w:w="1423"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3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w:t>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1,387,145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3,972,834</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sales </w:t>
            </w:r>
            <w:r>
              <w:rPr>
                <w:rFonts w:ascii="Times New Roman;serif" w:hAnsi="Times New Roman;serif"/>
                <w:b w:val="false"/>
                <w:color w:val="000000"/>
                <w:sz w:val="13"/>
              </w:rPr>
              <w:t>(1)</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979,217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1,541,017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2,520,234</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301,012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348,857</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1,103,743</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G&amp;A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60,614</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360,083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743,660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1,043,129</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w:t>
            </w:r>
            <w:r>
              <w:rPr>
                <w:rFonts w:ascii="Times New Roman;serif" w:hAnsi="Times New Roman;serif"/>
                <w:b w:val="false"/>
                <w:color w:val="000000"/>
                <w:sz w:val="13"/>
              </w:rPr>
              <w:t>(2)</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(51,010)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(6,767)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360,083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743,660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(118,391)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985,352</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38,595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73,065</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138,356</w:t>
            </w: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68,392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139,737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211,421</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Development &amp; Engineering costs </w:t>
            </w:r>
            <w:r>
              <w:rPr>
                <w:rFonts w:ascii="Times New Roman;serif" w:hAnsi="Times New Roman;serif"/>
                <w:b w:val="false"/>
                <w:color w:val="000000"/>
                <w:sz w:val="13"/>
              </w:rPr>
              <w:t>(3)</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44,630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222,497</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3"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3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57,479</w:t>
            </w: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(1)Includes $17.8 million of acquisition-related costs.</w:t>
      </w:r>
    </w:p>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(2)Includes $10.0 million of acquisition-related financing fees.</w:t>
      </w:r>
    </w:p>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(3)Included in cost of sales.</w:t>
      </w:r>
    </w:p>
    <w:p>
      <w:pPr>
        <w:pStyle w:val="TextBody"/>
        <w:bidi w:val="0"/>
        <w:spacing w:before="60" w:after="283"/>
        <w:ind w:left="0" w:right="0" w:hanging="180"/>
        <w:jc w:val="both"/>
        <w:rPr/>
      </w:pPr>
      <w:r>
        <w:rPr/>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448"/>
        <w:gridCol w:w="1266"/>
        <w:gridCol w:w="1273"/>
        <w:gridCol w:w="211"/>
        <w:gridCol w:w="976"/>
        <w:gridCol w:w="109"/>
        <w:gridCol w:w="109"/>
        <w:gridCol w:w="109"/>
        <w:gridCol w:w="109"/>
        <w:gridCol w:w="211"/>
        <w:gridCol w:w="976"/>
        <w:gridCol w:w="109"/>
        <w:gridCol w:w="109"/>
        <w:gridCol w:w="109"/>
        <w:gridCol w:w="109"/>
        <w:gridCol w:w="211"/>
        <w:gridCol w:w="795"/>
        <w:gridCol w:w="109"/>
        <w:gridCol w:w="109"/>
        <w:gridCol w:w="109"/>
        <w:gridCol w:w="109"/>
        <w:gridCol w:w="239"/>
        <w:gridCol w:w="1113"/>
        <w:gridCol w:w="178"/>
      </w:tblGrid>
      <w:tr>
        <w:trPr/>
        <w:tc>
          <w:tcPr>
            <w:tcW w:w="1448"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Consolidated</w:t>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3,510,027 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2,249,138 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971,084 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G&amp;A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916,455 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876,391 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71,862 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142,206 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214,068 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Development &amp; Engineering costs </w:t>
            </w:r>
            <w:r>
              <w:rPr>
                <w:rFonts w:ascii="Times New Roman;serif" w:hAnsi="Times New Roman;serif"/>
                <w:b w:val="false"/>
                <w:color w:val="000000"/>
                <w:sz w:val="13"/>
              </w:rPr>
              <w:t>(1)</w:t>
            </w:r>
            <w:r>
              <w:rPr>
                <w:color w:val="000000"/>
              </w:rPr>
              <w:t xml:space="preserv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189,092 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3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(1)Included in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Trends</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Recent geopolitical developments, including the conflict involving Iran, have contributed to increased uncertainty in global markets. Although we have limited Middle East sales exposure and do not have material operations or assets located in the region, we are not immune to the broader macroeconomic uncertainty an extended conflict may create on the global economy.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businesses have been proactive in addressing the impacts of tariffs, including targeted pricing initiatives, strategic adjustments to our global supply chains, and leveraging our worldwide manufacturing footprint to localize production and adapt to changing demand patterns. While recent tariff-related changes did not have a material impact on our results of operations for the six months ended June 30, 2026, as the situation continues to evolve, we cannot be certain of the outcome, which could adversely impact demand for our products, costs, inflation, customers, suppliers, and the overall global economy. We continue to monitor and analyze the impacts of the tariffs and the evolving macroeconomic environment and will continue to implement appropriate actions as necessary to mitigate their effects on our businesses.</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Indicor, LLC Agreement</w:t>
      </w:r>
    </w:p>
    <w:p>
      <w:pPr>
        <w:pStyle w:val="TextBody"/>
        <w:bidi w:val="0"/>
        <w:spacing w:lineRule="auto" w:line="276"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5, 2026, the Company announced that it has entered into a definitive agreement to acquire a portfolio of instrumentation business from Indicor, LLC ("Indicor Instrumentation") in an all-cash transaction valued at approximately $5.0 billion. Indicor Instrumentation is a collection of leading businesses that design and manufacture mission critical solutions for demanding industrial and scientific applications. Its products serve customers across end markets that align closely with the Company's existing portfolio of instrumentation businesses. Indicor Instrumentation has annual sales of approximately $1.1 billion. The transaction is subject to customary closing conditions, including applicable regulatory approvals, and is expected to close in the second half of 2026. Following closing of the transaction, the businesses will be integrated into the Company's EIG or EMG based on product offerings and market alignment.</w:t>
      </w:r>
    </w:p>
    <w:p>
      <w:pPr>
        <w:pStyle w:val="TextBody"/>
        <w:bidi w:val="0"/>
        <w:spacing w:lineRule="auto" w:line="276" w:before="12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0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quarter ended June 30, 2026, the Company posted record sales, operating income, net income, orders, and backlog, as well as strong operating margins. Contributions from the acquisitions of FARO Technologies ("FARO") in July 2025, LKC Technologies ("LKC") in January 2026, and First Aviation Services ("First Aviation") in May 2026, as well as our Operational Excellence initiatives had a positive impact on the second quarter of 2026 results. In the second quarter of 2026, the Company recorded $16.2 million of pre-tax acquisition-related costs related to the FARO, LKC, and First Aviation acquisitions, which are comprised of ongoing integration costs. These integration costs are recorded in Cost of sales and primarily include employee severance and fair-value inventory adjustments. </w:t>
      </w:r>
    </w:p>
    <w:p>
      <w:pPr>
        <w:pStyle w:val="TextBody"/>
        <w:bidi w:val="0"/>
        <w:spacing w:lineRule="auto" w:line="276" w:before="240" w:after="120"/>
        <w:ind w:left="0" w:right="0" w:firstLine="720"/>
        <w:jc w:val="both"/>
        <w:rPr>
          <w:rFonts w:ascii="Times New Roman;serif" w:hAnsi="Times New Roman;serif"/>
          <w:b/>
          <w:i/>
          <w:color w:val="000000"/>
          <w:sz w:val="20"/>
        </w:rPr>
      </w:pPr>
      <w:r>
        <w:rPr>
          <w:rFonts w:ascii="Times New Roman;serif" w:hAnsi="Times New Roman;serif"/>
          <w:b/>
          <w:i/>
          <w:color w:val="000000"/>
          <w:sz w:val="20"/>
        </w:rPr>
        <w:t>Results of operations for the second quarter of 2026 compared with the second quarter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for the second quarter of 2026 were a record $2,044.4 million, an increase of $266.3 million or 15.0%, compared with net sales of $1,778.1 million for the second quarter of 2025. The increase in net sales for the second quarter of 2026 was due to a 10% increase in organic sales, as well as a 5% increase from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international sales for the second quarter of 2026 were $963.7 million or 47.1% of net sales, an increase of $120.7 million or 14.3%, compared with international sales of $843.0 million or 47.4% of net sales for the second quarter of 2025. The increase in international sales was primarily driven by higher demand in Europe and Asia, as well as contributions from recent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Orders for the second quarter of 2026 were a record $2,284.0 million, an increase of $501.9 million or 28.2%, compared with $1,782.1 million for the second quarter of 2025. The increase in orders for the second quarter of 2026 was due to a 25% increase in organic orders and a 6% increase from acquisitions, partially offset by a 3% unfavorable effect of foreign currency translation. The Company's backlog of unfilled orders at June 30, 2026 was a record $4,110.2 million, an increase of $528.7 million or 14.8% compared with $3,581.5 million at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for the second quarter of 2026 was $1,309.4 million or 64.0% of net sales, an increase of $167.2 million or 14.6%, compared with $1,142.2 million or 64.2% of net sales for the second quarter of 2025. The cost of sales increase was primarily due to the net sales increase discussed above, partially offset by continued benefits from the Company's Operational Excellence initiatives.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Segment operating income for the second quarter of 2026 was $559.0 million, an increase of $70.7 million or 14.5%, compared with segment operating income of $488.3 million for the second quarter of 2025. Segment operating margins, as a percentage of net sales, decreased to 27.3% for the second quarter of 2026, compared with 27.5% for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2025. Operating income and operating margins for the second quarter of 2026 included $16.2 million of acquisition-related integration costs related to the FARO, LKC, and First Aviation acquisitions ("recent acquisitions"), which negatively impacted operating margins by 80 basis points. In the second quarter of 2026, segment operating margins were negatively impacted 80 basis points by the dilutive impact of recent acquisitions. Excluding the dilutive impact of recent acquisitions and acquisition-related costs, segment operating margins increased 140 basis points compared to the second quarter of 2025 due to the sales increase discussed above, as well as continued benefits from the Company's Operational Excellence initiatives.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second quarter of 2026 were $206.8 million or 10.1% of net sales, an increase of $32.5 million or 18.7%, compared with $174.3 million or 9.8% of net sales for the second quarter of 2025. Selling expenses increased primarily due to the net sales increase discussed above, as well as higher selling expense related to recent acquisitions. General and administrative expenses for the second quarter of 2026 were $30.8 million, compared with $26.7 million for the second quarter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operating income was $528.2 million or 25.8% of net sales for the second quarter of 2026, an increase of $66.6 million or 14.4%, compared with $461.6 million or 26.0% of net sales for the second quarter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for the second quarter of 2026 was $30.1 million, an increase of $13.2 million or 78.6%, compared with $16.9 million for the second quarter of 2025. Interest expense increased in the second quarter of 2026 primarily due to $10.0 million of fees associated with the bridge loan financing entered into in connection with the definitive agreement to acquire Indicor Instrumentation. The bridge loan was terminated in June 2026 following the execution of the Revolving Credit Agreement and the Term Loan Agreement. See Note 12 for additional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was $5.7 million for the second quarter of 2026, compared with $2.6 million of other expense, net for the second quarter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second quarter of 2026 was 17.4%, compared with 19.0% for the second quarter of 2025. The decrease in the quarterly effective tax rate was primarily driven by favorable international tax planning initiatives and favorable return to provision adjustments.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for the second quarter of 2026 was a record $406.9 million, an increase of $48.5 million or 13.5%, compared with $358.4 million for the second quarter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for the second quarter of 2026 were a record $1.77, an increase of $0.22 or 14.2%, compared with $1.55 per diluted share for the second quarter of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240" w:after="283"/>
        <w:ind w:left="0" w:right="0" w:firstLine="720"/>
        <w:jc w:val="both"/>
        <w:rPr/>
      </w:pPr>
      <w:r>
        <w:rPr>
          <w:rFonts w:ascii="Times New Roman;serif" w:hAnsi="Times New Roman;serif"/>
          <w:b/>
          <w:color w:val="000000"/>
          <w:sz w:val="20"/>
        </w:rPr>
        <w:t>EIG</w:t>
      </w:r>
      <w:r>
        <w:rPr>
          <w:color w:val="000000"/>
        </w:rPr>
        <w:t>’</w:t>
      </w:r>
      <w:r>
        <w:rPr>
          <w:rFonts w:ascii="Times New Roman;serif" w:hAnsi="Times New Roman;serif"/>
          <w:b w:val="false"/>
          <w:color w:val="000000"/>
          <w:sz w:val="20"/>
        </w:rPr>
        <w:t xml:space="preserve">s net sales totaled $1,321.2 million for the second quarter of 2026, an increase of $161.6 million or 13.9%, compared with $1,159.6 million for the second quarter of 2025. The net sales increase was due to a 7% organic sales increase as well as a 7% increase from recent acquisitions.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EIG’s operating income was $369.7 million for the second quarter of 2026, an increase of $25.3 million or 7.3%, compared with $344.4 million for the second quarter of 2025. EIG’s operating margins were 28.0% of net sales for the second quarter of 2026, compared with 29.7% for the second quarter of 2025. EIG's operating income and operating margins for the second quarter of 2026 included $15.0 million of acquisition-related integration costs related to the FARO and LKC acquisitions, which negatively impacted EIG's operating margins by 110 basis points. EIG's operating margins were negatively impacted 120 basis points in the second quarter of 2026 by the dilutive impact of recent acquisitions. Excluding the dilutive impact of recent acquisitions and acquisition-related costs, EIG's operating margins increased 60 basis points compared to the second quarter of 2025 due to the sales increase discussed above, as well as continued benefits from the Company's Operational Excellence initiatives. </w:t>
      </w:r>
    </w:p>
    <w:p>
      <w:pPr>
        <w:pStyle w:val="TextBody"/>
        <w:bidi w:val="0"/>
        <w:spacing w:lineRule="auto" w:line="288" w:before="240" w:after="283"/>
        <w:ind w:left="0" w:right="0" w:firstLine="720"/>
        <w:jc w:val="both"/>
        <w:rPr/>
      </w:pPr>
      <w:r>
        <w:rPr>
          <w:rFonts w:ascii="Times New Roman;serif" w:hAnsi="Times New Roman;serif"/>
          <w:b/>
          <w:color w:val="000000"/>
          <w:sz w:val="20"/>
        </w:rPr>
        <w:t xml:space="preserve">EMG’s </w:t>
      </w:r>
      <w:r>
        <w:rPr>
          <w:rFonts w:ascii="Times New Roman;serif" w:hAnsi="Times New Roman;serif"/>
          <w:b w:val="false"/>
          <w:color w:val="000000"/>
          <w:sz w:val="20"/>
        </w:rPr>
        <w:t xml:space="preserve">net sales totaled a record $723.2 million for the second quarter of 2026, an increase of $104.7 million or 16.9%, compared with $618.5 million for the second quarter of 2025. The net sales increase was due to a 15% organic sales increase as well as a 2% increase from recent acquisitions.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EMG’s operating income was a record $189.3 million for the second quarter of 2026, an increase of $45.4 million or 31.6%, compared with $143.9 million for the second quarter of 2025. EMG’s operating margins were 26.2% of net sales for the second quarter of 2026, compared with 23.3% for the second quarter of 2025. EMG's operating income and operating margins for the second quarter of 2026 included $1.2 million of acquisition-related integration costs related to the First Aviation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acquisition, which negatively impacted operating margins by 10 basis points. Excluding the impact of acquisition-related costs, EMG's operating margins increased 300 basis points compared to the second quarter of 2025 due to the sales increase discussed above, as well as continued benefits from the Company's Operational Excellence initiatives.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Results of operations for the first six months of 2026 compared with the first six months of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for the first six months of 2026 were $3,972.8 million, an increase of $462.8 million or 13.2%, compared with net sales of $3,510.0 million for the first six months of 2025. The increase in net sales for the first six months of 2026 was due to an 8% organic sales increase, as well as a 5% increase from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international sales for the first six months of 2026 were $1,887.3 million or 47.5% of net sales, an increase of $239.8 million or 14.6%, compared with international sales of $1,647.5 million or 46.9% of net sales for the first six months of 2025. The increase in international sales was primarily driven by increased demand in Europe and Asia, as well as contributions from recent acquisitions.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Orders for the first six months of 2026 were $4,501.5 million, an increase of $921.7 million or 25.7%, compared with $3,579.8 million for the first six months of 2025. The increase in orders for the first six months of 2026 was due to a 24% organic order increase, a 4% increase from acquisitions, partially offset by a 2% unfavorable effect of foreign currency translation.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Cost of sales for the first six months of 2026 was $2,520.2 million or 63.4% of net sales, an increase of $271.1 million or 12.1%, compared with $2,249.1 million or 64.1% of net sales for the first six months of 2025. The cost of sales increase was primarily due to the net sales increase discussed above, partially offset by continued benefits from the Company's Operational Excellence initiatives.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Segment operating income for the first six months of 2026 was $1,103.7 million, an increase of $132.6 million or 13.7%, compared with segment operating income of $971.1 million for the first six months of 2025. Segment operating margins, as a percentage of net sales, increased to 27.8% for the first six months of 2026, compared with 27.7% for the first six months of 2025. Operating income and operating margins for the first six months of 2026 included $17.8 million of acquisition-related integration costs related to the FARO, LKC, and First Aviation acquisitions ("recent acquisitions"), which negatively impacted operating margins by 40 basis points. Segment operating margins were negatively impacted 80 basis points in the first six months of 2026 by the dilutive impact of recent acquisitions. Excluding the dilutive impact of the recent acquisitions and acquisition-related costs, segment operating margins increased 130 basis points compared to the first six months of 2025, due to the sales increase discussed above, as well as continued benefits from the Company's Operational Excellence initiatives.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for the first six months of 2026 were $409.5 million or 10.3% of net sales, an increase of $65.1 million or 18.9%, compared with $344.4 million or 9.8% of net sales for the first six months of 2025. Selling expenses increased primarily due to the net sales increase discussed above, as well as higher selling expense related to recent acquisitions. General and administrative expenses for the first six months of 2026 were $60.6 million, compared with $54.6 million for the first six months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operating income was $1,043.1 million or 26.3% of net sales for the first six months of 2026, an increase of $126.6 million or 13.8%, compared with $916.5 million or 26.1% of net sales for the first six months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for the first six months of 2026 was $51.0 million, an increase of $15.1 million or 42.2%, compared with $35.9 million for the first six months of 2025. Interest expense increased in the first six months of 2026 primarily due to $10.0 million of fees associated with the bridge loan financing entered into in connection with the definitive agreement to acquire Indicor Instrumentation. The bridge loan was terminated in June 2026 following the execution of the Revolving Credit Agreement and the Term Loan Agreement. See Note 12 for additional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expense, net was $6.8 million for the first six months of 2026, compared with $4.2 million of other expense, net for the first six months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first six months of 2026 was 18.2%, compared with 19.0% for the first six months of 2025. The lower effective tax rate in the first six months of 2026 was primarily attributable to favorable international tax planning initiatives and favorable return to provision adjustments.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income for the first six months of 2026 was $806.3 million, an increase of $96.2 million or 13.5%, compared with $710.1 million for the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Diluted earnings per share for the first six months of 2026 were $3.51, an increase of $0.44 or 14.3%, compared with $3.07 per diluted share for the first six months of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283"/>
        <w:ind w:left="0" w:right="0" w:firstLine="720"/>
        <w:jc w:val="both"/>
        <w:rPr/>
      </w:pPr>
      <w:r>
        <w:rPr>
          <w:rFonts w:ascii="Times New Roman;serif" w:hAnsi="Times New Roman;serif"/>
          <w:b/>
          <w:color w:val="000000"/>
          <w:sz w:val="20"/>
        </w:rPr>
        <w:t>EIG’</w:t>
      </w:r>
      <w:r>
        <w:rPr>
          <w:rFonts w:ascii="Times New Roman;serif" w:hAnsi="Times New Roman;serif"/>
          <w:b w:val="false"/>
          <w:color w:val="000000"/>
          <w:sz w:val="20"/>
        </w:rPr>
        <w:t>s net sales totaled $2,585.7 million for the first six months of 2026, an increase of $282.5 million or 12.3%, compared with $2,303.2 million for the first six months of 2025. The net sales increase was due to a 7% increase from acquisitions, as well as a 5% increase in organic sales.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EIG’s operating income was $743.7 million for the first six months of 2026, an increase of $45.2 million or 6.5%, compared with $698.5 million for the first six months of 2025. EIG’s operating margins were 28.8% of net sales for the first six months of 2026, compared with 30.3% for the first six months of 2025. EIG's operating income and operating margins for the first six months of 2026 included $16.6 million of acquisition-related integration costs related to the FARO and LKC acquisitions, which negatively impacted EIG's operating margins by 60 basis points. EIG's operating margins were negatively impacted 130 basis points in the first six months of 2026 by the dilutive impact of recent acquisitions. Excluding the dilutive impact of recent acquisitions and acquisition-related costs, EIG's operating margins increased 40 basis points in the first six months of 2026 compared to the first six months of 2025 due to the sales increase discussed above, as well as continued benefits from the Company's Operational Excellence initiatives. </w:t>
      </w:r>
    </w:p>
    <w:p>
      <w:pPr>
        <w:pStyle w:val="TextBody"/>
        <w:bidi w:val="0"/>
        <w:spacing w:lineRule="auto" w:line="288" w:before="240" w:after="283"/>
        <w:ind w:left="0" w:right="0" w:firstLine="720"/>
        <w:jc w:val="both"/>
        <w:rPr/>
      </w:pPr>
      <w:r>
        <w:rPr>
          <w:rFonts w:ascii="Times New Roman;serif" w:hAnsi="Times New Roman;serif"/>
          <w:b/>
          <w:color w:val="000000"/>
          <w:sz w:val="20"/>
        </w:rPr>
        <w:t xml:space="preserve">EMG’s </w:t>
      </w:r>
      <w:r>
        <w:rPr>
          <w:rFonts w:ascii="Times New Roman;serif" w:hAnsi="Times New Roman;serif"/>
          <w:b w:val="false"/>
          <w:color w:val="000000"/>
          <w:sz w:val="20"/>
        </w:rPr>
        <w:t>net sales totaled $1,387.1 million for the first six months of 2026, an increase of $180.4 million or 14.9%, compared with $1,206.8 million for the first six months of 2025. The net sales increase was due to a 13% increase in organic growth, a 1% increase from acquisitions, as well as a 1% favorable effect of foreign currency translation.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EMG’s operating income was $360.1 million for the first six months of 2026, an increase of $87.5 million or 32.1%, compared with $272.6 million for the first six months of 2025. EMG’s operating margins were 26.0% of net sales for the first six months of 2026, compared with 22.6% for the first six months of 2025. EMG's operating income and operating margins for the first six months of 2026 included $1.2 million of acquisition-related integration costs related to First Aviation. EMG's operating margins increased 340 basis points compared to the first six months of 2025, due to the sales increase discussed above, as well as to the continued benefits from the Company's Operational Excellence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Financial Condition</w:t>
      </w:r>
    </w:p>
    <w:p>
      <w:pPr>
        <w:pStyle w:val="TextBody"/>
        <w:bidi w:val="0"/>
        <w:spacing w:lineRule="auto" w:line="288" w:before="12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provided by operating activities totaled $935.2 million for the first six months of 2026, an increase of $158.6 million or 20.4%, compared with $776.6 million for the first six months of 2025. The increase in cash provided by operating activities for the first six months of 2026 was primarily due to higher net income, as well as reduced investments in working capital.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Free cash flow (cash flow provided by operating activities less capital expenditures) was $877.7 million for the first six months of 2026, compared with $724.3 million for the first six months of 2025. EBITDA (earnings before interest, income taxes, depreciation and amortization) was $1,245.7 million for the first six months of 2026, compared with $1,123.6 million for the first six months of 2025. Free cash flow and EBITDA are presented because the Company is aware that they are measures used by third parties in evaluating the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by investing activities totaled $481.5 million for the first six months of 2026, compared with cash used by investing activities of $155.7 million for the first six months of 2025. For the first six months of 2026, the Company paid $424.5 million, net of cash acquired, to purchase LKC Technologies in January 2026 and First Aviation Services, Inc. in May 2026. For the first six months of 2025, the Company paid $104.1 million, net of cash acquired, to purchase Kern Microtechnik. Additions to property, plant and equipment totaled $57.5 million for the first six months of 2026, compared with $52.3 million for the first six months of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by financing activities totaled $408.1 million for the first six months of 2026, compared with cash used by financing activities of $409.4 million for the first six months of 2025. At June 30, 2026, total debt, net was $2,036.2 million, compared with $2,283.3 million at December 31, 2025. For the first six months of 2026, total borrowings decreased by $208.7 million compared with a $252.7 million decrease for the first six months of 2025.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9, 2026, the Company along with certain of its foreign subsidiaries entered into an amended and restated revolving credit agreement (the “Revolving Credit Agreement”) and a separate term loan credit agreement (the “Term Loan Agreement”). The Revolving Credit Agreement increased the aggregate commitments from $2.3 billion to $3.5 billion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extended the maturity to June 9, 2031. The facility is subject to customary financial and restrictive covenants and may be used for general corporate purposes, including working capital, debt refinancing, and up to $1.0 billion to fund a portion of the consideration for the previously announced acquisition of Indicor Holdings, LLC (the “Indicor Acquisition”). At June 30, 2026, the Company had available borrowing capacity of $2,904.2 million under its revolving credit facility.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Agreement provides for a senior unsecured term loan facility of up to $4.0 billion, consisting of three tranches: $1.625 billion maturing three years after funding, $1.625 billion maturing four years after funding, and $750 million maturing five years after funding. Funding under the Term Loan Agreement is subject to customary conditions, including the consummation of the Indicor Acquisition, and the proceeds may be used solely to finance the acquisition. The term loans will be available in a single borrowing on the closing date of the Indicor Acquisition. At June 30, 2026, the Company had no borrowings outstanding under the term loans.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debt-to-capital ratio was 15.3% at June 30, 2026, compared with 17.7% at December 31, 2025. The net debt-to-capital ratio (total debt, net less cash and cash equivalents divided by the sum of net debt and stockholders’ equity) was 12.0% at June 30, 2026, compared with 14.7% at December 31, 2025. The net debt-to-capital ratio is presented because the Company is aware that this measure is used by third parties in evaluating the Company.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financing activities for the first six months of 2026 included cash dividends paid of $155.7 million, compared with $143.0 million for the first six months of 2025. Effective February 12, 2026, the Company’s Board of Directors approved a 10% increase in the quarterly cash dividend on the Company’s common stock to $0.34 per common share from $0.31 per common share. The Company used $28.1 million to repurchase its common stock for the first six months of 2026, compared with $18.1 million for the first six months of 2025. Proceeds from stock option exercises were $20.8 million for the first six months of 2026, compared with $12.3 million for the first six months of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all of the Company’s cash flow activities for the first six months of 2026, cash and cash equivalents at June 30, 2026 totaled $495.4 million, compared with $458.0 million at December 31, 2025. At June 30, 2026, the Company had $440.1 million in cash outside the United States, compared with $374.5 million at December 31, 2025.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EBITDA represents earnings before interest, income taxes, depreciation and amortization. EBITDA is presented because the Company is aware that it is used by rating agencies, securities analysts, investors and other parties in evaluating the Company. It should not be considered, however, as an alternative to operating income as an indicator of the Company’s operating performance or as an alternative to cash flows as a measure of the Company’s overall liquidity as presented in the Company’s consolidated financial statements. Furthermore, EBITDA measures shown for the Company may not be comparable to similarly titled measures used by other companies. The following table presents the reconciliation of net income reported in accordance with U.S. generally accepted accounting principles (“GAAP”) to EBITDA:</w:t>
      </w:r>
    </w:p>
    <w:tbl>
      <w:tblPr>
        <w:tblW w:w="4351" w:type="dxa"/>
        <w:jc w:val="left"/>
        <w:tblInd w:w="0" w:type="dxa"/>
        <w:tblLayout w:type="fixed"/>
        <w:tblCellMar>
          <w:top w:w="28" w:type="dxa"/>
          <w:left w:w="28" w:type="dxa"/>
          <w:bottom w:w="28" w:type="dxa"/>
          <w:right w:w="28" w:type="dxa"/>
        </w:tblCellMar>
      </w:tblPr>
      <w:tblGrid>
        <w:gridCol w:w="570"/>
        <w:gridCol w:w="499"/>
        <w:gridCol w:w="505"/>
        <w:gridCol w:w="211"/>
        <w:gridCol w:w="781"/>
        <w:gridCol w:w="109"/>
        <w:gridCol w:w="109"/>
        <w:gridCol w:w="109"/>
        <w:gridCol w:w="109"/>
        <w:gridCol w:w="211"/>
        <w:gridCol w:w="766"/>
        <w:gridCol w:w="109"/>
        <w:gridCol w:w="109"/>
        <w:gridCol w:w="154"/>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(deduct):</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adjustments</w:t>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1,245.7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Free cash flow represents cash flow from operating activities less capital expenditures. Free cash flow is presented because the Company is aware that it is used by rating agencies, securities analysts, investors and other parties in evaluating the Company. The following table presents the reconciliation of cash flow from operating activities reported in accordance with U.S. GAAP to free cash flow:</w:t>
      </w:r>
    </w:p>
    <w:tbl>
      <w:tblPr>
        <w:tblW w:w="5656" w:type="dxa"/>
        <w:jc w:val="left"/>
        <w:tblInd w:w="0" w:type="dxa"/>
        <w:tblLayout w:type="fixed"/>
        <w:tblCellMar>
          <w:top w:w="28" w:type="dxa"/>
          <w:left w:w="28" w:type="dxa"/>
          <w:bottom w:w="28" w:type="dxa"/>
          <w:right w:w="28" w:type="dxa"/>
        </w:tblCellMar>
      </w:tblPr>
      <w:tblGrid>
        <w:gridCol w:w="1150"/>
        <w:gridCol w:w="1013"/>
        <w:gridCol w:w="1016"/>
        <w:gridCol w:w="211"/>
        <w:gridCol w:w="631"/>
        <w:gridCol w:w="109"/>
        <w:gridCol w:w="109"/>
        <w:gridCol w:w="109"/>
        <w:gridCol w:w="109"/>
        <w:gridCol w:w="211"/>
        <w:gridCol w:w="616"/>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935.2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Deduct: Capital expenditures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877.7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Net debt represents total debt, net minus cash and cash equivalents. Net debt is presented because the Company is aware that it is used by rating agencies, securities analysts, investors and other parties in evaluating the Company. The following table presents the reconciliation of total debt, net reported in accordance with U.S. GAAP to net debt:</w:t>
      </w:r>
    </w:p>
    <w:tbl>
      <w:tblPr>
        <w:tblW w:w="7337" w:type="dxa"/>
        <w:jc w:val="left"/>
        <w:tblInd w:w="0" w:type="dxa"/>
        <w:tblLayout w:type="fixed"/>
        <w:tblCellMar>
          <w:top w:w="28" w:type="dxa"/>
          <w:left w:w="28" w:type="dxa"/>
          <w:bottom w:w="28" w:type="dxa"/>
          <w:right w:w="28" w:type="dxa"/>
        </w:tblCellMar>
      </w:tblPr>
      <w:tblGrid>
        <w:gridCol w:w="1524"/>
        <w:gridCol w:w="1340"/>
        <w:gridCol w:w="1350"/>
        <w:gridCol w:w="211"/>
        <w:gridCol w:w="886"/>
        <w:gridCol w:w="301"/>
        <w:gridCol w:w="109"/>
        <w:gridCol w:w="109"/>
        <w:gridCol w:w="109"/>
        <w:gridCol w:w="211"/>
        <w:gridCol w:w="871"/>
        <w:gridCol w:w="316"/>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2,036.2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2,283.3 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(495.4)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1,540.8</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11,260.8</w:t>
            </w: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10,628.8 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Capitalization (net debt plus stockholders’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12,801.6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12,454.1 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as a percentage of capitalization</w:t>
            </w:r>
          </w:p>
        </w:tc>
        <w:tc>
          <w:tcPr>
            <w:tcW w:w="109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12.0</w:t>
            </w:r>
            <w:r>
              <w:rPr>
                <w:color w:val="000000"/>
              </w:rPr>
              <w:t> </w:t>
            </w:r>
          </w:p>
        </w:tc>
        <w:tc>
          <w:tcPr>
            <w:tcW w:w="3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3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critical accounting policies are detailed in Part II, Item 7, Management’s Discussion and Analysis of Financial Condition of its Annual Report on Form 10-K for the year ended December 31, 2025. Primary disclosure of the Company’s significant accounting policies is also included in Note 1 to the Consolidated Financial Statements included in Part II, Item 8 of its Annual Report on Form 10-K.</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Information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Company’s ability to consummate and successfully integrate future acquisitions; risks associated with international sales and operations, including supply chain disruptions; tariffs, trade disputes and currency conditions; the Company’s ability to successfully develop new products, open new facilities or transfer product lines; the price and availability of raw materials; compliance with government regulations, including environmental regulations; changes in the competitive environment or the effects of competition in the Company’s markets; the ability to maintain adequate liquidity and financing sources; and general economic conditions affecting the industries the Company serves. A detailed discussion of these and other factors that may affect the Company’s future results is contained in AMETEK’s filings with the U.S. Securities and Exchange Commission, including its most recent reports on Form 10-K, 10-Q, and 8-K. AMETEK disclaims any intention or obligation to update or revise any forward-looking statements, unless required by the securities laws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2026. Based on that evaluation, the Company’s principal executive officer and principal financial officer concluded that the Company’s disclosure controls and procedures are effective at the reasonable assurance level.</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Such evaluation did not identify any change in the Company’s internal control over financial reporting during the quarter ended June 30, 2026 that has materially affected, or is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Purchase of equity securities by the issuer and affiliated purchasers.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purchases of AMETEK, Inc. common stock by the Company during the three months ended June 30, 2026:</w:t>
      </w:r>
    </w:p>
    <w:tbl>
      <w:tblPr>
        <w:tblW w:w="8935" w:type="dxa"/>
        <w:jc w:val="left"/>
        <w:tblInd w:w="0" w:type="dxa"/>
        <w:tblLayout w:type="fixed"/>
        <w:tblCellMar>
          <w:top w:w="28" w:type="dxa"/>
          <w:left w:w="28" w:type="dxa"/>
          <w:bottom w:w="28" w:type="dxa"/>
          <w:right w:w="28" w:type="dxa"/>
        </w:tblCellMar>
      </w:tblPr>
      <w:tblGrid>
        <w:gridCol w:w="953"/>
        <w:gridCol w:w="839"/>
        <w:gridCol w:w="848"/>
        <w:gridCol w:w="439"/>
        <w:gridCol w:w="439"/>
        <w:gridCol w:w="441"/>
        <w:gridCol w:w="109"/>
        <w:gridCol w:w="109"/>
        <w:gridCol w:w="109"/>
        <w:gridCol w:w="240"/>
        <w:gridCol w:w="821"/>
        <w:gridCol w:w="124"/>
        <w:gridCol w:w="109"/>
        <w:gridCol w:w="109"/>
        <w:gridCol w:w="109"/>
        <w:gridCol w:w="419"/>
        <w:gridCol w:w="419"/>
        <w:gridCol w:w="421"/>
        <w:gridCol w:w="109"/>
        <w:gridCol w:w="109"/>
        <w:gridCol w:w="109"/>
        <w:gridCol w:w="211"/>
        <w:gridCol w:w="118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Period</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Number</w:t>
              <w:br/>
              <w:t>of Shares</w:t>
              <w:br/>
              <w:t>Purchased as</w:t>
              <w:br/>
              <w:t>Part of Publicly</w:t>
              <w:br/>
              <w:t>Announced</w:t>
              <w:br/>
              <w:t>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Dollar Value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that</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May Yet Be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Purchased Under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the Plan</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799,060,816 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799,060,816 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798,896,645 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226.76 </w:t>
            </w:r>
          </w:p>
        </w:tc>
        <w:tc>
          <w:tcPr>
            <w:tcW w:w="12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    Represents shares surrendered to the Company to satisfy tax withholding obligations in connection with employees’ share-based compensation awards.</w:t>
      </w:r>
    </w:p>
    <w:p>
      <w:pPr>
        <w:pStyle w:val="TextBody"/>
        <w:bidi w:val="0"/>
        <w:spacing w:before="0" w:after="0"/>
        <w:ind w:left="0" w:right="0" w:hanging="720"/>
        <w:jc w:val="both"/>
        <w:rPr/>
      </w:pPr>
      <w:r>
        <w:rPr/>
      </w:r>
    </w:p>
    <w:p>
      <w:pPr>
        <w:pStyle w:val="TextBody"/>
        <w:bidi w:val="0"/>
        <w:spacing w:lineRule="auto" w:line="26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     Consists of the number of shares purchased pursuant to the Company’s Board of Directors $1.25 billion authorization for the repurchase of its common stock. Such purchases may be effected from time to time in the open market or in private transactions, subject to market conditions and at management’s discretion.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283"/>
        <w:jc w:val="both"/>
        <w:rPr>
          <w:rFonts w:ascii="Times New Roman;serif" w:hAnsi="Times New Roman;serif"/>
          <w:b/>
          <w:color w:val="000000"/>
          <w:sz w:val="20"/>
        </w:rPr>
      </w:pPr>
      <w:r>
        <w:rPr>
          <w:rFonts w:ascii="Times New Roman;serif" w:hAnsi="Times New Roman;serif"/>
          <w:b/>
          <w:color w:val="000000"/>
          <w:sz w:val="20"/>
        </w:rPr>
        <w:t>Insider Trading Arrangements and Policies</w:t>
      </w:r>
    </w:p>
    <w:p>
      <w:pPr>
        <w:pStyle w:val="TextBody"/>
        <w:bidi w:val="0"/>
        <w:spacing w:before="0" w:after="0"/>
        <w:ind w:left="0" w:right="0" w:firstLine="495"/>
        <w:jc w:val="both"/>
        <w:rPr/>
      </w:pPr>
      <w:r>
        <w:rPr/>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9"/>
        <w:gridCol w:w="291"/>
        <w:gridCol w:w="292"/>
        <w:gridCol w:w="109"/>
        <w:gridCol w:w="109"/>
        <w:gridCol w:w="109"/>
        <w:gridCol w:w="2615"/>
        <w:gridCol w:w="2615"/>
        <w:gridCol w:w="3736"/>
      </w:tblGrid>
      <w:tr>
        <w:trPr/>
        <w:tc>
          <w:tcPr>
            <w:tcW w:w="3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60630xex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60630xexx311.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60630xex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60630xexx31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60630xex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60630xex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me-20260630xexx322.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me-20260630xex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Filed electronically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6eb790350034068963cd61e7ed0b80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94"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854"/>
        <w:gridCol w:w="854"/>
        <w:gridCol w:w="1217"/>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AMETEK,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J. AMODEI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J. Amodei</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Controller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David A. Zapico,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AMETEK, Inc. (the “registrant”);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tbl>
      <w:tblPr>
        <w:tblW w:w="4646" w:type="dxa"/>
        <w:jc w:val="left"/>
        <w:tblInd w:w="0" w:type="dxa"/>
        <w:tblLayout w:type="fixed"/>
        <w:tblCellMar>
          <w:top w:w="28" w:type="dxa"/>
          <w:left w:w="28" w:type="dxa"/>
          <w:bottom w:w="28" w:type="dxa"/>
          <w:right w:w="28" w:type="dxa"/>
        </w:tblCellMar>
      </w:tblPr>
      <w:tblGrid>
        <w:gridCol w:w="124"/>
        <w:gridCol w:w="109"/>
        <w:gridCol w:w="109"/>
        <w:gridCol w:w="1261"/>
        <w:gridCol w:w="1261"/>
        <w:gridCol w:w="17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8"/>
              </w:rPr>
              <w:t>AVID</w:t>
            </w:r>
            <w:r>
              <w:rPr>
                <w:color w:val="000000"/>
              </w:rPr>
              <w:t xml:space="preserve"> </w:t>
            </w:r>
            <w:r>
              <w:rPr>
                <w:rFonts w:ascii="Times New Roman;serif" w:hAnsi="Times New Roman;serif"/>
                <w:b w:val="false"/>
                <w:color w:val="000000"/>
                <w:sz w:val="20"/>
              </w:rPr>
              <w:t>A. Z</w:t>
            </w:r>
            <w:r>
              <w:rPr>
                <w:rFonts w:ascii="Times New Roman;serif" w:hAnsi="Times New Roman;serif"/>
                <w:b w:val="false"/>
                <w:color w:val="000000"/>
                <w:sz w:val="18"/>
              </w:rPr>
              <w:t>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Zapico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Dalip M. Puri,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bl>
      <w:tblPr>
        <w:tblW w:w="4587" w:type="dxa"/>
        <w:jc w:val="left"/>
        <w:tblInd w:w="0" w:type="dxa"/>
        <w:tblLayout w:type="fixed"/>
        <w:tblCellMar>
          <w:top w:w="28" w:type="dxa"/>
          <w:left w:w="28" w:type="dxa"/>
          <w:bottom w:w="28" w:type="dxa"/>
          <w:right w:w="28" w:type="dxa"/>
        </w:tblCellMar>
      </w:tblPr>
      <w:tblGrid>
        <w:gridCol w:w="124"/>
        <w:gridCol w:w="109"/>
        <w:gridCol w:w="109"/>
        <w:gridCol w:w="1238"/>
        <w:gridCol w:w="1238"/>
        <w:gridCol w:w="17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DALIP M. PURI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Dalip M. Puri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AMETEK, Inc. (the “Company”) on Form 10-Q for the quarter ended June 30, 2026 as filed with the Securities and Exchange Commission on the date hereof (the “Report”), I, David A. Zapico, Chairman of the Board and Chief Executive Officer of the Company, certify to such officer's knowledge,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646" w:type="dxa"/>
        <w:jc w:val="left"/>
        <w:tblInd w:w="0" w:type="dxa"/>
        <w:tblLayout w:type="fixed"/>
        <w:tblCellMar>
          <w:top w:w="28" w:type="dxa"/>
          <w:left w:w="28" w:type="dxa"/>
          <w:bottom w:w="28" w:type="dxa"/>
          <w:right w:w="28" w:type="dxa"/>
        </w:tblCellMar>
      </w:tblPr>
      <w:tblGrid>
        <w:gridCol w:w="1547"/>
        <w:gridCol w:w="1358"/>
        <w:gridCol w:w="1369"/>
        <w:gridCol w:w="109"/>
        <w:gridCol w:w="109"/>
        <w:gridCol w:w="154"/>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w:t>
            </w:r>
            <w:r>
              <w:rPr>
                <w:rFonts w:ascii="Times New Roman;serif" w:hAnsi="Times New Roman;serif"/>
                <w:b w:val="false"/>
                <w:color w:val="000000"/>
                <w:sz w:val="18"/>
              </w:rPr>
              <w:t>AVID</w:t>
            </w:r>
            <w:r>
              <w:rPr>
                <w:color w:val="000000"/>
              </w:rPr>
              <w:t xml:space="preserve"> </w:t>
            </w:r>
            <w:r>
              <w:rPr>
                <w:rFonts w:ascii="Times New Roman;serif" w:hAnsi="Times New Roman;serif"/>
                <w:b w:val="false"/>
                <w:color w:val="000000"/>
                <w:sz w:val="20"/>
              </w:rPr>
              <w:t>A. Z</w:t>
            </w:r>
            <w:r>
              <w:rPr>
                <w:rFonts w:ascii="Times New Roman;serif" w:hAnsi="Times New Roman;serif"/>
                <w:b w:val="false"/>
                <w:color w:val="000000"/>
                <w:sz w:val="18"/>
              </w:rPr>
              <w:t>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Zapico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4, 2026 </w:t>
      </w:r>
    </w:p>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AMETEK,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AMETEK, Inc. (the “Company”) on Form 10-Q for the quarter ended June 30, 2026 as filed with the Securities and Exchange Commission on the date hereof (the “Report”), I, Dalip M. Puri, Executive Vice President – Chief Financial Officer of the Company, certify to such officer's knowledge, pursuant to 18 U.S.C. Section 1350, as adopted pursuant to Section 906 of the Sarbanes-Oxley Act of 2002,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information contained in the Report fairly presents, in all material respects, the financial condition and results of operations of the Company.</w:t>
      </w:r>
    </w:p>
    <w:p>
      <w:pPr>
        <w:pStyle w:val="TextBody"/>
        <w:bidi w:val="0"/>
        <w:spacing w:before="120" w:after="283"/>
        <w:jc w:val="left"/>
        <w:rPr/>
      </w:pPr>
      <w:r>
        <w:rPr/>
      </w:r>
    </w:p>
    <w:tbl>
      <w:tblPr>
        <w:tblW w:w="4587" w:type="dxa"/>
        <w:jc w:val="left"/>
        <w:tblInd w:w="0" w:type="dxa"/>
        <w:tblLayout w:type="fixed"/>
        <w:tblCellMar>
          <w:top w:w="28" w:type="dxa"/>
          <w:left w:w="28" w:type="dxa"/>
          <w:bottom w:w="28" w:type="dxa"/>
          <w:right w:w="28" w:type="dxa"/>
        </w:tblCellMar>
      </w:tblPr>
      <w:tblGrid>
        <w:gridCol w:w="1524"/>
        <w:gridCol w:w="1342"/>
        <w:gridCol w:w="1349"/>
        <w:gridCol w:w="109"/>
        <w:gridCol w:w="109"/>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DALIP M. PURI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Dalip M. Puri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14432</Words>
  <Characters>80456</Characters>
  <CharactersWithSpaces>93674</CharactersWithSpaces>
  <Paragraphs>2546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