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6"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5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2"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27"/>
          <w:szCs w:val="27"/>
          <w:color w:val="auto"/>
        </w:rPr>
      </w:pP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2"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23"/>
          <w:szCs w:val="23"/>
          <w:color w:val="auto"/>
        </w:rPr>
      </w:pPr>
      <w:r>
        <w:rPr>
          <w:rFonts w:ascii="Times New Roman" w:cs="Times New Roman" w:eastAsia="Times New Roman" w:hAnsi="Times New Roman"/>
          <w:sz w:val="20"/>
          <w:szCs w:val="20"/>
          <w:b w:val="1"/>
          <w:bCs w:val="1"/>
          <w:color w:val="auto"/>
        </w:rPr>
        <w:t>TRANSITION</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ind w:left="34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1-12981</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AMETEK,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Cassatt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Berwyn, Pennsylvania</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14-1682544</w:t>
      </w:r>
    </w:p>
    <w:p>
      <w:pPr>
        <w:spacing w:after="0" w:line="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19312-1177</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(610) 647-2121</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21" w:lineRule="exact"/>
        <w:rPr>
          <w:sz w:val="24"/>
          <w:szCs w:val="24"/>
          <w:color w:val="auto"/>
        </w:rPr>
      </w:pPr>
    </w:p>
    <w:p>
      <w:pPr>
        <w:jc w:val="both"/>
        <w:ind w:right="6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right="6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7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78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4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4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ind w:right="16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2"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229" w:right="339" w:bottom="19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27"/>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3760" w:type="dxa"/>
            <w:vAlign w:val="bottom"/>
            <w:gridSpan w:val="2"/>
            <w:vMerge w:val="continue"/>
          </w:tcPr>
          <w:p>
            <w:pPr>
              <w:spacing w:after="0"/>
              <w:rPr>
                <w:sz w:val="16"/>
                <w:szCs w:val="16"/>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7"/>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AME</w:t>
            </w:r>
          </w:p>
        </w:tc>
        <w:tc>
          <w:tcPr>
            <w:tcW w:w="1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the registrant’s common stock outstanding as of the latest practicable date was: Common Stock, $0.01 Par Value, outstanding at October 28, 2022 was 229,654,397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2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240" w:type="dxa"/>
            <w:vAlign w:val="bottom"/>
            <w:gridSpan w:val="17"/>
            <w:vMerge w:val="continue"/>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6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1.Financial Statements</w:t>
            </w:r>
          </w:p>
        </w:tc>
        <w:tc>
          <w:tcPr>
            <w:tcW w:w="7180" w:type="dxa"/>
            <w:vAlign w:val="bottom"/>
            <w:gridSpan w:val="9"/>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 of Income for the three and nine months ended September 30, 2022 and 2021</w:t>
            </w:r>
          </w:p>
        </w:tc>
        <w:tc>
          <w:tcPr>
            <w:tcW w:w="2260" w:type="dxa"/>
            <w:vAlign w:val="bottom"/>
            <w:gridSpan w:val="4"/>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3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Comprehensive Income for the three and nine months ended September 30, 2022 and 2021</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Balance Sheet at September 30, 2022 and December 31,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 of Stockholders’ Equity for the three and nine months ended September 30, 2022 and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Cash Flows for the nine months ended September 30, 2022 and 2021</w:t>
            </w:r>
          </w:p>
        </w:tc>
        <w:tc>
          <w:tcPr>
            <w:tcW w:w="540" w:type="dxa"/>
            <w:vAlign w:val="bottom"/>
            <w:tcBorders>
              <w:top w:val="single" w:sz="8" w:color="0000FF"/>
            </w:tcBorders>
          </w:tcPr>
          <w:p>
            <w:pPr>
              <w:spacing w:after="0"/>
              <w:rPr>
                <w:sz w:val="18"/>
                <w:szCs w:val="18"/>
                <w:color w:val="auto"/>
              </w:rPr>
            </w:pPr>
          </w:p>
        </w:tc>
        <w:tc>
          <w:tcPr>
            <w:tcW w:w="1280" w:type="dxa"/>
            <w:vAlign w:val="bottom"/>
            <w:gridSpan w:val="2"/>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2.Management’s Discussion and Analysis of Financial Condition and Results of Operations</w:t>
            </w:r>
          </w:p>
        </w:tc>
        <w:tc>
          <w:tcPr>
            <w:tcW w:w="282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4.Controls and Procedures</w:t>
            </w:r>
          </w:p>
        </w:tc>
        <w:tc>
          <w:tcPr>
            <w:tcW w:w="7500" w:type="dxa"/>
            <w:vAlign w:val="bottom"/>
            <w:gridSpan w:val="11"/>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7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2.Unregistered Sales of Equity Securities and Use of Proceeds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6.Exhibits</w:t>
            </w:r>
          </w:p>
        </w:tc>
        <w:tc>
          <w:tcPr>
            <w:tcW w:w="4940" w:type="dxa"/>
            <w:vAlign w:val="bottom"/>
            <w:gridSpan w:val="7"/>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80" w:type="dxa"/>
            <w:vAlign w:val="bottom"/>
            <w:gridSpan w:val="1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160" w:type="dxa"/>
            <w:vAlign w:val="bottom"/>
            <w:tcBorders>
              <w:top w:val="single" w:sz="8" w:color="0000FF"/>
            </w:tcBorders>
            <w:gridSpan w:val="3"/>
          </w:tcPr>
          <w:p>
            <w:pPr>
              <w:spacing w:after="0"/>
              <w:rPr>
                <w:sz w:val="24"/>
                <w:szCs w:val="24"/>
                <w:color w:val="auto"/>
              </w:rPr>
            </w:pPr>
          </w:p>
        </w:tc>
        <w:tc>
          <w:tcPr>
            <w:tcW w:w="4940" w:type="dxa"/>
            <w:vAlign w:val="bottom"/>
            <w:gridSpan w:val="8"/>
          </w:tcPr>
          <w:p>
            <w:pPr>
              <w:jc w:val="right"/>
              <w:ind w:right="460"/>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1,551,786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1,440,681</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4,524,863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4,042,769</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1,004,596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949,402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2,941,604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2,651,506</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162,670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153,716</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480,657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443,744</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1,167,266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1,103,118</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3,422,261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3,095,250</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384,520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337,563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1,102,602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947,519</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(60,165)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(59,865)</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7,752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367,502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319,668</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1,050,189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883,879</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69,861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62,208</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197,728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175,507</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297,641</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257,460</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852,461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708,372</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1.29</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3.68</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shares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229,500</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231,171</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230,360</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230,811</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shares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230,714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233,000</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231,675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232,712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Dividends declared and paid per share</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0.22</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0.20</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0.66</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Comprehensive Income</w:t>
      </w:r>
    </w:p>
    <w:p>
      <w:pPr>
        <w:spacing w:after="0" w:line="21"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240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280" w:type="dxa"/>
            <w:vAlign w:val="bottom"/>
            <w:gridSpan w:val="4"/>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r>
      <w:tr>
        <w:trPr>
          <w:trHeight w:val="196"/>
        </w:trPr>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215,568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240,076</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694,902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688,575</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-187960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520" w:space="720"/>
            <w:col w:w="800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309,944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346,772</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876,460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829,213</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1,025,130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769,175</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221,034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183,605</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2,432,568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2,128,765</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594,926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617,138</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161,217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169,924</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5,190,196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5,238,726</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3,254,243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3,368,629</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405,782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375,005</w:t>
            </w: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12,038,932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11,898,187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272,027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315,093</w:t>
            </w: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524,255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470,252</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advanced payments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332,244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298,728</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35,904</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413,801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443,337</w:t>
            </w: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1,591,383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1,563,314</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2,085,364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2,229,148</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696,091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719,675</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533,422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514,166</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4,906,260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5,026,303</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1,059,079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1,012,526</w:t>
            </w: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8,600,938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7,900,113</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(628,003)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(470,444)</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Treasury stock</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(1,902,037)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(1,573,000)</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7,132,672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6,871,884</w:t>
            </w: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12,038,932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11,898,187</w:t>
            </w: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300" w:type="dxa"/>
            <w:vAlign w:val="bottom"/>
            <w:gridSpan w:val="4"/>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stock</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29"/>
        </w:trPr>
        <w:tc>
          <w:tcPr>
            <w:tcW w:w="6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Shares issued</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0" w:type="dxa"/>
            <w:vAlign w:val="bottom"/>
          </w:tcPr>
          <w:p>
            <w:pPr>
              <w:spacing w:after="0"/>
              <w:rPr>
                <w:sz w:val="1"/>
                <w:szCs w:val="1"/>
                <w:color w:val="auto"/>
              </w:rPr>
            </w:pPr>
          </w:p>
        </w:tc>
      </w:tr>
      <w:tr>
        <w:trPr>
          <w:trHeight w:val="20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in excess of par value</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921,752</w:t>
            </w:r>
          </w:p>
        </w:tc>
        <w:tc>
          <w:tcPr>
            <w:tcW w:w="0" w:type="dxa"/>
            <w:vAlign w:val="bottom"/>
          </w:tcPr>
          <w:p>
            <w:pPr>
              <w:spacing w:after="0"/>
              <w:rPr>
                <w:sz w:val="1"/>
                <w:szCs w:val="1"/>
                <w:color w:val="auto"/>
              </w:rPr>
            </w:pPr>
          </w:p>
        </w:tc>
      </w:tr>
      <w:tr>
        <w:trPr>
          <w:trHeight w:val="23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 under employee stock plans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29,544</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35,021</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1,059,079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986,317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1,059,079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986,317</w:t>
            </w: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8,353,735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7,453,401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7,900,113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7,094,656</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297,641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852,461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708,372</w:t>
            </w:r>
          </w:p>
        </w:tc>
        <w:tc>
          <w:tcPr>
            <w:tcW w:w="0" w:type="dxa"/>
            <w:vAlign w:val="bottom"/>
          </w:tcPr>
          <w:p>
            <w:pPr>
              <w:spacing w:after="0"/>
              <w:rPr>
                <w:sz w:val="1"/>
                <w:szCs w:val="1"/>
                <w:color w:val="auto"/>
              </w:rPr>
            </w:pPr>
          </w:p>
        </w:tc>
      </w:tr>
      <w:tr>
        <w:trPr>
          <w:trHeight w:val="229"/>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dividends paid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(50,438)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(151,635)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(138,345)</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8,600,938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7,664,682</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8,600,938</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7,664,682</w:t>
            </w: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income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(250,748)</w:t>
            </w:r>
          </w:p>
        </w:tc>
        <w:tc>
          <w:tcPr>
            <w:tcW w:w="0" w:type="dxa"/>
            <w:vAlign w:val="bottom"/>
          </w:tcPr>
          <w:p>
            <w:pPr>
              <w:spacing w:after="0"/>
              <w:rPr>
                <w:sz w:val="1"/>
                <w:szCs w:val="1"/>
                <w:color w:val="auto"/>
              </w:rPr>
            </w:pPr>
          </w:p>
        </w:tc>
      </w:tr>
      <w:tr>
        <w:trPr>
          <w:trHeight w:val="229"/>
        </w:trPr>
        <w:tc>
          <w:tcPr>
            <w:tcW w:w="6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Translation adjustments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(110,524)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(225,100)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(45,160)</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long-term intercompany notes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0" w:type="dxa"/>
            <w:vAlign w:val="bottom"/>
          </w:tcPr>
          <w:p>
            <w:pPr>
              <w:spacing w:after="0"/>
              <w:rPr>
                <w:sz w:val="1"/>
                <w:szCs w:val="1"/>
                <w:color w:val="auto"/>
              </w:rPr>
            </w:pPr>
          </w:p>
        </w:tc>
      </w:tr>
      <w:tr>
        <w:trPr>
          <w:trHeight w:val="175"/>
        </w:trPr>
        <w:tc>
          <w:tcPr>
            <w:tcW w:w="628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Net investment hedge instruments gain (loss), net of tax of $(14,604) and</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8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$(5,715) for the quarter ended September 30, 2022 and 2021, and $(34,212)</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280" w:type="dxa"/>
            <w:vAlign w:val="bottom"/>
          </w:tcPr>
          <w:p>
            <w:pPr>
              <w:ind w:left="680"/>
              <w:spacing w:after="0" w:line="184" w:lineRule="exact"/>
              <w:rPr>
                <w:sz w:val="20"/>
                <w:szCs w:val="20"/>
                <w:color w:val="auto"/>
              </w:rPr>
            </w:pPr>
            <w:r>
              <w:rPr>
                <w:rFonts w:ascii="Times New Roman" w:cs="Times New Roman" w:eastAsia="Times New Roman" w:hAnsi="Times New Roman"/>
                <w:sz w:val="18"/>
                <w:szCs w:val="18"/>
                <w:color w:val="auto"/>
              </w:rPr>
              <w:t>and $(10,194) for the nine months ended September 30, 2022 and 2021,</w:t>
            </w:r>
          </w:p>
        </w:tc>
        <w:tc>
          <w:tcPr>
            <w:tcW w:w="1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44,844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105,053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17,668</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31,514</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(435,924)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(275,435)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(435,924)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(275,435)</w:t>
            </w:r>
          </w:p>
        </w:tc>
        <w:tc>
          <w:tcPr>
            <w:tcW w:w="0" w:type="dxa"/>
            <w:vAlign w:val="bottom"/>
          </w:tcPr>
          <w:p>
            <w:pPr>
              <w:spacing w:after="0"/>
              <w:rPr>
                <w:sz w:val="1"/>
                <w:szCs w:val="1"/>
                <w:color w:val="auto"/>
              </w:rPr>
            </w:pPr>
          </w:p>
        </w:tc>
      </w:tr>
      <w:tr>
        <w:trPr>
          <w:trHeight w:val="21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(253,720)</w:t>
            </w:r>
          </w:p>
        </w:tc>
        <w:tc>
          <w:tcPr>
            <w:tcW w:w="0" w:type="dxa"/>
            <w:vAlign w:val="bottom"/>
          </w:tcPr>
          <w:p>
            <w:pPr>
              <w:spacing w:after="0"/>
              <w:rPr>
                <w:sz w:val="1"/>
                <w:szCs w:val="1"/>
                <w:color w:val="auto"/>
              </w:rPr>
            </w:pPr>
          </w:p>
        </w:tc>
      </w:tr>
      <w:tr>
        <w:trPr>
          <w:trHeight w:val="176"/>
        </w:trPr>
        <w:tc>
          <w:tcPr>
            <w:tcW w:w="628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Amortization of net actuarial loss and other, net of tax of $(326) and $(527)</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8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for the quarter ended September 30, 2022 and 2021, and $(977) and $(1,581)</w:t>
            </w: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for the nine months ended September 30, 2022 and 2021, respectively</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(192,079)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(248,830)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(192,079)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(248,830)</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Accumulated other comprehensive loss at the end of the period</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(628,003)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(524,265)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(628,003)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(524,265)</w:t>
            </w: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(1,901,360)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(1,570,696)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(1,565,270)</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 under employee stock plans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(331,424)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(1,902,037)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(1,571,024)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(1,902,037)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(1,571,024)</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7,132,672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6,558,396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7,132,672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6,558,396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for):</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852,461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708,372</w:t>
            </w:r>
          </w:p>
        </w:tc>
      </w:tr>
      <w:tr>
        <w:trPr>
          <w:trHeight w:val="229"/>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Adjustments to reconcile net income to total operating activities: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230,968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214,494</w:t>
            </w:r>
          </w:p>
        </w:tc>
      </w:tr>
      <w:tr>
        <w:trPr>
          <w:trHeight w:val="230"/>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(7,209)</w:t>
            </w: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35,021</w:t>
            </w:r>
          </w:p>
        </w:tc>
      </w:tr>
      <w:tr>
        <w:trPr>
          <w:trHeight w:val="230"/>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Gain on sale of business/investment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w:t>
            </w: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Gain on sale of facilities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Net change in assets and liabilities, net of acquisitions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(299,311)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(60,947)</w:t>
            </w:r>
          </w:p>
        </w:tc>
      </w:tr>
      <w:tr>
        <w:trPr>
          <w:trHeight w:val="230"/>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Pension contributions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w:t>
            </w:r>
          </w:p>
        </w:tc>
      </w:tr>
      <w:tr>
        <w:trPr>
          <w:trHeight w:val="229"/>
        </w:trPr>
        <w:tc>
          <w:tcPr>
            <w:tcW w:w="80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(5,576)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764,358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878,560</w:t>
            </w:r>
          </w:p>
        </w:tc>
      </w:tr>
      <w:tr>
        <w:trPr>
          <w:trHeight w:val="20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(67,229)</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businesses, net of cash acquired</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(190,321)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(1,839,664)</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business/investment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facilities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investing activities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(255,538)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(1,895,184)</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286,126</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(331,424)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(13,063)</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dividends paid</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(151,635)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(138,345)</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42,301</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(15,056)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(501,189)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171,201</w:t>
            </w: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(44,459)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(8,723)</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(854,146)</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1,212,822</w:t>
            </w: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309,944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358,676</w:t>
            </w:r>
          </w:p>
        </w:tc>
      </w:tr>
      <w:tr>
        <w:trPr>
          <w:trHeight w:val="20"/>
        </w:trPr>
        <w:tc>
          <w:tcPr>
            <w:tcW w:w="8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21" w:lineRule="exact"/>
        <w:rPr>
          <w:sz w:val="20"/>
          <w:szCs w:val="20"/>
          <w:color w:val="auto"/>
        </w:rPr>
      </w:pPr>
    </w:p>
    <w:p>
      <w:pPr>
        <w:ind w:right="260" w:firstLine="648"/>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are unaudited. AMETEK, Inc. (the “Company”) believes that all adjustments (which primarily consist of normal recurring accruals) necessary for a fair presentation of the consolidated financial position of the Company at September 30, 2022, the consolidated results of its operations for the three and nine months ended September 30, 2022 and 2021 and its cash flows for the nine months ended September 30, 2022 and 2021 have been included. Quarterly results of operations are not necessarily indicative of results for the full year. The accompanying consolidated financial statements should be read in conjunction with the audited consolidated financial statements and related notes presented in the Company’s Annual Report on Form 10-K for the year ended December 31, 2021 as filed with the U.S. Securities and Exchange Commission.</w:t>
      </w:r>
    </w:p>
    <w:p>
      <w:pPr>
        <w:spacing w:after="0" w:line="2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w:t>
      </w:r>
    </w:p>
    <w:p>
      <w:pPr>
        <w:spacing w:after="0" w:line="106" w:lineRule="exact"/>
        <w:rPr>
          <w:sz w:val="20"/>
          <w:szCs w:val="20"/>
          <w:color w:val="auto"/>
        </w:rPr>
      </w:pPr>
    </w:p>
    <w:p>
      <w:pPr>
        <w:ind w:right="40" w:firstLine="324"/>
        <w:spacing w:after="0" w:line="242"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805): Accounting for Contract Assets and Contract Liabilities from Contracts with Customers ("ASU 2021-08"), which provides a single comprehensive accounting model for the acquisition of contract balances under ASC 805. ASU 2021-08 is effective for fiscal years beginning after December 15, 2022. Early adoption is permitted. The Company early adopted the ASU on January 1, 2022, and the amendments in this ASU were applied on a prospective basis to all periods presented. The adoption of ASU 2021-08 did not impact the Company's consolidated results of operations, financial position, cash flows, or financial statement disclosures.</w:t>
      </w:r>
    </w:p>
    <w:p>
      <w:pPr>
        <w:spacing w:after="0" w:line="30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contract asset and liability accounts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assets—January 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68,971</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assets – September 30</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111,687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82,986</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contract assets – increase (decrease)</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16,413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Contract liabilities – January 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328,816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215,093</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September 30</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371,411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311,674</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contract liabilities – (increase) decrease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(42,595)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(96,581)</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(26,182)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(82,566)</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The net change for the nine months ended September 30, 2022 was primarily driven by contract liabilities, specifically growth in advance payments from customers. For the nine months ended September 30, 2022 and 2021, the Company recognized revenue of $252.4 million and $179.1 million, respectively, that was previously included in the beginning balance of contract liabilities.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Contract assets are reported as a component of Other current assets in the consolidated balance sheet. At September 30, 2022 and December 31, 2021, $39.2 million and $30.1 million of Customer advanced payments (contract liabilities), respectively, were recorded in Other long-term liabilities in the consolidated balance sheets.</w:t>
      </w:r>
    </w:p>
    <w:p>
      <w:pPr>
        <w:spacing w:after="0" w:line="17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remaining performance obligations not expected to be completed within one year as of September 30, 2022 and December 31, 2021 were $520.6 million and $342.5 million, respectively. Remaining performance obligations represent the transaction price of firm, non-cancelable orders, with expected delivery dates to customers greater than one year from the balance sheet date, for which the performance obligation is unsatisfied or partially unsatisfied. These performance obligations will be substantially satisfied within two to three years.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Areas</w:t>
      </w:r>
    </w:p>
    <w:p>
      <w:pPr>
        <w:spacing w:after="0" w:line="11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Net sales were attributed to geographic areas based on the location of the customer. Information about the Company’s operations in different geographic areas was as follows for the three and nine months ended September 30:</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220" w:type="dxa"/>
            <w:vAlign w:val="bottom"/>
          </w:tcPr>
          <w:p>
            <w:pPr>
              <w:spacing w:after="0"/>
              <w:rPr>
                <w:sz w:val="16"/>
                <w:szCs w:val="16"/>
                <w:color w:val="auto"/>
              </w:rPr>
            </w:pPr>
          </w:p>
        </w:tc>
        <w:tc>
          <w:tcPr>
            <w:tcW w:w="3380" w:type="dxa"/>
            <w:vAlign w:val="bottom"/>
            <w:gridSpan w:val="7"/>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r>
      <w:tr>
        <w:trPr>
          <w:trHeight w:val="23"/>
        </w:trPr>
        <w:tc>
          <w:tcPr>
            <w:tcW w:w="3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3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Pr>
          <w:p>
            <w:pPr>
              <w:spacing w:after="0"/>
              <w:rPr>
                <w:sz w:val="17"/>
                <w:szCs w:val="17"/>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3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554,048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265,549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819,597</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1,589,641</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737,362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2,327,003</w:t>
            </w:r>
          </w:p>
        </w:tc>
      </w:tr>
      <w:tr>
        <w:trPr>
          <w:trHeight w:val="210"/>
        </w:trPr>
        <w:tc>
          <w:tcPr>
            <w:tcW w:w="392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47,103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65,414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88,945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154,359</w:t>
            </w:r>
          </w:p>
        </w:tc>
      </w:tr>
      <w:tr>
        <w:trPr>
          <w:trHeight w:val="230"/>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European Union countries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113,935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100,427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214,362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344,074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322,620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666,694</w:t>
            </w:r>
          </w:p>
        </w:tc>
      </w:tr>
      <w:tr>
        <w:trPr>
          <w:trHeight w:val="229"/>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264,432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334,807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776,084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203,439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979,523</w:t>
            </w:r>
          </w:p>
        </w:tc>
      </w:tr>
      <w:tr>
        <w:trPr>
          <w:trHeight w:val="229"/>
        </w:trPr>
        <w:tc>
          <w:tcPr>
            <w:tcW w:w="3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foreign countries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135,917</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294,918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102,366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397,284</w:t>
            </w:r>
          </w:p>
        </w:tc>
      </w:tr>
      <w:tr>
        <w:trPr>
          <w:trHeight w:val="223"/>
        </w:trPr>
        <w:tc>
          <w:tcPr>
            <w:tcW w:w="3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500,076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232,113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732,189</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1,480,490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717,370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2,197,860</w:t>
            </w: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1,054,124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497,662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1,551,786</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3,070,131</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1,454,732</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4,524,863</w:t>
            </w:r>
          </w:p>
        </w:tc>
      </w:tr>
      <w:tr>
        <w:trPr>
          <w:trHeight w:val="20"/>
        </w:trPr>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export sales of $415.4 million and $1,217.2 million for the three and nine months ended September 30, 2022.</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gridSpan w:val="8"/>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220" w:type="dxa"/>
            <w:vAlign w:val="bottom"/>
          </w:tcPr>
          <w:p>
            <w:pPr>
              <w:spacing w:after="0"/>
              <w:rPr>
                <w:sz w:val="16"/>
                <w:szCs w:val="16"/>
                <w:color w:val="auto"/>
              </w:rPr>
            </w:pPr>
          </w:p>
        </w:tc>
        <w:tc>
          <w:tcPr>
            <w:tcW w:w="3420" w:type="dxa"/>
            <w:vAlign w:val="bottom"/>
            <w:gridSpan w:val="7"/>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r>
      <w:tr>
        <w:trPr>
          <w:trHeight w:val="23"/>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39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3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509,075</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230,524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739,599</w:t>
            </w:r>
          </w:p>
        </w:tc>
        <w:tc>
          <w:tcPr>
            <w:tcW w:w="2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1,393,015</w:t>
            </w:r>
          </w:p>
        </w:tc>
        <w:tc>
          <w:tcPr>
            <w:tcW w:w="1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666,618</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2,059,633</w:t>
            </w:r>
          </w:p>
        </w:tc>
      </w:tr>
      <w:tr>
        <w:trPr>
          <w:trHeight w:val="209"/>
        </w:trPr>
        <w:tc>
          <w:tcPr>
            <w:tcW w:w="390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159,419</w:t>
            </w:r>
          </w:p>
        </w:tc>
      </w:tr>
      <w:tr>
        <w:trPr>
          <w:trHeight w:val="230"/>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European Union countries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219,104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338,556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300,970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639,526</w:t>
            </w:r>
          </w:p>
        </w:tc>
      </w:tr>
      <w:tr>
        <w:trPr>
          <w:trHeight w:val="230"/>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307,687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657,478</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192,267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849,745</w:t>
            </w:r>
          </w:p>
        </w:tc>
      </w:tr>
      <w:tr>
        <w:trPr>
          <w:trHeight w:val="229"/>
        </w:trPr>
        <w:tc>
          <w:tcPr>
            <w:tcW w:w="3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foreign countries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88,284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116,087</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249,670</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84,776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334,446</w:t>
            </w:r>
          </w:p>
        </w:tc>
      </w:tr>
      <w:tr>
        <w:trPr>
          <w:trHeight w:val="223"/>
        </w:trPr>
        <w:tc>
          <w:tcPr>
            <w:tcW w:w="3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international</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701,082</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1,313,658</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669,478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1,983,136</w:t>
            </w: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981,815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458,866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1,440,681</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2,706,673</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1,336,096</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4,042,769</w:t>
            </w: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7"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export sales of $391.0 million and $1,087.3 million for the three and nine months ended September 30, 2021.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1"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Products and Services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major products and services in the reportable segments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220" w:type="dxa"/>
            <w:vAlign w:val="bottom"/>
          </w:tcPr>
          <w:p>
            <w:pPr>
              <w:spacing w:after="0"/>
              <w:rPr>
                <w:sz w:val="16"/>
                <w:szCs w:val="16"/>
                <w:color w:val="auto"/>
              </w:rPr>
            </w:pPr>
          </w:p>
        </w:tc>
        <w:tc>
          <w:tcPr>
            <w:tcW w:w="3300" w:type="dxa"/>
            <w:vAlign w:val="bottom"/>
            <w:gridSpan w:val="7"/>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r>
      <w:tr>
        <w:trPr>
          <w:trHeight w:val="23"/>
        </w:trPr>
        <w:tc>
          <w:tcPr>
            <w:tcW w:w="4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40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analytical instrumentation</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758,868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758,868</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2,219,821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2,219,821</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and power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295,256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143,689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438,945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850,310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407,771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1,258,081</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Automation and engineered solutions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353,973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353,973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1,046,961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1,046,961</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1,054,124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497,662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1,551,786</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3,070,131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1,454,732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4,524,863</w:t>
            </w:r>
          </w:p>
        </w:tc>
      </w:tr>
      <w:tr>
        <w:trPr>
          <w:trHeight w:val="21"/>
        </w:trPr>
        <w:tc>
          <w:tcPr>
            <w:tcW w:w="4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523"/>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220" w:type="dxa"/>
            <w:vAlign w:val="bottom"/>
          </w:tcPr>
          <w:p>
            <w:pPr>
              <w:spacing w:after="0"/>
              <w:rPr>
                <w:sz w:val="24"/>
                <w:szCs w:val="24"/>
                <w:color w:val="auto"/>
              </w:rPr>
            </w:pPr>
          </w:p>
        </w:tc>
        <w:tc>
          <w:tcPr>
            <w:tcW w:w="3300" w:type="dxa"/>
            <w:vAlign w:val="bottom"/>
            <w:gridSpan w:val="7"/>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r>
      <w:tr>
        <w:trPr>
          <w:trHeight w:val="23"/>
        </w:trPr>
        <w:tc>
          <w:tcPr>
            <w:tcW w:w="4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4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analytical instrumentation</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661,243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661,243</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1,881,923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1,881,923</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and power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451,243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1,204,060</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Automation and engineered solutions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328,195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956,786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956,786</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981,815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458,866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1,440,681</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2,706,673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1,336,096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4,042,769</w:t>
            </w:r>
          </w:p>
        </w:tc>
      </w:tr>
      <w:tr>
        <w:trPr>
          <w:trHeight w:val="21"/>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Timing of Revenue Recognition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right="140"/>
        <w:spacing w:after="0" w:line="289" w:lineRule="auto"/>
        <w:rPr>
          <w:sz w:val="20"/>
          <w:szCs w:val="20"/>
          <w:color w:val="auto"/>
        </w:rPr>
      </w:pPr>
      <w:r>
        <w:rPr>
          <w:rFonts w:ascii="Times New Roman" w:cs="Times New Roman" w:eastAsia="Times New Roman" w:hAnsi="Times New Roman"/>
          <w:sz w:val="18"/>
          <w:szCs w:val="18"/>
          <w:color w:val="auto"/>
        </w:rPr>
        <w:t>Products transferred at a point in time Products and services transferred over time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220" w:type="dxa"/>
            <w:vAlign w:val="bottom"/>
          </w:tcPr>
          <w:p>
            <w:pPr>
              <w:spacing w:after="0"/>
              <w:rPr>
                <w:sz w:val="16"/>
                <w:szCs w:val="16"/>
                <w:color w:val="auto"/>
              </w:rPr>
            </w:pPr>
          </w:p>
        </w:tc>
        <w:tc>
          <w:tcPr>
            <w:tcW w:w="3300" w:type="dxa"/>
            <w:vAlign w:val="bottom"/>
            <w:gridSpan w:val="7"/>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r>
      <w:tr>
        <w:trPr>
          <w:trHeight w:val="23"/>
        </w:trPr>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Pr>
          <w:p>
            <w:pPr>
              <w:spacing w:after="0"/>
              <w:rPr>
                <w:sz w:val="17"/>
                <w:szCs w:val="17"/>
                <w:color w:val="auto"/>
              </w:rPr>
            </w:pPr>
          </w:p>
        </w:tc>
        <w:tc>
          <w:tcPr>
            <w:tcW w:w="90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8"/>
        </w:trPr>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869,455</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436,222</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1,305,677</w:t>
            </w:r>
          </w:p>
        </w:tc>
        <w:tc>
          <w:tcPr>
            <w:tcW w:w="2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2,522,351</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1,272,382</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3,794,733</w:t>
            </w:r>
          </w:p>
        </w:tc>
      </w:tr>
      <w:tr>
        <w:trPr>
          <w:trHeight w:val="238"/>
        </w:trPr>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184,669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61,440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246,109</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547,780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182,350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730,130</w:t>
            </w:r>
          </w:p>
        </w:tc>
      </w:tr>
      <w:tr>
        <w:trPr>
          <w:trHeight w:val="223"/>
        </w:trPr>
        <w:tc>
          <w:tcPr>
            <w:tcW w:w="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1,054,124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497,662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1,551,786</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3,070,131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1,454,732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4,524,863</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53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220" w:type="dxa"/>
            <w:vAlign w:val="bottom"/>
          </w:tcPr>
          <w:p>
            <w:pPr>
              <w:spacing w:after="0"/>
              <w:rPr>
                <w:sz w:val="24"/>
                <w:szCs w:val="24"/>
                <w:color w:val="auto"/>
              </w:rPr>
            </w:pPr>
          </w:p>
        </w:tc>
        <w:tc>
          <w:tcPr>
            <w:tcW w:w="3300" w:type="dxa"/>
            <w:vAlign w:val="bottom"/>
            <w:gridSpan w:val="7"/>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r>
      <w:tr>
        <w:trPr>
          <w:trHeight w:val="23"/>
        </w:trPr>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Pr>
          <w:p>
            <w:pPr>
              <w:spacing w:after="0"/>
              <w:rPr>
                <w:sz w:val="17"/>
                <w:szCs w:val="17"/>
                <w:color w:val="auto"/>
              </w:rPr>
            </w:pPr>
          </w:p>
        </w:tc>
        <w:tc>
          <w:tcPr>
            <w:tcW w:w="90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-1124585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-833120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3280" w:space="720"/>
            <w:col w:w="72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1,204,548</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2,206,252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1,204,662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3,410,914</w:t>
            </w:r>
          </w:p>
        </w:tc>
      </w:tr>
      <w:tr>
        <w:trPr>
          <w:trHeight w:val="23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Products and services transferred over time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236,133</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631,855</w:t>
            </w: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1,440,681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2,706,673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1,336,096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4,042,769</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11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and other in the consolidated balance sheet.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accrued product warranty obligation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160" w:type="dxa"/>
            <w:vAlign w:val="bottom"/>
            <w:gridSpan w:val="5"/>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2"/>
        </w:trPr>
        <w:tc>
          <w:tcPr>
            <w:tcW w:w="8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r>
      <w:tr>
        <w:trPr>
          <w:trHeight w:val="37"/>
        </w:trPr>
        <w:tc>
          <w:tcPr>
            <w:tcW w:w="8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27,839</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for warranties issued during the period</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8,530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8,379</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(8,769)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Warranty accruals related to acquired businesses and other during the period</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26,159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allowances for estimated losses resulting from the inability of customers to meet their financial obligations to the Company. The Company recognizes an allowance for credit losses, on all accounts receivable and contract assets, which considers risk of future credit losses based on factors such as historical experience, contract terms, as well as general and market business conditions, country, and political risk. Balances are written off when determined to be uncollectible.</w:t>
      </w:r>
    </w:p>
    <w:p>
      <w:pPr>
        <w:spacing w:after="0" w:line="18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2022, the Company had $876.5 million of accounts receivable, net of allowances of $12.0 million. Changes in the allowance were not material for the three and nine months ended September 30, 2022.</w:t>
      </w:r>
    </w:p>
    <w:p>
      <w:pPr>
        <w:spacing w:after="0" w:line="2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Securities that are anti-dilutive have been excluded and are not significant. The number of weighted average shares used in the calculation of basic earnings per share and diluted earnings per share was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8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8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060" w:type="dxa"/>
            <w:vAlign w:val="bottom"/>
          </w:tcPr>
          <w:p>
            <w:pPr>
              <w:spacing w:after="0"/>
              <w:rPr>
                <w:sz w:val="16"/>
                <w:szCs w:val="16"/>
                <w:color w:val="auto"/>
              </w:rPr>
            </w:pPr>
          </w:p>
        </w:tc>
        <w:tc>
          <w:tcPr>
            <w:tcW w:w="12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7"/>
                <w:szCs w:val="17"/>
                <w:color w:val="auto"/>
              </w:rPr>
            </w:pPr>
          </w:p>
        </w:tc>
      </w:tr>
      <w:tr>
        <w:trPr>
          <w:trHeight w:val="23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229,500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231,171</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230,360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230,811</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 plans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1,214</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1,315</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230,714</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233,000</w:t>
            </w:r>
          </w:p>
        </w:tc>
        <w:tc>
          <w:tcPr>
            <w:tcW w:w="2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231,675</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232,712</w:t>
            </w: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utilizes a valuation hierarchy for disclosure of the inputs to the valuations used to measure fair value. This hierarchy prioritizes the inputs into three broad levels as follows. Level 1 inputs are quoted prices (unadjusted) in active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Company’s assets that are measured at fair value on a recurring basis, consistent with the fair value hierarchy,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December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4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6"/>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6"/>
                <w:szCs w:val="16"/>
                <w:color w:val="auto"/>
              </w:rPr>
            </w:pPr>
          </w:p>
        </w:tc>
        <w:tc>
          <w:tcPr>
            <w:tcW w:w="14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37"/>
        </w:trPr>
        <w:tc>
          <w:tcPr>
            <w:tcW w:w="78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3"/>
          </w:tcPr>
          <w:p>
            <w:pPr>
              <w:spacing w:after="0"/>
              <w:rPr>
                <w:sz w:val="3"/>
                <w:szCs w:val="3"/>
                <w:color w:val="auto"/>
              </w:rPr>
            </w:pPr>
          </w:p>
        </w:tc>
      </w:tr>
      <w:tr>
        <w:trPr>
          <w:trHeight w:val="186"/>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gridSpan w:val="4"/>
          </w:tcPr>
          <w:p>
            <w:pPr>
              <w:jc w:val="right"/>
              <w:ind w:right="120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 investments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8,866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10,703</w:t>
            </w:r>
          </w:p>
        </w:tc>
      </w:tr>
    </w:tbl>
    <w:p>
      <w:pPr>
        <w:spacing w:after="0" w:line="198" w:lineRule="exact"/>
        <w:rPr>
          <w:sz w:val="20"/>
          <w:szCs w:val="20"/>
          <w:color w:val="auto"/>
        </w:rPr>
      </w:pPr>
    </w:p>
    <w:p>
      <w:pPr>
        <w:ind w:right="800" w:firstLine="567"/>
        <w:spacing w:after="0" w:line="282" w:lineRule="auto"/>
        <w:rPr>
          <w:sz w:val="20"/>
          <w:szCs w:val="20"/>
          <w:color w:val="auto"/>
        </w:rPr>
      </w:pPr>
      <w:r>
        <w:rPr>
          <w:rFonts w:ascii="Times New Roman" w:cs="Times New Roman" w:eastAsia="Times New Roman" w:hAnsi="Times New Roman"/>
          <w:sz w:val="18"/>
          <w:szCs w:val="18"/>
          <w:color w:val="auto"/>
        </w:rPr>
        <w:t>The fair value of mutual fund investments, which are valued as level 1 investments, was based on quoted market prices. The mutual fund investments are shown as a component of investments and other assets on the consolidated balance sheet.</w:t>
      </w:r>
    </w:p>
    <w:p>
      <w:pPr>
        <w:spacing w:after="0" w:line="162" w:lineRule="exact"/>
        <w:rPr>
          <w:sz w:val="20"/>
          <w:szCs w:val="20"/>
          <w:color w:val="auto"/>
        </w:rPr>
      </w:pPr>
    </w:p>
    <w:p>
      <w:pPr>
        <w:ind w:right="540" w:firstLine="567"/>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and 2021, gains and losses on the investments noted above were not significant. No transfers between level 1 and level 2 investments occurred during the nine months ended September 30, 2022 and 2021.</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cash equivalents and mutual fund investments are recorded at fair value at September 30, 2022 and December 31, 2021 in the accompanying consolidated balance sheet.</w:t>
      </w:r>
    </w:p>
    <w:p>
      <w:pPr>
        <w:spacing w:after="0" w:line="16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estimated fair values of the Company’s financial instrument liabilities, for which fair value is measured for disclosure purposes only, compared to the recorded amounts at September 30, 2022 and December 31, 2021: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40" w:type="dxa"/>
            <w:vAlign w:val="bottom"/>
          </w:tcPr>
          <w:p>
            <w:pPr>
              <w:spacing w:after="0"/>
              <w:rPr>
                <w:sz w:val="16"/>
                <w:szCs w:val="16"/>
                <w:color w:val="auto"/>
              </w:rPr>
            </w:pPr>
          </w:p>
        </w:tc>
        <w:tc>
          <w:tcPr>
            <w:tcW w:w="2760" w:type="dxa"/>
            <w:vAlign w:val="bottom"/>
            <w:gridSpan w:val="3"/>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71"/>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center"/>
              <w:ind w:right="404"/>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6"/>
                <w:szCs w:val="16"/>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40" w:type="dxa"/>
            <w:vAlign w:val="bottom"/>
          </w:tcPr>
          <w:p>
            <w:pPr>
              <w:spacing w:after="0"/>
              <w:rPr>
                <w:sz w:val="16"/>
                <w:szCs w:val="16"/>
                <w:color w:val="auto"/>
              </w:rPr>
            </w:pPr>
          </w:p>
        </w:tc>
        <w:tc>
          <w:tcPr>
            <w:tcW w:w="1160" w:type="dxa"/>
            <w:vAlign w:val="bottom"/>
          </w:tcPr>
          <w:p>
            <w:pPr>
              <w:jc w:val="center"/>
              <w:ind w:right="4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6"/>
                <w:szCs w:val="16"/>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47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4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(2,088,231)</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(1,910,792)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(2,233,705)</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(2,378,930)</w:t>
            </w:r>
          </w:p>
        </w:tc>
      </w:tr>
    </w:tbl>
    <w:p>
      <w:pPr>
        <w:spacing w:after="0" w:line="19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net short-term borrowings approximates the carrying value. Net short-term borrowings are valued as level 2 liabilities as they are corroborated by observable market data. The Company’s net long-term debt is all privately held with no public market for this debt, therefore, the fair value of net long-term debt was computed based on comparable current market data for similar debt instruments and is considered a level 3 liability.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2022, the Company had a Euro forward contract for a total notional value of 40.0 million Euros and a Canadian dollar forward contract for a notional value of 22.0 million Canadian dollars. For the nine months ended September 30, 2022, realized and unrealized gains and losses on the foreign currency forward contracts were not significant.</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Hedging Activities</w:t>
      </w:r>
    </w:p>
    <w:p>
      <w:pPr>
        <w:spacing w:after="0" w:line="12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has designated certain foreign-currency-denominated long-term borrowings as hedges of the net investment in certain foreign operations. As of September 30, 2022, these net investment hedges included British-pound-and Euro-denominated long-term debt. These borrowings were designed to create net investment hedges in certain designated foreign subsidiaries. The Company designated the British-pound- and Euro-denominated loans referred to above as hedging instruments to offset translation gains or losses on the net investment due to changes in the British pound and Euro exchange rates. These net investment hedges are evidenced by management’s contemporaneous documentation supporting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hedge designation. Any gain or loss on the hedging instruments (the debt) following hedge designation is reported in accumulated other comprehensive income in the same manner as the translation adjustment on the hedged investment based on changes in the spot rate, which is used to measure hedge effectiveness.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At September 30, 2022, the Company had $250.4 million of British-pound-denominated loans, which were designated as a hedge against the net investment in British pound functional currency foreign subsidiaries. At September 30, 2022, the Company had $523.7 million in Euro-denominated loans, which were designated as a hedge against the net investment in Euro functional currency foreign subsidiaries. As a result of the British-pound- and Euro-denominated loans designated and 100% effective as net investment hedges, $139.3 million of pre-tax currency remeasurement gains have been included in the foreign currency translation component of other comprehensive income for the nine months ended September 30, 2022.</w:t>
      </w:r>
    </w:p>
    <w:p>
      <w:pPr>
        <w:spacing w:after="0" w:line="2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Inventories, net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2"/>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4"/>
          </w:tcPr>
          <w:p>
            <w:pPr>
              <w:jc w:val="right"/>
              <w:ind w:right="105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8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and parts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128,409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89,985</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151,456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122,356</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purchased parts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745,265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556,834</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1,025,130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769,175</w:t>
            </w:r>
          </w:p>
        </w:tc>
      </w:tr>
      <w:tr>
        <w:trPr>
          <w:trHeight w:val="21"/>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Leases</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Company has commitments under operating leases for certain facilities, vehicles and equipment used in its operations. Cash used in operations for operating leases was not materially different from operating lease expense for the nine months ended September 30, 2022 and 2021. The Company's leases have a weighted average remaining lease term of approximately five years. Certain lease agreements contain provisions for future rent increases.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5"/>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7"/>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16,407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13,560</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1,737</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7,131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15,297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41,692</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161,217</w:t>
            </w:r>
          </w:p>
        </w:tc>
        <w:tc>
          <w:tcPr>
            <w:tcW w:w="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Accrued Liabilities and other</w:t>
            </w: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45,434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47,353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Other long-term liabilities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121,382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166,816</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80" w:type="dxa"/>
            <w:vAlign w:val="bottom"/>
          </w:tcPr>
          <w:p>
            <w:pPr>
              <w:jc w:val="center"/>
              <w:ind w:left="1491"/>
              <w:spacing w:after="0"/>
              <w:rPr>
                <w:sz w:val="20"/>
                <w:szCs w:val="20"/>
                <w:color w:val="auto"/>
              </w:rPr>
            </w:pPr>
            <w:r>
              <w:rPr>
                <w:rFonts w:ascii="Times New Roman" w:cs="Times New Roman" w:eastAsia="Times New Roman" w:hAnsi="Times New Roman"/>
                <w:sz w:val="18"/>
                <w:szCs w:val="18"/>
                <w:b w:val="1"/>
                <w:bCs w:val="1"/>
                <w:color w:val="auto"/>
                <w:w w:val="99"/>
              </w:rPr>
              <w:t>AMETEK, Inc.</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9680" w:type="dxa"/>
            <w:vAlign w:val="bottom"/>
          </w:tcPr>
          <w:p>
            <w:pPr>
              <w:jc w:val="center"/>
              <w:ind w:left="1491"/>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9680" w:type="dxa"/>
            <w:vAlign w:val="bottom"/>
          </w:tcPr>
          <w:p>
            <w:pPr>
              <w:jc w:val="center"/>
              <w:ind w:left="1491"/>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9680" w:type="dxa"/>
            <w:vAlign w:val="bottom"/>
          </w:tcPr>
          <w:p>
            <w:pPr>
              <w:jc w:val="center"/>
              <w:ind w:left="1471"/>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715"/>
        </w:trPr>
        <w:tc>
          <w:tcPr>
            <w:tcW w:w="9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Maturities of lease liabilities as of September 30, 2022 were as follows: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4"/>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Lease Liability Maturity Analysis</w:t>
            </w:r>
          </w:p>
        </w:tc>
        <w:tc>
          <w:tcPr>
            <w:tcW w:w="160" w:type="dxa"/>
            <w:vAlign w:val="bottom"/>
          </w:tcPr>
          <w:p>
            <w:pPr>
              <w:spacing w:after="0"/>
              <w:rPr>
                <w:sz w:val="24"/>
                <w:szCs w:val="24"/>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37"/>
        </w:trPr>
        <w:tc>
          <w:tcPr>
            <w:tcW w:w="96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9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13,154</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46,850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35,684</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26,797</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20,476</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36,390</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179,351</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12,535</w:t>
            </w:r>
          </w:p>
        </w:tc>
      </w:tr>
      <w:tr>
        <w:trPr>
          <w:trHeight w:val="248"/>
        </w:trPr>
        <w:tc>
          <w:tcPr>
            <w:tcW w:w="9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166,816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have any significant leases that have not yet commenced.</w:t>
      </w:r>
    </w:p>
    <w:p>
      <w:pPr>
        <w:spacing w:after="0" w:line="3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Company spent $190.3 million in cash, net of cash acquired, to acquire Navitar, Inc. in September 2022. Navitar is a market leader in the design, development and manufacturing of customized, fully integrated optical imaging systems, cameras, components and software. Navitar is part of EIG.</w:t>
      </w:r>
    </w:p>
    <w:p>
      <w:pPr>
        <w:spacing w:after="0" w:line="31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allocation of the purchase price for the net assets of the Navitar acquisition based on the estimated fair values at acquisition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r>
      <w:tr>
        <w:trPr>
          <w:trHeight w:val="229"/>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71.1</w:t>
            </w:r>
          </w:p>
        </w:tc>
      </w:tr>
      <w:tr>
        <w:trPr>
          <w:trHeight w:val="230"/>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r>
      <w:tr>
        <w:trPr>
          <w:trHeight w:val="230"/>
        </w:trPr>
        <w:tc>
          <w:tcPr>
            <w:tcW w:w="99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Net working capital and other</w:t>
            </w:r>
            <w:r>
              <w:rPr>
                <w:rFonts w:ascii="Times New Roman" w:cs="Times New Roman" w:eastAsia="Times New Roman" w:hAnsi="Times New Roman"/>
                <w:sz w:val="23"/>
                <w:szCs w:val="23"/>
                <w:color w:val="auto"/>
                <w:vertAlign w:val="superscript"/>
              </w:rPr>
              <w:t>(1)</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r>
      <w:tr>
        <w:trPr>
          <w:trHeight w:val="248"/>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190.3</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63"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$5.5 million in accounts receivable, whose fair value, contractual cash flows and expected cash flows are approximately equal.</w:t>
      </w:r>
    </w:p>
    <w:p>
      <w:pPr>
        <w:spacing w:after="0" w:line="225"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amount allocated to goodwill is reflective of the benefits the Company expects to realize from the Navitar acquisition. Navitar's market leading optical components and solutions complement the Company's existing optics portfolio. The Company expects approximately $52 million of the goodwill relating to the Navitar acquisition will be tax deductible in future years.</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At September 30, 2022, the purchase price allocated to other intangible assets of $95.0 million consists of $15.2 million of indefinite-lived intangible trade names, which are not subject to amortization. The remaining $79.8 million of other intangible assets consists of $64.6 million of customer relationships, which are being amortized over a period of 17 years, and $15.2 million of purchased technology, which is being amortized over a period of 17 years. Amortization expense for each of the next five years for the 2022 acquisitions is expected to approximate $5 million per year.</w:t>
      </w:r>
    </w:p>
    <w:p>
      <w:pPr>
        <w:spacing w:after="0" w:line="7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finalized its measurements of certain tangible and intangible assets and liabilities for its November 2021 acquisition of Alphasense, which had no material impact to the consolidated statement of income and balance sheet. The Company is in the process of finalizing the measurement of the intangible assets and tangible assets and liabilities, as well as accounting for income taxes, for Navitar.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acquisition had an immaterial impact on reported net sales, net income, and diluted earnings per share for the three and nine months ended September 30, 2022. Had the acquisition been made at the beginning of 2022 or 2021, pro forma net sales, net income, and diluted earnings per share for the three and nine months ended September 30, 2022 and 2021, would not have been materially different than the amounts reported.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subsequent to September 30, 2022</w:t>
      </w:r>
    </w:p>
    <w:p>
      <w:pPr>
        <w:spacing w:after="0" w:line="2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October 2022, the Company acquired RTDS Technologies for 325.0 million Canadian dollars (approximately $240.0 million) in cash. RTDS is a leading provider of real-time power simulation systems used by utilities, and research and education institutions in the development and testing of the electric power grid and renewable energy applications. RTDS will join EIG.</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amounts of goodwill by segment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EIG</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EMG</w:t>
            </w:r>
          </w:p>
        </w:tc>
        <w:tc>
          <w:tcPr>
            <w:tcW w:w="360" w:type="dxa"/>
            <w:vAlign w:val="bottom"/>
          </w:tcPr>
          <w:p>
            <w:pPr>
              <w:spacing w:after="0"/>
              <w:rPr>
                <w:sz w:val="16"/>
                <w:szCs w:val="16"/>
                <w:color w:val="auto"/>
              </w:rPr>
            </w:pPr>
          </w:p>
        </w:tc>
        <w:tc>
          <w:tcPr>
            <w:tcW w:w="11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4,073.8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5,238.7</w:t>
            </w:r>
          </w:p>
        </w:tc>
      </w:tr>
      <w:tr>
        <w:trPr>
          <w:trHeight w:val="229"/>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acquired from 2022 acquisitions</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71.1</w:t>
            </w:r>
          </w:p>
        </w:tc>
      </w:tr>
      <w:tr>
        <w:trPr>
          <w:trHeight w:val="23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price allocation adjustments and other</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29"/>
        </w:trPr>
        <w:tc>
          <w:tcPr>
            <w:tcW w:w="6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(123.8)</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4,079.0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5,190.2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2022, the Company had gross uncertain tax benefits of $170.0 million, of which $125.3 million, if recognized, would impact the effective tax rate.</w:t>
      </w:r>
    </w:p>
    <w:p>
      <w:pPr>
        <w:sectPr>
          <w:pgSz w:w="11900" w:h="16838" w:orient="portrait"/>
          <w:cols w:equalWidth="0" w:num="1">
            <w:col w:w="11220"/>
          </w:cols>
          <w:pgMar w:left="320" w:top="121" w:right="359" w:bottom="1440" w:gutter="0" w:footer="0" w:header="0"/>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is a reconciliation of the liability for uncertain tax positions (in millions):</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Additions for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Reductions for tax positions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1028" w:hanging="1028"/>
        <w:spacing w:after="0"/>
        <w:tabs>
          <w:tab w:leader="none" w:pos="10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147.0</w:t>
      </w:r>
    </w:p>
    <w:p>
      <w:pPr>
        <w:spacing w:after="0" w:line="27" w:lineRule="exact"/>
        <w:rPr>
          <w:rFonts w:ascii="Times New Roman" w:cs="Times New Roman" w:eastAsia="Times New Roman" w:hAnsi="Times New Roman"/>
          <w:sz w:val="18"/>
          <w:szCs w:val="18"/>
          <w:color w:val="auto"/>
        </w:rPr>
      </w:pPr>
    </w:p>
    <w:p>
      <w:pPr>
        <w:ind w:left="11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23.5</w:t>
      </w:r>
    </w:p>
    <w:p>
      <w:pPr>
        <w:spacing w:after="0" w:line="22" w:lineRule="exact"/>
        <w:rPr>
          <w:rFonts w:ascii="Times New Roman" w:cs="Times New Roman" w:eastAsia="Times New Roman" w:hAnsi="Times New Roman"/>
          <w:sz w:val="18"/>
          <w:szCs w:val="18"/>
          <w:color w:val="auto"/>
        </w:rPr>
      </w:pPr>
    </w:p>
    <w:p>
      <w:pPr>
        <w:ind w:left="11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683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7" w:lineRule="exact"/>
        <w:rPr>
          <w:sz w:val="20"/>
          <w:szCs w:val="20"/>
          <w:color w:val="auto"/>
        </w:rPr>
      </w:pPr>
    </w:p>
    <w:p>
      <w:pPr>
        <w:ind w:left="1028" w:hanging="1028"/>
        <w:spacing w:after="0"/>
        <w:tabs>
          <w:tab w:leader="none" w:pos="102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683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9683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8972" w:space="720"/>
            <w:col w:w="1528"/>
          </w:cols>
          <w:pgMar w:left="320" w:top="121" w:right="359" w:bottom="1440" w:gutter="0" w:footer="0" w:header="0"/>
          <w:type w:val="continuous"/>
        </w:sectPr>
      </w:pPr>
    </w:p>
    <w:p>
      <w:pPr>
        <w:spacing w:after="0" w:line="5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additions above primarily reflect the tax positions for foreign tax planning initiatives. The Company recognizes interest and penalties accrued related to uncertain tax positions in income tax expense. The amounts recognized in income tax expense for interest and penalties during the three and nine months ended September 30, 2022 and 2021 were not significant.</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three months ended September 30, 2022 was 19.0%, compared with 19.5% for the three months ended September 30, 2021. The lower effective tax rate in the third quarter of 2022 is primarily due to a favorable foreign rate differential and favorable foreign deferred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12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On May 12, 2022, the Company along with certain of its foreign subsidiaries amended and restated its credit agreement dated as of September 22, 2011, as amended and restated as of March 10, 2016 and as further amended and restated as of October 30, 2018, with the lenders, JPMorgan Chase Bank, N.A., as Administrative Agent and Bank of America, N.A., PNC Bank, National Association, Trust Bank and Wells Fargo Bank, National Association, as Co-Syndication Agents. The credit agreement amends and restates the Company’s existing revolving credit facility to increase the size from $1.5 billion to $2.3 billion and terminates the $800 million term loan. The credit agreement places certain restrictions on allowable additional indebtedness. At September 30, 2022, the Company had $274.0 million outstanding on the revolver with a maturity date of May 2027.</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Company's share-based compensation plans are described in Note 11, Share-Based Compensation, to the consolidated financial statements in Part II, Item 8, filed on the Company’s Annual Report on Form 10-K for the year ended December 31,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Based Compensation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share-based compensation expense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96"/>
        </w:trPr>
        <w:tc>
          <w:tcPr>
            <w:tcW w:w="47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r>
      <w:tr>
        <w:trPr>
          <w:trHeight w:val="196"/>
        </w:trPr>
        <w:tc>
          <w:tcPr>
            <w:tcW w:w="47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expense</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3,043</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9,866</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expense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14,831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16,765</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 expense</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expense</w:t>
            </w: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12,060</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34,587</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35,021</w:t>
            </w: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Pre-tax share-based compensation expense is included in the consolidated statement of income in either Cost of sales or Selling, general and administrative expenses, depending on where the recipient’s cash compensation is reported.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right="62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grant date using a Black-Scholes-Merton option pricing model. The following weighted average assumptions were used in the Black-Scholes-Merton model to estimate the fair values of stock options granted during the periods indicated: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7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5"/>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6"/>
                <w:szCs w:val="16"/>
                <w:color w:val="auto"/>
              </w:rPr>
            </w:pPr>
          </w:p>
        </w:tc>
        <w:tc>
          <w:tcPr>
            <w:tcW w:w="1760" w:type="dxa"/>
            <w:vAlign w:val="bottom"/>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0.85 %</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0.66 %</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Black-Scholes-Merton fair value per stock option granted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32.54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stock option activity and related information: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6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1"/>
                <w:szCs w:val="11"/>
                <w:color w:val="auto"/>
              </w:rPr>
            </w:pPr>
          </w:p>
        </w:tc>
        <w:tc>
          <w:tcPr>
            <w:tcW w:w="1280" w:type="dxa"/>
            <w:vAlign w:val="bottom"/>
            <w:vMerge w:val="restart"/>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28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60" w:type="dxa"/>
            <w:vAlign w:val="bottom"/>
          </w:tcPr>
          <w:p>
            <w:pPr>
              <w:spacing w:after="0"/>
              <w:rPr>
                <w:sz w:val="17"/>
                <w:szCs w:val="17"/>
                <w:color w:val="auto"/>
              </w:rPr>
            </w:pPr>
          </w:p>
        </w:tc>
        <w:tc>
          <w:tcPr>
            <w:tcW w:w="128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54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134.69</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107.73</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86.52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110.4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2022</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2,374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72.84</w:t>
            </w:r>
          </w:p>
        </w:tc>
        <w:tc>
          <w:tcPr>
            <w:tcW w:w="12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2"/>
              <w:spacing w:after="0" w:line="203" w:lineRule="exact"/>
              <w:rPr>
                <w:sz w:val="20"/>
                <w:szCs w:val="20"/>
                <w:color w:val="auto"/>
              </w:rPr>
            </w:pPr>
            <w:r>
              <w:rPr>
                <w:rFonts w:ascii="Times New Roman" w:cs="Times New Roman" w:eastAsia="Times New Roman" w:hAnsi="Times New Roman"/>
                <w:sz w:val="18"/>
                <w:szCs w:val="18"/>
                <w:b w:val="1"/>
                <w:bCs w:val="1"/>
                <w:color w:val="auto"/>
              </w:rPr>
              <w:t>97.8</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stock options exercised during the nine months ended September 30, 2022 was $23.0 million. The total fair value of stock options vested during the nine months ended September 30, 2022 was $11.3 million. As of September 30, 2022, there was approximately $20.9 million of expected future pre-tax compensation expense related to the 1.1 million non-vested stock options outstanding, which is expected to be recognized over a weighted average period of approximately two years.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non-vested restricted stock activity and related information: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126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15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December 31,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134.55</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86.31</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108.42</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September 30,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116.26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total fair value of restricted stock vested during the nine months ended September 30, 2022 was $13.5 million. As of September 30, 2022, there was approximately $32.3 million of expected future pre-tax compensation expense related to the 0.4 million non-vested restricted shares outstanding, which is expected to be recognized over a weighted average period of approximately two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March 2022, the Company granted performance restricted stock units ("PRSU") to officers and certain key management-level employees. The PRSUs vest over a period up to three years from the grant date based on continuous service, with the number of shares earned (0% to 200% of the target award) depending upon the extent to which the Company achieves certain financial and market performance targets measured over the period from January 1 of the year of grant to December 31 of the third year. Half of the PRSUs were valued in a manner similar to restricted stock as the financial targets are based on the Company’s operating results, which represents a performance condition. The grant date fair value of these PRSUs are recognized as compensation expense over the vesting period based on the probable number of awards to vest at each reporting date.</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other half of the PRSUs were valued using a Monte Carlo model as the performance target is related to the Company’s total shareholder return compared to a group of peer companies, which represents a market condition. The Company recognizes the grant date fair value of these awards as compensation expense ratably over the vesting period.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non-vested performance restricted stock activity and related information: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9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8040" w:type="dxa"/>
            <w:vAlign w:val="bottom"/>
          </w:tcPr>
          <w:p>
            <w:pPr>
              <w:spacing w:after="0"/>
              <w:rPr>
                <w:sz w:val="11"/>
                <w:szCs w:val="11"/>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1"/>
                <w:szCs w:val="11"/>
                <w:color w:val="auto"/>
              </w:rPr>
            </w:pPr>
          </w:p>
        </w:tc>
        <w:tc>
          <w:tcPr>
            <w:tcW w:w="1260" w:type="dxa"/>
            <w:vAlign w:val="bottom"/>
          </w:tcPr>
          <w:p>
            <w:pPr>
              <w:jc w:val="center"/>
              <w:ind w:right="157"/>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5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performance restricted stock outstanding at December 31,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134.69</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Performance assumption change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81.76</w:t>
            </w: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81.76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98.07</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performance restricted stock outstanding at September 30, 2022</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101.98</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ind w:left="120" w:hanging="112"/>
        <w:spacing w:after="0" w:line="220" w:lineRule="auto"/>
        <w:tabs>
          <w:tab w:leader="none" w:pos="1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number of PRSUs above target levels based on performance metrics.</w:t>
      </w:r>
    </w:p>
    <w:p>
      <w:pPr>
        <w:spacing w:after="0" w:line="10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there was approximately $8.8 million of expected future pre-tax compensation expense related to the 0.3 million non-vested restricted shares outstanding, which is expected to be recognized over a weighted average period of less than one year.</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Retirement and Pension Plans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net periodic pension benefit expense (income)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96"/>
        </w:trPr>
        <w:tc>
          <w:tcPr>
            <w:tcW w:w="4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r>
      <w:tr>
        <w:trPr>
          <w:trHeight w:val="196"/>
        </w:trPr>
        <w:tc>
          <w:tcPr>
            <w:tcW w:w="4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1,290</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2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3,995</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15,101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13,711</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(14,812)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(14,172)</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(45,113)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(42,567)</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16,282</w:t>
            </w:r>
          </w:p>
        </w:tc>
      </w:tr>
      <w:tr>
        <w:trPr>
          <w:trHeight w:val="223"/>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Pension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(6,499)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(19,646)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(6,514)</w:t>
            </w: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plans: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9,217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32,289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24,208</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plans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r>
      <w:tr>
        <w:trPr>
          <w:trHeight w:val="223"/>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plans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11,244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38,711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30,639</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pension expense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9,816</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19,065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For defined benefit plans, the net periodic benefit income, other than the service cost component, is included in “Other (expense) income, net” in the consolidated statement of income.</w:t>
      </w:r>
    </w:p>
    <w:p>
      <w:pPr>
        <w:spacing w:after="0" w:line="162"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and 2021, contributions to the Company’s defined benefit pension plans were $5.2 million and $6.4 million, respectively. The Company’s current estimate of 2022 contributions to its worldwide defined benefit pension plans is in line with the range disclosed in Note 12 of the Company’s Annual Report on Form 10-K for the year ended December 31,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tab/>
        <w:t>Contingencies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 Litigation</w:t>
      </w:r>
    </w:p>
    <w:p>
      <w:pPr>
        <w:spacing w:after="0" w:line="1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Certain historic processes in the manufacture of products have resulted in environmentally hazardous waste by-products as defined by federal and state laws and regulations. At September 30, 2022, the Company is named a Potentially Responsible Party (“PRP”) at 13 non-AMETEK-owned former waste disposal or treatment sites (the “non-owned” sites). The Company is identified as a “de minimis” party in 12 of these sites based on the low volume of waste attributed to the Company relative to the amounts attributed to other named PRPs. In eight of these sites, the Company has reached a tentative agreement on the cost of the de minimis settlement to satisfy its obligation and is awaiting executed agreements. The tentatively agreed-to settlement amounts are fully reserved. In the other four sites, the Company is continuing to investigate the accuracy of the alleged volume attributed to the Company as estimated by the parties primarily responsible for remedial activity at the sites to establish an appropriate settlement amount. At the remaining site where the Company is a non-de minimis PRP, the Company is participating in the investigation and/or related required remediation as part of a PRP Group and reserves have been established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 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 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spacing w:after="0" w:line="19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Total environmental reserves at September 30, 2022 and December 31, 2021 were $39.6 million and $37.2 million, respectively, for both non-owned and owned sites. For the nine months ended September 30, 2022, the Company recorded $8.8 million in reserves. Additionally, the Company spent $6.4 million on environmental matters for the nine months ended September 30, 2022.</w:t>
      </w:r>
    </w:p>
    <w:p>
      <w:pPr>
        <w:spacing w:after="0" w:line="176"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The Company has agreements with other former owners of certain of its acquired businesses, as well as new owners of previously owned businesses. Under certain of the agreements, the former or new owners retained, or assumed and agreed to indemnify the Company against, certain environmental and other liabilities under certain circumstances. The Company and some of these other parties also carry insurance coverage for some environmental matters.</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it has established reserves for the environmental matters described above, which are sufficient to perform all known responsibilities under existing claims and consent orders. In the opinion of management, based on presently available information and the Company’s historical experience related to such matters, an adequate provision for probable costs has been made and the ultimate cost resulting from these actions is not expected to materially affect the consolidated results of operations, financial position or cash flows of the Company.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net sales and income by reportable segment and on a consolidated basis: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238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196"/>
        </w:trPr>
        <w:tc>
          <w:tcPr>
            <w:tcW w:w="5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Instruments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1,054,124</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981,815</w:t>
            </w:r>
          </w:p>
        </w:tc>
        <w:tc>
          <w:tcPr>
            <w:tcW w:w="2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3,070,131</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2,706,673</w:t>
            </w: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Electromechanical</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497,662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458,866</w:t>
            </w:r>
          </w:p>
        </w:tc>
        <w:tc>
          <w:tcPr>
            <w:tcW w:w="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1,454,732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1,336,096</w:t>
            </w:r>
          </w:p>
        </w:tc>
      </w:tr>
      <w:tr>
        <w:trPr>
          <w:trHeight w:val="223"/>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sales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1,551,786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1,440,681</w:t>
            </w:r>
          </w:p>
        </w:tc>
        <w:tc>
          <w:tcPr>
            <w:tcW w:w="2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4,524,863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4,042,769</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53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and income before income taxes: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Electronic Instruments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272,714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245,118</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782,603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678,652</w:t>
            </w:r>
          </w:p>
        </w:tc>
      </w:tr>
      <w:tr>
        <w:trPr>
          <w:trHeight w:val="229"/>
        </w:trPr>
        <w:tc>
          <w:tcPr>
            <w:tcW w:w="53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Electromechanical</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136,467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114,571</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389,047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332,038</w:t>
            </w:r>
          </w:p>
        </w:tc>
      </w:tr>
      <w:tr>
        <w:trPr>
          <w:trHeight w:val="223"/>
        </w:trPr>
        <w:tc>
          <w:tcPr>
            <w:tcW w:w="5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409,181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359,689</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1,171,650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1,010,690</w:t>
            </w:r>
          </w:p>
        </w:tc>
      </w:tr>
      <w:tr>
        <w:trPr>
          <w:trHeight w:val="229"/>
        </w:trPr>
        <w:tc>
          <w:tcPr>
            <w:tcW w:w="53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Corporate administrative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(24,661)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(22,126)</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(69,048)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(63,171)</w:t>
            </w:r>
          </w:p>
        </w:tc>
      </w:tr>
      <w:tr>
        <w:trPr>
          <w:trHeight w:val="223"/>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384,520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337,563</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1,102,602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947,519</w:t>
            </w: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(20,476)</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(60,165)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(59,865)</w:t>
            </w: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7,752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r>
      <w:tr>
        <w:trPr>
          <w:trHeight w:val="223"/>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367,502</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319,668</w:t>
            </w:r>
          </w:p>
        </w:tc>
        <w:tc>
          <w:tcPr>
            <w:tcW w:w="2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1,050,189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883,879</w:t>
            </w:r>
          </w:p>
        </w:tc>
      </w:tr>
      <w:tr>
        <w:trPr>
          <w:trHeight w:val="21"/>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Events and Market Conditions</w:t>
      </w:r>
    </w:p>
    <w:p>
      <w:pPr>
        <w:spacing w:after="0" w:line="121"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Recent events and market conditions impacting our business include the inflationary cost environment, rising interest rates, supply chain constraints, the COVID-19 pandemic, and the ongoing conflict in Ukraine. As a result of these events and conditions, we anticipate a challenging global economic environment for the remainder of 2022 and into 2023.</w:t>
      </w:r>
    </w:p>
    <w:p>
      <w:pPr>
        <w:spacing w:after="0" w:line="6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Beginning in 2021, we experienced heightened levels of inflation in material and transportation costs. We have taken steps to mitigate the impacts of material and transportation cost inflation by implementing pricing actions. We experienced additional pressure in our supply chain due to component shortages and strained transportation capacity, as well as the impact of continued elevated customer demand. In response to these supply chain pressures, we have taken actions to build inventory and seek alternative sources of supply to support sales and backlog growth. The inflationary environment has also resulted in central banks raising short-term interest rates. We expect inflation to continue into 2023 and will continue to take actions to mitigate this inflationary pressure.</w:t>
      </w:r>
    </w:p>
    <w:p>
      <w:pPr>
        <w:spacing w:after="0" w:line="79"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There still remains uncertainty around the COVID-19 pandemic, its effect on labor, government mandated lockdowns and other restrictive measures, and the pandemic's ultimate duration. Lockdowns in China during the first half of 2022 limited our ability to access customer sites, operate certain facilities, and placed additional constraints on our supply chain. Depending on the course of the pandemic, additional lockdowns in China or elsewhere could impact our operations and results of operations.</w:t>
      </w:r>
    </w:p>
    <w:p>
      <w:pPr>
        <w:spacing w:after="0" w:line="7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invasion of Ukraine by Russia and the sanctions imposed in response to this conflict have increased global economic and political uncertainty. Russia and Ukraine represent an insignificant portion of our business, but a significant expansion of the conflict's current scope could further complicate the economic environment.</w:t>
      </w:r>
    </w:p>
    <w:p>
      <w:pPr>
        <w:spacing w:after="0" w:line="68"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While the ultimate impact of these events remains uncertain, we will continue to evaluate the extent to which these factors will impact our business, financial condition, and results of operations.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third quarter of 2022 compared with the third quarter of 2021</w:t>
      </w:r>
    </w:p>
    <w:p>
      <w:pPr>
        <w:spacing w:after="0" w:line="229" w:lineRule="exact"/>
        <w:rPr>
          <w:sz w:val="20"/>
          <w:szCs w:val="20"/>
          <w:color w:val="auto"/>
        </w:rPr>
      </w:pPr>
    </w:p>
    <w:p>
      <w:pPr>
        <w:ind w:right="680" w:firstLine="648"/>
        <w:spacing w:after="0" w:line="312" w:lineRule="auto"/>
        <w:rPr>
          <w:sz w:val="20"/>
          <w:szCs w:val="20"/>
          <w:color w:val="auto"/>
        </w:rPr>
      </w:pPr>
      <w:r>
        <w:rPr>
          <w:rFonts w:ascii="Times New Roman" w:cs="Times New Roman" w:eastAsia="Times New Roman" w:hAnsi="Times New Roman"/>
          <w:sz w:val="17"/>
          <w:szCs w:val="17"/>
          <w:color w:val="auto"/>
        </w:rPr>
        <w:t>For the quarter ended September 30, 2022, the Company posted record sales, operating income, and backlog as well as strong orders. The Company achieved these results from organic sales growth in both EIG and EMG, as well as the Company's Operational Excellence initiatives.</w:t>
      </w:r>
    </w:p>
    <w:p>
      <w:pPr>
        <w:spacing w:after="0" w:line="140"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Net sales for the third quarter of 2022 were a record $1,551.8 million, an increase of $111.1 million or 7.7%, compared with net sales of $1,440.7 million for the third quarter of 2021. The increase in net sales for the third quarter of 2022 was due to an 11% increase in organic sales and a 1% increase from acquisitions, partially offset by an unfavorable 4% effect of foreign currency translation.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Total international sales for the third quarter of 2022 were $733.0 million or 47.2% of net sales, an increase of $31.9 million or 4.5%, compared with international sales of $701.1 million or 48.7% of net sales for the third quarter of 2021. The increase in international sales was primarily driven by strong demand in Asia during the quarter as well as contributions from recent acquisitions.</w:t>
      </w:r>
    </w:p>
    <w:p>
      <w:pPr>
        <w:spacing w:after="0" w:line="17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Orders for the third quarter of 2022 were $1,657.9 million, a increase of $105.3 million or 6.8%, compared with $1,552.6 million for the third quarter of 2021. The increase in orders for the third quarter of 2022 was due to a 9% increase in organic orders and a 3% increase from acquisitions, partially offset by an unfavorable 5% effect of foreign currency translation. As a result, the Company's backlog of unfilled orders at September 30, 2022 was a record $3,210.5 million, an increase of $480.4 million or 17.6% compared with $2,730.1 million at December 31, 2021.</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Segment operating income for the third quarter of 2022 was $409.2 million, an increase of $49.5 million or 13.8%, compared with segment operating income of $359.7 million for the third quarter of 2021. Segment operating margins, as a percentage of net sales, increased to 26.4% for the third quarter of 2022, compared with 25.0% for the third quarter of 2021. Segment operating income and operating margins were positively impacted in 2022 by the increase in sales discussed above including pricing actions in the third quarter of 2022 to offset the impact of higher material and transportation costs. Segment operating income and margins also increased due to continued benefits from the Company's Operational Excellence initiatives.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sales for the third quarter of 2022 was $1,004.6 million or 64.7% of net sales, an increase of $55.2 million or 5.8%, compared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$949.4 million or 65.9% of net sales for the third quarter of 2021. The cost of sales increase was primarily due to the net sales increase discussed above.</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the third quarter of 2022 were $162.7 million or 10.5% of net sales, an increase of $9.0 million or 5.8%, compared with $153.7 million or 10.7% of net sales for the third quarter of 2021.</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Consolidated operating income was a record $384.5 million or 24.8% of net sales for the third quarter of 2022, an increase of $46.9 million or 13.9%, compared with $337.6 million or 23.4% of net sales for the third quarter of 2021.</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Other income, net was $3.2 million for the third quarter of 2022, compared with $2.6 million of other income, net for the third quarter of 2021, an increase of $0.6 million. The third quarter of 2022 includes higher pension income of $2.4 million partially offset by higher due diligence expense compared to the third quarter of 2021.</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third quarter of 2022 was 19.0%, compared with 19.5% for the third quarter of 2021. The lower effective tax rate in the third quarter of 2022 is primarily due to a favorable foreign rate differential and favorable foreign deferred taxes.</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Net income for the third quarter of 2022 was $297.6 million, an increase of $40.1 million or 15.6%, compared with $257.5 million for the third quarter of 2021.</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Diluted earnings per share for the third quarter of 2022 were $1.29, an increase of $0.19 or 17.3%, compared with $1.10 per diluted share for the third quarter of 2021.</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5"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EIG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 net sales totaled $1,054.1 million for the third quarter of 2022, an increase of $72.3 million or 7.4%, compared with $981.8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quarter of 2021. The net sales increase was due to a 10% increase in organic sales and a 1% increase from acquisitions, partially offset by an unfavorable 3% effect of foreign currency translation.</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EIG’s operating income was $272.7 million for the third quarter of 2022, an increase of $27.6 million or 11.3%, compared with $245.1 million for the third quarter of 2021. EIG’s operating margins were 25.9% of net sales for the third quarter of 2022, compared with 25.0% for the third quarter of 2021. EIG operating income and margins increased compared to the third quarter of 2021 due to the increase in net sales and pricing actions discussed above as well as continued benefits from the Company's Operational Excellence initiatives.</w:t>
      </w:r>
    </w:p>
    <w:p>
      <w:pPr>
        <w:spacing w:after="0" w:line="176"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EMG’s </w:t>
      </w:r>
      <w:r>
        <w:rPr>
          <w:rFonts w:ascii="Times New Roman" w:cs="Times New Roman" w:eastAsia="Times New Roman" w:hAnsi="Times New Roman"/>
          <w:sz w:val="18"/>
          <w:szCs w:val="18"/>
          <w:color w:val="auto"/>
        </w:rPr>
        <w:t>net sales totaled a record $497.7 million for the third quarter of 2022, an increase of $38.8 million or 8.5%, compared with $458.9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third quarter of 2021. The net sales increase was due to an 13% organic sales increase, partially offset by an unfavorable 4% effect of foreign currency translation.</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EMG’s operating income was a record $136.5 million for the third quarter of 2022, an increase of $21.9 million or 19.1%, compared with</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$114.6 million for the third quarter of 2021. EMG’s operating margins were a record 27.4% of net sales for the third quarter of 2022, compared with 25.0% for the third quarter of 2021. EMG operating income and margins increased compared to the third quarter of 2021 due to the increase in net sales and pricing actions discussed above as well as continued benefits from the Company's Operational Excellence initiatives.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first nine months of 2022 compared with the first nine months of 2021</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for the first nine months of 2022 were $4,524.9 million, an increase of $482.1 million or 11.9%, compared with net sales of</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$4,042.8 million for the first nine months of 2021. The increase in net sales for the first nine months of 2022 was due to a 12% organic sales increase and a 2% increase from acquisitions, partially offset by an unfavorable 2% effect of foreign currency translation.</w:t>
      </w:r>
    </w:p>
    <w:p>
      <w:pPr>
        <w:spacing w:after="0" w:line="181"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Total international sales for the first nine months of 2022 were $2,198.6 million or 48.6% of net sales, an increase of $215.5 million or 10.9%, compared with international sales of $1,983.1 million or 49.1% of net sales for the first nine months of 2021. The increase in international sales was primarily driven by strong demand in all regions as well as contributions from recent acquisitions.</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Orders for the first nine months of 2022 were $5,005.3 million, an increase of $141.3 million or 2.9%, compared with $4,864.0 million for the first nine months of 2021. The increase in orders for the first nine months of 2022 was due to a 12% organic order increase, partially offset by a 5% decrease from $371 million of acquired backlog from the 2021 acquisitions, as well as a 4% unfavorable effect of foreign currency translation.</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Segment operating income for the first nine months of 2022 was $1,171.7 million, an increase of $161.0 million or 15.9%, compared with segment operating income of $1,010.7 million for the first nine months of 2021. During the first nine months of 2022, the Company implemented pricing actions to offset the impact of higher material and transportation costs. Segment operating income was positively impacted in 2022 by the pricing actions and increase in sales discussed above. Segment operating margins, as a percentage of net sales, increased to 25.9% for the first nine months of 2022, compared with</w:t>
      </w:r>
    </w:p>
    <w:p>
      <w:pPr>
        <w:spacing w:after="0" w:line="3"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25.0% for the first nine months of 2021. Segment operating margins for the first nine months of 2022 were negatively impacted by the dilutive impact of the 2021 acquisitions. Excluding the dilutive impact of recent acquisitions, segment operating margins for the core businesses increased 150 basis points compared to the first nine months of 2021, due to the Company's Operational Excellence initiatives.</w:t>
      </w:r>
    </w:p>
    <w:p>
      <w:pPr>
        <w:spacing w:after="0" w:line="18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Cost of sales for the first nine months of 2022 was $2,941.6 million or 65.0% of net sales, an increase of $290.1 million or 10.9%, compared with $2,651.5 million or 65.6% of net sales for the first nine months of 2021. The cost of sales increase was primarily due to the net sales increase discussed above.</w:t>
      </w:r>
    </w:p>
    <w:p>
      <w:pPr>
        <w:spacing w:after="0" w:line="17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Selling, general and administrative expenses for the first nine months of 2022 were $480.7 million or 10.6% of net sales, an increase of</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$37.0 million or 8.3%, compared with $443.7 million or 11.0% of net sales for the first nine months of 2021. Selling, general and administrative expenses increased primarily due to the net sales increase discussed above.</w:t>
      </w:r>
    </w:p>
    <w:p>
      <w:pPr>
        <w:spacing w:after="0" w:line="181"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Consolidated operating income was $1,102.6 million or 24.4% of net sales for the first nine months of 2022, an increase of $155.1 million or 16.4%, compared with $947.5 million or 23.4% of net sales for the first nine months of 2021.</w:t>
      </w:r>
    </w:p>
    <w:p>
      <w:pPr>
        <w:spacing w:after="0" w:line="16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Other income, net was $7.8 million for the first nine months of 2022, compared with $3.8 million of other expense, net for the first nine months of 2021, a change of $11.6 million. The first nine months of 2022 includes higher pension income of $7.4 million and lower acquisition-related due diligence expense compared to the first nine months of 2021.</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for the first nine months of 2022 was 18.8%, compared with 19.9% for the first nine months of 2021. The lower effective tax rate in 2022 is primarily due to improved foreign-derived intangible income ("FDII") benefits and a favorable foreign tax rate differential.</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Net income for the first nine months of 2022 was $852.5 million, an increase of $144.1 million or 20.3%, compared with $708.4 million for the first nine months of 2021.</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Diluted earnings per share for the first nine months of 2022 were $3.68, an increase of $0.64 or 21.1%, compared with $3.04 per diluted share for the first nine months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EIG’</w:t>
      </w:r>
      <w:r>
        <w:rPr>
          <w:rFonts w:ascii="Times New Roman" w:cs="Times New Roman" w:eastAsia="Times New Roman" w:hAnsi="Times New Roman"/>
          <w:sz w:val="18"/>
          <w:szCs w:val="18"/>
          <w:color w:val="auto"/>
        </w:rPr>
        <w:t>s net sales totaled $3,070.1 million for the first nine months of 2022, an increase of $363.4 million or 13.4%, compared with $2,706.7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first nine months of 2021. The net sales increase was due to a 12% organic sales increase and a 3% increase from acquisitions, partially offset by an unfavorable 2% effect of foreign currency translation.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EIG’s operating income was $782.6 million for the first nine months of 2022, an increase of $103.9 million or 15.3%, compared with</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$678.7 million for the first nine months of 2021. EIG’s operating margins were 25.5% of net sales for the first nine months of 2022, compared with 25.1% for the first nine months of 2021. EIG's operating margins in the first nine months of 2022 were negatively impacted by the dilutive impact of the 2021 acquisitions. Excluding the dilutive impact of the 2021 acquisitions, EIG operating margins increased 130 basis points compared to the first nine months of 2021, due to the pricing actions and increase in net sales discussed above, as well as continued benefits from the Company's Operational Excellence initiatives.</w:t>
      </w:r>
    </w:p>
    <w:p>
      <w:pPr>
        <w:spacing w:after="0" w:line="183"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EMG’s </w:t>
      </w:r>
      <w:r>
        <w:rPr>
          <w:rFonts w:ascii="Times New Roman" w:cs="Times New Roman" w:eastAsia="Times New Roman" w:hAnsi="Times New Roman"/>
          <w:sz w:val="18"/>
          <w:szCs w:val="18"/>
          <w:color w:val="auto"/>
        </w:rPr>
        <w:t>net sales totaled $1,454.7 million for the first nine months of 2022, an increase of $118.6 million or 8.9%, compared with $1,336.1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first nine months of 2021. The net sales increase was due to a 12% organic sales increase, partially offset by an unfavorable 3% effect of foreign currency translation.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EMG’s operating income was $389.0 million for the first nine months of 2022, an increase of $57.0 million or 17.2%, compared with</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$332.0 million for the first nine months of 2021. EMG's operating income included a $7.1 million gain on the sale of a facility during the first nine months of 2022. EMG’s operating margins were 26.7% of net sales for the first nine months of 2022, compared with 24.9% for the first nine months of 2021. Excluding the gain on the sale of a facility, EMG operating margins increased 140 basis points compared to the first nine months of 2021, due to the pricing actions and increase in net sales discussed above, as well as continued benefits from the Company's Operational Excellence initiatives.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totaled $764.4 million for the first nine months of 2022, a decrease of $114.2 million or 13.0%, compared with $878.6 million for the first nine months of 2021. The decrease in cash provided by operating activities for the first nine months of 2022 was primarily due to higher investments in inventory to support sales and backlog growth, and to mitigate inventory supply chain constraints, partially offset by higher net income.</w:t>
      </w:r>
    </w:p>
    <w:p>
      <w:pPr>
        <w:spacing w:after="0" w:line="180"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Free cash flow (cash flow provided by operating activities less capital expenditures) was $683.5 million for the first nine months of 2022, compared with $811.3 million for the first nine months of 2021. EBITDA (earnings before interest, income taxes, depreciation and amortization) was $1,340.3 million for the first nine months of 2022, compared with $1,157.2 million for the first nine months of 2021. Free cash flow and EBITDA are presented because the Company is aware that they are measures used by third parties in evaluating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used by investing activities totaled $255.5 million for the first nine months of 2022, compared with cash used by investing activities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$1,895.2 million for the first nine months of 2021. For the first nine months of 2022, the Company paid $190.3 million, net of cash acquired, to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Navitar, Inc. For the first nine months of 2021, the Company paid $1,839.7 million, net of cash acquired, to purchase Abaco Systems, Magnetrol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NSI-MI Technologies, Crank Software, and EGS Automation. Additions to property, plant and equipment totaled $80.8 million for the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of 2022, compared with $67.2 million for the first nine months of 2021.</w:t>
      </w:r>
    </w:p>
    <w:p>
      <w:pPr>
        <w:spacing w:after="0" w:line="20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Cash used by financing activities totaled $501.2 million for the first nine months of 2022, compared with cash provided by financing activities of $171.2 million for the first nine months of 2021. At September 30, 2022, total debt, net was $2,357.4 million, compared with $2,544.2 million at December 31, 2021. For the first nine months of 2022, total borrowings decreased by $26.3 million compared with a $286.1 million increase for the first nine months of 2021. At September 30, 2022, the Company had available borrowing capacity of $2,685.9 million under its revolving credit facility, including the $700 million accordion feature.</w:t>
      </w:r>
    </w:p>
    <w:p>
      <w:pPr>
        <w:spacing w:after="0" w:line="75" w:lineRule="exact"/>
        <w:rPr>
          <w:sz w:val="20"/>
          <w:szCs w:val="20"/>
          <w:color w:val="auto"/>
        </w:rPr>
      </w:pPr>
    </w:p>
    <w:p>
      <w:pPr>
        <w:jc w:val="both"/>
        <w:ind w:right="80" w:firstLine="648"/>
        <w:spacing w:after="0" w:line="281" w:lineRule="auto"/>
        <w:rPr>
          <w:sz w:val="20"/>
          <w:szCs w:val="20"/>
          <w:color w:val="auto"/>
        </w:rPr>
      </w:pPr>
      <w:r>
        <w:rPr>
          <w:rFonts w:ascii="Times New Roman" w:cs="Times New Roman" w:eastAsia="Times New Roman" w:hAnsi="Times New Roman"/>
          <w:sz w:val="17"/>
          <w:szCs w:val="17"/>
          <w:color w:val="auto"/>
        </w:rPr>
        <w:t>On May 12, 2022, the Company along with certain of its foreign subsidiaries amended and restated its credit agreement dated as of September 22, 2011, as amended and restated as of March 10, 2016 and as further amended and restated as of October 30, 2018, with the lenders, JPMorgan Chase Bank, N.A., as Administrative Agent and Bank of America, N.A., PNC Bank, National Association, Trust Bank and Wells Fargo Bank, National Association, as Co-Syndication Agents. The credit agreement amends and restates the Company’s existing revolving credit facility to increase the size from $1.5 billion to</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$2.3 billion and terminates the $800 million term loan. The credit agreement places certain restrictions on allowable additional indebtedness. At September 30, 2022, the Company had $274.0 million outstanding on the revolver with a maturity date of May 2027.</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debt-to-capital ratio was 24.8% at September 30, 2022, compared with 27.0% at December 31, 2021. The net debt-to-capital ratio (total debt, net less cash and cash equivalents divided by the sum of net debt and stockholders’ equity) was 22.3% at September 30, 2022, compared with 24.2% at December 31, 2021. The net debt-to-capital ratio is presented because the Company is aware that this measure is used by third parties in evaluating the Company.</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Additional financing activities for the first nine months of 2022 included cash dividends paid of $151.6 million, compared with $138.3 million for the first nine months of 2021. Effective February 9, 2022, the Company’s Board of Directors approved a 10% increase in the quarterly cash dividend on the Company’s common stock to $0.22 per common share from $0.20 per common share. The Company repurchased $331.4 million of its common stock for the first nine months of 2022, compared with $13.1 million for the first nine months of 2021. Effective May 5, 2022, the Company's Board of Directors approved a $1 billion share repurchase authorization. This authorization replaces an earlier $500 million share repurchase authorization approved by the Board in February 2019. Proceeds from stock option exercises were $23.2 million for the first nine months of 2022, compared with $42.3 million for the first nine months of 2021.</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As a result of all of the Company’s cash flow activities for the first nine months of 2022, cash and cash equivalents at September 30, 2022 totaled $309.9 million, compared with $346.8 million at December 31, 2021. At September 30, 2022, the Company had $290.7 million in cash outside the United States, compared with $334.0 million at December 31, 2021. The Company utilizes this cash to fund its international operations, as well as to acquire international businesses. The Company is in compliance with all covenants, including financial covenants, for all of its debt agreements. The Company believes it has sufficient cash-generating capabilities from domestic and unrestricted foreign sources, available credit facilities and access to long-term capital funds to enable it to meet its operating needs and contractual obligations in the foreseeable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Company’s critical accounting policies are detailed in Part II, Item 7, Management’s Discussion and Analysis of Financial Condition of its Annual Report on Form 10-K for the year ended December 31, 2021. Primary disclosure of the Company’s significant accounting policies is also included in Note 1 to the Consolidated Financial Statements included in Part II, Item 8 of its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Information contained in this discussion, other than historical information, is considered “forward-looking statements” and is subject to various factors and uncertainties that may cause actual results to differ significantly from expectations. These factors and uncertainties include risks related to the COVID-19 pandemic and its potential impact on AMETEK’s operations, supply chain, and demand across key end markets; general economic conditions affecting the industries the Company serves; changes in the competitive environment or the effects of competition in the Company’s markets; risks associated with international sales and operations; the Company’s ability to consummate and successfully integrate future acquisitions; the Company’s ability to successfully develop new products, open new facilities or transfer product lines; the price and availability of raw materials; compliance with government regulations, including environmental regulations; and the ability to maintain adequate liquidity and financing sources. A detailed discussion of these and other factors that may affect the Company’s future results is contained in AMETEK’s filings with the U.S. Securities and Exchange Commission, including its most recent reports on Form 10-K, 10-Q, and 8-K. AMETEK disclaims any intention or obligation to update or revise any forward-looking statements, unless required by the securities laws to do so.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color w:val="auto"/>
        </w:rPr>
        <w:t>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September 30, 2022. Based on that evaluation, the Company’s principal executive officer and principal financial officer concluded that the Company’s disclosure controls and procedures are effective at the reasonable assurance level.</w:t>
      </w:r>
    </w:p>
    <w:p>
      <w:pPr>
        <w:spacing w:after="0" w:line="79"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Such evaluation did not identify any change in the Company’s internal control over financial reporting during the quarter ended September 30, 2022 that has materially affected, or is reasonably likely to materially affect, the Company’s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Purchase of equity securities by the issuer and affiliated purchasers.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purchases of AMETEK, Inc. common stock by the Company during the three months ended September 30,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204"/>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 (1)(2)</w:t>
            </w:r>
          </w:p>
        </w:tc>
        <w:tc>
          <w:tcPr>
            <w:tcW w:w="22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the Plan</w:t>
            </w:r>
          </w:p>
        </w:tc>
        <w:tc>
          <w:tcPr>
            <w:tcW w:w="0" w:type="dxa"/>
            <w:vAlign w:val="bottom"/>
          </w:tcPr>
          <w:p>
            <w:pPr>
              <w:spacing w:after="0"/>
              <w:rPr>
                <w:sz w:val="1"/>
                <w:szCs w:val="1"/>
                <w:color w:val="auto"/>
              </w:rPr>
            </w:pPr>
          </w:p>
        </w:tc>
      </w:tr>
      <w:tr>
        <w:trPr>
          <w:trHeight w:val="37"/>
        </w:trPr>
        <w:tc>
          <w:tcPr>
            <w:tcW w:w="474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2022 to July 31,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825,299,713</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2022 to August 31, 2022</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825,299,713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2022 to September 30, 2022</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825,299,713</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7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540" w:hanging="652"/>
        <w:spacing w:after="0" w:line="260" w:lineRule="auto"/>
        <w:tabs>
          <w:tab w:leader="none" w:pos="40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surrendered to the Company to satisfy tax withholding obligations in connection with employees’ share-based compensation awards.</w:t>
      </w:r>
    </w:p>
    <w:p>
      <w:pPr>
        <w:spacing w:after="0" w:line="194" w:lineRule="exact"/>
        <w:rPr>
          <w:rFonts w:ascii="Times New Roman" w:cs="Times New Roman" w:eastAsia="Times New Roman" w:hAnsi="Times New Roman"/>
          <w:sz w:val="18"/>
          <w:szCs w:val="18"/>
          <w:color w:val="auto"/>
        </w:rPr>
      </w:pPr>
    </w:p>
    <w:p>
      <w:pPr>
        <w:ind w:left="660" w:hanging="652"/>
        <w:spacing w:after="0" w:line="245" w:lineRule="auto"/>
        <w:tabs>
          <w:tab w:leader="none" w:pos="44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number of shares purchased pursuant to the Company’s Board of Directors $1 billion authorization for the repurchase of its common stock announced in May 2022, which replaces the previous $500 million authorization for the repurchase of its common stock announced in February 2019. Such purchases may be effected from time to time in the open market or in private transactions, subject to market conditions and at management’s discretion.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440" w:type="dxa"/>
            <w:vAlign w:val="bottom"/>
            <w:gridSpan w:val="3"/>
            <w:vMerge w:val="restart"/>
          </w:tcPr>
          <w:p>
            <w:pPr>
              <w:ind w:left="4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4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4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42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906 of the Sarbanes-Oxley Act of 2002.</w:t>
            </w:r>
          </w:p>
        </w:tc>
        <w:tc>
          <w:tcPr>
            <w:tcW w:w="40" w:type="dxa"/>
            <w:vAlign w:val="bottom"/>
            <w:tcBorders>
              <w:top w:val="single" w:sz="8" w:color="0000FF"/>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7"/>
              </w:rPr>
              <w:t>101.SCH*</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9"/>
              </w:rPr>
              <w:t>101.DEF*</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4"/>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760" w:right="640" w:hanging="1266"/>
        <w:spacing w:after="0" w:line="237" w:lineRule="auto"/>
        <w:tabs>
          <w:tab w:leader="none" w:pos="1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Filed electronically herewith.</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u w:val="single" w:color="auto"/>
          <w:color w:val="auto"/>
        </w:rPr>
        <w:t>AMETEK, Inc.</w:t>
      </w:r>
    </w:p>
    <w:p>
      <w:pPr>
        <w:spacing w:after="0" w:line="200" w:lineRule="exact"/>
        <w:rPr>
          <w:sz w:val="20"/>
          <w:szCs w:val="20"/>
          <w:color w:val="auto"/>
        </w:rPr>
      </w:pPr>
    </w:p>
    <w:p>
      <w:pPr>
        <w:spacing w:after="0" w:line="336"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THOMAS M.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Thomas M. Montgomery</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Senior Vice President – Comptroller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20"/>
          </w:cols>
          <w:pgMar w:left="320" w:top="121" w:right="65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Zapico, certify that:</w:t>
      </w:r>
    </w:p>
    <w:p>
      <w:pPr>
        <w:spacing w:after="0" w:line="11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AMETEK, Inc. (the “registrant”);</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2022</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6"/>
          <w:szCs w:val="16"/>
          <w:color w:val="auto"/>
        </w:rPr>
        <w:t>AVID</w:t>
      </w:r>
      <w:r>
        <w:rPr>
          <w:rFonts w:ascii="Times New Roman" w:cs="Times New Roman" w:eastAsia="Times New Roman" w:hAnsi="Times New Roman"/>
          <w:sz w:val="18"/>
          <w:szCs w:val="18"/>
          <w:color w:val="auto"/>
        </w:rPr>
        <w:t xml:space="preserve"> A. Z</w:t>
      </w:r>
      <w:r>
        <w:rPr>
          <w:rFonts w:ascii="Times New Roman" w:cs="Times New Roman" w:eastAsia="Times New Roman" w:hAnsi="Times New Roman"/>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17145</wp:posOffset>
            </wp:positionV>
            <wp:extent cx="2588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David A. Zapico</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ectPr>
          <w:pgSz w:w="11900" w:h="16838" w:orient="portrait"/>
          <w:cols w:equalWidth="0" w:num="1">
            <w:col w:w="11240"/>
          </w:cols>
          <w:pgMar w:left="320" w:top="995"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Burke, certify that:</w:t>
      </w:r>
    </w:p>
    <w:p>
      <w:pPr>
        <w:spacing w:after="0" w:line="117" w:lineRule="exact"/>
        <w:rPr>
          <w:sz w:val="20"/>
          <w:szCs w:val="20"/>
          <w:color w:val="auto"/>
        </w:rPr>
      </w:pPr>
    </w:p>
    <w:p>
      <w:pPr>
        <w:jc w:val="both"/>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2022</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WILLIAM J.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17145</wp:posOffset>
            </wp:positionV>
            <wp:extent cx="2588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William J. Burke</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ectPr>
          <w:pgSz w:w="11900" w:h="16838" w:orient="portrait"/>
          <w:cols w:equalWidth="0" w:num="1">
            <w:col w:w="11240"/>
          </w:cols>
          <w:pgMar w:left="320" w:top="995"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AMETEK, Inc. (the “Company”) on Form 10-Q for the quarter ended September 30, 2022 as filed with the Securities and Exchange Commission on the date hereof (the “Report”), I, David A. Zapico, Chairman of the Board and Chief Executive Officer of the Company, certify, pursuant to 18 U.S.C. Section 1350, as adopted pursuant to Section 906 of the Sarbanes-Oxley Act of 2002, that:</w:t>
      </w:r>
    </w:p>
    <w:p>
      <w:pPr>
        <w:spacing w:after="0" w:line="68"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6"/>
          <w:szCs w:val="16"/>
          <w:color w:val="auto"/>
        </w:rPr>
        <w:t>AVID</w:t>
      </w:r>
      <w:r>
        <w:rPr>
          <w:rFonts w:ascii="Times New Roman" w:cs="Times New Roman" w:eastAsia="Times New Roman" w:hAnsi="Times New Roman"/>
          <w:sz w:val="18"/>
          <w:szCs w:val="18"/>
          <w:color w:val="auto"/>
        </w:rPr>
        <w:t xml:space="preserve"> A. Z</w:t>
      </w:r>
      <w:r>
        <w:rPr>
          <w:rFonts w:ascii="Times New Roman" w:cs="Times New Roman" w:eastAsia="Times New Roman" w:hAnsi="Times New Roman"/>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00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A. Zapico</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2022</w:t>
      </w:r>
    </w:p>
    <w:p>
      <w:pPr>
        <w:spacing w:after="0" w:line="200" w:lineRule="exact"/>
        <w:rPr>
          <w:sz w:val="20"/>
          <w:szCs w:val="20"/>
          <w:color w:val="auto"/>
        </w:rPr>
      </w:pPr>
    </w:p>
    <w:p>
      <w:pPr>
        <w:spacing w:after="0" w:line="2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AMETEK, Inc. and will be retained by AMETEK, Inc. and furnished to the Securities and Exchange Commission or its staff upon request.</w:t>
      </w:r>
    </w:p>
    <w:p>
      <w:pPr>
        <w:sectPr>
          <w:pgSz w:w="11900" w:h="16838" w:orient="portrait"/>
          <w:cols w:equalWidth="0" w:num="1">
            <w:col w:w="11240"/>
          </w:cols>
          <w:pgMar w:left="320" w:top="995"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AMETEK, Inc. (the “Company”) on Form 10-Q for the quarter ended September 30, 2022 as filed with the Securities and Exchange Commission on the date hereof (the “Report”), I, William J. Burke, Executive Vice President – Chief Financial Officer of the Company, certify, pursuant to 18 U.S.C. Section 1350, as adopted pursuant to Section 906 of the Sarbanes-Oxley Act of 2002, that:</w:t>
      </w:r>
    </w:p>
    <w:p>
      <w:pPr>
        <w:spacing w:after="0" w:line="68"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6"/>
          <w:szCs w:val="16"/>
          <w:color w:val="auto"/>
        </w:rPr>
        <w:t>ILLIAM</w:t>
      </w:r>
      <w:r>
        <w:rPr>
          <w:rFonts w:ascii="Times New Roman" w:cs="Times New Roman" w:eastAsia="Times New Roman" w:hAnsi="Times New Roman"/>
          <w:sz w:val="18"/>
          <w:szCs w:val="18"/>
          <w:color w:val="auto"/>
        </w:rPr>
        <w:t xml:space="preserve"> J. B</w:t>
      </w:r>
      <w:r>
        <w:rPr>
          <w:rFonts w:ascii="Times New Roman" w:cs="Times New Roman" w:eastAsia="Times New Roman" w:hAnsi="Times New Roman"/>
          <w:sz w:val="16"/>
          <w:szCs w:val="16"/>
          <w:color w:val="auto"/>
        </w:rPr>
        <w:t>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00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J. Burke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2022</w:t>
      </w:r>
    </w:p>
    <w:p>
      <w:pPr>
        <w:spacing w:after="0" w:line="200" w:lineRule="exact"/>
        <w:rPr>
          <w:sz w:val="20"/>
          <w:szCs w:val="20"/>
          <w:color w:val="auto"/>
        </w:rPr>
      </w:pPr>
    </w:p>
    <w:p>
      <w:pPr>
        <w:spacing w:after="0" w:line="2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AMETEK, Inc. and will be retained by AMETEK, Inc. and furnished to the Securities and Exchange Commission or its staff upon request.</w:t>
      </w: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2022-11-01T13:30:14Z</dcterms:created>
  <dcterms:modified xsi:type="dcterms:W3CDTF">2022-11-01T13:30:14Z</dcterms:modified>
</cp:coreProperties>
</file>