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1"/>
          <w:szCs w:val="11"/>
          <w:color w:val="auto"/>
        </w:rPr>
        <w:t>__________________________________________</w:t>
      </w:r>
    </w:p>
    <w:p>
      <w:pPr>
        <w:spacing w:after="0" w:line="19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59"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1"/>
          <w:szCs w:val="11"/>
          <w:color w:val="auto"/>
        </w:rPr>
        <w:t>__________________________________________</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1120" w:hanging="660"/>
        <w:spacing w:after="0"/>
        <w:tabs>
          <w:tab w:leader="none" w:pos="112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ANNUAL REPORT PURSUANT TO SECTION 15(d) OF THE SECURITIES EXCHANGE ACT OF 1934</w:t>
      </w:r>
    </w:p>
    <w:p>
      <w:pPr>
        <w:spacing w:after="0" w:line="26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97" w:lineRule="exact"/>
        <w:rPr>
          <w:sz w:val="24"/>
          <w:szCs w:val="24"/>
          <w:color w:val="auto"/>
        </w:rPr>
      </w:pPr>
    </w:p>
    <w:p>
      <w:pPr>
        <w:ind w:left="1120" w:right="40" w:hanging="660"/>
        <w:spacing w:after="0" w:line="300" w:lineRule="auto"/>
        <w:tabs>
          <w:tab w:leader="none" w:pos="11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73" w:lineRule="exact"/>
        <w:rPr>
          <w:sz w:val="24"/>
          <w:szCs w:val="24"/>
          <w:color w:val="auto"/>
        </w:rPr>
      </w:pPr>
    </w:p>
    <w:p>
      <w:pPr>
        <w:ind w:left="980"/>
        <w:spacing w:after="0"/>
        <w:tabs>
          <w:tab w:leader="none" w:pos="42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Commission File Number 1-12981</w:t>
      </w:r>
    </w:p>
    <w:p>
      <w:pPr>
        <w:spacing w:after="0" w:line="234"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1"/>
          <w:szCs w:val="11"/>
          <w:color w:val="auto"/>
        </w:rPr>
        <w:t>__________________________________________</w:t>
      </w:r>
    </w:p>
    <w:p>
      <w:pPr>
        <w:spacing w:after="0" w:line="18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THE AMETEK RETIREMENT AND</w:t>
      </w:r>
    </w:p>
    <w:p>
      <w:pPr>
        <w:spacing w:after="0" w:line="8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43"/>
          <w:szCs w:val="43"/>
          <w:b w:val="1"/>
          <w:bCs w:val="1"/>
          <w:color w:val="auto"/>
        </w:rPr>
        <w:t>SAVINGS PLAN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(Full title of the plan)</w:t>
      </w:r>
    </w:p>
    <w:p>
      <w:pPr>
        <w:spacing w:after="0" w:line="210"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1"/>
          <w:szCs w:val="11"/>
          <w:color w:val="auto"/>
        </w:rPr>
        <w:t>__________________________________________</w:t>
      </w:r>
    </w:p>
    <w:p>
      <w:pPr>
        <w:spacing w:after="0" w:line="21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AMETEK, Inc.</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1100 Cassatt Road</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Berwyn, Pennsylvania 19312-1177</w:t>
      </w:r>
    </w:p>
    <w:p>
      <w:pPr>
        <w:spacing w:after="0" w:line="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(Name of issuer of the securities held pursuant to the plan</w:t>
      </w:r>
    </w:p>
    <w:p>
      <w:pPr>
        <w:spacing w:after="0" w:line="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and the address 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28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0000FF"/>
              </w:rPr>
              <w:t>Table of Contents</w:t>
            </w:r>
          </w:p>
        </w:tc>
        <w:tc>
          <w:tcPr>
            <w:tcW w:w="1940" w:type="dxa"/>
            <w:vAlign w:val="bottom"/>
          </w:tcPr>
          <w:p>
            <w:pPr>
              <w:spacing w:after="0"/>
              <w:rPr>
                <w:sz w:val="17"/>
                <w:szCs w:val="17"/>
                <w:color w:val="auto"/>
              </w:rPr>
            </w:pPr>
          </w:p>
        </w:tc>
      </w:tr>
      <w:tr>
        <w:trPr>
          <w:trHeight w:val="831"/>
        </w:trPr>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380" w:type="dxa"/>
            <w:vAlign w:val="bottom"/>
            <w:gridSpan w:val="4"/>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9"/>
              </w:rPr>
              <w:t>The AMETEK Retirement and Savings Plan</w:t>
            </w:r>
          </w:p>
        </w:tc>
        <w:tc>
          <w:tcPr>
            <w:tcW w:w="19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60" w:type="dxa"/>
            <w:vAlign w:val="bottom"/>
            <w:gridSpan w:val="5"/>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Financial Statements and Supplemental Schedule</w:t>
            </w:r>
          </w:p>
        </w:tc>
        <w:tc>
          <w:tcPr>
            <w:tcW w:w="194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380" w:type="dxa"/>
            <w:vAlign w:val="bottom"/>
            <w:gridSpan w:val="4"/>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Years Ended December 31, 2025 and 2024</w:t>
            </w:r>
          </w:p>
        </w:tc>
        <w:tc>
          <w:tcPr>
            <w:tcW w:w="19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40" w:type="dxa"/>
            <w:vAlign w:val="bottom"/>
          </w:tcPr>
          <w:p>
            <w:pPr>
              <w:jc w:val="center"/>
              <w:ind w:right="299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9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80"/>
        </w:trPr>
        <w:tc>
          <w:tcPr>
            <w:tcW w:w="20" w:type="dxa"/>
            <w:vAlign w:val="bottom"/>
          </w:tcPr>
          <w:p>
            <w:pPr>
              <w:spacing w:after="0"/>
              <w:rPr>
                <w:sz w:val="24"/>
                <w:szCs w:val="24"/>
                <w:color w:val="auto"/>
              </w:rPr>
            </w:pPr>
          </w:p>
        </w:tc>
        <w:tc>
          <w:tcPr>
            <w:tcW w:w="42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Audited Financial Statements:</w:t>
            </w:r>
          </w:p>
        </w:tc>
        <w:tc>
          <w:tcPr>
            <w:tcW w:w="5040" w:type="dxa"/>
            <w:vAlign w:val="bottom"/>
            <w:gridSpan w:val="3"/>
          </w:tcPr>
          <w:p>
            <w:pPr>
              <w:spacing w:after="0"/>
              <w:rPr>
                <w:sz w:val="24"/>
                <w:szCs w:val="24"/>
                <w:color w:val="auto"/>
              </w:rPr>
            </w:pPr>
          </w:p>
        </w:tc>
        <w:tc>
          <w:tcPr>
            <w:tcW w:w="194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Statements of Net Assets Available for Benefits</w:t>
            </w:r>
          </w:p>
        </w:tc>
        <w:tc>
          <w:tcPr>
            <w:tcW w:w="5380" w:type="dxa"/>
            <w:vAlign w:val="bottom"/>
            <w:gridSpan w:val="4"/>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Statements of Changes in Net Assets Available for Benefits</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7"/>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Financial Statements</w:t>
            </w:r>
          </w:p>
        </w:tc>
        <w:tc>
          <w:tcPr>
            <w:tcW w:w="2120" w:type="dxa"/>
            <w:vAlign w:val="bottom"/>
            <w:tcBorders>
              <w:top w:val="single" w:sz="8" w:color="0000FF"/>
            </w:tcBorders>
            <w:gridSpan w:val="3"/>
          </w:tcPr>
          <w:p>
            <w:pPr>
              <w:spacing w:after="0"/>
              <w:rPr>
                <w:sz w:val="24"/>
                <w:szCs w:val="24"/>
                <w:color w:val="auto"/>
              </w:rPr>
            </w:pPr>
          </w:p>
        </w:tc>
        <w:tc>
          <w:tcPr>
            <w:tcW w:w="454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79"/>
        </w:trPr>
        <w:tc>
          <w:tcPr>
            <w:tcW w:w="20" w:type="dxa"/>
            <w:vAlign w:val="bottom"/>
          </w:tcPr>
          <w:p>
            <w:pPr>
              <w:spacing w:after="0"/>
              <w:rPr>
                <w:sz w:val="24"/>
                <w:szCs w:val="24"/>
                <w:color w:val="auto"/>
              </w:rPr>
            </w:pPr>
          </w:p>
        </w:tc>
        <w:tc>
          <w:tcPr>
            <w:tcW w:w="926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Supplemental Schedule:</w:t>
            </w:r>
          </w:p>
        </w:tc>
        <w:tc>
          <w:tcPr>
            <w:tcW w:w="194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5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Schedule H, Line 4i – Schedule of Assets (Held at End of Year)</w:t>
            </w:r>
          </w:p>
        </w:tc>
        <w:tc>
          <w:tcPr>
            <w:tcW w:w="42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26"/>
        </w:trPr>
        <w:tc>
          <w:tcPr>
            <w:tcW w:w="20" w:type="dxa"/>
            <w:vAlign w:val="bottom"/>
          </w:tcPr>
          <w:p>
            <w:pPr>
              <w:spacing w:after="0"/>
              <w:rPr>
                <w:sz w:val="24"/>
                <w:szCs w:val="24"/>
                <w:color w:val="auto"/>
              </w:rPr>
            </w:pPr>
          </w:p>
        </w:tc>
        <w:tc>
          <w:tcPr>
            <w:tcW w:w="10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Exhibit Index</w:t>
            </w:r>
          </w:p>
        </w:tc>
        <w:tc>
          <w:tcPr>
            <w:tcW w:w="8260" w:type="dxa"/>
            <w:vAlign w:val="bottom"/>
            <w:gridSpan w:val="7"/>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7"/>
        </w:trPr>
        <w:tc>
          <w:tcPr>
            <w:tcW w:w="2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8500" w:type="dxa"/>
            <w:vAlign w:val="bottom"/>
            <w:gridSpan w:val="8"/>
          </w:tcPr>
          <w:p>
            <w:pPr>
              <w:spacing w:after="0"/>
              <w:rPr>
                <w:sz w:val="24"/>
                <w:szCs w:val="24"/>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11" w:lineRule="exact"/>
        <w:rPr>
          <w:sz w:val="20"/>
          <w:szCs w:val="20"/>
          <w:color w:val="auto"/>
        </w:rPr>
      </w:pPr>
    </w:p>
    <w:p>
      <w:pPr>
        <w:ind w:right="4080"/>
        <w:spacing w:after="0" w:line="453" w:lineRule="auto"/>
        <w:rPr>
          <w:sz w:val="20"/>
          <w:szCs w:val="20"/>
          <w:color w:val="auto"/>
        </w:rPr>
      </w:pPr>
      <w:r>
        <w:rPr>
          <w:rFonts w:ascii="Times New Roman" w:cs="Times New Roman" w:eastAsia="Times New Roman" w:hAnsi="Times New Roman"/>
          <w:sz w:val="18"/>
          <w:szCs w:val="18"/>
          <w:color w:val="auto"/>
        </w:rPr>
        <w:t xml:space="preserve">To the Plan Participants and the Plan Administrator of The AMETEK Retirement and Savings Plan </w:t>
      </w:r>
      <w:r>
        <w:rPr>
          <w:rFonts w:ascii="Times New Roman" w:cs="Times New Roman" w:eastAsia="Times New Roman" w:hAnsi="Times New Roman"/>
          <w:sz w:val="18"/>
          <w:szCs w:val="18"/>
          <w:b w:val="1"/>
          <w:bCs w:val="1"/>
          <w:color w:val="auto"/>
        </w:rPr>
        <w:t>Opinion on the Financial Statements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The AMETEK Retirement and Savings Plan (the Plan) as of December 31, 2025 and 2024, and the related statements of changes in net assets available for benefits for the years then ended, and the related notes (collectively referred to as the “financial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In our opinion, the financial statements present fairly, in all material respects, the net assets available for benefits of the Plan at December 31, 2025 and 2024, and the changes in its net assets available for benefits for the years then ended, in conformity with U.S. generally accepted accounting principles.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Required by ERISA</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supplemental schedule of assets (held at end of year) as of December 31, 2025 (referred to as the "supplemental schedule"), has been subjected to audit procedures performed in conjunction with the audit of the Plan’s financial statements. The information in the supplemental schedule is the responsibility of the Plan’s management. Our audit procedures included determining whether the information reconciles to the financial statements or the underlying accounting and other records, as applicable, and performing procedures to test the completeness and accuracy of the information presented in the supplemental schedule. In forming our opinion on the information, we evaluated whether such information, including its form and content, is presented in conformity with the Department of Labor's Rules and Regulations for Reporting and Disclosure under the Employee Retirement Income Security Act of 1974. In our opinion, the information is fairly stated, in all material respects, in relation to the financial statements as a whole.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at least 1994, but we are unable to determine the specific year.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Net Assets Available for Benefits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r>
      <w:tr>
        <w:trPr>
          <w:trHeight w:val="37"/>
        </w:trPr>
        <w:tc>
          <w:tcPr>
            <w:tcW w:w="79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00"/>
        </w:trPr>
        <w:tc>
          <w:tcPr>
            <w:tcW w:w="7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r>
      <w:tr>
        <w:trPr>
          <w:trHeight w:val="25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2,121,268,007</w:t>
            </w:r>
          </w:p>
        </w:tc>
        <w:tc>
          <w:tcPr>
            <w:tcW w:w="100" w:type="dxa"/>
            <w:vAlign w:val="bottom"/>
          </w:tcPr>
          <w:p>
            <w:pPr>
              <w:spacing w:after="0"/>
              <w:rPr>
                <w:sz w:val="22"/>
                <w:szCs w:val="22"/>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1,645,001,587</w:t>
            </w:r>
          </w:p>
        </w:tc>
      </w:tr>
      <w:tr>
        <w:trPr>
          <w:trHeight w:val="40"/>
        </w:trPr>
        <w:tc>
          <w:tcPr>
            <w:tcW w:w="7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Fully benefit-responsive investment contract, at contract value</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109,831,367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129,734,310</w:t>
            </w:r>
          </w:p>
        </w:tc>
      </w:tr>
      <w:tr>
        <w:trPr>
          <w:trHeight w:val="25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interest in the AMETEK, Inc. Master Trust, at fair value</w:t>
            </w:r>
          </w:p>
        </w:tc>
        <w:tc>
          <w:tcPr>
            <w:tcW w:w="300" w:type="dxa"/>
            <w:vAlign w:val="bottom"/>
          </w:tcPr>
          <w:p>
            <w:pPr>
              <w:spacing w:after="0"/>
              <w:rPr>
                <w:sz w:val="22"/>
                <w:szCs w:val="22"/>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152,693,316</w:t>
            </w:r>
          </w:p>
        </w:tc>
      </w:tr>
      <w:tr>
        <w:trPr>
          <w:trHeight w:val="41"/>
        </w:trPr>
        <w:tc>
          <w:tcPr>
            <w:tcW w:w="7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0"/>
        </w:trPr>
        <w:tc>
          <w:tcPr>
            <w:tcW w:w="79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investments</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2,231,099,374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1,927,429,213</w:t>
            </w: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41"/>
        </w:trPr>
        <w:tc>
          <w:tcPr>
            <w:tcW w:w="7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77"/>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8,218,000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3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22,560,622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17,106,302</w:t>
            </w:r>
          </w:p>
        </w:tc>
      </w:tr>
      <w:tr>
        <w:trPr>
          <w:trHeight w:val="40"/>
        </w:trPr>
        <w:tc>
          <w:tcPr>
            <w:tcW w:w="7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91"/>
        </w:trPr>
        <w:tc>
          <w:tcPr>
            <w:tcW w:w="798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receivables</w:t>
            </w:r>
          </w:p>
        </w:tc>
        <w:tc>
          <w:tcPr>
            <w:tcW w:w="3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30,778,622</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17,106,302</w:t>
            </w:r>
          </w:p>
        </w:tc>
      </w:tr>
      <w:tr>
        <w:trPr>
          <w:trHeight w:val="284"/>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2,261,877,996</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1,944,535,515</w:t>
            </w:r>
          </w:p>
        </w:tc>
      </w:tr>
      <w:tr>
        <w:trPr>
          <w:trHeight w:val="27"/>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Net Assets Available for Benefits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37"/>
        </w:trPr>
        <w:tc>
          <w:tcPr>
            <w:tcW w:w="79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7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Employer</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43,938,186</w:t>
            </w:r>
          </w:p>
        </w:tc>
        <w:tc>
          <w:tcPr>
            <w:tcW w:w="10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39,637,227</w:t>
            </w:r>
          </w:p>
        </w:tc>
        <w:tc>
          <w:tcPr>
            <w:tcW w:w="0" w:type="dxa"/>
            <w:vAlign w:val="bottom"/>
          </w:tcPr>
          <w:p>
            <w:pPr>
              <w:spacing w:after="0"/>
              <w:rPr>
                <w:sz w:val="1"/>
                <w:szCs w:val="1"/>
                <w:color w:val="auto"/>
              </w:rPr>
            </w:pPr>
          </w:p>
        </w:tc>
      </w:tr>
      <w:tr>
        <w:trPr>
          <w:trHeight w:val="41"/>
        </w:trPr>
        <w:tc>
          <w:tcPr>
            <w:tcW w:w="7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Participant</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83,961,899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75,358,359</w:t>
            </w:r>
          </w:p>
        </w:tc>
        <w:tc>
          <w:tcPr>
            <w:tcW w:w="0" w:type="dxa"/>
            <w:vAlign w:val="bottom"/>
          </w:tcPr>
          <w:p>
            <w:pPr>
              <w:spacing w:after="0"/>
              <w:rPr>
                <w:sz w:val="1"/>
                <w:szCs w:val="1"/>
                <w:color w:val="auto"/>
              </w:rPr>
            </w:pPr>
          </w:p>
        </w:tc>
      </w:tr>
      <w:tr>
        <w:trPr>
          <w:trHeight w:val="257"/>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Participant rollovers</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17,882,177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7,229,675</w:t>
            </w:r>
          </w:p>
        </w:tc>
        <w:tc>
          <w:tcPr>
            <w:tcW w:w="0" w:type="dxa"/>
            <w:vAlign w:val="bottom"/>
          </w:tcPr>
          <w:p>
            <w:pPr>
              <w:spacing w:after="0"/>
              <w:rPr>
                <w:sz w:val="1"/>
                <w:szCs w:val="1"/>
                <w:color w:val="auto"/>
              </w:rPr>
            </w:pPr>
          </w:p>
        </w:tc>
      </w:tr>
      <w:tr>
        <w:trPr>
          <w:trHeight w:val="40"/>
        </w:trPr>
        <w:tc>
          <w:tcPr>
            <w:tcW w:w="79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9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145,782,262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122,225,261</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 (loss):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appreciation (depreciation) in fair value of investments</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286,747,600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158,761,389</w:t>
            </w:r>
          </w:p>
        </w:tc>
        <w:tc>
          <w:tcPr>
            <w:tcW w:w="0" w:type="dxa"/>
            <w:vAlign w:val="bottom"/>
          </w:tcPr>
          <w:p>
            <w:pPr>
              <w:spacing w:after="0"/>
              <w:rPr>
                <w:sz w:val="1"/>
                <w:szCs w:val="1"/>
                <w:color w:val="auto"/>
              </w:rPr>
            </w:pPr>
          </w:p>
        </w:tc>
      </w:tr>
      <w:tr>
        <w:trPr>
          <w:trHeight w:val="257"/>
        </w:trPr>
        <w:tc>
          <w:tcPr>
            <w:tcW w:w="7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and dividend income from investments</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8,099,385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46,096,002</w:t>
            </w: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Plan interest in the AMETEK, Inc. Master Trust</w:t>
            </w:r>
          </w:p>
        </w:tc>
        <w:tc>
          <w:tcPr>
            <w:tcW w:w="3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15,042,175</w:t>
            </w:r>
          </w:p>
        </w:tc>
        <w:tc>
          <w:tcPr>
            <w:tcW w:w="0" w:type="dxa"/>
            <w:vAlign w:val="bottom"/>
          </w:tcPr>
          <w:p>
            <w:pPr>
              <w:spacing w:after="0"/>
              <w:rPr>
                <w:sz w:val="1"/>
                <w:szCs w:val="1"/>
                <w:color w:val="auto"/>
              </w:rPr>
            </w:pPr>
          </w:p>
        </w:tc>
      </w:tr>
      <w:tr>
        <w:trPr>
          <w:trHeight w:val="250"/>
        </w:trPr>
        <w:tc>
          <w:tcPr>
            <w:tcW w:w="79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294,846,985</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219,899,566</w:t>
            </w:r>
          </w:p>
        </w:tc>
        <w:tc>
          <w:tcPr>
            <w:tcW w:w="0" w:type="dxa"/>
            <w:vAlign w:val="bottom"/>
          </w:tcPr>
          <w:p>
            <w:pPr>
              <w:spacing w:after="0"/>
              <w:rPr>
                <w:sz w:val="1"/>
                <w:szCs w:val="1"/>
                <w:color w:val="auto"/>
              </w:rPr>
            </w:pPr>
          </w:p>
        </w:tc>
      </w:tr>
      <w:tr>
        <w:trPr>
          <w:trHeight w:val="40"/>
        </w:trPr>
        <w:tc>
          <w:tcPr>
            <w:tcW w:w="79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notes receivable from participants</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1,692,061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1,340,365</w:t>
            </w:r>
          </w:p>
        </w:tc>
        <w:tc>
          <w:tcPr>
            <w:tcW w:w="0" w:type="dxa"/>
            <w:vAlign w:val="bottom"/>
          </w:tcPr>
          <w:p>
            <w:pPr>
              <w:spacing w:after="0"/>
              <w:rPr>
                <w:sz w:val="1"/>
                <w:szCs w:val="1"/>
                <w:color w:val="auto"/>
              </w:rPr>
            </w:pP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additions (reductions), net of investment gain (loss)</w:t>
            </w: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442,321,308</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343,465,192</w:t>
            </w:r>
          </w:p>
        </w:tc>
        <w:tc>
          <w:tcPr>
            <w:tcW w:w="0" w:type="dxa"/>
            <w:vAlign w:val="bottom"/>
          </w:tcPr>
          <w:p>
            <w:pPr>
              <w:spacing w:after="0"/>
              <w:rPr>
                <w:sz w:val="1"/>
                <w:szCs w:val="1"/>
                <w:color w:val="auto"/>
              </w:rPr>
            </w:pPr>
          </w:p>
        </w:tc>
      </w:tr>
      <w:tr>
        <w:trPr>
          <w:trHeight w:val="40"/>
        </w:trPr>
        <w:tc>
          <w:tcPr>
            <w:tcW w:w="79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w:t>
            </w: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(277,892,627)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(223,920,262)</w:t>
            </w:r>
          </w:p>
        </w:tc>
        <w:tc>
          <w:tcPr>
            <w:tcW w:w="0" w:type="dxa"/>
            <w:vAlign w:val="bottom"/>
          </w:tcPr>
          <w:p>
            <w:pPr>
              <w:spacing w:after="0"/>
              <w:rPr>
                <w:sz w:val="1"/>
                <w:szCs w:val="1"/>
                <w:color w:val="auto"/>
              </w:rPr>
            </w:pPr>
          </w:p>
        </w:tc>
      </w:tr>
      <w:tr>
        <w:trPr>
          <w:trHeight w:val="40"/>
        </w:trPr>
        <w:tc>
          <w:tcPr>
            <w:tcW w:w="7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(964,389)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(1,406,628)</w:t>
            </w:r>
          </w:p>
        </w:tc>
        <w:tc>
          <w:tcPr>
            <w:tcW w:w="0" w:type="dxa"/>
            <w:vAlign w:val="bottom"/>
          </w:tcPr>
          <w:p>
            <w:pPr>
              <w:spacing w:after="0"/>
              <w:rPr>
                <w:sz w:val="1"/>
                <w:szCs w:val="1"/>
                <w:color w:val="auto"/>
              </w:rPr>
            </w:pPr>
          </w:p>
        </w:tc>
      </w:tr>
      <w:tr>
        <w:trPr>
          <w:trHeight w:val="250"/>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deductions</w:t>
            </w: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(278,857,016)</w:t>
            </w: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(225,326,890)</w:t>
            </w:r>
          </w:p>
        </w:tc>
        <w:tc>
          <w:tcPr>
            <w:tcW w:w="0" w:type="dxa"/>
            <w:vAlign w:val="bottom"/>
          </w:tcPr>
          <w:p>
            <w:pPr>
              <w:spacing w:after="0"/>
              <w:rPr>
                <w:sz w:val="1"/>
                <w:szCs w:val="1"/>
                <w:color w:val="auto"/>
              </w:rPr>
            </w:pPr>
          </w:p>
        </w:tc>
      </w:tr>
      <w:tr>
        <w:trPr>
          <w:trHeight w:val="40"/>
        </w:trPr>
        <w:tc>
          <w:tcPr>
            <w:tcW w:w="79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163,464,292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118,138,302</w:t>
            </w:r>
          </w:p>
        </w:tc>
        <w:tc>
          <w:tcPr>
            <w:tcW w:w="0" w:type="dxa"/>
            <w:vAlign w:val="bottom"/>
          </w:tcPr>
          <w:p>
            <w:pPr>
              <w:spacing w:after="0"/>
              <w:rPr>
                <w:sz w:val="1"/>
                <w:szCs w:val="1"/>
                <w:color w:val="auto"/>
              </w:rPr>
            </w:pPr>
          </w:p>
        </w:tc>
      </w:tr>
      <w:tr>
        <w:trPr>
          <w:trHeight w:val="40"/>
        </w:trPr>
        <w:tc>
          <w:tcPr>
            <w:tcW w:w="79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transfers in due to Plan mergers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p>
      <w:pPr>
        <w:spacing w:after="0" w:line="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Beginning of year</w:t>
      </w:r>
    </w:p>
    <w:p>
      <w:pPr>
        <w:spacing w:after="0" w:line="1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End of year</w:t>
      </w:r>
    </w:p>
    <w:p>
      <w:pPr>
        <w:spacing w:after="0" w:line="20" w:lineRule="exact"/>
        <w:rPr>
          <w:sz w:val="20"/>
          <w:szCs w:val="20"/>
          <w:color w:val="auto"/>
        </w:rPr>
      </w:pPr>
      <w:r>
        <w:rPr>
          <w:sz w:val="20"/>
          <w:szCs w:val="20"/>
          <w:color w:val="auto"/>
        </w:rPr>
        <w:br w:type="column"/>
      </w:r>
    </w:p>
    <w:p>
      <w:pPr>
        <w:jc w:val="both"/>
        <w:ind w:left="600"/>
        <w:spacing w:after="0"/>
        <w:tabs>
          <w:tab w:leader="none" w:pos="2340" w:val="left"/>
        </w:tabs>
        <w:rPr>
          <w:sz w:val="20"/>
          <w:szCs w:val="20"/>
          <w:color w:val="auto"/>
        </w:rPr>
      </w:pPr>
      <w:r>
        <w:rPr>
          <w:rFonts w:ascii="Times New Roman" w:cs="Times New Roman" w:eastAsia="Times New Roman" w:hAnsi="Times New Roman"/>
          <w:sz w:val="18"/>
          <w:szCs w:val="18"/>
          <w:b w:val="1"/>
          <w:bCs w:val="1"/>
          <w:color w:val="auto"/>
        </w:rPr>
        <w:t>153,878,189</w:t>
      </w:r>
      <w:r>
        <w:rPr>
          <w:sz w:val="20"/>
          <w:szCs w:val="20"/>
          <w:color w:val="auto"/>
        </w:rPr>
        <w:tab/>
      </w:r>
      <w:r>
        <w:rPr>
          <w:rFonts w:ascii="Times New Roman" w:cs="Times New Roman" w:eastAsia="Times New Roman" w:hAnsi="Times New Roman"/>
          <w:sz w:val="18"/>
          <w:szCs w:val="18"/>
          <w:color w:val="auto"/>
        </w:rPr>
        <w:t>30,885,063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45720</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67" w:lineRule="exact"/>
        <w:rPr>
          <w:sz w:val="20"/>
          <w:szCs w:val="20"/>
          <w:color w:val="auto"/>
        </w:rPr>
      </w:pPr>
    </w:p>
    <w:p>
      <w:pPr>
        <w:ind w:left="460"/>
        <w:spacing w:after="0"/>
        <w:tabs>
          <w:tab w:leader="none" w:pos="2120" w:val="left"/>
        </w:tabs>
        <w:rPr>
          <w:sz w:val="20"/>
          <w:szCs w:val="20"/>
          <w:color w:val="auto"/>
        </w:rPr>
      </w:pPr>
      <w:r>
        <w:rPr>
          <w:rFonts w:ascii="Times New Roman" w:cs="Times New Roman" w:eastAsia="Times New Roman" w:hAnsi="Times New Roman"/>
          <w:sz w:val="17"/>
          <w:szCs w:val="17"/>
          <w:b w:val="1"/>
          <w:bCs w:val="1"/>
          <w:color w:val="auto"/>
        </w:rPr>
        <w:t>1,944,535,515</w:t>
      </w:r>
      <w:r>
        <w:rPr>
          <w:sz w:val="20"/>
          <w:szCs w:val="20"/>
          <w:color w:val="auto"/>
        </w:rPr>
        <w:tab/>
      </w:r>
      <w:r>
        <w:rPr>
          <w:rFonts w:ascii="Times New Roman" w:cs="Times New Roman" w:eastAsia="Times New Roman" w:hAnsi="Times New Roman"/>
          <w:sz w:val="17"/>
          <w:szCs w:val="17"/>
          <w:color w:val="auto"/>
        </w:rPr>
        <w:t>1,795,512,150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52705</wp:posOffset>
            </wp:positionV>
            <wp:extent cx="7132320" cy="2146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5" w:lineRule="exact"/>
        <w:rPr>
          <w:sz w:val="20"/>
          <w:szCs w:val="20"/>
          <w:color w:val="auto"/>
        </w:rPr>
      </w:pPr>
    </w:p>
    <w:p>
      <w:pPr>
        <w:spacing w:after="0"/>
        <w:tabs>
          <w:tab w:leader="none" w:pos="440" w:val="left"/>
          <w:tab w:leader="none" w:pos="1660" w:val="left"/>
          <w:tab w:leader="none" w:pos="21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2,261,877,996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1,944,535,515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71120</wp:posOffset>
            </wp:positionV>
            <wp:extent cx="20656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5655" cy="825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7280" w:space="720"/>
            <w:col w:w="3240"/>
          </w:cols>
          <w:pgMar w:left="320" w:top="117" w:right="339" w:bottom="1440" w:gutter="0" w:footer="0" w:header="0"/>
          <w:type w:val="continuous"/>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980" w:firstLine="8"/>
        <w:spacing w:after="0" w:line="377" w:lineRule="auto"/>
        <w:tabs>
          <w:tab w:leader="none" w:pos="48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General</w:t>
      </w:r>
    </w:p>
    <w:p>
      <w:pPr>
        <w:spacing w:after="0" w:line="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AMETEK Retirement and Savings Plan (the “Plan”) provides only summarized information. Participants should refer to the Plan document for a more complete description of the Plan’s provisions, copies of which may be obtained from AMETEK, Inc. (“AMETEK,” the “Company” or the “Plan Sponsor”).</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Plan is a 401(k) profit-sharing defined contribution savings plan. It provides eligible employees of AMETEK and certain of its business units with an opportunity to invest a portion of their compensation, as defined by the Plan, in one or more investment options.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 and Recordkeeper</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Voya Institutional Trust Company (“Trustee”) was the Plan Trustee and a party-in-interest to the Plan until December 31, 2024. Voya Institutional Plan Services, LLC was the recordkeeper and a party-in-interest to the Plan until December 31, 2024.</w:t>
      </w:r>
    </w:p>
    <w:p>
      <w:pPr>
        <w:spacing w:after="0" w:line="162"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Effective January 1, 2025, Fidelity Management Trust Company ("Fidelity") is the Plan Trustee and a party-in-interest to the Plan. Fidelity Workplace Services LLC is the recordkeeper and a party-in-interest to the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Eligibility</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An employee, who is not specifically an ineligible employee as defined by the Plan, shall become a participant in the Plan upon his or her date of hire and on or after the date on which the participant first attains age 18.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Mergers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2025, the following net assets were transferred into the Plan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Receipt Date</w:t>
            </w:r>
          </w:p>
        </w:tc>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401(k) Savings Plan</w:t>
            </w: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20" w:type="dxa"/>
            <w:vAlign w:val="bottom"/>
            <w:tcBorders>
              <w:bottom w:val="single" w:sz="8" w:color="auto"/>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r>
      <w:tr>
        <w:trPr>
          <w:trHeight w:val="270"/>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13, 2025</w:t>
            </w:r>
          </w:p>
        </w:tc>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MW Life Sciences (Paragon)</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98,910</w:t>
            </w:r>
          </w:p>
        </w:tc>
      </w:tr>
      <w:tr>
        <w:trPr>
          <w:trHeight w:val="25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13, 2025</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MW Life Sciences (Paragon)</w:t>
            </w:r>
          </w:p>
        </w:tc>
        <w:tc>
          <w:tcPr>
            <w:tcW w:w="4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0"/>
        </w:trPr>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97"/>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2025</w:t>
            </w:r>
          </w:p>
        </w:tc>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Rauland-Borg Corporation</w:t>
            </w:r>
          </w:p>
        </w:tc>
        <w:tc>
          <w:tcPr>
            <w:tcW w:w="4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54,951</w:t>
            </w:r>
          </w:p>
        </w:tc>
      </w:tr>
      <w:tr>
        <w:trPr>
          <w:trHeight w:val="250"/>
        </w:trPr>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153,878</w:t>
            </w:r>
          </w:p>
        </w:tc>
      </w:tr>
      <w:tr>
        <w:trPr>
          <w:trHeight w:val="40"/>
        </w:trPr>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2024, the following net assets were transferred into the Plan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Receipt Date</w:t>
            </w:r>
          </w:p>
        </w:tc>
        <w:tc>
          <w:tcPr>
            <w:tcW w:w="7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401(k) Savings Plan</w:t>
            </w: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
        </w:trPr>
        <w:tc>
          <w:tcPr>
            <w:tcW w:w="1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820" w:type="dxa"/>
            <w:vAlign w:val="bottom"/>
            <w:tcBorders>
              <w:bottom w:val="single" w:sz="8" w:color="auto"/>
            </w:tcBorders>
          </w:tcPr>
          <w:p>
            <w:pPr>
              <w:spacing w:after="0"/>
              <w:rPr>
                <w:sz w:val="3"/>
                <w:szCs w:val="3"/>
                <w:color w:val="auto"/>
              </w:rPr>
            </w:pPr>
          </w:p>
        </w:tc>
        <w:tc>
          <w:tcPr>
            <w:tcW w:w="50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r>
      <w:tr>
        <w:trPr>
          <w:trHeight w:val="271"/>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 2024</w:t>
            </w:r>
          </w:p>
        </w:tc>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Special Optics, Inc.</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w:t>
            </w:r>
          </w:p>
        </w:tc>
      </w:tr>
      <w:tr>
        <w:trPr>
          <w:trHeight w:val="257"/>
        </w:trPr>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1, 2024</w:t>
            </w:r>
          </w:p>
        </w:tc>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Amplifier Research</w:t>
            </w:r>
          </w:p>
        </w:tc>
        <w:tc>
          <w:tcPr>
            <w:tcW w:w="5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19,141</w:t>
            </w:r>
          </w:p>
        </w:tc>
      </w:tr>
      <w:tr>
        <w:trPr>
          <w:trHeight w:val="40"/>
        </w:trPr>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97"/>
        </w:trPr>
        <w:tc>
          <w:tcPr>
            <w:tcW w:w="1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Superior Tube Company, Inc.*</w:t>
            </w:r>
          </w:p>
        </w:tc>
        <w:tc>
          <w:tcPr>
            <w:tcW w:w="5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w:t>
            </w:r>
          </w:p>
        </w:tc>
      </w:tr>
      <w:tr>
        <w:trPr>
          <w:trHeight w:val="250"/>
        </w:trPr>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20" w:type="dxa"/>
            <w:vAlign w:val="bottom"/>
          </w:tcPr>
          <w:p>
            <w:pPr>
              <w:spacing w:after="0"/>
              <w:rPr>
                <w:sz w:val="21"/>
                <w:szCs w:val="21"/>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30,885</w:t>
            </w:r>
          </w:p>
        </w:tc>
      </w:tr>
      <w:tr>
        <w:trPr>
          <w:trHeight w:val="40"/>
        </w:trPr>
        <w:tc>
          <w:tcPr>
            <w:tcW w:w="1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2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8"/>
        <w:spacing w:after="0" w:line="266" w:lineRule="auto"/>
        <w:tabs>
          <w:tab w:leader="none" w:pos="16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Superior Tube Company, Inc. approved an amendment to merge the Superior Tube Company, Inc. Union 401(k) Plan ("Superior Plan"), effective December 31, 2024, with and into the Plan. As of the merger date, the Plan assumed all of the assets of the Superior Plan. On January 3, 2025, Superior Plan participants' account balances were transferred to the Plan.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Each year, participants have an opportunity to invest, on a pre-tax basis, up to 75% of their annual compensation, as defined by the Plan, in multiples of one percent. Prior to January 1, 2025, certain highly compensated participants were subject</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(continued)</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 10% limitation. Participants age 50 and over have an opportunity to invest catch-up contributions up to 75% of their compensation. Participants may also contribute amounts representing rollovers from other qualified plans. Participants direct their elective contributions into various investment options offered by the Plan and can change their investment options on a daily basis.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Plan: (1) allows eligible employees to designate all or a portion of their pre-tax contribution as a Roth contribution, (2) allows eligible employees to make contributions to the Plan on an after-tax basis (Prior to January 1, 2025, contributions were limited to 10% of eligible compensation for highly compensated employees), and (3) accepts direct (but not indirect) rollovers of Roth and after-tax contributions. Roth contributions are eligible for catch-up contributions and matching contributions, and in general, are treated like pre-tax contributions under the Plan for purposes of investment allocations, loan disbursements and withdrawals. Pre-tax contributions and Roth contributions are aggregated for purposes of the dollar limit on deferrals and catch-up contributions under the Internal Revenue Code. After-tax contributions are not eligible for catch-up or matching contributions. After-tax contributions are treated as a separate source under the Plan for purposes of investment allocations, loan disbursements and withdrawals, as defined by the Plan.</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Participants are automatically enrolled in the Plan at a rate of 3% of their compensation unless the participant opts out of automatic enrollment or until the participant changes their elections. The Vanguard Target Retirement Funds are the qualified default investment alternatives. The Plan provides for automatic deferral increases by 1% of compensation each January up to a maximum of 10% for participants eligible on, or after January 1, 2021. Participants automatically enrolled in the Plan may revoke their participation of automatic increases, elect a different annual automatic increase percentage and have the increase begin in a month other than January. Participants who are not automatically enrolled in the Plan are also permitted to elect automatic deferral increases.</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Effective January 1, 2025 the Plan provides for a Safe Harbor Company matching contributions equal to 100% of the first 4% of compensation contributed by each eligible non-union participant and certain union participants. Also, the Plan provides for Company contributions to certain eligible union participants, which vary by location and range from 50% to 100% of the amount contributed by each participant, up to a maximum percentage ranging from 1% to 6% of the participants’ compensation. Matching Company contributions are credited to participants’ accounts at the same time their contributed amounts are invested and are allocated in the same manner as that of their elections. A year-end Safe Harbor true-up match is calculated by the Company and credited to participants' accounts. The Company may make its matching contribution payment to the Plan at any time prior to the due date prescribed by law for filing the Company’s federal income tax return for that Plan year.</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Prior to January 1, 2025, the Plan provided for Company contributions equal to 33 1/3% of the first 6% of compensation contributed by each eligible participant, up to a maximum annual Company contribution of $1,200 per participant. Also, the Plan provided for Company contributions to eligible participants, which varied by location and range from 50% to 100% of the amount contributed by each participant, up to a maximum percentage ranging from 1% to 8% of the participants’ compensation as determined by the Board of Directors for each business unit. Matching Company contributions were credited to participants’ accounts at the same time their contributed amounts were invested and were allocated in the same manner as that of their elections.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Plan allows discretionary employer contributions as determined by the Board of Directors which may be subject to hours of service and/or other employment conditions. There were discretionary employer contributions of $8.2 million in 2025 and none in 2024.</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Plan has a retirement feature for certain eligible union employees of AMETEK. The Company makes contributions to the Plan on behalf of such employees equal to a specified percentage of their compensation earned based upon participants’ age and years of service, up to predetermined limits. Investment programs and transfer and exchange privileges available under the retirement feature are the same as for the savings feature under the Plan.</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Forfeited Company contributions are used to reduce future Company contributions or to pay Plan administrative expenses. During 2025 and 2024, the Plan used forfeited Company contributions of $1,653,380 and $1,553,974, respectively. As of December 31, 2025 and 2024, the balance in the forfeitures account totaled $229,219 and $87,469, respectively.</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(continued)</w:t>
      </w:r>
    </w:p>
    <w:p>
      <w:pPr>
        <w:spacing w:after="0" w:line="350"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contributions are subject to certain limitation of the Internal Revenue Code.</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Each participant’s account is credited with the participant’s contributions and allocations of (a) the Company’s contributions, (b) Plan net earnings, and (c) administrative expenses. Allocations of Plan net earnings are based on participant earnings or losses of respective elected investment options and/or account balances, as defined. The benefit to which a participant is entitled is the balance in the participant’s vested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Participants are fully vested at all times in participant contributions and Company matching contributions and related earnings. Company retirement feature contributions and related earnings, Company incentive retirement feature contributions and related earnings, and Company discretionary contributions and related earnings are fully vested after three years of service.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 Loans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Participants may borrow a minimum of $1,000 or up to a maximum equal to the lesser of $50,000 or 50% of their vested account balance. Participants may have up to two loans outstanding at any time, although only one loan may be for a primary residence, the sum of which may not exceed the maximum allowable under the Plan. Loan origination fees are paid by participants. Repayment terms of the loans are generally limited to no longer than 60 months from inception or for a reasonable period of time in excess of 60 months up to 10 years for the purchase of a principal residence, as fixed by the Plan. The loans are secured by the balance in the participant’s account and bear interest at rates determined as 1% over the prime rate. Principal and interest are paid ratably through payroll deductions or in certain circumstances can be paid directly by participants.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Master Trust</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Prior to January 1, 2025, The AMETEK, Inc. Master Trust held the assets of the AMETEK Stock Fund. Effective January 1, 2025, in connection with the transition to Fidelity as recordkeeper and trustee, all assets were transferred out of the Master Trust, and the trust was terminated. Despite the termination of the Master Trust, the AMETEK Stock Fund remains within the Plan and is reported in "Investments, at fair value" on the accompanying Statements of Net Assets Available for Benefits as of December 31, 2025.</w:t>
      </w:r>
    </w:p>
    <w:p>
      <w:pPr>
        <w:spacing w:after="0" w:line="7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AMETEK Stock Fund consists primarily of AMETEK common stock and a small portion is invested in short-term securities or cash to help accommodate daily transactions. The AMETEK Stock Fund, short-term securities, and cash are considered level 1 investments within the fair value hierarchy.</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Plan limits the amount a participant can invest in the AMETEK Stock Fund to encourage diversification of participants’ accounts. Each payroll period, for other investment fund transfers and for other qualified plan rollover contributions, a participant can direct up to a maximum of 25% of their contributions in the AMETEK Stock Fund. The Plan has implemented a dividend pass through election for its participants. During 2025 and 2024, the Plan received $948,913 and $994,567, respectively, in common stock dividends for AMETEK common stock.</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Each participant is entitled to exercise voting rights attributable to the shares allocated to their account and is notified by the Company prior to the time that such rights may be exercised. The Trustee is not permitted to vote any allocated shares for which instructions have not been given by a participant. The Trustee votes any unallocated shares in the same proportion as those shares that were allocated, unless the Savings and Investment Committee directs the Trustee otherwise. Participants have the same voting rights in the event of a tender or exchange offer.</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5"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 (continued)</w:t>
      </w:r>
    </w:p>
    <w:p>
      <w:pPr>
        <w:spacing w:after="0" w:line="200" w:lineRule="exact"/>
        <w:rPr>
          <w:rFonts w:ascii="Times New Roman" w:cs="Times New Roman" w:eastAsia="Times New Roman" w:hAnsi="Times New Roman"/>
          <w:sz w:val="18"/>
          <w:szCs w:val="18"/>
          <w:b w:val="1"/>
          <w:bCs w:val="1"/>
          <w:color w:val="auto"/>
        </w:rPr>
      </w:pPr>
    </w:p>
    <w:p>
      <w:pPr>
        <w:spacing w:after="0" w:line="353"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As of December 31, 2024, the assets of the Master Trust and the Plan’s interest in the Master Trust was as follows: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AMETEK Stock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97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State Street Government Short Term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29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Changes in the assets held by the Master Trust were as follows: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778"/>
        <w:spacing w:after="0"/>
        <w:rPr>
          <w:sz w:val="20"/>
          <w:szCs w:val="20"/>
          <w:color w:val="auto"/>
        </w:rPr>
      </w:pPr>
      <w:r>
        <w:rPr>
          <w:rFonts w:ascii="Times New Roman" w:cs="Times New Roman" w:eastAsia="Times New Roman" w:hAnsi="Times New Roman"/>
          <w:sz w:val="14"/>
          <w:szCs w:val="14"/>
          <w:b w:val="1"/>
          <w:bCs w:val="1"/>
          <w:color w:val="auto"/>
        </w:rPr>
        <w:t>Plan’s Interest</w:t>
      </w:r>
    </w:p>
    <w:p>
      <w:pPr>
        <w:spacing w:after="0" w:line="29" w:lineRule="exact"/>
        <w:rPr>
          <w:sz w:val="20"/>
          <w:szCs w:val="20"/>
          <w:color w:val="auto"/>
        </w:rPr>
      </w:pPr>
    </w:p>
    <w:p>
      <w:pPr>
        <w:ind w:left="298"/>
        <w:spacing w:after="0"/>
        <w:tabs>
          <w:tab w:leader="none" w:pos="1718" w:val="left"/>
        </w:tabs>
        <w:rPr>
          <w:sz w:val="20"/>
          <w:szCs w:val="20"/>
          <w:color w:val="auto"/>
        </w:rPr>
      </w:pPr>
      <w:r>
        <w:rPr>
          <w:rFonts w:ascii="Times New Roman" w:cs="Times New Roman" w:eastAsia="Times New Roman" w:hAnsi="Times New Roman"/>
          <w:sz w:val="14"/>
          <w:szCs w:val="14"/>
          <w:b w:val="1"/>
          <w:bCs w:val="1"/>
          <w:color w:val="auto"/>
        </w:rPr>
        <w:t>Master Trust</w:t>
      </w:r>
      <w:r>
        <w:rPr>
          <w:sz w:val="20"/>
          <w:szCs w:val="20"/>
          <w:color w:val="auto"/>
        </w:rPr>
        <w:tab/>
      </w:r>
      <w:r>
        <w:rPr>
          <w:rFonts w:ascii="Times New Roman" w:cs="Times New Roman" w:eastAsia="Times New Roman" w:hAnsi="Times New Roman"/>
          <w:sz w:val="14"/>
          <w:szCs w:val="14"/>
          <w:b w:val="1"/>
          <w:bCs w:val="1"/>
          <w:color w:val="auto"/>
        </w:rPr>
        <w:t>in Master Trust</w:t>
      </w:r>
    </w:p>
    <w:p>
      <w:pPr>
        <w:spacing w:after="0" w:line="15" w:lineRule="exact"/>
        <w:rPr>
          <w:sz w:val="20"/>
          <w:szCs w:val="20"/>
          <w:color w:val="auto"/>
        </w:rPr>
      </w:pPr>
    </w:p>
    <w:p>
      <w:pPr>
        <w:ind w:left="418"/>
        <w:spacing w:after="0"/>
        <w:tabs>
          <w:tab w:leader="none" w:pos="1938" w:val="left"/>
        </w:tabs>
        <w:rPr>
          <w:sz w:val="20"/>
          <w:szCs w:val="20"/>
          <w:color w:val="auto"/>
        </w:rPr>
      </w:pPr>
      <w:r>
        <w:rPr>
          <w:rFonts w:ascii="Times New Roman" w:cs="Times New Roman" w:eastAsia="Times New Roman" w:hAnsi="Times New Roman"/>
          <w:sz w:val="14"/>
          <w:szCs w:val="14"/>
          <w:b w:val="1"/>
          <w:bCs w:val="1"/>
          <w:color w:val="auto"/>
        </w:rPr>
        <w:t>Balances</w:t>
      </w:r>
      <w:r>
        <w:rPr>
          <w:sz w:val="20"/>
          <w:szCs w:val="20"/>
          <w:color w:val="auto"/>
        </w:rPr>
        <w:tab/>
      </w:r>
      <w:r>
        <w:rPr>
          <w:rFonts w:ascii="Times New Roman" w:cs="Times New Roman" w:eastAsia="Times New Roman" w:hAnsi="Times New Roman"/>
          <w:sz w:val="14"/>
          <w:szCs w:val="14"/>
          <w:b w:val="1"/>
          <w:bCs w:val="1"/>
          <w:color w:val="auto"/>
        </w:rPr>
        <w:t>Balances</w:t>
      </w:r>
    </w:p>
    <w:p>
      <w:pPr>
        <w:spacing w:after="0" w:line="87" w:lineRule="exact"/>
        <w:rPr>
          <w:sz w:val="20"/>
          <w:szCs w:val="20"/>
          <w:color w:val="auto"/>
        </w:rPr>
      </w:pPr>
    </w:p>
    <w:p>
      <w:pPr>
        <w:ind w:left="438" w:hanging="438"/>
        <w:spacing w:after="0"/>
        <w:tabs>
          <w:tab w:leader="none" w:pos="4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151,220,244  $151,220,244</w:t>
      </w:r>
    </w:p>
    <w:p>
      <w:pPr>
        <w:spacing w:after="0" w:line="90" w:lineRule="exact"/>
        <w:rPr>
          <w:sz w:val="20"/>
          <w:szCs w:val="20"/>
          <w:color w:val="auto"/>
        </w:rPr>
      </w:pPr>
    </w:p>
    <w:p>
      <w:pPr>
        <w:jc w:val="both"/>
        <w:ind w:left="618"/>
        <w:spacing w:after="0"/>
        <w:tabs>
          <w:tab w:leader="none" w:pos="2118" w:val="left"/>
        </w:tabs>
        <w:rPr>
          <w:sz w:val="20"/>
          <w:szCs w:val="20"/>
          <w:color w:val="auto"/>
        </w:rPr>
      </w:pPr>
      <w:r>
        <w:rPr>
          <w:rFonts w:ascii="Times New Roman" w:cs="Times New Roman" w:eastAsia="Times New Roman" w:hAnsi="Times New Roman"/>
          <w:sz w:val="18"/>
          <w:szCs w:val="18"/>
          <w:color w:val="auto"/>
        </w:rPr>
        <w:t>1,473,072</w:t>
      </w:r>
      <w:r>
        <w:rPr>
          <w:sz w:val="20"/>
          <w:szCs w:val="20"/>
          <w:color w:val="auto"/>
        </w:rPr>
        <w:tab/>
      </w:r>
      <w:r>
        <w:rPr>
          <w:rFonts w:ascii="Times New Roman" w:cs="Times New Roman" w:eastAsia="Times New Roman" w:hAnsi="Times New Roman"/>
          <w:sz w:val="18"/>
          <w:szCs w:val="18"/>
          <w:color w:val="auto"/>
        </w:rPr>
        <w:t>1,473,072</w:t>
      </w:r>
    </w:p>
    <w:p>
      <w:pPr>
        <w:spacing w:after="0" w:line="104" w:lineRule="exact"/>
        <w:rPr>
          <w:sz w:val="20"/>
          <w:szCs w:val="20"/>
          <w:color w:val="auto"/>
        </w:rPr>
      </w:pPr>
    </w:p>
    <w:p>
      <w:pPr>
        <w:ind w:left="438" w:hanging="438"/>
        <w:spacing w:after="0"/>
        <w:tabs>
          <w:tab w:leader="none" w:pos="43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152,693,316  $152,693,316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18770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7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58"/>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41910</wp:posOffset>
            </wp:positionV>
            <wp:extent cx="18770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136" w:lineRule="exact"/>
        <w:rPr>
          <w:sz w:val="20"/>
          <w:szCs w:val="20"/>
          <w:color w:val="auto"/>
        </w:rPr>
      </w:pPr>
    </w:p>
    <w:p>
      <w:pPr>
        <w:sectPr>
          <w:pgSz w:w="11900" w:h="16838" w:orient="portrait"/>
          <w:cols w:equalWidth="0" w:num="2">
            <w:col w:w="7582" w:space="720"/>
            <w:col w:w="2938"/>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7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appreciation (depreciation) in fair value of investment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13,919,810</w:t>
            </w:r>
          </w:p>
        </w:tc>
      </w:tr>
      <w:tr>
        <w:trPr>
          <w:trHeight w:val="257"/>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1,067,614</w:t>
            </w:r>
          </w:p>
        </w:tc>
      </w:tr>
      <w:tr>
        <w:trPr>
          <w:trHeight w:val="41"/>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7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in</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12,439,409</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out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(29,391,795)</w:t>
            </w:r>
          </w:p>
        </w:tc>
      </w:tr>
      <w:tr>
        <w:trPr>
          <w:trHeight w:val="27"/>
        </w:trPr>
        <w:tc>
          <w:tcPr>
            <w:tcW w:w="8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04"/>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transferred out of the Master Trust</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(152,693,316)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assets</w:t>
            </w:r>
          </w:p>
        </w:tc>
        <w:tc>
          <w:tcPr>
            <w:tcW w:w="2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(152,693,316)</w:t>
            </w: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(1,964,962)</w:t>
            </w:r>
          </w:p>
        </w:tc>
      </w:tr>
      <w:tr>
        <w:trPr>
          <w:trHeight w:val="40"/>
        </w:trPr>
        <w:tc>
          <w:tcPr>
            <w:tcW w:w="8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97"/>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beginning of year</w:t>
            </w: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152,693,316</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154,658,278</w:t>
            </w:r>
          </w:p>
        </w:tc>
      </w:tr>
      <w:tr>
        <w:trPr>
          <w:trHeight w:val="28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at end of year</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152,693,316</w:t>
            </w:r>
          </w:p>
        </w:tc>
      </w:tr>
      <w:tr>
        <w:trPr>
          <w:trHeight w:val="27"/>
        </w:trPr>
        <w:tc>
          <w:tcPr>
            <w:tcW w:w="8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18"/>
          <w:szCs w:val="18"/>
          <w:color w:val="auto"/>
        </w:rPr>
        <w:t>On termination of service, death, disability or retirement, a participant may receive a lump-sum amount equal to his or her vested account. Participants who terminate may elect to receive installment payments up to a 15-year period but subject to certain restrictions based on life expectancy. When a participant attains age 59</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while still an employee, he or she can elect to withdraw a specified portion of his or her vested account balance without incurring an income tax penalty. If a participant’s vested benefit derived from employer and employee contributions is less than $7,000 but more than $1,000, and the participant does not make an affirmative election otherwise, the administrator will roll over the balance into an individual retirement account. If a participant’s vested balance is $1,000 or less, and the participant does not make an affirmative election otherwise, they will receive a lump sum distribution in the form of a cash payment. Also, in certain cases of financial hardship, a participant may elect to withdraw up to a specified portion of his or her vested account balance, regardless of age. Benefits are recorded when paid.</w:t>
      </w:r>
    </w:p>
    <w:p>
      <w:pPr>
        <w:spacing w:after="0" w:line="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the Setting Every Community Up for Retirement Enhancement ("SECURE") Act 2.0, enacted in January 2023, as amended in the Plan, the required minimum distribution age was increased to 73 years of age. In addition, the Plan modified certain minimum distribution provisions and timing for designated beneficiaries in accordance with the SECURE Act provisions.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8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Except for certain loan fees, the expenses of administering the Plan are payable from the Plan’s assets, unless the Company elects to pay such expenses. The Company has elected to have certain expenses of administering the Plan paid by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Plan is subject to the provisions of the Employee Retirement Income Security Act of 1974, as amended (“ERISA”). While the Company has not expressed any intent to terminate the Plan, it is free to do so at any time subject to the provisions of ERISA and applicable labor agreements. In the event of Plan termination, each participant’s account would become fully vested and each participant will receive the value of his or her separate vested account.</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7360" w:firstLine="8"/>
        <w:spacing w:after="0" w:line="377" w:lineRule="auto"/>
        <w:tabs>
          <w:tab w:leader="none" w:pos="486"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accrual basis of accounting in accordance with U.S. generally accepted accounting principles (“GAAP”).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Plan management to make estimates and assumptions that affect amounts reported in the financial statements and accompanying notes, and supplemental schedule. Actual results could differ from those estimates and assumptions.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Notes receivable from participants represent participant loans that are recorded at their unpaid principal balance plus any accrued but unpaid interest. Interest income on notes receivable from participants is recorded when it is earned. Related fees are paid from participants’ accounts. If a participant ceases to make loan repayments and the plan administrator deems the participant loan to be a distribution, the participant loan balance is reduced, and a benefit payment is recorded.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Contributions</w:t>
      </w:r>
    </w:p>
    <w:p>
      <w:pPr>
        <w:spacing w:after="0" w:line="121"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Participant contributions and the matching employer contributions are recorded in the year in which the participant contributions are withheld from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Investment securities are exposed to various risks such as interest rate, market fluctuation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3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Plan’s investments are stated at fair value, except for the fully benefit-responsive investment contract, which is stated at contract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See Notes 1 and 4 for further discussion and disclosures related to fair value measurements.</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Investments in shares of registered investment companies and short term investment funds are valued at quoted market prices, which represent the net asset values of shares held by the Plan at year end. Investments in common/collective trusts have readily determinable fair values and are valued based on the net asset value of participation units held by the Plan at year end. There are no redemption restrictions on these investments and purchases and sales may occur on a daily basis. The AMETEK common stock is valued at the closing price reported in an active market.</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Purchases and sales of investments are reflected on trade dates. Realized gains and losses on sales of investments are based on the average cost of such investments. Interest income is recorded on the accrual basis. Dividend income is recorded on the ex-dividend date. Income from other investments is recorded as earned. Plan investments do not have significant costs to sell. Net appreciation (depreciation) includes the Plan's realized and unrealized gains and losses as well as investments held at year-end.</w:t>
      </w:r>
    </w:p>
    <w:p>
      <w:pPr>
        <w:spacing w:after="0" w:line="28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Fully Benefit-Responsive Investment Contract</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Plan invests in a fully benefit-responsive synthetic guaranteed investment contract through a separate account, the Voya Stabilizer Fund (Separate Account for Ametek No. 920) (“Voya Separate Account”), established by Voya Retirement</w:t>
      </w:r>
    </w:p>
    <w:p>
      <w:pPr>
        <w:sectPr>
          <w:pgSz w:w="11900" w:h="16838" w:orient="portrait"/>
          <w:cols w:equalWidth="0" w:num="1">
            <w:col w:w="11240"/>
          </w:cols>
          <w:pgMar w:left="320" w:top="293"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Insurance and Annuity Company (“VRIAC”). The Voya Stabilizer Fund is a participating separate account contract that combines an underlying fixed income investment strategy with a group annuity insurance contract (“wrap contract”). The wrap contract provides a guarantee of principal and accumulated interest and obligates VRIAC to maintain the “contract value” of the underlying investment. The contract value is generally equal to the principal amounts invested in the underlying investments, plus interest accrued at a crediting rate established under the contract, less any adjustments for withdrawals (as specified in the wrap agreement). Under the terms of the wrap contract, the realized and unrealized gains and losses of the underlying investments are, in effect, amortized over the duration of the underlying investments through adjustments to the future contract interest crediting rate. The wrap contract provides that the adjustments to the interest crediting rate will not result in a future interest crediting rate that is less than zero. In general, if the contract value exceeds the fair value of the underlying investments (including accrued interest), VRIAC becomes obligated to pay that difference to the Voya Separate Account in the event that redemptions result in a total contract liquidation. In the event that there are partial redemptions that would otherwise cause the contract’s crediting rate to fall below zero, VRIAC is obligated to contribute to the Voya Separate Account an amount necessary to maintain the contract’s crediting rate of at least zero percent.</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interest crediting rate is typically reset on a quarterly basis. Over time, the crediting rate formula amortizes the Voya Separate Account’s realized and unrealized fair value gains and losses over the duration of the underlying investments. Because changes in market interest rates affect the yield to maturity and the fair value of the underlying investments, they can have a material impact on the contract’s interest crediting rate. In addition, participant withdrawals and transfers from the Voya Separate Account are paid at contract value but funded through the liquidation of the underlying investments at fair value, which also impacts the interest crediting rate.</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certain circumstances, the amount withdrawn from the contract would be payable at fair value rather than at contract value. These events include termination of the Plan, a material adverse change to the provisions of the Plan, the employer elects to withdraw from a contract in order to switch to a different investment provider, or the terms of a successor plan (in the event of the spin-off or sale of a division) do not meet VRIAC’s underwriting criteria for issuance of a clone wrap contract. The Company believes that the events described above that could result in the payment of benefits at fair value rather than contract value are not probable of occurring in the foreseeable future.</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Examples of events that would permit VRIAC to terminate the wrap contract upon short notice include the Plan’s loss of its qualified status, un-cured material breaches of responsibilities, or material and adverse changes to the provisions of the Plan. If one of these events was to occur, VRIAC could terminate the wrap contract at the fair value of the underlying investments.</w:t>
      </w:r>
    </w:p>
    <w:p>
      <w:pPr>
        <w:spacing w:after="0" w:line="280"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Plan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Plan’s own assumptions used to measure assets and liabilities at fair value. A financial asset or liability’s classification within the hierarchy is determined based on the lowest level input that is significant to the fair value measurement.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set forth by level, within the fair value hierarchy, the Plan’s assets at fair value:</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45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34,502,735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34,502,735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1,934,597,398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1,934,597,398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0"/>
        </w:trPr>
        <w:tc>
          <w:tcPr>
            <w:tcW w:w="4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r>
      <w:tr>
        <w:trPr>
          <w:trHeight w:val="30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AMETEK Stock Fund</w:t>
            </w:r>
          </w:p>
        </w:tc>
        <w:tc>
          <w:tcPr>
            <w:tcW w:w="3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152,167,874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152,167,874</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2,121,268,007</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2,121,268,007</w:t>
            </w:r>
          </w:p>
        </w:tc>
        <w:tc>
          <w:tcPr>
            <w:tcW w:w="8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45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45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9"/>
        </w:trPr>
        <w:tc>
          <w:tcPr>
            <w:tcW w:w="4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37"/>
        </w:trPr>
        <w:tc>
          <w:tcPr>
            <w:tcW w:w="45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70"/>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Registered investment companies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817,401,369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817,401,369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Common/Collective Trusts</w:t>
            </w: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827,600,218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827,600,218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4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40" w:type="dxa"/>
            <w:vAlign w:val="bottom"/>
            <w:gridSpan w:val="2"/>
          </w:tcPr>
          <w:p>
            <w:pPr>
              <w:spacing w:after="0"/>
              <w:rPr>
                <w:sz w:val="3"/>
                <w:szCs w:val="3"/>
                <w:color w:val="auto"/>
              </w:rPr>
            </w:pPr>
          </w:p>
        </w:tc>
        <w:tc>
          <w:tcPr>
            <w:tcW w:w="136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1120" w:type="dxa"/>
            <w:vAlign w:val="bottom"/>
          </w:tcPr>
          <w:p>
            <w:pPr>
              <w:spacing w:after="0"/>
              <w:rPr>
                <w:sz w:val="3"/>
                <w:szCs w:val="3"/>
                <w:color w:val="auto"/>
              </w:rPr>
            </w:pPr>
          </w:p>
        </w:tc>
      </w:tr>
      <w:tr>
        <w:trPr>
          <w:trHeight w:val="304"/>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1,645,001,587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1,645,001,587</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121"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Plan has received a determination letter from the Internal Revenue Service (“IRS”) dated January 22, 2024, stating that the Plan is qualified under Section 401(a) of the Internal Revenue Code (the “Code”) and, therefore, the related trust is exempt from taxation. Subsequent to this determination by the IRS, the Plan was amended and restated. Once qualified, the Plan is required to operate in conformity with the Code to maintain its qualification. The plan administrator believes the Plan is being operated in compliance with the applicable requirements of the Code and, therefore, believes the Plan, as amended and restated, is qualified and the related trust is tax-exempt.</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require plan management to evaluate tax positions taken by the Plan and recognize a tax liability if the Plan has taken an uncertain position that more likely than not would not be sustained upon examination by the IRS. Plan management has analyzed the tax positions taken by the Plan and has concluded that there are no uncertain positions taken or expected to be taken. The Plan is subject to routine audits by taxing jurisdictions; however, there are currently no audits for any tax periods in progress.</w:t>
      </w:r>
    </w:p>
    <w:p>
      <w:pPr>
        <w:spacing w:after="0" w:line="284"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Differences Between Financial Statements and Form 5500</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 reconciliation of net assets available for benefits per the financial statements to the Plan’s Form 5500:</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tcPr>
          <w:p>
            <w:pPr>
              <w:spacing w:after="0"/>
              <w:rPr>
                <w:sz w:val="16"/>
                <w:szCs w:val="16"/>
                <w:color w:val="auto"/>
              </w:rPr>
            </w:pPr>
          </w:p>
        </w:tc>
      </w:tr>
      <w:tr>
        <w:trPr>
          <w:trHeight w:val="37"/>
        </w:trPr>
        <w:tc>
          <w:tcPr>
            <w:tcW w:w="78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00"/>
        </w:trPr>
        <w:tc>
          <w:tcPr>
            <w:tcW w:w="7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8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the financial statements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2,261,877,996</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1,944,535,515</w:t>
            </w:r>
          </w:p>
        </w:tc>
      </w:tr>
      <w:tr>
        <w:trPr>
          <w:trHeight w:val="25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distributions outstanding</w:t>
            </w:r>
          </w:p>
        </w:tc>
        <w:tc>
          <w:tcPr>
            <w:tcW w:w="32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(95,458)</w:t>
            </w:r>
          </w:p>
        </w:tc>
      </w:tr>
      <w:tr>
        <w:trPr>
          <w:trHeight w:val="40"/>
        </w:trPr>
        <w:tc>
          <w:tcPr>
            <w:tcW w:w="78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0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 per Form 5500</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2,261,877,996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1,944,440,057</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The following is a reconciliation of deductions per the financial statements to total expenses per the Plan’s Form 5500 for the year ended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Deductions per the financial statements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(278,857,016)</w:t>
            </w:r>
          </w:p>
        </w:tc>
      </w:tr>
      <w:tr>
        <w:trPr>
          <w:trHeight w:val="257"/>
        </w:trPr>
        <w:tc>
          <w:tcPr>
            <w:tcW w:w="9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Deemed distributions</w:t>
            </w:r>
          </w:p>
        </w:tc>
        <w:tc>
          <w:tcPr>
            <w:tcW w:w="4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95,458</w:t>
            </w:r>
          </w:p>
        </w:tc>
      </w:tr>
      <w:tr>
        <w:trPr>
          <w:trHeight w:val="40"/>
        </w:trPr>
        <w:tc>
          <w:tcPr>
            <w:tcW w:w="94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r>
      <w:tr>
        <w:trPr>
          <w:trHeight w:val="309"/>
        </w:trPr>
        <w:tc>
          <w:tcPr>
            <w:tcW w:w="9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 per Form 5500</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(278,761,558)</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00" w:hanging="492"/>
        <w:spacing w:after="0"/>
        <w:tabs>
          <w:tab w:leader="none" w:pos="5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Plan Amendments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Plan was amended to designate certain U.S. employees of the following acquired businesses as participating employees in the Plan on the effective dates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0" w:type="dxa"/>
            <w:vAlign w:val="bottom"/>
          </w:tcPr>
          <w:p>
            <w:pPr>
              <w:spacing w:after="0"/>
              <w:rPr>
                <w:sz w:val="13"/>
                <w:szCs w:val="13"/>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Acquired Business</w:t>
            </w:r>
          </w:p>
        </w:tc>
      </w:tr>
      <w:tr>
        <w:trPr>
          <w:trHeight w:val="48"/>
        </w:trPr>
        <w:tc>
          <w:tcPr>
            <w:tcW w:w="2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7800" w:type="dxa"/>
            <w:vAlign w:val="bottom"/>
            <w:tcBorders>
              <w:bottom w:val="single" w:sz="8" w:color="auto"/>
            </w:tcBorders>
          </w:tcPr>
          <w:p>
            <w:pPr>
              <w:spacing w:after="0"/>
              <w:rPr>
                <w:sz w:val="4"/>
                <w:szCs w:val="4"/>
                <w:color w:val="auto"/>
              </w:rPr>
            </w:pPr>
          </w:p>
        </w:tc>
      </w:tr>
      <w:tr>
        <w:trPr>
          <w:trHeight w:val="271"/>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w:t>
            </w:r>
          </w:p>
        </w:tc>
        <w:tc>
          <w:tcPr>
            <w:tcW w:w="20" w:type="dxa"/>
            <w:vAlign w:val="bottom"/>
            <w:tcBorders>
              <w:bottom w:val="single" w:sz="8" w:color="CCEEFF"/>
            </w:tcBorders>
            <w:shd w:val="clear" w:color="auto" w:fill="CCEEFF"/>
          </w:tcPr>
          <w:p>
            <w:pPr>
              <w:spacing w:after="0"/>
              <w:rPr>
                <w:sz w:val="23"/>
                <w:szCs w:val="23"/>
                <w:color w:val="auto"/>
              </w:rPr>
            </w:pPr>
          </w:p>
        </w:tc>
        <w:tc>
          <w:tcPr>
            <w:tcW w:w="8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Engineered Products Holdings, Inc. ("Paragon")</w:t>
            </w:r>
          </w:p>
        </w:tc>
      </w:tr>
      <w:tr>
        <w:trPr>
          <w:trHeight w:val="25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29, 2025</w:t>
            </w:r>
          </w:p>
        </w:tc>
        <w:tc>
          <w:tcPr>
            <w:tcW w:w="20" w:type="dxa"/>
            <w:vAlign w:val="bottom"/>
          </w:tcPr>
          <w:p>
            <w:pPr>
              <w:spacing w:after="0"/>
              <w:rPr>
                <w:sz w:val="22"/>
                <w:szCs w:val="22"/>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Rauland-Borg Corporation</w:t>
            </w:r>
          </w:p>
        </w:tc>
      </w:tr>
      <w:tr>
        <w:trPr>
          <w:trHeight w:val="473"/>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0" w:type="dxa"/>
            <w:vAlign w:val="bottom"/>
          </w:tcPr>
          <w:p>
            <w:pPr>
              <w:spacing w:after="0"/>
              <w:rPr>
                <w:sz w:val="24"/>
                <w:szCs w:val="24"/>
                <w:color w:val="auto"/>
              </w:rPr>
            </w:pPr>
          </w:p>
        </w:tc>
      </w:tr>
      <w:tr>
        <w:trPr>
          <w:trHeight w:val="449"/>
        </w:trPr>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20" w:type="dxa"/>
            <w:vAlign w:val="bottom"/>
          </w:tcPr>
          <w:p>
            <w:pPr>
              <w:spacing w:after="0"/>
              <w:rPr>
                <w:sz w:val="24"/>
                <w:szCs w:val="24"/>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Acquired Business</w:t>
            </w:r>
          </w:p>
        </w:tc>
      </w:tr>
      <w:tr>
        <w:trPr>
          <w:trHeight w:val="37"/>
        </w:trPr>
        <w:tc>
          <w:tcPr>
            <w:tcW w:w="2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940" w:type="dxa"/>
            <w:vAlign w:val="bottom"/>
            <w:tcBorders>
              <w:bottom w:val="single" w:sz="8" w:color="auto"/>
            </w:tcBorders>
            <w:gridSpan w:val="2"/>
          </w:tcPr>
          <w:p>
            <w:pPr>
              <w:spacing w:after="0"/>
              <w:rPr>
                <w:sz w:val="3"/>
                <w:szCs w:val="3"/>
                <w:color w:val="auto"/>
              </w:rPr>
            </w:pPr>
          </w:p>
        </w:tc>
      </w:tr>
      <w:tr>
        <w:trPr>
          <w:trHeight w:val="270"/>
        </w:trPr>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28, 2024</w:t>
            </w:r>
          </w:p>
        </w:tc>
        <w:tc>
          <w:tcPr>
            <w:tcW w:w="20" w:type="dxa"/>
            <w:vAlign w:val="bottom"/>
            <w:tcBorders>
              <w:bottom w:val="single" w:sz="8" w:color="CCEEFF"/>
            </w:tcBorders>
            <w:shd w:val="clear" w:color="auto" w:fill="CCEEFF"/>
          </w:tcPr>
          <w:p>
            <w:pPr>
              <w:spacing w:after="0"/>
              <w:rPr>
                <w:sz w:val="23"/>
                <w:szCs w:val="23"/>
                <w:color w:val="auto"/>
              </w:rPr>
            </w:pPr>
          </w:p>
        </w:tc>
        <w:tc>
          <w:tcPr>
            <w:tcW w:w="8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Amplifier Research</w:t>
            </w:r>
          </w:p>
        </w:tc>
      </w:tr>
      <w:tr>
        <w:trPr>
          <w:trHeight w:val="257"/>
        </w:trPr>
        <w:tc>
          <w:tcPr>
            <w:tcW w:w="2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Pr>
          <w:p>
            <w:pPr>
              <w:spacing w:after="0"/>
              <w:rPr>
                <w:sz w:val="22"/>
                <w:szCs w:val="22"/>
                <w:color w:val="auto"/>
              </w:rPr>
            </w:pPr>
          </w:p>
        </w:tc>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Tube Company, Inc.</w:t>
            </w:r>
          </w:p>
        </w:tc>
      </w:tr>
    </w:tbl>
    <w:p>
      <w:pPr>
        <w:spacing w:after="0" w:line="200" w:lineRule="exact"/>
        <w:rPr>
          <w:sz w:val="20"/>
          <w:szCs w:val="20"/>
          <w:color w:val="auto"/>
        </w:rPr>
      </w:pPr>
    </w:p>
    <w:p>
      <w:pPr>
        <w:spacing w:after="0" w:line="237"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4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Effective January 1, 2026, the Plan was amended to designate participants of FARO 401(k) Plan as participating employees in the Plan. As a result, assets totaling $76,095,150 were transferred from the FARO 401(k) Plan into the Plan’s Trust on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13" w:name="page14"/>
    <w:bookmarkEnd w:id="13"/>
    <w:p>
      <w:pPr>
        <w:jc w:val="center"/>
        <w:ind w:left="1740"/>
        <w:spacing w:after="0"/>
        <w:rPr>
          <w:sz w:val="20"/>
          <w:szCs w:val="20"/>
          <w:color w:val="auto"/>
        </w:rPr>
      </w:pPr>
      <w:r>
        <w:rPr>
          <w:rFonts w:ascii="Times New Roman" w:cs="Times New Roman" w:eastAsia="Times New Roman" w:hAnsi="Times New Roman"/>
          <w:sz w:val="18"/>
          <w:szCs w:val="18"/>
          <w:b w:val="1"/>
          <w:bCs w:val="1"/>
          <w:color w:val="auto"/>
        </w:rPr>
        <w:t>The AMETEK Retirement and Savings Plan</w:t>
      </w:r>
    </w:p>
    <w:p>
      <w:pPr>
        <w:spacing w:after="0" w:line="31"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8"/>
          <w:szCs w:val="18"/>
          <w:b w:val="1"/>
          <w:bCs w:val="1"/>
          <w:color w:val="auto"/>
        </w:rPr>
        <w:t>EIN 14-1682544 Plan #078</w:t>
      </w:r>
    </w:p>
    <w:p>
      <w:pPr>
        <w:spacing w:after="0" w:line="9"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8"/>
          <w:szCs w:val="18"/>
          <w:b w:val="1"/>
          <w:bCs w:val="1"/>
          <w:color w:val="auto"/>
        </w:rPr>
        <w:t>Schedule H, Line 4i – Schedule of Assets (Held at End of Year)</w:t>
      </w:r>
    </w:p>
    <w:p>
      <w:pPr>
        <w:spacing w:after="0" w:line="9" w:lineRule="exact"/>
        <w:rPr>
          <w:sz w:val="20"/>
          <w:szCs w:val="20"/>
          <w:color w:val="auto"/>
        </w:rPr>
      </w:pPr>
    </w:p>
    <w:p>
      <w:pPr>
        <w:jc w:val="center"/>
        <w:ind w:left="174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52"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4"/>
          <w:szCs w:val="14"/>
          <w:b w:val="1"/>
          <w:bCs w:val="1"/>
          <w:color w:val="auto"/>
        </w:rPr>
        <w:t>Description of investment, including maturity date,</w:t>
      </w:r>
    </w:p>
    <w:p>
      <w:pPr>
        <w:spacing w:after="0" w:line="29" w:lineRule="exact"/>
        <w:rPr>
          <w:sz w:val="20"/>
          <w:szCs w:val="20"/>
          <w:color w:val="auto"/>
        </w:rPr>
      </w:pPr>
    </w:p>
    <w:p>
      <w:pPr>
        <w:ind w:left="20"/>
        <w:spacing w:after="0"/>
        <w:tabs>
          <w:tab w:leader="none" w:pos="6300" w:val="left"/>
        </w:tabs>
        <w:rPr>
          <w:sz w:val="20"/>
          <w:szCs w:val="20"/>
          <w:color w:val="auto"/>
        </w:rPr>
      </w:pPr>
      <w:r>
        <w:rPr>
          <w:rFonts w:ascii="Times New Roman" w:cs="Times New Roman" w:eastAsia="Times New Roman" w:hAnsi="Times New Roman"/>
          <w:sz w:val="14"/>
          <w:szCs w:val="14"/>
          <w:b w:val="1"/>
          <w:bCs w:val="1"/>
          <w:color w:val="auto"/>
        </w:rPr>
        <w:t>Identity of issue, borrower, lessor or similar party</w:t>
      </w:r>
      <w:r>
        <w:rPr>
          <w:sz w:val="20"/>
          <w:szCs w:val="20"/>
          <w:color w:val="auto"/>
        </w:rPr>
        <w:tab/>
      </w:r>
      <w:r>
        <w:rPr>
          <w:rFonts w:ascii="Times New Roman" w:cs="Times New Roman" w:eastAsia="Times New Roman" w:hAnsi="Times New Roman"/>
          <w:sz w:val="14"/>
          <w:szCs w:val="14"/>
          <w:b w:val="1"/>
          <w:bCs w:val="1"/>
          <w:color w:val="auto"/>
        </w:rPr>
        <w:t>rate of interest, collateral, par, or maturity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Current</w:t>
      </w:r>
    </w:p>
    <w:p>
      <w:pPr>
        <w:spacing w:after="0" w:line="2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Value</w:t>
      </w:r>
    </w:p>
    <w:p>
      <w:pPr>
        <w:spacing w:after="0" w:line="45" w:lineRule="exact"/>
        <w:rPr>
          <w:sz w:val="20"/>
          <w:szCs w:val="20"/>
          <w:color w:val="auto"/>
        </w:rPr>
      </w:pPr>
    </w:p>
    <w:p>
      <w:pPr>
        <w:sectPr>
          <w:pgSz w:w="11900" w:h="16838" w:orient="portrait"/>
          <w:cols w:equalWidth="0" w:num="2">
            <w:col w:w="9520" w:space="720"/>
            <w:col w:w="1000"/>
          </w:cols>
          <w:pgMar w:left="320" w:top="927" w:right="339" w:bottom="1440" w:gutter="0" w:footer="0" w:header="0"/>
        </w:sectPr>
      </w:pPr>
    </w:p>
    <w:tbl>
      <w:tblPr>
        <w:tblLayout w:type="fixed"/>
        <w:tblInd w:w="0" w:type="dxa"/>
        <w:tblCellMar>
          <w:top w:w="0" w:type="dxa"/>
          <w:left w:w="0" w:type="dxa"/>
          <w:bottom w:w="0" w:type="dxa"/>
          <w:right w:w="0" w:type="dxa"/>
        </w:tblCellMar>
      </w:tblPr>
      <w:tr>
        <w:trPr>
          <w:trHeight w:val="290"/>
        </w:trPr>
        <w:tc>
          <w:tcPr>
            <w:tcW w:w="5700" w:type="dxa"/>
            <w:vAlign w:val="bottom"/>
            <w:tcBorders>
              <w:top w:val="single" w:sz="8" w:color="auto"/>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Voya Stabilizer Fund (Separate Account for Ametek No. 920)</w:t>
            </w:r>
          </w:p>
        </w:tc>
        <w:tc>
          <w:tcPr>
            <w:tcW w:w="4040" w:type="dxa"/>
            <w:vAlign w:val="bottom"/>
            <w:tcBorders>
              <w:top w:val="single" w:sz="8" w:color="auto"/>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Separate Account</w:t>
            </w: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104,439,501</w:t>
            </w:r>
          </w:p>
        </w:tc>
        <w:tc>
          <w:tcPr>
            <w:tcW w:w="0" w:type="dxa"/>
            <w:vAlign w:val="bottom"/>
          </w:tcPr>
          <w:p>
            <w:pPr>
              <w:spacing w:after="0"/>
              <w:rPr>
                <w:sz w:val="1"/>
                <w:szCs w:val="1"/>
                <w:color w:val="auto"/>
              </w:rPr>
            </w:pPr>
          </w:p>
        </w:tc>
      </w:tr>
      <w:tr>
        <w:trPr>
          <w:trHeight w:val="257"/>
        </w:trPr>
        <w:tc>
          <w:tcPr>
            <w:tcW w:w="5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Voya Retirement Insurance Annuity Company Wrap Contract #60498</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Interest rate of 2.49% at December 31, 2025</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5,391,866</w:t>
            </w:r>
          </w:p>
        </w:tc>
        <w:tc>
          <w:tcPr>
            <w:tcW w:w="0" w:type="dxa"/>
            <w:vAlign w:val="bottom"/>
          </w:tcPr>
          <w:p>
            <w:pPr>
              <w:spacing w:after="0"/>
              <w:rPr>
                <w:sz w:val="1"/>
                <w:szCs w:val="1"/>
                <w:color w:val="auto"/>
              </w:rPr>
            </w:pPr>
          </w:p>
        </w:tc>
      </w:tr>
      <w:tr>
        <w:trPr>
          <w:trHeight w:val="41"/>
        </w:trPr>
        <w:tc>
          <w:tcPr>
            <w:tcW w:w="300" w:type="dxa"/>
            <w:vAlign w:val="bottom"/>
            <w:tcBorders>
              <w:bottom w:val="single" w:sz="8" w:color="CCEEFF"/>
            </w:tcBorders>
          </w:tcPr>
          <w:p>
            <w:pPr>
              <w:spacing w:after="0"/>
              <w:rPr>
                <w:sz w:val="3"/>
                <w:szCs w:val="3"/>
                <w:color w:val="auto"/>
              </w:rPr>
            </w:pPr>
          </w:p>
        </w:tc>
        <w:tc>
          <w:tcPr>
            <w:tcW w:w="5400" w:type="dxa"/>
            <w:vAlign w:val="bottom"/>
            <w:tcBorders>
              <w:bottom w:val="single" w:sz="8" w:color="CCEEFF"/>
            </w:tcBorders>
          </w:tcPr>
          <w:p>
            <w:pPr>
              <w:spacing w:after="0"/>
              <w:rPr>
                <w:sz w:val="3"/>
                <w:szCs w:val="3"/>
                <w:color w:val="auto"/>
              </w:rPr>
            </w:pPr>
          </w:p>
        </w:tc>
        <w:tc>
          <w:tcPr>
            <w:tcW w:w="40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300" w:type="dxa"/>
            <w:vAlign w:val="bottom"/>
            <w:tcBorders>
              <w:bottom w:val="single" w:sz="8" w:color="CCEEFF"/>
            </w:tcBorders>
            <w:shd w:val="clear" w:color="auto" w:fill="CCEEFF"/>
          </w:tcPr>
          <w:p>
            <w:pPr>
              <w:spacing w:after="0"/>
              <w:rPr>
                <w:sz w:val="23"/>
                <w:szCs w:val="23"/>
                <w:color w:val="auto"/>
              </w:rPr>
            </w:pPr>
          </w:p>
        </w:tc>
        <w:tc>
          <w:tcPr>
            <w:tcW w:w="5400" w:type="dxa"/>
            <w:vAlign w:val="bottom"/>
            <w:tcBorders>
              <w:bottom w:val="single" w:sz="8" w:color="CCEEFF"/>
            </w:tcBorders>
            <w:shd w:val="clear" w:color="auto" w:fill="CCEEFF"/>
          </w:tcPr>
          <w:p>
            <w:pPr>
              <w:spacing w:after="0"/>
              <w:rPr>
                <w:sz w:val="23"/>
                <w:szCs w:val="23"/>
                <w:color w:val="auto"/>
              </w:rPr>
            </w:pPr>
          </w:p>
        </w:tc>
        <w:tc>
          <w:tcPr>
            <w:tcW w:w="40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109,831,367</w:t>
            </w:r>
          </w:p>
        </w:tc>
        <w:tc>
          <w:tcPr>
            <w:tcW w:w="0" w:type="dxa"/>
            <w:vAlign w:val="bottom"/>
          </w:tcPr>
          <w:p>
            <w:pPr>
              <w:spacing w:after="0"/>
              <w:rPr>
                <w:sz w:val="1"/>
                <w:szCs w:val="1"/>
                <w:color w:val="auto"/>
              </w:rPr>
            </w:pPr>
          </w:p>
        </w:tc>
      </w:tr>
      <w:tr>
        <w:trPr>
          <w:trHeight w:val="108"/>
        </w:trPr>
        <w:tc>
          <w:tcPr>
            <w:tcW w:w="5700" w:type="dxa"/>
            <w:vAlign w:val="bottom"/>
            <w:gridSpan w:val="2"/>
          </w:tcPr>
          <w:p>
            <w:pPr>
              <w:spacing w:after="0"/>
              <w:rPr>
                <w:sz w:val="9"/>
                <w:szCs w:val="9"/>
                <w:color w:val="auto"/>
              </w:rPr>
            </w:pPr>
          </w:p>
        </w:tc>
        <w:tc>
          <w:tcPr>
            <w:tcW w:w="40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Income Trust I</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49,358,005</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2020 Trust I</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71,651,015</w:t>
            </w:r>
          </w:p>
        </w:tc>
        <w:tc>
          <w:tcPr>
            <w:tcW w:w="0" w:type="dxa"/>
            <w:vAlign w:val="bottom"/>
          </w:tcPr>
          <w:p>
            <w:pPr>
              <w:spacing w:after="0"/>
              <w:rPr>
                <w:sz w:val="1"/>
                <w:szCs w:val="1"/>
                <w:color w:val="auto"/>
              </w:rPr>
            </w:pPr>
          </w:p>
        </w:tc>
      </w:tr>
      <w:tr>
        <w:trPr>
          <w:trHeight w:val="41"/>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2025 Trust I</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185,194,435</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2030 Trust I</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231,967,863</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2035 Trust I</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205,642,140</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2040 Trust I</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135,289,326</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2045 Trust I</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110,224,351</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2050 Trust I</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91,169,987</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2055 Trust I</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62,222,970</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2060 Trust I</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29,588,110</w:t>
            </w:r>
          </w:p>
        </w:tc>
        <w:tc>
          <w:tcPr>
            <w:tcW w:w="0" w:type="dxa"/>
            <w:vAlign w:val="bottom"/>
          </w:tcPr>
          <w:p>
            <w:pPr>
              <w:spacing w:after="0"/>
              <w:rPr>
                <w:sz w:val="1"/>
                <w:szCs w:val="1"/>
                <w:color w:val="auto"/>
              </w:rPr>
            </w:pPr>
          </w:p>
        </w:tc>
      </w:tr>
      <w:tr>
        <w:trPr>
          <w:trHeight w:val="41"/>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2065 Trust I</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14,518,748</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Vanguard Target Retirement 2070 Trust I</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3,216,174</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Reliance Trust MetLife Stable Value Fund Series 25053 Class 25</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995,737</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WTC-CIF II Core Bond Plus (Series 2) Portfolio</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10,077,400</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Street Real Asset Fund</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4,019,242</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 Rowe Price Structured Research Common Trust Fund Class D</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247,555,220</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Jennison Small/Mid Cap Equity Fund</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39,989,818</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Invesco Stable Value Trust Class A1</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1,760,393</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FIAM U.S. Bond Index Commingled Pool Class D</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49,610,861</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Spartan® 500 Index Pool Class C</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289,722,891</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Spartan® Extended Market Index Pool Class C</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69,242,199</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Spartan® Total International Index Pool Class C</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Common/Collective Trust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31,580,513</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American Funds EuroPacific Growth Fund</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33,145,623</w:t>
            </w:r>
          </w:p>
        </w:tc>
        <w:tc>
          <w:tcPr>
            <w:tcW w:w="0" w:type="dxa"/>
            <w:vAlign w:val="bottom"/>
          </w:tcPr>
          <w:p>
            <w:pPr>
              <w:spacing w:after="0"/>
              <w:rPr>
                <w:sz w:val="1"/>
                <w:szCs w:val="1"/>
                <w:color w:val="auto"/>
              </w:rPr>
            </w:pPr>
          </w:p>
        </w:tc>
      </w:tr>
      <w:tr>
        <w:trPr>
          <w:trHeight w:val="257"/>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Fidelity® Investments Money Market Treasury Portfolio - Class I</w:t>
            </w: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Registered Investment Company</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1,357,112</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AMETEK Stock Fund</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AMETEK Stock Fund</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152,167,874</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40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2,231,099,374</w:t>
            </w:r>
          </w:p>
        </w:tc>
        <w:tc>
          <w:tcPr>
            <w:tcW w:w="0" w:type="dxa"/>
            <w:vAlign w:val="bottom"/>
          </w:tcPr>
          <w:p>
            <w:pPr>
              <w:spacing w:after="0"/>
              <w:rPr>
                <w:sz w:val="1"/>
                <w:szCs w:val="1"/>
                <w:color w:val="auto"/>
              </w:rPr>
            </w:pPr>
          </w:p>
        </w:tc>
      </w:tr>
      <w:tr>
        <w:trPr>
          <w:trHeight w:val="40"/>
        </w:trPr>
        <w:tc>
          <w:tcPr>
            <w:tcW w:w="5700" w:type="dxa"/>
            <w:vAlign w:val="bottom"/>
            <w:gridSpan w:val="2"/>
          </w:tcPr>
          <w:p>
            <w:pPr>
              <w:spacing w:after="0"/>
              <w:rPr>
                <w:sz w:val="3"/>
                <w:szCs w:val="3"/>
                <w:color w:val="auto"/>
              </w:rPr>
            </w:pPr>
          </w:p>
        </w:tc>
        <w:tc>
          <w:tcPr>
            <w:tcW w:w="40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7"/>
        </w:trPr>
        <w:tc>
          <w:tcPr>
            <w:tcW w:w="5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Notes Receivable from Participants</w:t>
            </w:r>
          </w:p>
        </w:tc>
        <w:tc>
          <w:tcPr>
            <w:tcW w:w="404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Interest rates ranging from 3.25% to 9.50%</w:t>
            </w:r>
          </w:p>
        </w:tc>
        <w:tc>
          <w:tcPr>
            <w:tcW w:w="2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22,560,622</w:t>
            </w: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5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$2,253,659,996</w:t>
            </w:r>
          </w:p>
        </w:tc>
        <w:tc>
          <w:tcPr>
            <w:tcW w:w="0" w:type="dxa"/>
            <w:vAlign w:val="bottom"/>
          </w:tcPr>
          <w:p>
            <w:pPr>
              <w:spacing w:after="0"/>
              <w:rPr>
                <w:sz w:val="1"/>
                <w:szCs w:val="1"/>
                <w:color w:val="auto"/>
              </w:rPr>
            </w:pPr>
          </w:p>
        </w:tc>
      </w:tr>
      <w:tr>
        <w:trPr>
          <w:trHeight w:val="4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______________</w:t>
            </w:r>
          </w:p>
        </w:tc>
        <w:tc>
          <w:tcPr>
            <w:tcW w:w="40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continu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9"/>
        </w:trPr>
        <w:tc>
          <w:tcPr>
            <w:tcW w:w="5700" w:type="dxa"/>
            <w:vAlign w:val="bottom"/>
            <w:gridSpan w:val="2"/>
            <w:vMerge w:val="continue"/>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Indicates party–in–interest to the Plan.</w:t>
            </w:r>
          </w:p>
        </w:tc>
        <w:tc>
          <w:tcPr>
            <w:tcW w:w="4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Historical cost column is not included as all investments are participant–directed.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14" w:name="page15"/>
    <w:bookmarkEnd w:id="14"/>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5" w:lineRule="exact"/>
        <w:rPr>
          <w:sz w:val="20"/>
          <w:szCs w:val="20"/>
          <w:color w:val="auto"/>
        </w:rPr>
      </w:pPr>
    </w:p>
    <w:p>
      <w:pPr>
        <w:ind w:left="5"/>
        <w:spacing w:after="0"/>
        <w:tabs>
          <w:tab w:leader="none" w:pos="1444" w:val="left"/>
        </w:tabs>
        <w:rPr>
          <w:sz w:val="20"/>
          <w:szCs w:val="20"/>
          <w:color w:val="auto"/>
        </w:rPr>
      </w:pPr>
      <w:r>
        <w:rPr>
          <w:rFonts w:ascii="Times New Roman" w:cs="Times New Roman" w:eastAsia="Times New Roman" w:hAnsi="Times New Roman"/>
          <w:sz w:val="16"/>
          <w:szCs w:val="16"/>
          <w:b w:val="1"/>
          <w:bCs w:val="1"/>
          <w:u w:val="single" w:color="auto"/>
          <w:color w:val="auto"/>
        </w:rPr>
        <w:t>Number</w:t>
      </w:r>
      <w:r>
        <w:rPr>
          <w:sz w:val="20"/>
          <w:szCs w:val="20"/>
          <w:color w:val="auto"/>
        </w:rPr>
        <w:tab/>
      </w:r>
      <w:r>
        <w:rPr>
          <w:rFonts w:ascii="Times New Roman" w:cs="Times New Roman" w:eastAsia="Times New Roman" w:hAnsi="Times New Roman"/>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927100</wp:posOffset>
            </wp:positionH>
            <wp:positionV relativeFrom="paragraph">
              <wp:posOffset>34925</wp:posOffset>
            </wp:positionV>
            <wp:extent cx="59321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932170" cy="8890"/>
                    </a:xfrm>
                    <a:prstGeom prst="rect">
                      <a:avLst/>
                    </a:prstGeom>
                    <a:noFill/>
                  </pic:spPr>
                </pic:pic>
              </a:graphicData>
            </a:graphic>
          </wp:anchor>
        </w:drawing>
      </w:r>
    </w:p>
    <w:p>
      <w:pPr>
        <w:spacing w:after="0" w:line="71" w:lineRule="exact"/>
        <w:rPr>
          <w:sz w:val="20"/>
          <w:szCs w:val="20"/>
          <w:color w:val="auto"/>
        </w:rPr>
      </w:pPr>
    </w:p>
    <w:p>
      <w:pPr>
        <w:ind w:left="1465" w:hanging="1465"/>
        <w:spacing w:after="0"/>
        <w:tabs>
          <w:tab w:leader="none" w:pos="1465" w:val="left"/>
        </w:tabs>
        <w:numPr>
          <w:ilvl w:val="0"/>
          <w:numId w:val="1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Consent of Independent Registered Public Accounting Firm</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94" w:lineRule="exact"/>
        <w:rPr>
          <w:rFonts w:ascii="Times New Roman" w:cs="Times New Roman" w:eastAsia="Times New Roman" w:hAnsi="Times New Roman"/>
          <w:sz w:val="18"/>
          <w:szCs w:val="18"/>
          <w:u w:val="single" w:color="auto"/>
          <w:color w:val="0000FF"/>
        </w:rPr>
      </w:pPr>
    </w:p>
    <w:p>
      <w:pPr>
        <w:ind w:left="5285"/>
        <w:spacing w:after="0"/>
        <w:rPr>
          <w:rFonts w:ascii="Times New Roman" w:cs="Times New Roman" w:eastAsia="Times New Roman" w:hAnsi="Times New Roman"/>
          <w:sz w:val="18"/>
          <w:szCs w:val="18"/>
          <w:u w:val="single" w:color="auto"/>
          <w:color w:val="0000FF"/>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86360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04"/>
          </w:cols>
          <w:pgMar w:left="555" w:top="1103"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Plan. </w:t>
      </w:r>
      <w:r>
        <w:rPr>
          <w:rFonts w:ascii="Times New Roman" w:cs="Times New Roman" w:eastAsia="Times New Roman" w:hAnsi="Times New Roman"/>
          <w:sz w:val="18"/>
          <w:szCs w:val="18"/>
          <w:color w:val="auto"/>
        </w:rPr>
        <w:t>Pursuant to the requirements of the Securities Exchange Act of 1934, the Members of the Savings and Investment Committee have duly caused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annual report to be signed on its behalf by the undersigned hereunto duly authorized.</w:t>
      </w:r>
    </w:p>
    <w:p>
      <w:pPr>
        <w:spacing w:after="0" w:line="22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The AMETEK Retirement and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43180</wp:posOffset>
            </wp:positionV>
            <wp:extent cx="34886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4"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color w:val="auto"/>
        </w:rPr>
        <w:t>(Name of Plan)</w:t>
      </w:r>
    </w:p>
    <w:p>
      <w:pPr>
        <w:spacing w:after="0" w:line="252" w:lineRule="exact"/>
        <w:rPr>
          <w:sz w:val="20"/>
          <w:szCs w:val="20"/>
          <w:color w:val="auto"/>
        </w:rPr>
      </w:pPr>
    </w:p>
    <w:p>
      <w:pPr>
        <w:ind w:left="20"/>
        <w:spacing w:after="0"/>
        <w:tabs>
          <w:tab w:leader="none" w:pos="5740" w:val="left"/>
          <w:tab w:leader="none" w:pos="618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J. AMODEI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43180</wp:posOffset>
            </wp:positionV>
            <wp:extent cx="32061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8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Robert J. Amodei</w:t>
      </w:r>
    </w:p>
    <w:p>
      <w:pPr>
        <w:spacing w:after="0" w:line="9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Member, Savings and Investment Committee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25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No. 333-87491) pertaining to The AMETEK Retirement and Savings Plan of AMETEK Inc. of our report dated June 24, 2026, with respect to the financial statements and schedule of The AMETEK Retirement and Savings Plan included in this Annual Report (Form 11- K) for the year ended December 31, 2025.</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2"/>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4"/>
    </w:lvl>
  </w:abstractNum>
  <w:abstractNum w:abstractNumId="12">
    <w:nsid w:val="1BEFD79F"/>
    <w:multiLevelType w:val="hybridMultilevel"/>
    <w:lvl w:ilvl="0">
      <w:lvlJc w:val="left"/>
      <w:lvlText w:val="%1."/>
      <w:numFmt w:val="decimal"/>
      <w:start w:val="5"/>
    </w:lvl>
  </w:abstractNum>
  <w:abstractNum w:abstractNumId="13">
    <w:nsid w:val="41A7C4C9"/>
    <w:multiLevelType w:val="hybridMultilevel"/>
    <w:lvl w:ilvl="0">
      <w:lvlJc w:val="left"/>
      <w:lvlText w:val="%1."/>
      <w:numFmt w:val="decimal"/>
      <w:start w:val="6"/>
    </w:lvl>
  </w:abstractNum>
  <w:abstractNum w:abstractNumId="14">
    <w:nsid w:val="6B68079A"/>
    <w:multiLevelType w:val="hybridMultilevel"/>
    <w:lvl w:ilvl="0">
      <w:lvlJc w:val="left"/>
      <w:lvlText w:val="%1."/>
      <w:numFmt w:val="decimal"/>
      <w:start w:val="7"/>
    </w:lvl>
  </w:abstractNum>
  <w:abstractNum w:abstractNumId="15">
    <w:nsid w:val="4E6AFB66"/>
    <w:multiLevelType w:val="hybridMultilevel"/>
    <w:lvl w:ilvl="0">
      <w:lvlJc w:val="left"/>
      <w:lvlText w:val="%1."/>
      <w:numFmt w:val="decimal"/>
      <w:start w:val="8"/>
    </w:lvl>
  </w:abstractNum>
  <w:abstractNum w:abstractNumId="16">
    <w:nsid w:val="25E45D32"/>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2026-06-25T14:14:31Z</dcterms:created>
  <dcterms:modified xsi:type="dcterms:W3CDTF">2026-06-25T14:14:31Z</dcterms:modified>
</cp:coreProperties>
</file>