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April 29, 2024 was 231,469,581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months ended March 31, 2024 and 2023</w:t>
            </w:r>
          </w:p>
        </w:tc>
        <w:tc>
          <w:tcPr>
            <w:tcW w:w="33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months ended March 31, 2024 and 2023</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March 31, 2024 and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months ended March 31, 2024 and 2023</w:t>
            </w:r>
          </w:p>
        </w:tc>
        <w:tc>
          <w:tcPr>
            <w:tcW w:w="160" w:type="dxa"/>
            <w:vAlign w:val="bottom"/>
          </w:tcPr>
          <w:p>
            <w:pPr>
              <w:spacing w:after="0"/>
              <w:rPr>
                <w:sz w:val="19"/>
                <w:szCs w:val="19"/>
                <w:color w:val="auto"/>
              </w:rPr>
            </w:pPr>
          </w:p>
        </w:tc>
        <w:tc>
          <w:tcPr>
            <w:tcW w:w="224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three months ended March 31, 2024 and 2023</w:t>
            </w:r>
          </w:p>
        </w:tc>
        <w:tc>
          <w:tcPr>
            <w:tcW w:w="2240" w:type="dxa"/>
            <w:vAlign w:val="bottom"/>
            <w:gridSpan w:val="2"/>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64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1,736,180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1,597,117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1,144,681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1,022,525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174,283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1,318,964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1,191,576</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417,216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405,541</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381,329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379,599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73,887</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310,943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305,712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231,097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230,126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22225</wp:posOffset>
            </wp:positionV>
            <wp:extent cx="160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7" w:lineRule="exact"/>
        <w:rPr>
          <w:sz w:val="20"/>
          <w:szCs w:val="20"/>
          <w:color w:val="auto"/>
        </w:rPr>
      </w:pPr>
    </w:p>
    <w:p>
      <w:pPr>
        <w:ind w:left="920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4" w:lineRule="exact"/>
        <w:rPr>
          <w:sz w:val="20"/>
          <w:szCs w:val="20"/>
          <w:color w:val="auto"/>
        </w:rPr>
      </w:pPr>
    </w:p>
    <w:p>
      <w:pPr>
        <w:ind w:left="20"/>
        <w:spacing w:after="0"/>
        <w:tabs>
          <w:tab w:leader="none" w:pos="8720" w:val="left"/>
          <w:tab w:leader="none" w:pos="9280" w:val="left"/>
          <w:tab w:leader="none" w:pos="10060" w:val="left"/>
          <w:tab w:leader="none" w:pos="10560" w:val="left"/>
        </w:tabs>
        <w:rPr>
          <w:sz w:val="20"/>
          <w:szCs w:val="20"/>
          <w:color w:val="auto"/>
        </w:rPr>
      </w:pPr>
      <w:r>
        <w:rPr>
          <w:rFonts w:ascii="Times New Roman" w:cs="Times New Roman" w:eastAsia="Times New Roman" w:hAnsi="Times New Roman"/>
          <w:sz w:val="18"/>
          <w:szCs w:val="18"/>
          <w:b w:val="1"/>
          <w:bCs w:val="1"/>
          <w:color w:val="auto"/>
        </w:rPr>
        <w:t>Total comprehensive income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285,557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223,639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373,765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409,804</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983,893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1,012,932</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1,132,471</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290,516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2,775,502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2,824,668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891,293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219,887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6,438,675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6,447,629</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4,080,603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4,165,317</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472,894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464,903</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14,864,981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1,055,406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1,417,915</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516,588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375,513</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69,567</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452,034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502,990</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2,502,508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2,882,573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1,877,772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836,571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836,695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678,642</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5,896,766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6,293,342</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1,186,132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10,186,621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(510,328)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(484,942)</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(1,896,925)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(1,896,613)</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8,968,215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8,730,191</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14,864,981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15,023,533</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1,094,236</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1,186,132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1,092,362</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8,857,485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305,712</w:t>
            </w: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10,186,621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9,105,705</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(368,124)</w:t>
            </w:r>
          </w:p>
        </w:tc>
        <w:tc>
          <w:tcPr>
            <w:tcW w:w="0" w:type="dxa"/>
            <w:vAlign w:val="bottom"/>
          </w:tcPr>
          <w:p>
            <w:pPr>
              <w:spacing w:after="0"/>
              <w:rPr>
                <w:sz w:val="1"/>
                <w:szCs w:val="1"/>
                <w:color w:val="auto"/>
              </w:rPr>
            </w:pPr>
          </w:p>
        </w:tc>
      </w:tr>
      <w:tr>
        <w:trPr>
          <w:trHeight w:val="229"/>
        </w:trPr>
        <w:tc>
          <w:tcPr>
            <w:tcW w:w="8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0" w:type="dxa"/>
            <w:vAlign w:val="bottom"/>
          </w:tcPr>
          <w:p>
            <w:pPr>
              <w:spacing w:after="0"/>
              <w:rPr>
                <w:sz w:val="1"/>
                <w:szCs w:val="1"/>
                <w:color w:val="auto"/>
              </w:rPr>
            </w:pPr>
          </w:p>
        </w:tc>
      </w:tr>
      <w:tr>
        <w:trPr>
          <w:trHeight w:val="175"/>
        </w:trPr>
        <w:tc>
          <w:tcPr>
            <w:tcW w:w="87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gain (loss), net of tax of $(3,987) and $3,805 for the quarter ended</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March 31, 2024 and 2023, respectively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(343,217)</w:t>
            </w:r>
          </w:p>
        </w:tc>
        <w:tc>
          <w:tcPr>
            <w:tcW w:w="0" w:type="dxa"/>
            <w:vAlign w:val="bottom"/>
          </w:tcPr>
          <w:p>
            <w:pPr>
              <w:spacing w:after="0"/>
              <w:rPr>
                <w:sz w:val="1"/>
                <w:szCs w:val="1"/>
                <w:color w:val="auto"/>
              </w:rPr>
            </w:pPr>
          </w:p>
        </w:tc>
      </w:tr>
      <w:tr>
        <w:trPr>
          <w:trHeight w:val="20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(206,821)</w:t>
            </w:r>
          </w:p>
        </w:tc>
        <w:tc>
          <w:tcPr>
            <w:tcW w:w="0" w:type="dxa"/>
            <w:vAlign w:val="bottom"/>
          </w:tcPr>
          <w:p>
            <w:pPr>
              <w:spacing w:after="0"/>
              <w:rPr>
                <w:sz w:val="1"/>
                <w:szCs w:val="1"/>
                <w:color w:val="auto"/>
              </w:rPr>
            </w:pPr>
          </w:p>
        </w:tc>
      </w:tr>
      <w:tr>
        <w:trPr>
          <w:trHeight w:val="175"/>
        </w:trPr>
        <w:tc>
          <w:tcPr>
            <w:tcW w:w="87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$(365) and $(518) for the quarter ended March 31,</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(510,328)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(548,446)</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(1,902,964)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(1,896,925)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(1,895,200)</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8,968,215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7,757,125</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310,943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305,712</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82,379</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410,227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386,536</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(99,266)</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(122,160)</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(363,052)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(155,505)</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(64,664)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(417,549)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345,386</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373,765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399,873</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2024, the consolidated results of its operations for the three months ended March 31, 2024 and 2023 and its cash flows for the three months ended March 31, 2024 and 2023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2023 as filed with the U.S. Securities and Exchange Commission.</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disclosure of significant segment expenses and other segment items on an annual and interim basis under ASC 280. ASU 2023-07 is effective for annual periods beginning after December 15, 2023, and for interim periods beginning after December 15, 2024. Early adoption is permitted and the amendments in this ASU should be applied on a retrospective basis to all periods presented. The Company has not determined the impact ASU 2023-07 may have on the Company’s financial statement disclosures.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its guidance prospectively with an option for retroactive application to each period in the financial statements. The Company has not determined the impact ASU 2023-09 may have on the Company’s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March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146,948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432,830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398,692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March 31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439,365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432,695</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three months ended March 31, 2024 was driven by contract liabilities, specifically growth in advance payments from customers being largely offset by the increase in contract assets. For the three months ended March 31, 2024 and 2023, the Company recognized revenue of $219.0 million and $199.3 million, respectively, that was previously included in the beginning balance of contract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March 31, 2024 and December 31, 2023, $47.5 million and $57.3 million of Customer advanced payments (contract liabilities), respectively, were recorded in Other long-term liabilities in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March 31, 2024 and December 31, 2023 were $596.3 million and $607.5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months ended March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7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568,897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343,860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912,757</w:t>
            </w:r>
          </w:p>
        </w:tc>
      </w:tr>
      <w:tr>
        <w:trPr>
          <w:trHeight w:val="210"/>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54,899</w:t>
            </w: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257,228</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348,244</w:t>
            </w:r>
          </w:p>
        </w:tc>
      </w:tr>
      <w:tr>
        <w:trPr>
          <w:trHeight w:val="229"/>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120,888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163,052</w:t>
            </w: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587,882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823,423</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1,156,779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1,736,180</w:t>
            </w:r>
          </w:p>
        </w:tc>
      </w:tr>
      <w:tr>
        <w:trPr>
          <w:trHeight w:val="21"/>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$473.8 million for the three months ended March 31, 2024.</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r>
      <w:tr>
        <w:trPr>
          <w:trHeight w:val="23"/>
        </w:trPr>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561,896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809,015</w:t>
            </w:r>
          </w:p>
        </w:tc>
      </w:tr>
      <w:tr>
        <w:trPr>
          <w:trHeight w:val="210"/>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59,100</w:t>
            </w:r>
          </w:p>
        </w:tc>
      </w:tr>
      <w:tr>
        <w:trPr>
          <w:trHeight w:val="230"/>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252,465</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334,797</w:t>
            </w:r>
          </w:p>
        </w:tc>
      </w:tr>
      <w:tr>
        <w:trPr>
          <w:trHeight w:val="230"/>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107,763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141,740</w:t>
            </w: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555,351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788,102</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1,117,247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1,597,117</w:t>
            </w: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$434.2 million for the three months ended March 31, 2023.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Aerospace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Aerospace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EMG</w:t>
            </w: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3"/>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791,538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791,538</w:t>
            </w:r>
          </w:p>
        </w:tc>
      </w:tr>
      <w:tr>
        <w:trPr>
          <w:trHeight w:val="230"/>
        </w:trPr>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365,241</w:t>
            </w:r>
          </w:p>
        </w:tc>
        <w:tc>
          <w:tcPr>
            <w:tcW w:w="180" w:type="dxa"/>
            <w:vAlign w:val="bottom"/>
          </w:tcPr>
          <w:p>
            <w:pPr>
              <w:spacing w:after="0"/>
              <w:rPr>
                <w:sz w:val="19"/>
                <w:szCs w:val="19"/>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152,452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517,693</w:t>
            </w:r>
          </w:p>
        </w:tc>
      </w:tr>
      <w:tr>
        <w:trPr>
          <w:trHeight w:val="238"/>
        </w:trPr>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b w:val="1"/>
                <w:bCs w:val="1"/>
                <w:color w:val="auto"/>
              </w:rPr>
              <w:t>426,949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245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ind w:left="320" w:hanging="299"/>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1,156,779  $    579,401  $  1,736,180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245995"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5995" cy="342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EMG</w:t>
            </w: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794,433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794,433</w:t>
            </w:r>
          </w:p>
        </w:tc>
      </w:tr>
      <w:tr>
        <w:trPr>
          <w:trHeight w:val="230"/>
        </w:trPr>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322,814</w:t>
            </w:r>
          </w:p>
        </w:tc>
        <w:tc>
          <w:tcPr>
            <w:tcW w:w="180" w:type="dxa"/>
            <w:vAlign w:val="bottom"/>
          </w:tcPr>
          <w:p>
            <w:pPr>
              <w:spacing w:after="0"/>
              <w:rPr>
                <w:sz w:val="19"/>
                <w:szCs w:val="19"/>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143,050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465,864</w:t>
            </w:r>
          </w:p>
        </w:tc>
      </w:tr>
      <w:tr>
        <w:trPr>
          <w:trHeight w:val="234"/>
        </w:trPr>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336,820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245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ind w:left="320" w:hanging="299"/>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1,117,247  $479,870  $   1,597,117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4599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59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245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9" w:lineRule="exact"/>
        <w:rPr>
          <w:sz w:val="20"/>
          <w:szCs w:val="20"/>
          <w:color w:val="auto"/>
        </w:rPr>
      </w:pPr>
    </w:p>
    <w:p>
      <w:pPr>
        <w:ind w:left="420"/>
        <w:spacing w:after="0"/>
        <w:tabs>
          <w:tab w:leader="none" w:pos="1580" w:val="left"/>
          <w:tab w:leader="none" w:pos="2800" w:val="left"/>
        </w:tabs>
        <w:rPr>
          <w:sz w:val="20"/>
          <w:szCs w:val="20"/>
          <w:color w:val="auto"/>
        </w:rPr>
      </w:pPr>
      <w:r>
        <w:rPr>
          <w:rFonts w:ascii="Times New Roman" w:cs="Times New Roman" w:eastAsia="Times New Roman" w:hAnsi="Times New Roman"/>
          <w:sz w:val="14"/>
          <w:szCs w:val="14"/>
          <w:b w:val="1"/>
          <w:bCs w:val="1"/>
          <w:color w:val="auto"/>
        </w:rPr>
        <w:t>EIG</w:t>
      </w:r>
      <w:r>
        <w:rPr>
          <w:sz w:val="20"/>
          <w:szCs w:val="20"/>
          <w:color w:val="auto"/>
        </w:rPr>
        <w:tab/>
      </w:r>
      <w:r>
        <w:rPr>
          <w:rFonts w:ascii="Times New Roman" w:cs="Times New Roman" w:eastAsia="Times New Roman" w:hAnsi="Times New Roman"/>
          <w:sz w:val="14"/>
          <w:szCs w:val="14"/>
          <w:b w:val="1"/>
          <w:bCs w:val="1"/>
          <w:color w:val="auto"/>
        </w:rPr>
        <w:t>EMG</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2459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7" w:lineRule="exact"/>
        <w:rPr>
          <w:sz w:val="20"/>
          <w:szCs w:val="20"/>
          <w:color w:val="auto"/>
        </w:rPr>
      </w:pPr>
    </w:p>
    <w:p>
      <w:pPr>
        <w:ind w:left="460" w:hanging="439"/>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945,998  $    503,585  $  1,449,583</w:t>
      </w:r>
    </w:p>
    <w:p>
      <w:pPr>
        <w:spacing w:after="0" w:line="31" w:lineRule="exact"/>
        <w:rPr>
          <w:sz w:val="20"/>
          <w:szCs w:val="20"/>
          <w:color w:val="auto"/>
        </w:rPr>
      </w:pPr>
    </w:p>
    <w:p>
      <w:pPr>
        <w:jc w:val="both"/>
        <w:ind w:left="460"/>
        <w:spacing w:after="0"/>
        <w:tabs>
          <w:tab w:leader="none" w:pos="1740" w:val="left"/>
          <w:tab w:leader="none" w:pos="2860" w:val="left"/>
        </w:tabs>
        <w:rPr>
          <w:sz w:val="20"/>
          <w:szCs w:val="20"/>
          <w:color w:val="auto"/>
        </w:rPr>
      </w:pPr>
      <w:r>
        <w:rPr>
          <w:rFonts w:ascii="Times New Roman" w:cs="Times New Roman" w:eastAsia="Times New Roman" w:hAnsi="Times New Roman"/>
          <w:sz w:val="18"/>
          <w:szCs w:val="18"/>
          <w:b w:val="1"/>
          <w:bCs w:val="1"/>
          <w:color w:val="auto"/>
        </w:rPr>
        <w:t>210,781</w:t>
      </w:r>
      <w:r>
        <w:rPr>
          <w:sz w:val="20"/>
          <w:szCs w:val="20"/>
          <w:color w:val="auto"/>
        </w:rPr>
        <w:tab/>
      </w:r>
      <w:r>
        <w:rPr>
          <w:rFonts w:ascii="Times New Roman" w:cs="Times New Roman" w:eastAsia="Times New Roman" w:hAnsi="Times New Roman"/>
          <w:sz w:val="18"/>
          <w:szCs w:val="18"/>
          <w:b w:val="1"/>
          <w:bCs w:val="1"/>
          <w:color w:val="auto"/>
        </w:rPr>
        <w:t>75,816</w:t>
      </w:r>
      <w:r>
        <w:rPr>
          <w:sz w:val="20"/>
          <w:szCs w:val="20"/>
          <w:color w:val="auto"/>
        </w:rPr>
        <w:tab/>
      </w:r>
      <w:r>
        <w:rPr>
          <w:rFonts w:ascii="Times New Roman" w:cs="Times New Roman" w:eastAsia="Times New Roman" w:hAnsi="Times New Roman"/>
          <w:sz w:val="17"/>
          <w:szCs w:val="17"/>
          <w:b w:val="1"/>
          <w:bCs w:val="1"/>
          <w:color w:val="auto"/>
        </w:rPr>
        <w:t>286,597</w:t>
      </w:r>
    </w:p>
    <w:p>
      <w:pPr>
        <w:spacing w:after="0" w:line="27" w:lineRule="exact"/>
        <w:rPr>
          <w:sz w:val="20"/>
          <w:szCs w:val="20"/>
          <w:color w:val="auto"/>
        </w:rPr>
      </w:pPr>
    </w:p>
    <w:p>
      <w:pPr>
        <w:ind w:left="320" w:hanging="299"/>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1,156,779  $    579,401  $  1,736,180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2245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2459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49" w:lineRule="exact"/>
        <w:rPr>
          <w:sz w:val="20"/>
          <w:szCs w:val="20"/>
          <w:color w:val="auto"/>
        </w:rPr>
      </w:pPr>
    </w:p>
    <w:p>
      <w:pPr>
        <w:ind w:left="420"/>
        <w:spacing w:after="0"/>
        <w:tabs>
          <w:tab w:leader="none" w:pos="1580" w:val="left"/>
          <w:tab w:leader="none" w:pos="2800" w:val="left"/>
        </w:tabs>
        <w:rPr>
          <w:sz w:val="20"/>
          <w:szCs w:val="20"/>
          <w:color w:val="auto"/>
        </w:rPr>
      </w:pPr>
      <w:r>
        <w:rPr>
          <w:rFonts w:ascii="Times New Roman" w:cs="Times New Roman" w:eastAsia="Times New Roman" w:hAnsi="Times New Roman"/>
          <w:sz w:val="14"/>
          <w:szCs w:val="14"/>
          <w:b w:val="1"/>
          <w:bCs w:val="1"/>
          <w:color w:val="auto"/>
        </w:rPr>
        <w:t>EIG</w:t>
      </w:r>
      <w:r>
        <w:rPr>
          <w:sz w:val="20"/>
          <w:szCs w:val="20"/>
          <w:color w:val="auto"/>
        </w:rPr>
        <w:tab/>
      </w:r>
      <w:r>
        <w:rPr>
          <w:rFonts w:ascii="Times New Roman" w:cs="Times New Roman" w:eastAsia="Times New Roman" w:hAnsi="Times New Roman"/>
          <w:sz w:val="14"/>
          <w:szCs w:val="14"/>
          <w:b w:val="1"/>
          <w:bCs w:val="1"/>
          <w:color w:val="auto"/>
        </w:rPr>
        <w:t>EMG</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2459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1" w:lineRule="exact"/>
        <w:rPr>
          <w:sz w:val="20"/>
          <w:szCs w:val="20"/>
          <w:color w:val="auto"/>
        </w:rPr>
      </w:pPr>
    </w:p>
    <w:p>
      <w:pPr>
        <w:ind w:left="460" w:hanging="439"/>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935,308  $413,601  $  1,348,909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181,939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248,208</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1,117,247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1,597,117</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72" w:lineRule="exact"/>
        <w:rPr>
          <w:sz w:val="20"/>
          <w:szCs w:val="20"/>
          <w:color w:val="auto"/>
        </w:rPr>
      </w:pPr>
    </w:p>
    <w:p>
      <w:pPr>
        <w:sectPr>
          <w:pgSz w:w="11900" w:h="16838" w:orient="portrait"/>
          <w:cols w:equalWidth="0" w:num="2">
            <w:col w:w="7300" w:space="400"/>
            <w:col w:w="3540"/>
          </w:cols>
          <w:pgMar w:left="320" w:top="121" w:right="339" w:bottom="1440" w:gutter="0" w:footer="0" w:header="0"/>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26,487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26,807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2024, the Company had $983.9 million of accounts receivable, net of allowances of $13.3 million. Changes in the allowance were not material for the three months ended March 31, 2024.</w:t>
      </w:r>
    </w:p>
    <w:p>
      <w:pPr>
        <w:spacing w:after="0" w:line="2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8640" w:type="dxa"/>
            <w:vAlign w:val="bottom"/>
          </w:tcPr>
          <w:p>
            <w:pPr>
              <w:spacing w:after="0"/>
              <w:rPr>
                <w:sz w:val="16"/>
                <w:szCs w:val="16"/>
                <w:color w:val="auto"/>
              </w:rPr>
            </w:pPr>
          </w:p>
        </w:tc>
        <w:tc>
          <w:tcPr>
            <w:tcW w:w="180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r>
      <w:tr>
        <w:trPr>
          <w:trHeight w:val="242"/>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230,126</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232,035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months ended March 31, 2024 excluded an immaterial number of stock options because the exercise prices of these stock options exceeded the average market price of the Company’s common shares, and the effect of their inclusion would have been antidilutive. There were no antidilutive shares for the three months ended March 31, 2023.</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measure assets and liabilities at fair value. A financial asset or liability’s classification within the hierarchy is determined based on the lowest level input that is significant to the fair value measurement.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20" w:type="dxa"/>
            <w:vAlign w:val="bottom"/>
            <w:gridSpan w:val="3"/>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12,427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12,427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(733)</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c>
          <w:tcPr>
            <w:tcW w:w="3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86"/>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11,922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0" w:type="dxa"/>
            <w:vAlign w:val="bottom"/>
          </w:tcPr>
          <w:p>
            <w:pPr>
              <w:spacing w:after="0"/>
              <w:rPr>
                <w:sz w:val="20"/>
                <w:szCs w:val="20"/>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2,035</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gains and losses on the investments noted above were not significant. No transfers between level 1 and level 2 investments occurred during the three months ended March 31, 2024 and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2024, the Company had a Euro forward contract for a total notional value of 50.0 million Euros. The foreign currency forward contract is valued as a level 2 liability as it is corroborated by foreign currency exchange rates and shown as a component of other current liabilities on the consolidated balance sheet. For the three months ended March 31, 2024, realized and unrealized gains and losses on the foreign currency forward contracts were not significant.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March 31, 2024 and December 31, 2023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March 31,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(2,179,727)</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(2,072,710)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(2,197,538)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(2,087,607)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March 31, 2024,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$284.3 million of British-pound-denominated loans, which were designated as a hedge against the net investment in British pound functional currency foreign subsidiaries. At March 31, 2024, the Company had $558.3 million in Euro-denominated loans, which were designated as a hedge against the net investment in Euro functional currency foreign subsidiaries. As a result of the British-pound- and Euro-denominated loans designated and 100% effective as net investment hedges, $16.2 million of pre-tax currency remeasurement gains have been included in the foreign currency translation component of other comprehensive income for the three months ended March 31, 2024.</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167,751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811,830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830,554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1,127,328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1,132,471</w:t>
            </w:r>
          </w:p>
        </w:tc>
      </w:tr>
      <w:tr>
        <w:trPr>
          <w:trHeight w:val="21"/>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three months ended March 31, 2024 and 2023. The Company's leases have a weighted average remaining lease term of approximately 7 years. Certain lease agreements contain provisions for future rent increases.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3,191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40" w:type="dxa"/>
            <w:vAlign w:val="bottom"/>
          </w:tcPr>
          <w:p>
            <w:pPr>
              <w:spacing w:after="0"/>
              <w:rPr>
                <w:sz w:val="22"/>
                <w:szCs w:val="22"/>
                <w:color w:val="auto"/>
              </w:rPr>
            </w:pPr>
          </w:p>
        </w:tc>
        <w:tc>
          <w:tcPr>
            <w:tcW w:w="14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6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219,887</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60,058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173,811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233,869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March 31, 2024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45,287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49,818</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40,043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85,921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271,182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37,313</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233,869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initial accounting for the December 2023 Paragon Medical acquisition is being finalized, including the measurement of the acquired tangible and intangible assets and liabilities, as well as, the associated income tax considerations. All amounts could change, potentially materially, as there is significant additional information that the Company must obtain to finalize the valuations of the assets acquired and liabilities assumed, and to finalize the value of the intangible assets.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for its August 2023 acquisition of United Electronic Industries, which had no material impact to the consolidated statement of income and balance sheet. The Company is in the process of finalizing the measurement of the intangible assets and tangible assets and liabilities, including accounting for income taxes, for its October 2023 acquisition of Amplifier Research Corp.</w:t>
      </w:r>
    </w:p>
    <w:p>
      <w:pPr>
        <w:spacing w:after="0" w:line="28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6,447.6</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4,360.8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6,438.7</w:t>
            </w:r>
          </w:p>
        </w:tc>
      </w:tr>
      <w:tr>
        <w:trPr>
          <w:trHeight w:val="20"/>
        </w:trPr>
        <w:tc>
          <w:tcPr>
            <w:tcW w:w="6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2024, the Company had gross uncertain tax benefits of $244.1 million, of which $195.1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233.5</w:t>
      </w:r>
    </w:p>
    <w:p>
      <w:pPr>
        <w:spacing w:after="0" w:line="38"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10.6</w:t>
      </w:r>
    </w:p>
    <w:p>
      <w:pPr>
        <w:spacing w:after="0" w:line="34" w:lineRule="exact"/>
        <w:rPr>
          <w:rFonts w:ascii="Times New Roman" w:cs="Times New Roman" w:eastAsia="Times New Roman" w:hAnsi="Times New Roman"/>
          <w:sz w:val="17"/>
          <w:szCs w:val="17"/>
          <w:color w:val="auto"/>
        </w:rPr>
      </w:pPr>
    </w:p>
    <w:p>
      <w:pPr>
        <w:ind w:left="12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9683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52705</wp:posOffset>
            </wp:positionV>
            <wp:extent cx="968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months ended March 31, 2024 and 2023 were not significant.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three months ended March 31, 2024 was 18.5%, compared with 19.5% for the three months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lower effective tax rate in the first quarter of 2024 is primarily due to lower foreign and state taxes compared to the first quarter of 2023.</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38"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7"/>
                <w:szCs w:val="17"/>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56.42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139.23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190.7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96.35</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169.8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three months ended March 31, 2024 was $30.0 million. The total fair value of stock options vested during the three months ended March 31, 2024 was $14.5 million. As of March 31, 2024, there was approximately $26.5 million of expected future pre-tax compensation expense related to the 0.7 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6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158.83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three months ended March 31, 2024 was $18.0 million. As of March 31, 2024, there was approximately $43.2 million of expected future pre-tax compensation expense related to the 0.3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2024,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181.93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March 31,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151.05</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$17.9 million of expected future pre-tax compensation expense related to the 0.2 million non-vested restricted shares outstanding, which is expected to be recognized over a weighted average period of approximately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3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contributions to the Company’s defined benefit pension plans were $1.5 million and $1.4 million, respectively. The Company’s current estimate of 2024 contributions to its worldwide defined benefit pension plans is in line with the range disclosed in Note 12 of the Company’s Annual Report on Form 10-K for the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March 31, 2024, the Company is named a Potentially Responsible Party (“PRP”) at 12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March 31, 2024 and December 31, 2023 were $35.6 million and $37.1 million, respectively, for both non-owned and owned sites. For the three months ended March 31, 2024, the Company recorded $3.3 million in reserves. Additionally, the Company spent $4.8 million on environmental matters for the three months ended March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3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1,156,779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1,117,247</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579,401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479,870</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1,736,180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1,597,117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309,747</w:t>
            </w:r>
          </w:p>
        </w:tc>
      </w:tr>
      <w:tr>
        <w:trPr>
          <w:trHeight w:val="229"/>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90,691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120,504</w:t>
            </w:r>
          </w:p>
        </w:tc>
      </w:tr>
      <w:tr>
        <w:trPr>
          <w:trHeight w:val="22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443,631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430,251</w:t>
            </w:r>
          </w:p>
        </w:tc>
      </w:tr>
      <w:tr>
        <w:trPr>
          <w:trHeight w:val="229"/>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(26,415)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(24,710)</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417,216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405,541</w:t>
            </w: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381,329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379,599</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quarter ended March 31, 2024, the Company posted record sales. Contributions from the acquisitions of Bison Gear &amp; Engineering Corp. ("Bison") in March 2023, United Electronic Industries ("UEI") in August 2023, Amplifier Research Corp. ("Amplifier Research") in October 2023, and Paragon Medical ("Paragon") in December 2023, as well as our Operational Excellence initiatives, had a positive impact on the first quarter of 2024 results. In the first quarter of 2024 , the Company recorded pre-tax integration costs related to the Paragon acquisition totaling $29.2 million, of which $22.4 million is employee severance. The integration costs reduced net income by $22.2 million ($0.10 per diluted share). The full year impact of the 2023 acquisitions, including the continued integration of Paragon, and focus on and implementation of our Operational Excellence initiatives are expected to have a positive impact on our 2024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quarter of 2024 compared with the first quarter of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first quarter of 2024 were $1,736.2 million, an increase of $139.1 million or 8.7%, compared with net sales of $1,597.1 million for the first quarter of 2023. The increase in net sales for the first quarter of 2024 was due to a 9% increase from acquisitions.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quarter of 2024 were $823.4 million or 47.4% of net sales, an increase of $35.3 million or 4.5%, compared with international sales of $788.1 million or 49.3% of net sales for the first quarter of 2023. The increase in international sales was primarily driven by contributions from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first quarter of 2024 were $1,662.7 million, a decrease of $149.4 million or 8.2%, compared with $1,812.1 million for the first quarter of 2023. The decrease in orders for the first quarter of 2024 was due to a 10% decline in organic orders and a 2% unfavorable effect of foreign currency translation, partially offset by a 3% increase from acquisitions. The Company's backlog of unfilled orders at March 31, 2024 was $3,460.7 million, a decrease of $73.4 million or 2.1% compared with $3,534.1 million at December 31,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Segment operating income for the first quarter of 2024 was $443.6 million, an increase of $13.3 million or 3.1%, compared with segment operating income of $430.3 million for the first quarter of 2023. Segment operating margins, as a percentage of net sales, decreased to 25.6% for the first quarter of 2024, compared with 26.9% for the first quarter of 2023. Segment operating income and operating margins for the first quarter of 2024 included $29.2 million of integration costs related to the Paragon acquisition, which negatively impacted segment operating margins by 160 basis points. Segment operating margins were also negatively impacted in the first quarter of 2024 by the dilutive impact of the 2023 acquisitions. Excluding the dilutive impact of recent acquisitions and the Paragon integration costs, segment operating margins increased 200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points compared to the first quarter of 2023, due to the continued benefits from the Company's Operational Excellence initiatives.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quarter of 2024 was $1,144.7 million or 65.9% of net sales, an increase of $122.2 million or 11.9%, compared with $1,022.5 million or 64.0% of net sales for the first quarter of 2023. Cost of sales for the first quarter of 2024 included $29.2 million of Paragon integration costs discussed above. Excluding the impact of the Paragon integration costs, the cost of sales for the first quarter of 2024 was 64.2% of net sales.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quarter of 2024 were $174.3 million or 10.0% of net sales, an increase of $5.2 million or 3.1%, compared with $169.1 million or 10.6% of net sales for the first quarter of 2023. General and administrative expenses for the first quarter of 2024 were $26.4 million, compared with $24.7 million for the first quarter of 2023.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operating income was $417.2 million or 24.0% of net sales for the first quarter of 2024, an increase of $11.7 million or 2.9%, compared with $405.5 million or 25.4% of net sales for the first quarter of 2023. Operating income and operating margins for the first quarter of 2024 included $29.2 million of integration costs related to the Paragon acquisition, which negatively impacted operating margins by 170 basis points. Operating margins were also negatively impacted in the first quarter of 2024 by the dilutive impact of the 2023 acquisitions. Excluding the dilutive impact of recent acquisitions and the Paragon integration costs, operating margins increased 180 basis points compared to the first quarter of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$0.6 million for the first quarter of 2024, compared with $5.4 million of other expense, net for the first quarter of 2023. The decrease of $4.7 million in the first quarter of 2024 is primarily driven by higher pension income of $1.5 million, as well as higher interest income of $1.2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first quarter of 2024 was 18.5%, compared with 19.5% for the first quarter of 2023. The lower effective tax rate in the first quarter of 2024 is primarily due to lower foreign and state taxes compared to the first quarter of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Net income for the first quarter of 2024 was $310.9 million, an increase of $5.2 million or 1.7%, compared with $305.7 million for the first quarter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2023.</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quarter of 2024 were $1.34, an increase of $0.02 or 1.5%, compared with $1.32 per diluted share for the first quarter of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$1,156.8 million for the first quarter of 2024, an increase of $39.6 million or 3.5%, compared with $1,117.2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2023. The net sales increase was due to a 1% increase in organic sales and a 3% increase from the recent acquisitions.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EIG’s operating income was $352.9 million for the first quarter of 2024, an increase of $43.2 million or 13.9%, compared with $309.7 million for the first quarter of 2023. EIG’s operating margins were a record 30.5% of net sales for the first quarter of 2024, compared with 27.7% for the first quarter of 2023. EIG's operating margins increased in the first quarter of 2024 compared to the first quarter of 2023 due to the sales increase discussed above, as well as continued benefits from the Company's Operational Excellence initiatives.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$579.4 million for the first quarter of 2024, an increase of $99.5 million or 20.7%, compared with $479.9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2023. The net sales increase was due to a 25% increase from the recent acquisitions, partially offset by a 4% organic sales decrease. The organic sales decrease for the first quarter of 2024 is due to customer inventory normalization in our automation and engineered solutions core businesses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EMG’s operating income was $90.7 million for the first quarter of 2024, a decrease of $29.8 million or 24.7%, compared with $120.5 million for the first quarter of 2023. EMG’s operating margins were 15.7% of net sales for the first quarter of 2024, compared with 25.1% for the first quarter of 2023. EMG's operating income and operating margins for the first quarter of 2024 included $29.2 million of integration costs related to the Paragon acquisition, which negatively impacted segment operating margins by 500 basis points. Segment operating margins were also negatively impacted in the first quarter of 2024 by the dilutive impact of the 2023 acquisitions. Excluding the dilutive impact of recent acquisitions and the Paragon integration costs, segment operating margins decreased 100 basis points compared to the first quarter of 2023, due to the organic sales decrease discussed above.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$410.2 million for the first three months of 2024, an increase of $23.7 million or 6.1%, compared with $386.5 million for the first three months of 2023. The increase in cash provided by operating activities for the first three months of 2024 was primarily due to higher net income, net of noncash depreciation and amortization expense related to recent acquisitions.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$382.6 million for the first three months of 2024, compared with $366.5 million for the first three months of 2023. EBITDA (earnings before interest, income taxes, depreciation and amortization) was $512.8 million for the first three months of 2024, compared with $481.7 million for the first three months of 2023.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totaled $21.4 million for the first three months of 2024, compared with cash used by investing activities of $122.2 million for the first three months of 2023. For the first three months of 2023, the Company paid $99.3 million, net of cash acquired, to purchase Bison Gear &amp; Engineering Corp. Additions to property, plant and equipment totaled $27.7 million for the first three months of 2024, compared with $20.0 million for the first three months of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by financing activities totaled $417.5 million for the first three months of 2024, compared with cash used by financing activities of $215.0 million for the first three months of 2023. At March 31, 2024, total debt, net was $2,933.2 million, compared with $3,313.3 million at December 31, 2023. For the first three months of 2024, total borrowings decreased by $363.1 million compared with a $155.5 million decrease for the first three months of 2023. At March 31, 2024, the Company had available borrowing capacity of $2,187.5 million under its revolving credit facility, including the $700 million accordion feature.</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debt-to-capital ratio was 24.6% at March 31, 2024, compared with 27.5% at December 31, 2023. The net debt-to-capital ratio (total debt, net less cash and cash equivalents divided by the sum of net debt and stockholders’ equity) was 22.2% at March 31, 2024, compared with 25.0% at December 31, 2023. The net debt-to-capital ratio is presented because the Company is aware that this measure is used by third parties in evaluating the Company.</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three months of 2024 included cash dividends paid of $64.7 million, compared with $57.5 million for the first three months of 2023. Effective February 9, 2024, the Company’s Board of Directors approved a 12% increase in the quarterly cash dividend on the Company’s common stock to $0.28 per common share from $0.25 per common share. The Company repurchased $6.9 million of its common stock for the first three months of 2024, compared with $6.5 million for the first three months of 2023. Proceeds from stock option exercises were $23.6 million for the first three months of 2024, compared with $10.4 million for the first three months of 2023.</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three months of 2024, cash and cash equivalents at March 31, 2024 totaled $373.8 million, compared with $409.8 million at December 31, 2023. At March 31, 2024, the Company had $337.3 million in cash outside the United States, compared with $375.9 million at December 31, 2023.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2023.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acquisitions; risks associated with international sales and operations, including supply chain disruptions;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2024.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March 31,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March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to January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816,130,993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to February 29,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816,118,693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to March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809,216,260</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hanging="652"/>
        <w:spacing w:after="0" w:line="250" w:lineRule="auto"/>
        <w:tabs>
          <w:tab w:leader="none" w:pos="4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3"/>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40" w:type="dxa"/>
            <w:vAlign w:val="bottom"/>
            <w:tcBorders>
              <w:top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2024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2024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2024-05-02T13:12:37Z</dcterms:created>
  <dcterms:modified xsi:type="dcterms:W3CDTF">2024-05-02T13:12:37Z</dcterms:modified>
</cp:coreProperties>
</file>