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83"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10-Q</w:t>
      </w:r>
    </w:p>
    <w:p>
      <w:pPr>
        <w:spacing w:after="0" w:line="45"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9"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27"/>
          <w:szCs w:val="27"/>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2"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23"/>
          <w:szCs w:val="23"/>
          <w:color w:val="auto"/>
        </w:rPr>
      </w:pPr>
      <w:r>
        <w:rPr>
          <w:rFonts w:ascii="Arial" w:cs="Arial" w:eastAsia="Arial" w:hAnsi="Arial"/>
          <w:sz w:val="20"/>
          <w:szCs w:val="20"/>
          <w:b w:val="1"/>
          <w:bCs w:val="1"/>
          <w:color w:val="auto"/>
        </w:rPr>
        <w:t>TRANSITION</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ind w:left="34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1-12981</w:t>
      </w:r>
    </w:p>
    <w:p>
      <w:pPr>
        <w:spacing w:after="0" w:line="11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AMETEK,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Delaware</w:t>
      </w:r>
    </w:p>
    <w:p>
      <w:pPr>
        <w:spacing w:after="0" w:line="2" w:lineRule="exact"/>
        <w:rPr>
          <w:sz w:val="24"/>
          <w:szCs w:val="24"/>
          <w:color w:val="auto"/>
        </w:rPr>
      </w:pPr>
    </w:p>
    <w:p>
      <w:pPr>
        <w:ind w:left="4720"/>
        <w:spacing w:after="0"/>
        <w:rPr>
          <w:sz w:val="20"/>
          <w:szCs w:val="20"/>
          <w:color w:val="auto"/>
        </w:rPr>
      </w:pPr>
      <w:r>
        <w:rPr>
          <w:rFonts w:ascii="Arial" w:cs="Arial" w:eastAsia="Arial" w:hAnsi="Arial"/>
          <w:sz w:val="14"/>
          <w:szCs w:val="14"/>
          <w:b w:val="1"/>
          <w:bCs w:val="1"/>
          <w:color w:val="auto"/>
        </w:rPr>
        <w:t>(State or other jurisdiction of</w:t>
      </w:r>
    </w:p>
    <w:p>
      <w:pPr>
        <w:spacing w:after="0" w:line="1" w:lineRule="exact"/>
        <w:rPr>
          <w:sz w:val="24"/>
          <w:szCs w:val="24"/>
          <w:color w:val="auto"/>
        </w:rPr>
      </w:pPr>
    </w:p>
    <w:p>
      <w:pPr>
        <w:ind w:left="4680"/>
        <w:spacing w:after="0"/>
        <w:rPr>
          <w:sz w:val="20"/>
          <w:szCs w:val="20"/>
          <w:color w:val="auto"/>
        </w:rPr>
      </w:pPr>
      <w:r>
        <w:rPr>
          <w:rFonts w:ascii="Arial" w:cs="Arial" w:eastAsia="Arial" w:hAnsi="Arial"/>
          <w:sz w:val="14"/>
          <w:szCs w:val="14"/>
          <w:b w:val="1"/>
          <w:bCs w:val="1"/>
          <w:color w:val="auto"/>
        </w:rPr>
        <w:t>incorporation or organization)</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1100 Cassatt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Berwyn, Pennsylvania</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14-1682544</w:t>
      </w:r>
    </w:p>
    <w:p>
      <w:pPr>
        <w:spacing w:after="0" w:line="1" w:lineRule="exact"/>
        <w:rPr>
          <w:sz w:val="24"/>
          <w:szCs w:val="24"/>
          <w:color w:val="auto"/>
        </w:rPr>
      </w:pPr>
    </w:p>
    <w:p>
      <w:pPr>
        <w:ind w:left="5100"/>
        <w:spacing w:after="0"/>
        <w:rPr>
          <w:sz w:val="20"/>
          <w:szCs w:val="20"/>
          <w:color w:val="auto"/>
        </w:rPr>
      </w:pPr>
      <w:r>
        <w:rPr>
          <w:rFonts w:ascii="Arial" w:cs="Arial" w:eastAsia="Arial" w:hAnsi="Arial"/>
          <w:sz w:val="14"/>
          <w:szCs w:val="14"/>
          <w:b w:val="1"/>
          <w:bCs w:val="1"/>
          <w:color w:val="auto"/>
        </w:rPr>
        <w:t>(I.R.S. Employer</w:t>
      </w:r>
    </w:p>
    <w:p>
      <w:pPr>
        <w:spacing w:after="0" w:line="1" w:lineRule="exact"/>
        <w:rPr>
          <w:sz w:val="24"/>
          <w:szCs w:val="24"/>
          <w:color w:val="auto"/>
        </w:rPr>
      </w:pPr>
    </w:p>
    <w:p>
      <w:pPr>
        <w:ind w:left="5060"/>
        <w:spacing w:after="0"/>
        <w:rPr>
          <w:sz w:val="20"/>
          <w:szCs w:val="20"/>
          <w:color w:val="auto"/>
        </w:rPr>
      </w:pPr>
      <w:r>
        <w:rPr>
          <w:rFonts w:ascii="Arial" w:cs="Arial" w:eastAsia="Arial" w:hAnsi="Arial"/>
          <w:sz w:val="14"/>
          <w:szCs w:val="14"/>
          <w:b w:val="1"/>
          <w:bCs w:val="1"/>
          <w:color w:val="auto"/>
        </w:rPr>
        <w:t>Identification No.)</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19312-1177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(Zip Code)</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(610) 647-2121</w:t>
      </w:r>
    </w:p>
    <w:p>
      <w:pPr>
        <w:spacing w:after="0" w:line="11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21" w:lineRule="exact"/>
        <w:rPr>
          <w:sz w:val="24"/>
          <w:szCs w:val="24"/>
          <w:color w:val="auto"/>
        </w:rPr>
      </w:pPr>
    </w:p>
    <w:p>
      <w:pPr>
        <w:jc w:val="both"/>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94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478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40" w:type="dxa"/>
            <w:vAlign w:val="bottom"/>
          </w:tcPr>
          <w:p>
            <w:pPr>
              <w:ind w:left="94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440" w:type="dxa"/>
            <w:vAlign w:val="bottom"/>
          </w:tcPr>
          <w:p>
            <w:pPr>
              <w:ind w:left="940"/>
              <w:spacing w:after="0"/>
              <w:rPr>
                <w:sz w:val="20"/>
                <w:szCs w:val="20"/>
                <w:color w:val="auto"/>
              </w:rPr>
            </w:pPr>
            <w:r>
              <w:rPr>
                <w:rFonts w:ascii="Arial" w:cs="Arial" w:eastAsia="Arial" w:hAnsi="Arial"/>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46"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233" w:right="339" w:bottom="28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5"/>
        </w:trPr>
        <w:tc>
          <w:tcPr>
            <w:tcW w:w="3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8"/>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9"/>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0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AME</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number of shares of the registrant’s common stock outstanding as of the latest practicable date was: Common Stock, $0.01 Par Value, outstanding at October 29, 2021 was 231,325,166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2"/>
          </w:tcPr>
          <w:p>
            <w:pPr>
              <w:ind w:lef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20" w:type="dxa"/>
            <w:vAlign w:val="bottom"/>
            <w:gridSpan w:val="19"/>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980" w:type="dxa"/>
            <w:vAlign w:val="bottom"/>
            <w:tcBorders>
              <w:top w:val="single" w:sz="8" w:color="auto"/>
            </w:tcBorders>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0" w:type="dxa"/>
            <w:vAlign w:val="bottom"/>
            <w:tcBorders>
              <w:top w:val="single" w:sz="8" w:color="0000FF"/>
            </w:tcBorders>
            <w:gridSpan w:val="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1.Financial Statements</w:t>
              </w:r>
            </w:hyperlink>
          </w:p>
        </w:tc>
        <w:tc>
          <w:tcPr>
            <w:tcW w:w="6560" w:type="dxa"/>
            <w:vAlign w:val="bottom"/>
            <w:gridSpan w:val="9"/>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2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 of Income for the three and nine months ended September 30, 2021 and 2020</w:t>
              </w:r>
            </w:hyperlink>
          </w:p>
        </w:tc>
        <w:tc>
          <w:tcPr>
            <w:tcW w:w="1640" w:type="dxa"/>
            <w:vAlign w:val="bottom"/>
            <w:gridSpan w:val="4"/>
          </w:tcPr>
          <w:p>
            <w:pPr>
              <w:spacing w:after="0"/>
              <w:rPr>
                <w:sz w:val="24"/>
                <w:szCs w:val="24"/>
                <w:color w:val="auto"/>
              </w:rPr>
            </w:pPr>
          </w:p>
        </w:tc>
        <w:tc>
          <w:tcPr>
            <w:tcW w:w="9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60" w:type="dxa"/>
            <w:vAlign w:val="bottom"/>
            <w:gridSpan w:val="17"/>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 of Comprehensive Income for the three and nine months ended September 30, 2021 and</w:t>
              </w:r>
            </w:hyperlink>
          </w:p>
        </w:tc>
        <w:tc>
          <w:tcPr>
            <w:tcW w:w="980" w:type="dxa"/>
            <w:vAlign w:val="bottom"/>
            <w:vMerge w:val="restart"/>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8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4">
              <w:r>
                <w:rPr>
                  <w:rFonts w:ascii="Arial" w:cs="Arial" w:eastAsia="Arial" w:hAnsi="Arial"/>
                  <w:sz w:val="18"/>
                  <w:szCs w:val="18"/>
                  <w:color w:val="0000FF"/>
                  <w:w w:val="84"/>
                </w:rPr>
                <w:t>2020</w:t>
              </w:r>
            </w:hyperlink>
          </w:p>
        </w:tc>
        <w:tc>
          <w:tcPr>
            <w:tcW w:w="1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6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Balance Sheet at September 30, 2021 and December 31, 2020</w:t>
              </w:r>
            </w:hyperlink>
          </w:p>
        </w:tc>
        <w:tc>
          <w:tcPr>
            <w:tcW w:w="9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60" w:type="dxa"/>
            <w:vAlign w:val="bottom"/>
            <w:gridSpan w:val="17"/>
          </w:tcPr>
          <w:p>
            <w:pPr>
              <w:spacing w:after="0"/>
              <w:rPr>
                <w:rFonts w:ascii="Arial" w:cs="Arial" w:eastAsia="Arial" w:hAnsi="Arial"/>
                <w:sz w:val="18"/>
                <w:szCs w:val="18"/>
                <w:color w:val="0000FF"/>
                <w:w w:val="96"/>
              </w:rPr>
            </w:pPr>
            <w:hyperlink w:anchor="page6">
              <w:r>
                <w:rPr>
                  <w:rFonts w:ascii="Arial" w:cs="Arial" w:eastAsia="Arial" w:hAnsi="Arial"/>
                  <w:sz w:val="18"/>
                  <w:szCs w:val="18"/>
                  <w:color w:val="0000FF"/>
                  <w:w w:val="96"/>
                </w:rPr>
                <w:t>Consolidated Statement of Stockholders’ Equity for the three and nine months ended September 30, 2021 and 2020</w:t>
              </w:r>
            </w:hyperlink>
          </w:p>
        </w:tc>
        <w:tc>
          <w:tcPr>
            <w:tcW w:w="9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6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Condensed Consolidated Statement of Cash Flows for the nine months ended September 30, 2021 and 2020</w:t>
              </w:r>
            </w:hyperlink>
          </w:p>
        </w:tc>
        <w:tc>
          <w:tcPr>
            <w:tcW w:w="540" w:type="dxa"/>
            <w:vAlign w:val="bottom"/>
            <w:tcBorders>
              <w:top w:val="single" w:sz="8" w:color="0000FF"/>
            </w:tcBorders>
          </w:tcPr>
          <w:p>
            <w:pPr>
              <w:spacing w:after="0"/>
              <w:rPr>
                <w:sz w:val="18"/>
                <w:szCs w:val="18"/>
                <w:color w:val="auto"/>
              </w:rPr>
            </w:pPr>
          </w:p>
        </w:tc>
        <w:tc>
          <w:tcPr>
            <w:tcW w:w="660" w:type="dxa"/>
            <w:vAlign w:val="bottom"/>
            <w:gridSpan w:val="2"/>
          </w:tcPr>
          <w:p>
            <w:pPr>
              <w:spacing w:after="0"/>
              <w:rPr>
                <w:sz w:val="18"/>
                <w:szCs w:val="18"/>
                <w:color w:val="auto"/>
              </w:rPr>
            </w:pPr>
          </w:p>
        </w:tc>
        <w:tc>
          <w:tcPr>
            <w:tcW w:w="9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6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Consolidated Financial Statements</w:t>
              </w:r>
            </w:hyperlink>
          </w:p>
        </w:tc>
        <w:tc>
          <w:tcPr>
            <w:tcW w:w="9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9</w:t>
              </w:r>
            </w:hyperlink>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6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Item 2.Management’s Discussion and Analysis of Financial Condition and Results of Operations</w:t>
              </w:r>
            </w:hyperlink>
          </w:p>
        </w:tc>
        <w:tc>
          <w:tcPr>
            <w:tcW w:w="2200" w:type="dxa"/>
            <w:vAlign w:val="bottom"/>
            <w:gridSpan w:val="5"/>
          </w:tcPr>
          <w:p>
            <w:pPr>
              <w:spacing w:after="0"/>
              <w:rPr>
                <w:sz w:val="24"/>
                <w:szCs w:val="24"/>
                <w:color w:val="auto"/>
              </w:rPr>
            </w:pPr>
          </w:p>
        </w:tc>
        <w:tc>
          <w:tcPr>
            <w:tcW w:w="98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22</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26">
              <w:r>
                <w:rPr>
                  <w:rFonts w:ascii="Arial" w:cs="Arial" w:eastAsia="Arial" w:hAnsi="Arial"/>
                  <w:sz w:val="18"/>
                  <w:szCs w:val="18"/>
                  <w:color w:val="0000FF"/>
                  <w:w w:val="88"/>
                </w:rPr>
                <w:t>Item 4.Controls and Procedures</w:t>
              </w:r>
            </w:hyperlink>
          </w:p>
        </w:tc>
        <w:tc>
          <w:tcPr>
            <w:tcW w:w="6880" w:type="dxa"/>
            <w:vAlign w:val="bottom"/>
            <w:gridSpan w:val="11"/>
          </w:tcPr>
          <w:p>
            <w:pPr>
              <w:spacing w:after="0"/>
              <w:rPr>
                <w:sz w:val="18"/>
                <w:szCs w:val="18"/>
                <w:color w:val="auto"/>
              </w:rPr>
            </w:pPr>
          </w:p>
        </w:tc>
        <w:tc>
          <w:tcPr>
            <w:tcW w:w="9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27</w:t>
              </w:r>
            </w:hyperlink>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20" w:type="dxa"/>
            <w:vAlign w:val="bottom"/>
            <w:gridSpan w:val="19"/>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PART II. OTHER INFORMATION</w:t>
              </w:r>
            </w:hyperlink>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54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Item 1A.Risk Factors</w:t>
              </w:r>
            </w:hyperlink>
          </w:p>
        </w:tc>
        <w:tc>
          <w:tcPr>
            <w:tcW w:w="760" w:type="dxa"/>
            <w:vAlign w:val="bottom"/>
            <w:tcBorders>
              <w:top w:val="single" w:sz="8" w:color="0000FF"/>
            </w:tcBorders>
            <w:gridSpan w:val="3"/>
          </w:tcPr>
          <w:p>
            <w:pPr>
              <w:spacing w:after="0"/>
              <w:rPr>
                <w:sz w:val="24"/>
                <w:szCs w:val="24"/>
                <w:color w:val="auto"/>
              </w:rPr>
            </w:pPr>
          </w:p>
        </w:tc>
        <w:tc>
          <w:tcPr>
            <w:tcW w:w="6860" w:type="dxa"/>
            <w:vAlign w:val="bottom"/>
            <w:gridSpan w:val="10"/>
          </w:tcPr>
          <w:p>
            <w:pPr>
              <w:spacing w:after="0"/>
              <w:rPr>
                <w:sz w:val="24"/>
                <w:szCs w:val="24"/>
                <w:color w:val="auto"/>
              </w:rPr>
            </w:pPr>
          </w:p>
        </w:tc>
        <w:tc>
          <w:tcPr>
            <w:tcW w:w="9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160" w:type="dxa"/>
            <w:vAlign w:val="bottom"/>
            <w:gridSpan w:val="18"/>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2.Unregistered Sales of Equity Securities and Use of Proceeds</w:t>
              </w:r>
            </w:hyperlink>
          </w:p>
        </w:tc>
        <w:tc>
          <w:tcPr>
            <w:tcW w:w="9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Borders>
              <w:top w:val="single" w:sz="8" w:color="0000FF"/>
            </w:tcBorders>
            <w:gridSpan w:val="11"/>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6.Exhibits</w:t>
              </w:r>
            </w:hyperlink>
          </w:p>
        </w:tc>
        <w:tc>
          <w:tcPr>
            <w:tcW w:w="4320" w:type="dxa"/>
            <w:vAlign w:val="bottom"/>
            <w:gridSpan w:val="7"/>
          </w:tcPr>
          <w:p>
            <w:pPr>
              <w:spacing w:after="0"/>
              <w:rPr>
                <w:sz w:val="18"/>
                <w:szCs w:val="18"/>
                <w:color w:val="auto"/>
              </w:rPr>
            </w:pPr>
          </w:p>
        </w:tc>
        <w:tc>
          <w:tcPr>
            <w:tcW w:w="9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29</w:t>
              </w:r>
            </w:hyperlink>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60" w:type="dxa"/>
            <w:vAlign w:val="bottom"/>
            <w:gridSpan w:val="1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620" w:type="dxa"/>
            <w:vAlign w:val="bottom"/>
            <w:gridSpan w:val="19"/>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SIGNATURES</w:t>
              </w:r>
            </w:hyperlink>
          </w:p>
        </w:tc>
        <w:tc>
          <w:tcPr>
            <w:tcW w:w="9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30</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160" w:type="dxa"/>
            <w:vAlign w:val="bottom"/>
            <w:tcBorders>
              <w:top w:val="single" w:sz="8" w:color="0000FF"/>
            </w:tcBorders>
            <w:gridSpan w:val="4"/>
          </w:tcPr>
          <w:p>
            <w:pPr>
              <w:spacing w:after="0"/>
              <w:rPr>
                <w:sz w:val="24"/>
                <w:szCs w:val="24"/>
                <w:color w:val="auto"/>
              </w:rPr>
            </w:pPr>
          </w:p>
        </w:tc>
        <w:tc>
          <w:tcPr>
            <w:tcW w:w="4940" w:type="dxa"/>
            <w:vAlign w:val="bottom"/>
            <w:gridSpan w:val="9"/>
          </w:tcPr>
          <w:p>
            <w:pPr>
              <w:jc w:val="right"/>
              <w:ind w:right="460"/>
              <w:spacing w:after="0"/>
              <w:rPr>
                <w:sz w:val="20"/>
                <w:szCs w:val="20"/>
                <w:color w:val="auto"/>
              </w:rPr>
            </w:pPr>
            <w:r>
              <w:rPr>
                <w:rFonts w:ascii="Arial" w:cs="Arial" w:eastAsia="Arial" w:hAnsi="Arial"/>
                <w:sz w:val="18"/>
                <w:szCs w:val="18"/>
                <w:color w:val="auto"/>
              </w:rPr>
              <w:t>2</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1,440,681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1,126,942</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4,042,769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3,341,082</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949,402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732,705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2,651,506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2,226,547</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153,716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123,496</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443,744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384,764</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1,103,118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856,201</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3,095,250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2,611,311</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337,563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270,741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947,519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729,771</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(20,476)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(21,187)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(59,865)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(66,597)</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142,428</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319,668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248,075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883,879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805,602</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62,208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43,494</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175,507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154,188</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257,460</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204,581</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708,372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651,414</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1.10</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0.88</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3.04</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Basic shares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231,171</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229,576</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230,811</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229,254</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shares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233,000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231,460</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232,712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230,904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tcPr>
          <w:p>
            <w:pPr>
              <w:ind w:left="20"/>
              <w:spacing w:after="0" w:line="203" w:lineRule="exact"/>
              <w:rPr>
                <w:sz w:val="20"/>
                <w:szCs w:val="20"/>
                <w:color w:val="auto"/>
              </w:rPr>
            </w:pPr>
            <w:r>
              <w:rPr>
                <w:rFonts w:ascii="Arial" w:cs="Arial" w:eastAsia="Arial" w:hAnsi="Arial"/>
                <w:sz w:val="18"/>
                <w:szCs w:val="18"/>
                <w:color w:val="auto"/>
              </w:rPr>
              <w:t>Dividends declared and paid per share</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0.20</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0.60</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Total 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220"/>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3220"/>
        <w:spacing w:after="0"/>
        <w:rPr>
          <w:sz w:val="20"/>
          <w:szCs w:val="20"/>
          <w:color w:val="auto"/>
        </w:rPr>
      </w:pPr>
      <w:r>
        <w:rPr>
          <w:rFonts w:ascii="Arial" w:cs="Arial" w:eastAsia="Arial" w:hAnsi="Arial"/>
          <w:sz w:val="15"/>
          <w:szCs w:val="15"/>
          <w:b w:val="1"/>
          <w:bCs w:val="1"/>
          <w:color w:val="auto"/>
        </w:rPr>
        <w:t>Condensed Consolidated Statement of Comprehensive Income</w:t>
      </w:r>
    </w:p>
    <w:p>
      <w:pPr>
        <w:spacing w:after="0" w:line="44" w:lineRule="exact"/>
        <w:rPr>
          <w:sz w:val="20"/>
          <w:szCs w:val="20"/>
          <w:color w:val="auto"/>
        </w:rPr>
      </w:pPr>
    </w:p>
    <w:p>
      <w:pPr>
        <w:jc w:val="center"/>
        <w:ind w:right="32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2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4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280" w:type="dxa"/>
            <w:vAlign w:val="bottom"/>
            <w:gridSpan w:val="4"/>
          </w:tcPr>
          <w:p>
            <w:pPr>
              <w:jc w:val="center"/>
              <w:ind w:right="219"/>
              <w:spacing w:after="0"/>
              <w:rPr>
                <w:sz w:val="20"/>
                <w:szCs w:val="20"/>
                <w:color w:val="auto"/>
              </w:rPr>
            </w:pPr>
            <w:r>
              <w:rPr>
                <w:rFonts w:ascii="Arial" w:cs="Arial" w:eastAsia="Arial" w:hAnsi="Arial"/>
                <w:sz w:val="14"/>
                <w:szCs w:val="14"/>
                <w:b w:val="1"/>
                <w:bCs w:val="1"/>
                <w:color w:val="auto"/>
                <w:w w:val="93"/>
              </w:rPr>
              <w:t>Nine Months Ended</w:t>
            </w:r>
          </w:p>
        </w:tc>
      </w:tr>
      <w:tr>
        <w:trPr>
          <w:trHeight w:val="188"/>
        </w:trPr>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24"/>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r>
      <w:tr>
        <w:trPr>
          <w:trHeight w:val="183"/>
        </w:trPr>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240,076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229,713</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688,575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650,908</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-187960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520" w:space="720"/>
            <w:col w:w="800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300" w:type="dxa"/>
            <w:vAlign w:val="bottom"/>
          </w:tcPr>
          <w:p>
            <w:pPr>
              <w:jc w:val="right"/>
              <w:ind w:right="251"/>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183"/>
        </w:trPr>
        <w:tc>
          <w:tcPr>
            <w:tcW w:w="8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12"/>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3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358,676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1,212,822</w:t>
            </w: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768,386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597,472</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738,688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559,171</w:t>
            </w:r>
          </w:p>
        </w:tc>
      </w:tr>
      <w:tr>
        <w:trPr>
          <w:trHeight w:val="229"/>
        </w:trPr>
        <w:tc>
          <w:tcPr>
            <w:tcW w:w="8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196,065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153,005</w:t>
            </w:r>
          </w:p>
        </w:tc>
      </w:tr>
      <w:tr>
        <w:trPr>
          <w:trHeight w:val="223"/>
        </w:trPr>
        <w:tc>
          <w:tcPr>
            <w:tcW w:w="8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2,061,815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2,522,470</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597,488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526,530</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169,075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167,233</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5,180,999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4,224,906</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3,344,855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2,623,719</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and other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325,463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292,625</w:t>
            </w: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11,679,695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10,357,483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 and current portion of long-term debt,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415,667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132,284</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446,409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360,370</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advanced payments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287,404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194,633</w:t>
            </w: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66,017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38,896</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418,329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349,732</w:t>
            </w:r>
          </w:p>
        </w:tc>
      </w:tr>
      <w:tr>
        <w:trPr>
          <w:trHeight w:val="223"/>
        </w:trPr>
        <w:tc>
          <w:tcPr>
            <w:tcW w:w="804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1,633,826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1,075,915</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2,238,920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2,281,441</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697,688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533,478</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550,865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517,303</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5,121,299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4,408,137</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2,686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2,676</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in excess of par value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986,317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921,752</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7,664,682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7,094,656</w:t>
            </w: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(524,265)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(504,468)</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Treasury stock</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(1,571,024)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(1,565,270)</w:t>
            </w:r>
          </w:p>
        </w:tc>
      </w:tr>
      <w:tr>
        <w:trPr>
          <w:trHeight w:val="223"/>
        </w:trPr>
        <w:tc>
          <w:tcPr>
            <w:tcW w:w="8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6,558,396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5,949,346</w:t>
            </w:r>
          </w:p>
        </w:tc>
      </w:tr>
      <w:tr>
        <w:trPr>
          <w:trHeight w:val="223"/>
        </w:trPr>
        <w:tc>
          <w:tcPr>
            <w:tcW w:w="804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11,679,695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10,357,483</w:t>
            </w:r>
          </w:p>
        </w:tc>
      </w:tr>
      <w:tr>
        <w:trPr>
          <w:trHeight w:val="21"/>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28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87"/>
        </w:trPr>
        <w:tc>
          <w:tcPr>
            <w:tcW w:w="62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stock</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360"/>
              <w:spacing w:after="0"/>
              <w:rPr>
                <w:sz w:val="20"/>
                <w:szCs w:val="20"/>
                <w:color w:val="auto"/>
              </w:rPr>
            </w:pPr>
            <w:r>
              <w:rPr>
                <w:rFonts w:ascii="Arial" w:cs="Arial" w:eastAsia="Arial" w:hAnsi="Arial"/>
                <w:sz w:val="18"/>
                <w:szCs w:val="18"/>
                <w:color w:val="auto"/>
              </w:rPr>
              <w:t>Common stock, $0.01 par value</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Balance at the beginning of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Shares issued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Balance at the end of the period</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10"/>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Capital in excess of par value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at the beginning of the period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964,791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921,752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832,821</w:t>
            </w:r>
          </w:p>
        </w:tc>
        <w:tc>
          <w:tcPr>
            <w:tcW w:w="0" w:type="dxa"/>
            <w:vAlign w:val="bottom"/>
          </w:tcPr>
          <w:p>
            <w:pPr>
              <w:spacing w:after="0"/>
              <w:rPr>
                <w:sz w:val="1"/>
                <w:szCs w:val="1"/>
                <w:color w:val="auto"/>
              </w:rPr>
            </w:pPr>
          </w:p>
        </w:tc>
      </w:tr>
      <w:tr>
        <w:trPr>
          <w:trHeight w:val="229"/>
        </w:trPr>
        <w:tc>
          <w:tcPr>
            <w:tcW w:w="6220" w:type="dxa"/>
            <w:vAlign w:val="bottom"/>
          </w:tcPr>
          <w:p>
            <w:pPr>
              <w:ind w:left="360"/>
              <w:spacing w:after="0"/>
              <w:rPr>
                <w:sz w:val="20"/>
                <w:szCs w:val="20"/>
                <w:color w:val="auto"/>
              </w:rPr>
            </w:pPr>
            <w:r>
              <w:rPr>
                <w:rFonts w:ascii="Arial" w:cs="Arial" w:eastAsia="Arial" w:hAnsi="Arial"/>
                <w:sz w:val="18"/>
                <w:szCs w:val="18"/>
                <w:color w:val="auto"/>
              </w:rPr>
              <w:t>Issuance of common stock under employee stock plans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10,098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29,544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27,886</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29,878</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Balance at the end of the period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986,317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890,585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986,317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890,585</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360"/>
              <w:spacing w:after="0"/>
              <w:rPr>
                <w:sz w:val="20"/>
                <w:szCs w:val="20"/>
                <w:color w:val="auto"/>
              </w:rPr>
            </w:pPr>
            <w:r>
              <w:rPr>
                <w:rFonts w:ascii="Arial" w:cs="Arial" w:eastAsia="Arial" w:hAnsi="Arial"/>
                <w:sz w:val="18"/>
                <w:szCs w:val="18"/>
                <w:color w:val="auto"/>
              </w:rPr>
              <w:t>Balance at the beginning of the period</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7,453,401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6,751,686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7,094,656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6,387,612</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257,460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708,372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651,414</w:t>
            </w:r>
          </w:p>
        </w:tc>
        <w:tc>
          <w:tcPr>
            <w:tcW w:w="0" w:type="dxa"/>
            <w:vAlign w:val="bottom"/>
          </w:tcPr>
          <w:p>
            <w:pPr>
              <w:spacing w:after="0"/>
              <w:rPr>
                <w:sz w:val="1"/>
                <w:szCs w:val="1"/>
                <w:color w:val="auto"/>
              </w:rPr>
            </w:pPr>
          </w:p>
        </w:tc>
      </w:tr>
      <w:tr>
        <w:trPr>
          <w:trHeight w:val="230"/>
        </w:trPr>
        <w:tc>
          <w:tcPr>
            <w:tcW w:w="6220" w:type="dxa"/>
            <w:vAlign w:val="bottom"/>
          </w:tcPr>
          <w:p>
            <w:pPr>
              <w:ind w:left="360"/>
              <w:spacing w:after="0"/>
              <w:rPr>
                <w:sz w:val="20"/>
                <w:szCs w:val="20"/>
                <w:color w:val="auto"/>
              </w:rPr>
            </w:pPr>
            <w:r>
              <w:rPr>
                <w:rFonts w:ascii="Arial" w:cs="Arial" w:eastAsia="Arial" w:hAnsi="Arial"/>
                <w:sz w:val="18"/>
                <w:szCs w:val="18"/>
                <w:color w:val="auto"/>
              </w:rPr>
              <w:t>Cash dividends paid</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(46,178)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(138,345)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(123,690)</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Adoption of ASU 2016-13</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0"/>
        </w:trPr>
        <w:tc>
          <w:tcPr>
            <w:tcW w:w="6220" w:type="dxa"/>
            <w:vAlign w:val="bottom"/>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Balance at the end of the period</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7,664,682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6,914,976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7,664,682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6,914,976</w:t>
            </w:r>
          </w:p>
        </w:tc>
        <w:tc>
          <w:tcPr>
            <w:tcW w:w="0" w:type="dxa"/>
            <w:vAlign w:val="bottom"/>
          </w:tcPr>
          <w:p>
            <w:pPr>
              <w:spacing w:after="0"/>
              <w:rPr>
                <w:sz w:val="1"/>
                <w:szCs w:val="1"/>
                <w:color w:val="auto"/>
              </w:rPr>
            </w:pPr>
          </w:p>
        </w:tc>
      </w:tr>
      <w:tr>
        <w:trPr>
          <w:trHeight w:val="210"/>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 income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680"/>
              <w:spacing w:after="0"/>
              <w:rPr>
                <w:sz w:val="20"/>
                <w:szCs w:val="20"/>
                <w:color w:val="auto"/>
              </w:rPr>
            </w:pPr>
            <w:r>
              <w:rPr>
                <w:rFonts w:ascii="Arial" w:cs="Arial" w:eastAsia="Arial" w:hAnsi="Arial"/>
                <w:sz w:val="18"/>
                <w:szCs w:val="18"/>
                <w:color w:val="auto"/>
              </w:rPr>
              <w:t>Balance at the beginning of the period</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(256,421)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(315,252)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(250,748)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(286,248)</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Translation adjustments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30"/>
        </w:trPr>
        <w:tc>
          <w:tcPr>
            <w:tcW w:w="6220" w:type="dxa"/>
            <w:vAlign w:val="bottom"/>
          </w:tcPr>
          <w:p>
            <w:pPr>
              <w:ind w:left="680"/>
              <w:spacing w:after="0"/>
              <w:rPr>
                <w:sz w:val="20"/>
                <w:szCs w:val="20"/>
                <w:color w:val="auto"/>
              </w:rPr>
            </w:pPr>
            <w:r>
              <w:rPr>
                <w:rFonts w:ascii="Arial" w:cs="Arial" w:eastAsia="Arial" w:hAnsi="Arial"/>
                <w:sz w:val="18"/>
                <w:szCs w:val="18"/>
                <w:color w:val="auto"/>
              </w:rPr>
              <w:t>Change in long-term intercompany notes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(5,475)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(11,041)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7,979</w:t>
            </w:r>
          </w:p>
        </w:tc>
        <w:tc>
          <w:tcPr>
            <w:tcW w:w="0" w:type="dxa"/>
            <w:vAlign w:val="bottom"/>
          </w:tcPr>
          <w:p>
            <w:pPr>
              <w:spacing w:after="0"/>
              <w:rPr>
                <w:sz w:val="1"/>
                <w:szCs w:val="1"/>
                <w:color w:val="auto"/>
              </w:rPr>
            </w:pPr>
          </w:p>
        </w:tc>
      </w:tr>
      <w:tr>
        <w:trPr>
          <w:trHeight w:val="175"/>
        </w:trPr>
        <w:tc>
          <w:tcPr>
            <w:tcW w:w="62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6"/>
              </w:rPr>
              <w:t>Net investment hedge instruments gain (loss), net of tax of $(5,715) and</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0"/>
              </w:rPr>
              <w:t>$10,459 for the quarter ended September 30, 2021 and 2020, and $(10,194)</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9"/>
              </w:rPr>
              <w:t>and $3,681 for the nine months ended September 30, 2021 and 2020,</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17,668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(32,476)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31,514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(11,431)</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respectively</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Balance at the end of the period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(275,435)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(275,435)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(291,803)</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pension plans: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680"/>
              <w:spacing w:after="0"/>
              <w:rPr>
                <w:sz w:val="20"/>
                <w:szCs w:val="20"/>
                <w:color w:val="auto"/>
              </w:rPr>
            </w:pPr>
            <w:r>
              <w:rPr>
                <w:rFonts w:ascii="Arial" w:cs="Arial" w:eastAsia="Arial" w:hAnsi="Arial"/>
                <w:sz w:val="18"/>
                <w:szCs w:val="18"/>
                <w:color w:val="auto"/>
              </w:rPr>
              <w:t>Balance at the beginning of the period</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(250,460)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(243,525)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(253,720)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(246,891)</w:t>
            </w:r>
          </w:p>
        </w:tc>
        <w:tc>
          <w:tcPr>
            <w:tcW w:w="0" w:type="dxa"/>
            <w:vAlign w:val="bottom"/>
          </w:tcPr>
          <w:p>
            <w:pPr>
              <w:spacing w:after="0"/>
              <w:rPr>
                <w:sz w:val="1"/>
                <w:szCs w:val="1"/>
                <w:color w:val="auto"/>
              </w:rPr>
            </w:pPr>
          </w:p>
        </w:tc>
      </w:tr>
      <w:tr>
        <w:trPr>
          <w:trHeight w:val="175"/>
        </w:trPr>
        <w:tc>
          <w:tcPr>
            <w:tcW w:w="62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2"/>
              </w:rPr>
              <w:t>Amortization of net actuarial loss and other, net of tax of $(527) and $(531)</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7"/>
              </w:rPr>
              <w:t>for the quarter ended September 30, 2021 and 2020, and $(1,581) and</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rPr>
              <w:t>$(1,593) for the nine months ended September 30, 2021 and 2020,</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4,890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respectively</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Balance at the end of the period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(248,830)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(248,830)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(241,842)</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1440"/>
              <w:spacing w:after="0"/>
              <w:rPr>
                <w:sz w:val="20"/>
                <w:szCs w:val="20"/>
                <w:color w:val="auto"/>
              </w:rPr>
            </w:pPr>
            <w:r>
              <w:rPr>
                <w:rFonts w:ascii="Arial" w:cs="Arial" w:eastAsia="Arial" w:hAnsi="Arial"/>
                <w:sz w:val="18"/>
                <w:szCs w:val="18"/>
                <w:color w:val="auto"/>
                <w:w w:val="94"/>
              </w:rPr>
              <w:t>Accumulated other comprehensive loss at the end of the period</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(524,265)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(533,645)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(524,265)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(533,645)</w:t>
            </w:r>
          </w:p>
        </w:tc>
        <w:tc>
          <w:tcPr>
            <w:tcW w:w="0" w:type="dxa"/>
            <w:vAlign w:val="bottom"/>
          </w:tcPr>
          <w:p>
            <w:pPr>
              <w:spacing w:after="0"/>
              <w:rPr>
                <w:sz w:val="1"/>
                <w:szCs w:val="1"/>
                <w:color w:val="auto"/>
              </w:rPr>
            </w:pPr>
          </w:p>
        </w:tc>
      </w:tr>
      <w:tr>
        <w:trPr>
          <w:trHeight w:val="209"/>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Treasury stock</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at the beginning of the period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(1,570,696)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(1,569,908)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(1,565,270)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(1,574,464)</w:t>
            </w:r>
          </w:p>
        </w:tc>
        <w:tc>
          <w:tcPr>
            <w:tcW w:w="0" w:type="dxa"/>
            <w:vAlign w:val="bottom"/>
          </w:tcPr>
          <w:p>
            <w:pPr>
              <w:spacing w:after="0"/>
              <w:rPr>
                <w:sz w:val="1"/>
                <w:szCs w:val="1"/>
                <w:color w:val="auto"/>
              </w:rPr>
            </w:pPr>
          </w:p>
        </w:tc>
      </w:tr>
      <w:tr>
        <w:trPr>
          <w:trHeight w:val="230"/>
        </w:trPr>
        <w:tc>
          <w:tcPr>
            <w:tcW w:w="6220" w:type="dxa"/>
            <w:vAlign w:val="bottom"/>
          </w:tcPr>
          <w:p>
            <w:pPr>
              <w:ind w:left="360"/>
              <w:spacing w:after="0"/>
              <w:rPr>
                <w:sz w:val="20"/>
                <w:szCs w:val="20"/>
                <w:color w:val="auto"/>
              </w:rPr>
            </w:pPr>
            <w:r>
              <w:rPr>
                <w:rFonts w:ascii="Arial" w:cs="Arial" w:eastAsia="Arial" w:hAnsi="Arial"/>
                <w:sz w:val="18"/>
                <w:szCs w:val="18"/>
                <w:color w:val="auto"/>
              </w:rPr>
              <w:t>Issuance of common stock under employee stock plans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7,309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8,638</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treasury stock</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Balance at the end of the period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(1,571,024)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(1,570,395)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(1,571,024)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(1,570,395)</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6,558,396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6,558,396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5,704,192</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87"/>
        </w:trPr>
        <w:tc>
          <w:tcPr>
            <w:tcW w:w="80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provided by (used for):</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708,372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651,414</w:t>
            </w:r>
          </w:p>
        </w:tc>
      </w:tr>
      <w:tr>
        <w:trPr>
          <w:trHeight w:val="230"/>
        </w:trPr>
        <w:tc>
          <w:tcPr>
            <w:tcW w:w="8040" w:type="dxa"/>
            <w:vAlign w:val="bottom"/>
          </w:tcPr>
          <w:p>
            <w:pPr>
              <w:ind w:left="680"/>
              <w:spacing w:after="0"/>
              <w:rPr>
                <w:sz w:val="20"/>
                <w:szCs w:val="20"/>
                <w:color w:val="auto"/>
              </w:rPr>
            </w:pPr>
            <w:r>
              <w:rPr>
                <w:rFonts w:ascii="Arial" w:cs="Arial" w:eastAsia="Arial" w:hAnsi="Arial"/>
                <w:sz w:val="18"/>
                <w:szCs w:val="18"/>
                <w:color w:val="auto"/>
              </w:rPr>
              <w:t>Adjustments to reconcile net income to total operating activities: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214,494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190,398</w:t>
            </w:r>
          </w:p>
        </w:tc>
      </w:tr>
      <w:tr>
        <w:trPr>
          <w:trHeight w:val="229"/>
        </w:trPr>
        <w:tc>
          <w:tcPr>
            <w:tcW w:w="8040" w:type="dxa"/>
            <w:vAlign w:val="bottom"/>
          </w:tcPr>
          <w:p>
            <w:pPr>
              <w:ind w:left="11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(7,209)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(4,532)</w:t>
            </w:r>
          </w:p>
        </w:tc>
      </w:tr>
      <w:tr>
        <w:trPr>
          <w:trHeight w:val="230"/>
        </w:trPr>
        <w:tc>
          <w:tcPr>
            <w:tcW w:w="80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29,878</w:t>
            </w:r>
          </w:p>
        </w:tc>
      </w:tr>
      <w:tr>
        <w:trPr>
          <w:trHeight w:val="229"/>
        </w:trPr>
        <w:tc>
          <w:tcPr>
            <w:tcW w:w="8040" w:type="dxa"/>
            <w:vAlign w:val="bottom"/>
          </w:tcPr>
          <w:p>
            <w:pPr>
              <w:ind w:left="1120"/>
              <w:spacing w:after="0"/>
              <w:rPr>
                <w:sz w:val="20"/>
                <w:szCs w:val="20"/>
                <w:color w:val="auto"/>
              </w:rPr>
            </w:pPr>
            <w:r>
              <w:rPr>
                <w:rFonts w:ascii="Arial" w:cs="Arial" w:eastAsia="Arial" w:hAnsi="Arial"/>
                <w:sz w:val="18"/>
                <w:szCs w:val="18"/>
                <w:color w:val="auto"/>
              </w:rPr>
              <w:t>Gain on sale of business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(6,349)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(141,020)</w:t>
            </w:r>
          </w:p>
        </w:tc>
      </w:tr>
      <w:tr>
        <w:trPr>
          <w:trHeight w:val="230"/>
        </w:trPr>
        <w:tc>
          <w:tcPr>
            <w:tcW w:w="80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Gain on sale of facilities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w:t>
            </w:r>
          </w:p>
        </w:tc>
      </w:tr>
      <w:tr>
        <w:trPr>
          <w:trHeight w:val="229"/>
        </w:trPr>
        <w:tc>
          <w:tcPr>
            <w:tcW w:w="8040" w:type="dxa"/>
            <w:vAlign w:val="bottom"/>
          </w:tcPr>
          <w:p>
            <w:pPr>
              <w:ind w:left="1120"/>
              <w:spacing w:after="0"/>
              <w:rPr>
                <w:sz w:val="20"/>
                <w:szCs w:val="20"/>
                <w:color w:val="auto"/>
              </w:rPr>
            </w:pPr>
            <w:r>
              <w:rPr>
                <w:rFonts w:ascii="Arial" w:cs="Arial" w:eastAsia="Arial" w:hAnsi="Arial"/>
                <w:sz w:val="18"/>
                <w:szCs w:val="18"/>
                <w:color w:val="auto"/>
              </w:rPr>
              <w:t>Net change in assets and liabilities, net of acquisitions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(60,947)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176,743</w:t>
            </w:r>
          </w:p>
        </w:tc>
      </w:tr>
      <w:tr>
        <w:trPr>
          <w:trHeight w:val="229"/>
        </w:trPr>
        <w:tc>
          <w:tcPr>
            <w:tcW w:w="80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Pension contributions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w:t>
            </w:r>
          </w:p>
        </w:tc>
      </w:tr>
      <w:tr>
        <w:trPr>
          <w:trHeight w:val="230"/>
        </w:trPr>
        <w:tc>
          <w:tcPr>
            <w:tcW w:w="804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w:t>
            </w:r>
          </w:p>
        </w:tc>
      </w:tr>
      <w:tr>
        <w:trPr>
          <w:trHeight w:val="223"/>
        </w:trPr>
        <w:tc>
          <w:tcPr>
            <w:tcW w:w="8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878,560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895,098</w:t>
            </w:r>
          </w:p>
        </w:tc>
      </w:tr>
      <w:tr>
        <w:trPr>
          <w:trHeight w:val="21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(37,164)</w:t>
            </w: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Purchases of businesses, net of cash acquired</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(1,839,664)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(116,509)</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business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245,311</w:t>
            </w: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Proceeds from sale of facilities</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9,508</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investing activities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(1,895,184)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98,689</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Net change in short-term borrowings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286,126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109,997</w:t>
            </w: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long-term borrowings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(102,947)</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Repurchases of common stock</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(13,063)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(4,569)</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dividends paid</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(138,345)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(123,690)</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Proceeds from stock option exercises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42,301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39,880</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financing activities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171,201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(84,718)</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(8,723)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(Decrease) Increase in cash and cash equivalents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(854,146)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911,808</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0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Beginning of period</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1,212,822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393,030</w:t>
            </w: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358,676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1,304,838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121"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The accompanying consolidated financial statements are unaudited. AMETEK, Inc. (the “Company”) believes that all adjustments (which primarily consist of normal recurring accruals) necessary for a fair presentation of the consolidated financial position of the Company at September 30, 2021, the consolidated results of its operations for the three and nine months ended September 30, 2021 and 2020 and its cash flows for the nine months ended September 30, 2021 and 2020 have been included.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2020 as filed with the U.S. Securities and Exchange Commission.</w:t>
      </w:r>
    </w:p>
    <w:p>
      <w:pPr>
        <w:spacing w:after="0" w:line="2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which simplifies the accounting for income taxes by removing certain exceptions to the general principles in ASC Topic 740. The Company prospectively adopted ASU 2019-12, effective January 1, 2021, and the adoption did not have a significant impact on the Company’s consolidated results of operations, financial position, cash flows and financial statement disclosures.</w:t>
      </w:r>
    </w:p>
    <w:p>
      <w:pPr>
        <w:spacing w:after="0" w:line="2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contract asset and liability accounts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assets—January 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73,039</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assets – September 30</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82,986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68,157</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contract assets – increase (decrease)</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Contract liabilities – January 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215,093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167,306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September 30</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311,674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198,660</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contract liabilities – increase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(96,581)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(31,354)</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(82,566)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net change for the nine months ended September 30, 2021 was primarily driven by contract liabilities from the 2021 acquisitions' advance payments from customers. For the nine months ended September 30, 2021 and 2020, the Company recognized revenue of $179.1 million and $120.6 million, respectively, that was previously included in the beginning balance of contract liabilities.</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Contract assets are reported as a component of Other current assets in the consolidated balance sheet. At September 30, 2021 and December 31, 2020, $24.3 million and $20.5 million of Customer advanced payments (contract liabilities), respectively, were recorded in Other long-term liabilities in the consolidated balance sheets.</w:t>
      </w:r>
    </w:p>
    <w:p>
      <w:pPr>
        <w:spacing w:after="0" w:line="184"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The remaining performance obligations exceeding one year as of September 30, 2021 and December 31, 2020 were $545.3 million and $300.8 million, respectively. The increase was primarily driven by the 2021 acquisitions.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Areas</w:t>
      </w:r>
    </w:p>
    <w:p>
      <w:pPr>
        <w:spacing w:after="0" w:line="11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Net sales were attributed to geographic areas based on the location of the customer. Information about the Company’s operations in different geographic areas was as follows for the three and nine months ended September 30: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7"/>
          </w:tcPr>
          <w:p>
            <w:pPr>
              <w:jc w:val="center"/>
              <w:ind w:right="174"/>
              <w:spacing w:after="0"/>
              <w:rPr>
                <w:sz w:val="20"/>
                <w:szCs w:val="20"/>
                <w:color w:val="auto"/>
              </w:rPr>
            </w:pPr>
            <w:r>
              <w:rPr>
                <w:rFonts w:ascii="Arial" w:cs="Arial" w:eastAsia="Arial" w:hAnsi="Arial"/>
                <w:sz w:val="14"/>
                <w:szCs w:val="14"/>
                <w:b w:val="1"/>
                <w:bCs w:val="1"/>
                <w:color w:val="auto"/>
                <w:w w:val="91"/>
              </w:rPr>
              <w:t>Three months ended September 30, 2021</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7"/>
          </w:tcPr>
          <w:p>
            <w:pPr>
              <w:jc w:val="center"/>
              <w:ind w:right="112"/>
              <w:spacing w:after="0"/>
              <w:rPr>
                <w:sz w:val="20"/>
                <w:szCs w:val="20"/>
                <w:color w:val="auto"/>
              </w:rPr>
            </w:pPr>
            <w:r>
              <w:rPr>
                <w:rFonts w:ascii="Arial" w:cs="Arial" w:eastAsia="Arial" w:hAnsi="Arial"/>
                <w:sz w:val="14"/>
                <w:szCs w:val="14"/>
                <w:b w:val="1"/>
                <w:bCs w:val="1"/>
                <w:color w:val="auto"/>
                <w:w w:val="91"/>
              </w:rPr>
              <w:t>Nine months ended September 30, 2021</w:t>
            </w:r>
          </w:p>
        </w:tc>
      </w:tr>
      <w:tr>
        <w:trPr>
          <w:trHeight w:val="209"/>
        </w:trPr>
        <w:tc>
          <w:tcPr>
            <w:tcW w:w="3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EIG</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90"/>
        </w:trPr>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5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6"/>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509,075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230,524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739,599</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1,393,015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666,618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2,059,633</w:t>
            </w:r>
          </w:p>
        </w:tc>
      </w:tr>
      <w:tr>
        <w:trPr>
          <w:trHeight w:val="209"/>
        </w:trPr>
        <w:tc>
          <w:tcPr>
            <w:tcW w:w="3940" w:type="dxa"/>
            <w:vAlign w:val="bottom"/>
          </w:tcPr>
          <w:p>
            <w:pPr>
              <w:ind w:left="20"/>
              <w:spacing w:after="0" w:line="21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Kingdom</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58,204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67,954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91,465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159,419</w:t>
            </w:r>
          </w:p>
        </w:tc>
      </w:tr>
      <w:tr>
        <w:trPr>
          <w:trHeight w:val="230"/>
        </w:trPr>
        <w:tc>
          <w:tcPr>
            <w:tcW w:w="3940" w:type="dxa"/>
            <w:vAlign w:val="bottom"/>
          </w:tcPr>
          <w:p>
            <w:pPr>
              <w:ind w:left="360"/>
              <w:spacing w:after="0"/>
              <w:rPr>
                <w:sz w:val="20"/>
                <w:szCs w:val="20"/>
                <w:color w:val="auto"/>
              </w:rPr>
            </w:pPr>
            <w:r>
              <w:rPr>
                <w:rFonts w:ascii="Arial" w:cs="Arial" w:eastAsia="Arial" w:hAnsi="Arial"/>
                <w:sz w:val="18"/>
                <w:szCs w:val="18"/>
                <w:color w:val="auto"/>
              </w:rPr>
              <w:t>European Union countries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117,035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102,069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219,104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338,556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300,970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639,526</w:t>
            </w:r>
          </w:p>
        </w:tc>
      </w:tr>
      <w:tr>
        <w:trPr>
          <w:trHeight w:val="229"/>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Asia</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242,063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65,624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307,687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657,478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192,267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849,745</w:t>
            </w:r>
          </w:p>
        </w:tc>
      </w:tr>
      <w:tr>
        <w:trPr>
          <w:trHeight w:val="230"/>
        </w:trPr>
        <w:tc>
          <w:tcPr>
            <w:tcW w:w="3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foreign countries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88,284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116,087</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249,670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84,776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334,446</w:t>
            </w:r>
          </w:p>
        </w:tc>
      </w:tr>
      <w:tr>
        <w:trPr>
          <w:trHeight w:val="223"/>
        </w:trPr>
        <w:tc>
          <w:tcPr>
            <w:tcW w:w="3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472,740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228,342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701,082</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1,313,658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669,478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1,983,136</w:t>
            </w: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981,815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458,866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1,440,681</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2,706,673</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1,336,096</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4,042,769</w:t>
            </w:r>
          </w:p>
        </w:tc>
      </w:tr>
      <w:tr>
        <w:trPr>
          <w:trHeight w:val="20"/>
        </w:trPr>
        <w:tc>
          <w:tcPr>
            <w:tcW w:w="3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Includes U.S. export sales of $391.0 million and $1,087.3 million for the three and nine months ended September 30, 2021, respectively.</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220" w:type="dxa"/>
            <w:vAlign w:val="bottom"/>
          </w:tcPr>
          <w:p>
            <w:pPr>
              <w:spacing w:after="0"/>
              <w:rPr>
                <w:sz w:val="16"/>
                <w:szCs w:val="16"/>
                <w:color w:val="auto"/>
              </w:rPr>
            </w:pPr>
          </w:p>
        </w:tc>
        <w:tc>
          <w:tcPr>
            <w:tcW w:w="3420" w:type="dxa"/>
            <w:vAlign w:val="bottom"/>
            <w:gridSpan w:val="7"/>
          </w:tcPr>
          <w:p>
            <w:pPr>
              <w:jc w:val="center"/>
              <w:ind w:right="112"/>
              <w:spacing w:after="0"/>
              <w:rPr>
                <w:sz w:val="20"/>
                <w:szCs w:val="20"/>
                <w:color w:val="auto"/>
              </w:rPr>
            </w:pPr>
            <w:r>
              <w:rPr>
                <w:rFonts w:ascii="Arial" w:cs="Arial" w:eastAsia="Arial" w:hAnsi="Arial"/>
                <w:sz w:val="14"/>
                <w:szCs w:val="14"/>
                <w:b w:val="1"/>
                <w:bCs w:val="1"/>
                <w:color w:val="auto"/>
                <w:w w:val="91"/>
              </w:rPr>
              <w:t>Nine months ended September 30, 2020</w:t>
            </w:r>
          </w:p>
        </w:tc>
      </w:tr>
      <w:tr>
        <w:trPr>
          <w:trHeight w:val="187"/>
        </w:trPr>
        <w:tc>
          <w:tcPr>
            <w:tcW w:w="39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EIG</w:t>
            </w:r>
          </w:p>
        </w:tc>
        <w:tc>
          <w:tcPr>
            <w:tcW w:w="2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83"/>
        </w:trPr>
        <w:tc>
          <w:tcPr>
            <w:tcW w:w="3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5"/>
          </w:tcPr>
          <w:p>
            <w:pPr>
              <w:ind w:left="60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1"/>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379,744</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198,440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578,184</w:t>
            </w: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1,125,046</w:t>
            </w: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622,498</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1,747,544</w:t>
            </w:r>
          </w:p>
        </w:tc>
      </w:tr>
      <w:tr>
        <w:trPr>
          <w:trHeight w:val="209"/>
        </w:trPr>
        <w:tc>
          <w:tcPr>
            <w:tcW w:w="3900" w:type="dxa"/>
            <w:vAlign w:val="bottom"/>
          </w:tcPr>
          <w:p>
            <w:pPr>
              <w:ind w:left="20"/>
              <w:spacing w:after="0" w:line="21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Kingdom</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39,708</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124,255</w:t>
            </w:r>
          </w:p>
        </w:tc>
      </w:tr>
      <w:tr>
        <w:trPr>
          <w:trHeight w:val="230"/>
        </w:trPr>
        <w:tc>
          <w:tcPr>
            <w:tcW w:w="3900" w:type="dxa"/>
            <w:vAlign w:val="bottom"/>
          </w:tcPr>
          <w:p>
            <w:pPr>
              <w:ind w:left="360"/>
              <w:spacing w:after="0"/>
              <w:rPr>
                <w:sz w:val="20"/>
                <w:szCs w:val="20"/>
                <w:color w:val="auto"/>
              </w:rPr>
            </w:pPr>
            <w:r>
              <w:rPr>
                <w:rFonts w:ascii="Arial" w:cs="Arial" w:eastAsia="Arial" w:hAnsi="Arial"/>
                <w:sz w:val="18"/>
                <w:szCs w:val="18"/>
                <w:color w:val="auto"/>
              </w:rPr>
              <w:t>European Union countries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97,028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78,851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175,879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282,605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246,944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529,549</w:t>
            </w:r>
          </w:p>
        </w:tc>
      </w:tr>
      <w:tr>
        <w:trPr>
          <w:trHeight w:val="230"/>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Asia</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235,750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514,189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138,862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653,051</w:t>
            </w:r>
          </w:p>
        </w:tc>
      </w:tr>
      <w:tr>
        <w:trPr>
          <w:trHeight w:val="229"/>
        </w:trPr>
        <w:tc>
          <w:tcPr>
            <w:tcW w:w="3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foreign countries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96,984</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208,931</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77,752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286,683</w:t>
            </w:r>
          </w:p>
        </w:tc>
      </w:tr>
      <w:tr>
        <w:trPr>
          <w:trHeight w:val="223"/>
        </w:trPr>
        <w:tc>
          <w:tcPr>
            <w:tcW w:w="3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548,758</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1,045,433</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548,105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1,593,538</w:t>
            </w: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748,372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378,570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1,126,942</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2,170,479</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1,170,603</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3,341,082</w:t>
            </w: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U.S. export sales of $303.2 million and $866.3 million for the three and nine months ended September 30, 2020,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Products and Services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major products and services in the reportable segments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91"/>
              </w:rPr>
              <w:t>Three months ended September 30, 2021</w:t>
            </w:r>
          </w:p>
        </w:tc>
        <w:tc>
          <w:tcPr>
            <w:tcW w:w="220" w:type="dxa"/>
            <w:vAlign w:val="bottom"/>
          </w:tcPr>
          <w:p>
            <w:pPr>
              <w:spacing w:after="0"/>
              <w:rPr>
                <w:sz w:val="16"/>
                <w:szCs w:val="16"/>
                <w:color w:val="auto"/>
              </w:rPr>
            </w:pPr>
          </w:p>
        </w:tc>
        <w:tc>
          <w:tcPr>
            <w:tcW w:w="3300" w:type="dxa"/>
            <w:vAlign w:val="bottom"/>
            <w:gridSpan w:val="7"/>
          </w:tcPr>
          <w:p>
            <w:pPr>
              <w:jc w:val="center"/>
              <w:ind w:right="114"/>
              <w:spacing w:after="0"/>
              <w:rPr>
                <w:sz w:val="20"/>
                <w:szCs w:val="20"/>
                <w:color w:val="auto"/>
              </w:rPr>
            </w:pPr>
            <w:r>
              <w:rPr>
                <w:rFonts w:ascii="Arial" w:cs="Arial" w:eastAsia="Arial" w:hAnsi="Arial"/>
                <w:sz w:val="14"/>
                <w:szCs w:val="14"/>
                <w:b w:val="1"/>
                <w:bCs w:val="1"/>
                <w:color w:val="auto"/>
                <w:w w:val="91"/>
              </w:rPr>
              <w:t>Nine months ended September 30, 2021</w:t>
            </w:r>
          </w:p>
        </w:tc>
      </w:tr>
      <w:tr>
        <w:trPr>
          <w:trHeight w:val="187"/>
        </w:trPr>
        <w:tc>
          <w:tcPr>
            <w:tcW w:w="40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EIG</w:t>
            </w: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183"/>
        </w:trPr>
        <w:tc>
          <w:tcPr>
            <w:tcW w:w="4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1"/>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analytical instrumentation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661,243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661,243</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1,881,923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1,881,923</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Aerospace and power</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320,572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130,671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451,243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824,750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379,310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9"/>
              </w:rPr>
              <w:t>1,204,060</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Automation and engineered solutions</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328,195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328,195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956,786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956,786</w:t>
            </w: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981,815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458,866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1,440,681</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2,706,673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1,336,096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4,042,769</w:t>
            </w:r>
          </w:p>
        </w:tc>
      </w:tr>
      <w:tr>
        <w:trPr>
          <w:trHeight w:val="20"/>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220" w:type="dxa"/>
            <w:vAlign w:val="bottom"/>
          </w:tcPr>
          <w:p>
            <w:pPr>
              <w:spacing w:after="0"/>
              <w:rPr>
                <w:sz w:val="16"/>
                <w:szCs w:val="16"/>
                <w:color w:val="auto"/>
              </w:rPr>
            </w:pPr>
          </w:p>
        </w:tc>
        <w:tc>
          <w:tcPr>
            <w:tcW w:w="3300" w:type="dxa"/>
            <w:vAlign w:val="bottom"/>
            <w:gridSpan w:val="7"/>
          </w:tcPr>
          <w:p>
            <w:pPr>
              <w:jc w:val="center"/>
              <w:ind w:right="114"/>
              <w:spacing w:after="0"/>
              <w:rPr>
                <w:sz w:val="20"/>
                <w:szCs w:val="20"/>
                <w:color w:val="auto"/>
              </w:rPr>
            </w:pPr>
            <w:r>
              <w:rPr>
                <w:rFonts w:ascii="Arial" w:cs="Arial" w:eastAsia="Arial" w:hAnsi="Arial"/>
                <w:sz w:val="14"/>
                <w:szCs w:val="14"/>
                <w:b w:val="1"/>
                <w:bCs w:val="1"/>
                <w:color w:val="auto"/>
                <w:w w:val="91"/>
              </w:rPr>
              <w:t>Nine months ended September 30, 2020</w:t>
            </w: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EIG</w:t>
            </w: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analytical instrumentation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557,570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557,570</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1,589,550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1,589,550</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Aerospace and power</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190,802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116,126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306,928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580,929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347,510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928,439</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Automation and engineered solutions</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262,444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823,093</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748,372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378,570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1,126,942</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2,170,479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1,170,603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3,341,082</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i w:val="1"/>
                <w:iCs w:val="1"/>
                <w:color w:val="auto"/>
              </w:rPr>
              <w:t>Timing of Revenue Recognition</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4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right="177"/>
              <w:spacing w:after="0"/>
              <w:rPr>
                <w:sz w:val="20"/>
                <w:szCs w:val="20"/>
                <w:color w:val="auto"/>
              </w:rPr>
            </w:pPr>
            <w:r>
              <w:rPr>
                <w:rFonts w:ascii="Arial" w:cs="Arial" w:eastAsia="Arial" w:hAnsi="Arial"/>
                <w:sz w:val="14"/>
                <w:szCs w:val="14"/>
                <w:b w:val="1"/>
                <w:bCs w:val="1"/>
                <w:color w:val="auto"/>
                <w:w w:val="91"/>
              </w:rPr>
              <w:t>Three months ended September 30, 2021</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center"/>
              <w:ind w:right="114"/>
              <w:spacing w:after="0"/>
              <w:rPr>
                <w:sz w:val="20"/>
                <w:szCs w:val="20"/>
                <w:color w:val="auto"/>
              </w:rPr>
            </w:pPr>
            <w:r>
              <w:rPr>
                <w:rFonts w:ascii="Arial" w:cs="Arial" w:eastAsia="Arial" w:hAnsi="Arial"/>
                <w:sz w:val="14"/>
                <w:szCs w:val="14"/>
                <w:b w:val="1"/>
                <w:bCs w:val="1"/>
                <w:color w:val="auto"/>
                <w:w w:val="91"/>
              </w:rPr>
              <w:t>Nine months ended September 30, 2021</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EIG</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EMG</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 transferred at a point in time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791,486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413,062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1,204,548</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2,206,252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1,204,662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3,410,914</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Products and services transferred over time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190,329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236,133</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500,421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131,434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631,855</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981,815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458,866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1,440,681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2,706,673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1,336,096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4,042,769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4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right="177"/>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center"/>
              <w:ind w:right="114"/>
              <w:spacing w:after="0"/>
              <w:rPr>
                <w:sz w:val="20"/>
                <w:szCs w:val="20"/>
                <w:color w:val="auto"/>
              </w:rPr>
            </w:pPr>
            <w:r>
              <w:rPr>
                <w:rFonts w:ascii="Arial" w:cs="Arial" w:eastAsia="Arial" w:hAnsi="Arial"/>
                <w:sz w:val="14"/>
                <w:szCs w:val="14"/>
                <w:b w:val="1"/>
                <w:bCs w:val="1"/>
                <w:color w:val="auto"/>
                <w:w w:val="91"/>
              </w:rPr>
              <w:t>Nine months ended September 30, 2020</w:t>
            </w:r>
          </w:p>
        </w:tc>
        <w:tc>
          <w:tcPr>
            <w:tcW w:w="0" w:type="dxa"/>
            <w:vAlign w:val="bottom"/>
          </w:tcPr>
          <w:p>
            <w:pPr>
              <w:spacing w:after="0"/>
              <w:rPr>
                <w:sz w:val="1"/>
                <w:szCs w:val="1"/>
                <w:color w:val="auto"/>
              </w:rPr>
            </w:pPr>
          </w:p>
        </w:tc>
      </w:tr>
      <w:tr>
        <w:trPr>
          <w:trHeight w:val="209"/>
        </w:trPr>
        <w:tc>
          <w:tcPr>
            <w:tcW w:w="4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EIG</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EMG</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 transferred at a point in time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949,839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1,762,310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1,049,798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2,812,108</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Products and services transferred over time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177,103</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528,974</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748,372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1,126,942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2,170,479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1,170,603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3,341,082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accrued product warranty obligation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160" w:type="dxa"/>
            <w:vAlign w:val="bottom"/>
            <w:tcBorders>
              <w:bottom w:val="single" w:sz="8" w:color="auto"/>
            </w:tcBorders>
            <w:gridSpan w:val="5"/>
          </w:tcPr>
          <w:p>
            <w:pPr>
              <w:jc w:val="right"/>
              <w:ind w:right="413"/>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185"/>
        </w:trPr>
        <w:tc>
          <w:tcPr>
            <w:tcW w:w="8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r>
      <w:tr>
        <w:trPr>
          <w:trHeight w:val="25"/>
        </w:trPr>
        <w:tc>
          <w:tcPr>
            <w:tcW w:w="8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27,839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27,611</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8,379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9,766</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made during the period</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(9,112)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Warranty accruals related to acquired businesses and other during the period</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end of the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29,333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maintains allowances for estimated losses resulting from the inability of customers to meet their financial obligations to the Company. The Company recognizes an allowance for credit losses, on all accounts receivable and contract assets, which considers risk of future credit losses based on factors such as historical experience, contract terms, as well as general and market business conditions, country, and political risk. Balances are written off when determined to be uncollectible.</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At September 30, 2021, the Company had $768.4 million of accounts receivable, net of allowances of $12.1 million. Changes in the allowance were not material for the three and nine months ended September 30,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Earnings Per Share</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Securities that are anti-dilutive have been excluded and are not significant. The number of weighted average shares used in the calculation of basic earnings per share and diluted earnings per share was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80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380" w:type="dxa"/>
            <w:vAlign w:val="bottom"/>
            <w:gridSpan w:val="3"/>
          </w:tcPr>
          <w:p>
            <w:pPr>
              <w:jc w:val="right"/>
              <w:ind w:right="35"/>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606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r>
      <w:tr>
        <w:trPr>
          <w:trHeight w:val="183"/>
        </w:trPr>
        <w:tc>
          <w:tcPr>
            <w:tcW w:w="6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4"/>
          </w:tcPr>
          <w:p>
            <w:pPr>
              <w:ind w:left="78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r>
      <w:tr>
        <w:trPr>
          <w:trHeight w:val="231"/>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Basic shares</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231,171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229,576</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230,811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229,254</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 plans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1,829</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2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Diluted shares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233,000</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231,460</w:t>
            </w:r>
          </w:p>
        </w:tc>
        <w:tc>
          <w:tcPr>
            <w:tcW w:w="2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232,712</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230,904</w:t>
            </w:r>
          </w:p>
        </w:tc>
      </w:tr>
      <w:tr>
        <w:trPr>
          <w:trHeight w:val="21"/>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4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the Company’s assets that are measured at fair value on a recurring basis, consistent with the fair value hierarchy,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December 31, 2020: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December 31, 2020</w:t>
            </w:r>
          </w:p>
        </w:tc>
      </w:tr>
      <w:tr>
        <w:trPr>
          <w:trHeight w:val="190"/>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6"/>
                <w:szCs w:val="16"/>
                <w:color w:val="auto"/>
              </w:rPr>
            </w:pPr>
          </w:p>
        </w:tc>
        <w:tc>
          <w:tcPr>
            <w:tcW w:w="146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Fair Value</w:t>
            </w:r>
          </w:p>
        </w:tc>
      </w:tr>
      <w:tr>
        <w:trPr>
          <w:trHeight w:val="25"/>
        </w:trPr>
        <w:tc>
          <w:tcPr>
            <w:tcW w:w="7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r>
      <w:tr>
        <w:trPr>
          <w:trHeight w:val="184"/>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gridSpan w:val="4"/>
          </w:tcPr>
          <w:p>
            <w:pPr>
              <w:jc w:val="right"/>
              <w:ind w:right="1202"/>
              <w:spacing w:after="0"/>
              <w:rPr>
                <w:sz w:val="20"/>
                <w:szCs w:val="20"/>
                <w:color w:val="auto"/>
              </w:rPr>
            </w:pPr>
            <w:r>
              <w:rPr>
                <w:rFonts w:ascii="Arial" w:cs="Arial" w:eastAsia="Arial" w:hAnsi="Arial"/>
                <w:sz w:val="14"/>
                <w:szCs w:val="14"/>
                <w:b w:val="1"/>
                <w:bCs w:val="1"/>
                <w:color w:val="auto"/>
              </w:rPr>
              <w:t>(In thousands)</w:t>
            </w:r>
          </w:p>
        </w:tc>
      </w:tr>
      <w:tr>
        <w:trPr>
          <w:trHeight w:val="25"/>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10,456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8,969</w:t>
            </w:r>
          </w:p>
        </w:tc>
      </w:tr>
    </w:tbl>
    <w:p>
      <w:pPr>
        <w:spacing w:after="0" w:line="202" w:lineRule="exact"/>
        <w:rPr>
          <w:sz w:val="20"/>
          <w:szCs w:val="20"/>
          <w:color w:val="auto"/>
        </w:rPr>
      </w:pPr>
    </w:p>
    <w:p>
      <w:pPr>
        <w:ind w:right="800" w:firstLine="567"/>
        <w:spacing w:after="0" w:line="277" w:lineRule="auto"/>
        <w:rPr>
          <w:sz w:val="20"/>
          <w:szCs w:val="20"/>
          <w:color w:val="auto"/>
        </w:rPr>
      </w:pPr>
      <w:r>
        <w:rPr>
          <w:rFonts w:ascii="Arial" w:cs="Arial" w:eastAsia="Arial" w:hAnsi="Arial"/>
          <w:sz w:val="18"/>
          <w:szCs w:val="18"/>
          <w:color w:val="auto"/>
        </w:rPr>
        <w:t>The fair value of mutual fund investments, which are valued as level 1 investments, was based on quoted market prices. The mutual fund investments are shown as a component of investments and other assets on the consolidated balance sheet.</w:t>
      </w:r>
    </w:p>
    <w:p>
      <w:pPr>
        <w:spacing w:after="0" w:line="170" w:lineRule="exact"/>
        <w:rPr>
          <w:sz w:val="20"/>
          <w:szCs w:val="20"/>
          <w:color w:val="auto"/>
        </w:rPr>
      </w:pPr>
    </w:p>
    <w:p>
      <w:pPr>
        <w:ind w:right="540" w:firstLine="567"/>
        <w:spacing w:after="0" w:line="308" w:lineRule="auto"/>
        <w:rPr>
          <w:sz w:val="20"/>
          <w:szCs w:val="20"/>
          <w:color w:val="auto"/>
        </w:rPr>
      </w:pPr>
      <w:r>
        <w:rPr>
          <w:rFonts w:ascii="Arial" w:cs="Arial" w:eastAsia="Arial" w:hAnsi="Arial"/>
          <w:sz w:val="17"/>
          <w:szCs w:val="17"/>
          <w:color w:val="auto"/>
        </w:rPr>
        <w:t>For the nine months ended September 30, 2021 and 2020, gains and losses on the investments noted above were not significant. No transfers between level 1 and level 2 investments occurred during the nine months ended September 30, 2021 and 2020.</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Cash, cash equivalents and mutual fund investments are recorded at fair value at September 30, 2021 and December 31, 2020 in the accompanying consolidated balance sheet.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provides the estimated fair values of the Company’s financial instrument liabilities, for which fair value is measured for disclosure purposes only, compared to the recorded amounts at September 30, 2021 and December 31,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4"/>
          </w:tcPr>
          <w:p>
            <w:pPr>
              <w:ind w:left="700"/>
              <w:spacing w:after="0"/>
              <w:rPr>
                <w:sz w:val="20"/>
                <w:szCs w:val="20"/>
                <w:color w:val="auto"/>
              </w:rPr>
            </w:pPr>
            <w:r>
              <w:rPr>
                <w:rFonts w:ascii="Arial" w:cs="Arial" w:eastAsia="Arial" w:hAnsi="Arial"/>
                <w:sz w:val="14"/>
                <w:szCs w:val="14"/>
                <w:b w:val="1"/>
                <w:bCs w:val="1"/>
                <w:color w:val="auto"/>
              </w:rPr>
              <w:t>September 30, 2021</w:t>
            </w:r>
          </w:p>
        </w:tc>
        <w:tc>
          <w:tcPr>
            <w:tcW w:w="440" w:type="dxa"/>
            <w:vAlign w:val="bottom"/>
          </w:tcPr>
          <w:p>
            <w:pPr>
              <w:spacing w:after="0"/>
              <w:rPr>
                <w:sz w:val="16"/>
                <w:szCs w:val="16"/>
                <w:color w:val="auto"/>
              </w:rPr>
            </w:pPr>
          </w:p>
        </w:tc>
        <w:tc>
          <w:tcPr>
            <w:tcW w:w="2760" w:type="dxa"/>
            <w:vAlign w:val="bottom"/>
            <w:gridSpan w:val="3"/>
          </w:tcPr>
          <w:p>
            <w:pPr>
              <w:jc w:val="right"/>
              <w:ind w:right="939"/>
              <w:spacing w:after="0"/>
              <w:rPr>
                <w:sz w:val="20"/>
                <w:szCs w:val="20"/>
                <w:color w:val="auto"/>
              </w:rPr>
            </w:pPr>
            <w:r>
              <w:rPr>
                <w:rFonts w:ascii="Arial" w:cs="Arial" w:eastAsia="Arial" w:hAnsi="Arial"/>
                <w:sz w:val="14"/>
                <w:szCs w:val="14"/>
                <w:b w:val="1"/>
                <w:bCs w:val="1"/>
                <w:color w:val="auto"/>
              </w:rPr>
              <w:t>December 31, 2020</w:t>
            </w:r>
          </w:p>
        </w:tc>
      </w:tr>
      <w:tr>
        <w:trPr>
          <w:trHeight w:val="166"/>
        </w:trPr>
        <w:tc>
          <w:tcPr>
            <w:tcW w:w="47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w w:val="92"/>
              </w:rPr>
              <w:t>Recorded</w:t>
            </w:r>
          </w:p>
        </w:tc>
        <w:tc>
          <w:tcPr>
            <w:tcW w:w="3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404"/>
              <w:spacing w:after="0"/>
              <w:rPr>
                <w:sz w:val="20"/>
                <w:szCs w:val="20"/>
                <w:color w:val="auto"/>
              </w:rPr>
            </w:pPr>
            <w:r>
              <w:rPr>
                <w:rFonts w:ascii="Arial" w:cs="Arial" w:eastAsia="Arial" w:hAnsi="Arial"/>
                <w:sz w:val="14"/>
                <w:szCs w:val="14"/>
                <w:b w:val="1"/>
                <w:bCs w:val="1"/>
                <w:color w:val="auto"/>
                <w:w w:val="92"/>
              </w:rPr>
              <w:t>Recorded</w:t>
            </w:r>
          </w:p>
        </w:tc>
        <w:tc>
          <w:tcPr>
            <w:tcW w:w="3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r>
      <w:tr>
        <w:trPr>
          <w:trHeight w:val="186"/>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ind w:right="244"/>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6"/>
                <w:szCs w:val="16"/>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6"/>
                <w:szCs w:val="16"/>
                <w:color w:val="auto"/>
              </w:rPr>
            </w:pPr>
          </w:p>
        </w:tc>
        <w:tc>
          <w:tcPr>
            <w:tcW w:w="1160" w:type="dxa"/>
            <w:vAlign w:val="bottom"/>
          </w:tcPr>
          <w:p>
            <w:pPr>
              <w:jc w:val="center"/>
              <w:ind w:right="424"/>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6"/>
                <w:szCs w:val="16"/>
                <w:color w:val="auto"/>
              </w:rPr>
            </w:pPr>
          </w:p>
        </w:tc>
        <w:tc>
          <w:tcPr>
            <w:tcW w:w="1260" w:type="dxa"/>
            <w:vAlign w:val="bottom"/>
          </w:tcPr>
          <w:p>
            <w:pPr>
              <w:jc w:val="right"/>
              <w:ind w:right="379"/>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(including current portion)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(2,302,585)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(2,467,313)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(2,347,587)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(2,550,956)</w:t>
            </w:r>
          </w:p>
        </w:tc>
      </w:tr>
    </w:tbl>
    <w:p>
      <w:pPr>
        <w:spacing w:after="0" w:line="202"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fair value of net short-term borrowings approximates the carrying value. Net short-term borrowings are valued as level 2 liabilities as they are corroborated by observable market data. The Company’s net long-term debt is all privately held with no public market for this debt, therefore, the fair value of net long-term debt was computed based on comparable current market data for similar debt instruments and is considered a level 3 liability.</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Currency</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At September 30, 2021, the Company had no foreign currency forward contracts outstanding. For the nine months ended September 30, 2021, the Company had no realized or unrealized gains or losses on foreign currency forward contracts. At September 30, 2020, the Company had a Canadian dollar forward contract for a total notional value of 24.0 million Canadian dollars and an immaterial unrealized gain outstanding. For the nine months ended September 30, 2020 realized and unrealized gains and losses on foreign currency forward contracts were not significant. The Company does not typically designate its foreign currency forward contracts as hedges.</w:t>
      </w:r>
    </w:p>
    <w:p>
      <w:pPr>
        <w:spacing w:after="0" w:line="29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Hedging Activities</w:t>
      </w:r>
    </w:p>
    <w:p>
      <w:pPr>
        <w:spacing w:after="0" w:line="12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Company has designated certain foreign-currency-denominated long-term borrowings as hedges of the net investment in certain foreign operations. As of September 30, 2021, these net investment hedges included British-pound-and Euro-denominated long-term debt. These borrowings were designed to create net investment hedges in certain designated foreign subsidiaries. The Company designated the British-pound- and Euro-denominated loans referred to above as hedging instruments to offset translation gains or losses on the net investment due to changes in the British pound and Euro exchange rates. These net investment hedges are evidenced by management’s contemporaneous documentation supporting the hedge designation. Any 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spacing w:after="0" w:line="166"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At September 30, 2021, the Company had $303.0 million of British-pound-denominated loans, which were designated as a hedge against the net investment in British pound functional currency foreign subsidiaries. At September 30, 2021, the Company had $665.7 million in Euro-denominated loans, which were designated as a hedge against the net investment in Euro functional currency foreign subsidiaries. As a result of the British-pound- and Euro-denominated loans designated and 100% effective as net investment hedges, $41.7 million of pre-tax currency remeasurement gains have been included in the foreign currency translation component of other comprehensive income for the nine months ended September 30, 2021.</w:t>
      </w:r>
    </w:p>
    <w:p>
      <w:pPr>
        <w:spacing w:after="0" w:line="26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Inventories, net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5"/>
          </w:tcPr>
          <w:p>
            <w:pPr>
              <w:ind w:left="9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and parts</w:t>
            </w:r>
          </w:p>
        </w:tc>
        <w:tc>
          <w:tcPr>
            <w:tcW w:w="4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87,370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137,283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102,945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purchased parts</w:t>
            </w:r>
          </w:p>
        </w:tc>
        <w:tc>
          <w:tcPr>
            <w:tcW w:w="40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514,035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Total inventories, net</w:t>
            </w:r>
          </w:p>
        </w:tc>
        <w:tc>
          <w:tcPr>
            <w:tcW w:w="40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738,688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4000" w:type="dxa"/>
            <w:vAlign w:val="bottom"/>
            <w:vMerge w:val="restart"/>
          </w:tcPr>
          <w:p>
            <w:pPr>
              <w:jc w:val="right"/>
              <w:ind w:right="223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04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Leases</w:t>
      </w:r>
    </w:p>
    <w:p>
      <w:pPr>
        <w:spacing w:after="0" w:line="229"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The Company has commitments under operating leases for certain facilities, vehicles and equipment used in its operations. Cash used in operations for operating leases was not materially different from operating lease expense for the nine months ended September 30, 2021 and 2020. The Company's leases have initial lease terms ranging from one month to 16 years. Certain lease agreements contain provisions for future rent increases.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5"/>
          </w:tcPr>
          <w:p>
            <w:pPr>
              <w:jc w:val="right"/>
              <w:ind w:right="56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8"/>
          </w:tcPr>
          <w:p>
            <w:pPr>
              <w:jc w:val="center"/>
              <w:ind w:right="8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3"/>
        </w:trPr>
        <w:tc>
          <w:tcPr>
            <w:tcW w:w="58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w w:val="97"/>
              </w:rPr>
              <w:t>(In thousands)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10,715</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37,083</w:t>
            </w:r>
          </w:p>
        </w:tc>
        <w:tc>
          <w:tcPr>
            <w:tcW w:w="34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rPr>
              <w:t>1,611</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4,609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12,326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41,692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35,405</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160" w:type="dxa"/>
            <w:vAlign w:val="bottom"/>
            <w:gridSpan w:val="2"/>
          </w:tcPr>
          <w:p>
            <w:pPr>
              <w:ind w:left="660"/>
              <w:spacing w:after="0"/>
              <w:rPr>
                <w:sz w:val="20"/>
                <w:szCs w:val="20"/>
                <w:color w:val="auto"/>
              </w:rPr>
            </w:pPr>
            <w:r>
              <w:rPr>
                <w:rFonts w:ascii="Arial" w:cs="Arial" w:eastAsia="Arial" w:hAnsi="Arial"/>
                <w:sz w:val="18"/>
                <w:szCs w:val="18"/>
                <w:color w:val="auto"/>
                <w:w w:val="93"/>
              </w:rPr>
              <w:t>Supplemental balance sheet information related to leases was as follows: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32"/>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7"/>
          </w:tcPr>
          <w:p>
            <w:pPr>
              <w:jc w:val="right"/>
              <w:ind w:right="59"/>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net</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169,075</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Lease liabilities included in Accrued Liabilities and other</w:t>
            </w: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47,803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44,948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included in Other long-term liabilities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126,695</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360"/>
              <w:spacing w:after="0"/>
              <w:rPr>
                <w:sz w:val="20"/>
                <w:szCs w:val="20"/>
                <w:color w:val="auto"/>
              </w:rPr>
            </w:pPr>
            <w:r>
              <w:rPr>
                <w:rFonts w:ascii="Arial" w:cs="Arial" w:eastAsia="Arial" w:hAnsi="Arial"/>
                <w:sz w:val="18"/>
                <w:szCs w:val="18"/>
                <w:color w:val="auto"/>
              </w:rPr>
              <w:t>Total lease liabilities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Borders>
              <w:bottom w:val="single" w:sz="8" w:color="auto"/>
            </w:tcBorders>
          </w:tcPr>
          <w:p>
            <w:pPr>
              <w:jc w:val="right"/>
              <w:ind w:right="242"/>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174,498</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ind w:left="660"/>
              <w:spacing w:after="0"/>
              <w:rPr>
                <w:sz w:val="20"/>
                <w:szCs w:val="20"/>
                <w:color w:val="auto"/>
              </w:rPr>
            </w:pPr>
            <w:r>
              <w:rPr>
                <w:rFonts w:ascii="Arial" w:cs="Arial" w:eastAsia="Arial" w:hAnsi="Arial"/>
                <w:sz w:val="18"/>
                <w:szCs w:val="18"/>
                <w:color w:val="auto"/>
                <w:w w:val="91"/>
              </w:rPr>
              <w:t>Maturities of lease liabilities as of September 30, 2021 were as follows:</w:t>
            </w: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Lease Liability Maturity Analysis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5"/>
        </w:trPr>
        <w:tc>
          <w:tcPr>
            <w:tcW w:w="5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
        </w:trPr>
        <w:tc>
          <w:tcPr>
            <w:tcW w:w="5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2021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50,802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29,023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196,249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174,498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have any significant leases that have not yet commenced.</w:t>
      </w: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Acquisitions and Divestitu</w:t>
      </w:r>
      <w:r>
        <w:rPr>
          <w:rFonts w:ascii="Arial" w:cs="Arial" w:eastAsia="Arial" w:hAnsi="Arial"/>
          <w:sz w:val="16"/>
          <w:szCs w:val="16"/>
          <w:color w:val="auto"/>
        </w:rPr>
        <w:t>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Company spent $1,839.7 million in cash, net of cash acquired, to acquire Magnetrol International ("Magnetrol"), Crank Software, and EGS Automation ("EGS") in March 2021, and NSI-MI Technologies ("NSI-MI") and Abaco Systems, Inc. ("Abaco") in April 2021. Magnetrol is a leading provider of level and flow control solutions for challenging process applications across a diverse set of end markets including medical, pharmaceutical, oil and gas, food and beverage, and general industrial. Crank Software is a leading provider of embedded graphical user interface software and services. EGS is an automation solutions provider that designs and manufactures highly engineered, customized robotic solutions used in critical applications for the medical, food and beverage, and general industrial markets. NSI-MI is a leading provider of radio</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frequency and microwave test and measurement systems for niche applications across the aerospace, defense, automotive, wireless communications, and research markets. Abaco specializes in open-architecture computing and electronic systems for aerospace, defense, and specialized industrial markets and is a leading provider of mission critical embedded computing systems. Magnetrol, Crank Software, NSI-MI, and Abaco are part of EIG. EGS is part of EMG.</w:t>
      </w:r>
    </w:p>
    <w:p>
      <w:pPr>
        <w:spacing w:after="0" w:line="28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represents the allocation of the purchase price for the net assets of the acquisitions based on the estimated fair values at acquisition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Abaco</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300" w:type="dxa"/>
            <w:vAlign w:val="bottom"/>
          </w:tcPr>
          <w:p>
            <w:pPr>
              <w:spacing w:after="0"/>
              <w:rPr>
                <w:sz w:val="16"/>
                <w:szCs w:val="16"/>
                <w:color w:val="auto"/>
              </w:rPr>
            </w:pPr>
          </w:p>
        </w:tc>
        <w:tc>
          <w:tcPr>
            <w:tcW w:w="100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7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Acquisitions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 millions)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95.4</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737.9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982.6</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869.7</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(152.7)</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working capital and other</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color w:val="auto"/>
              </w:rPr>
              <w:t>Total cash paid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1,345.9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493.8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1,839.7</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63"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$66.2 million in accounts receivable, whose fair value, contractual cash flows and expected cash flows are approximately equal.</w:t>
      </w:r>
    </w:p>
    <w:p>
      <w:pPr>
        <w:spacing w:after="0" w:line="23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amount allocated to goodwill is reflective of the benefits the Company expects to realize from the 2021 acquisitions. Abaco's computing and electronic solutions expand and complement the Company's existing aerospace and defense businesses. NSI-MI strengthens the Company's test and measurement platform. Magnetrol's solutions combined with the Company’s existing Sensors, Test and Calibration business, becomes an industry leading differentiated sensor platform with a broad range of level and flow measurement solutions. Crank Software expands the Company's growing portfolio of software solutions. EGS complements the Company's existing Dunkermotoren business providing highly customizable engineering design and automation capabilities. The Company expects approximately $108 million of the goodwill relating to the 2021 acquisitions will be tax deductible in future years.</w:t>
      </w:r>
    </w:p>
    <w:p>
      <w:pPr>
        <w:spacing w:after="0" w:line="164"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At September 30, 2021, the purchase price allocated to other intangible assets of $869.7 million consists of $116.1 million of indefinite-lived intangible trade names, which are not subject to amortization. The remaining $753.6 million of other intangible assets consists of $569.9 million of customer relationships, which are being amortized over a period of 15 to 20 years, and $183.7 million of purchased technology, which is being amortized over a period of 11 to 20 years. Amortization expense for each of the next five years for the 2021 acquisitions is expected to approximate $41 million per year.</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At September 30, 2021, the Company finalized the measurements of certain tangible and intangible assets and liabilities for its 2021 acquisitions of EGS and Crank Software, which had no material impact to the consolidated statement of income. The Company is in the process of finalizing the measurement of the intangible assets and certain tangible assets and liabilities, as well as accounting for income taxes, for its 2021 acquisitions of Abaco, Magnetrol, and NSI-MI.</w:t>
      </w:r>
    </w:p>
    <w:p>
      <w:pPr>
        <w:spacing w:after="0" w:line="18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acquisitions had an immaterial impact on reported net income and diluted earnings per share for the three and nine months ended September 30, 2021. The acquisitions increased net sales by approximately 11% and 6% for the three and nine months ended September 30, 2021, respectively. Had the acquisitions been made at the beginning of 2021 or 2020, pro forma net income and diluted earnings per share for the three and nine months ended September 30, 2021 and 2020, would not have been materially different than the amounts reported. Pro forma net sales would not have been materially different than the amounts reported for the three and nine months ended September 30, 2021 and would have been approximately 10% higher than the reported amounts for the three and nine months ended September 30,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w:t>
      </w:r>
    </w:p>
    <w:p>
      <w:pPr>
        <w:spacing w:after="0" w:line="11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completed its sale of Reading Alloys to Kymera International in March 2020 for net cash proceeds of $245.3 million. The sale resulted in a pretax gain of $141.0 million, recorded in Other income, net in the Consolidated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Statement of Income, and income tax expense of approximately $31.4 million in connection with the sale. Reading Alloys revenue and costs were reported within the EMG segment through the date of sale.</w:t>
      </w:r>
    </w:p>
    <w:p>
      <w:pPr>
        <w:spacing w:after="0" w:line="200" w:lineRule="exact"/>
        <w:rPr>
          <w:sz w:val="20"/>
          <w:szCs w:val="20"/>
          <w:color w:val="auto"/>
        </w:rPr>
      </w:pPr>
    </w:p>
    <w:p>
      <w:pPr>
        <w:spacing w:after="0" w:line="31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Goodwill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amounts of goodwill by segment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EIG</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EMG</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Total</w:t>
            </w:r>
          </w:p>
        </w:tc>
      </w:tr>
      <w:tr>
        <w:trPr>
          <w:trHeight w:val="187"/>
        </w:trPr>
        <w:tc>
          <w:tcPr>
            <w:tcW w:w="6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3,050.3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4,224.9</w:t>
            </w:r>
          </w:p>
        </w:tc>
      </w:tr>
      <w:tr>
        <w:trPr>
          <w:trHeight w:val="230"/>
        </w:trPr>
        <w:tc>
          <w:tcPr>
            <w:tcW w:w="6400" w:type="dxa"/>
            <w:vAlign w:val="bottom"/>
          </w:tcPr>
          <w:p>
            <w:pPr>
              <w:ind w:left="360"/>
              <w:spacing w:after="0"/>
              <w:rPr>
                <w:sz w:val="20"/>
                <w:szCs w:val="20"/>
                <w:color w:val="auto"/>
              </w:rPr>
            </w:pPr>
            <w:r>
              <w:rPr>
                <w:rFonts w:ascii="Arial" w:cs="Arial" w:eastAsia="Arial" w:hAnsi="Arial"/>
                <w:sz w:val="18"/>
                <w:szCs w:val="18"/>
                <w:color w:val="auto"/>
              </w:rPr>
              <w:t>Goodwill acquired from 2021 acquisitions</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976.7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982.6</w:t>
            </w:r>
          </w:p>
        </w:tc>
      </w:tr>
      <w:tr>
        <w:trPr>
          <w:trHeight w:val="229"/>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price allocation adjustments and other</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r>
      <w:tr>
        <w:trPr>
          <w:trHeight w:val="229"/>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4,013.0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5,181.0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At September 30, 2021, the Company had gross uncertain tax benefits of $156.6 million, of which $103.7 million, if recognized, would impact the effective tax rate.</w:t>
      </w:r>
    </w:p>
    <w:p>
      <w:pPr>
        <w:sectPr>
          <w:pgSz w:w="11900" w:h="16838" w:orient="portrait"/>
          <w:cols w:equalWidth="0" w:num="1">
            <w:col w:w="11220"/>
          </w:cols>
          <w:pgMar w:left="320" w:top="125" w:right="359" w:bottom="1440" w:gutter="0" w:footer="0" w:header="0"/>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reconciliation of the liability for uncertain tax positions (in millions):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0628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Additions for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Reductions for tax positions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September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028" w:hanging="1028"/>
        <w:spacing w:after="0"/>
        <w:tabs>
          <w:tab w:leader="none" w:pos="1028"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100.7</w:t>
      </w:r>
    </w:p>
    <w:p>
      <w:pPr>
        <w:spacing w:after="0" w:line="23" w:lineRule="exact"/>
        <w:rPr>
          <w:rFonts w:ascii="Arial" w:cs="Arial" w:eastAsia="Arial" w:hAnsi="Arial"/>
          <w:sz w:val="18"/>
          <w:szCs w:val="18"/>
          <w:color w:val="auto"/>
        </w:rPr>
      </w:pPr>
    </w:p>
    <w:p>
      <w:pPr>
        <w:ind w:left="1128"/>
        <w:spacing w:after="0"/>
        <w:rPr>
          <w:rFonts w:ascii="Arial" w:cs="Arial" w:eastAsia="Arial" w:hAnsi="Arial"/>
          <w:sz w:val="18"/>
          <w:szCs w:val="18"/>
          <w:color w:val="auto"/>
        </w:rPr>
      </w:pPr>
      <w:r>
        <w:rPr>
          <w:rFonts w:ascii="Arial" w:cs="Arial" w:eastAsia="Arial" w:hAnsi="Arial"/>
          <w:sz w:val="18"/>
          <w:szCs w:val="18"/>
          <w:b w:val="1"/>
          <w:bCs w:val="1"/>
          <w:color w:val="auto"/>
        </w:rPr>
        <w:t>56.7</w:t>
      </w:r>
    </w:p>
    <w:p>
      <w:pPr>
        <w:spacing w:after="0" w:line="22" w:lineRule="exact"/>
        <w:rPr>
          <w:rFonts w:ascii="Arial" w:cs="Arial" w:eastAsia="Arial" w:hAnsi="Arial"/>
          <w:sz w:val="18"/>
          <w:szCs w:val="18"/>
          <w:color w:val="auto"/>
        </w:rPr>
      </w:pPr>
    </w:p>
    <w:p>
      <w:pPr>
        <w:ind w:left="1128"/>
        <w:spacing w:after="0"/>
        <w:rPr>
          <w:rFonts w:ascii="Arial" w:cs="Arial" w:eastAsia="Arial" w:hAnsi="Arial"/>
          <w:sz w:val="18"/>
          <w:szCs w:val="18"/>
          <w:color w:val="auto"/>
        </w:rPr>
      </w:pPr>
      <w:r>
        <w:rPr>
          <w:rFonts w:ascii="Arial" w:cs="Arial" w:eastAsia="Arial" w:hAnsi="Arial"/>
          <w:sz w:val="17"/>
          <w:szCs w:val="17"/>
          <w:b w:val="1"/>
          <w:bCs w:val="1"/>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9683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 w:lineRule="exact"/>
        <w:rPr>
          <w:sz w:val="20"/>
          <w:szCs w:val="20"/>
          <w:color w:val="auto"/>
        </w:rPr>
      </w:pPr>
    </w:p>
    <w:p>
      <w:pPr>
        <w:ind w:left="1028" w:hanging="1028"/>
        <w:spacing w:after="0"/>
        <w:tabs>
          <w:tab w:leader="none" w:pos="102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156.6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683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9683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8972" w:space="720"/>
            <w:col w:w="1528"/>
          </w:cols>
          <w:pgMar w:left="320" w:top="125" w:right="359" w:bottom="1440" w:gutter="0" w:footer="0" w:header="0"/>
          <w:type w:val="continuous"/>
        </w:sectPr>
      </w:pPr>
    </w:p>
    <w:p>
      <w:pPr>
        <w:spacing w:after="0" w:line="52" w:lineRule="exact"/>
        <w:rPr>
          <w:sz w:val="20"/>
          <w:szCs w:val="20"/>
          <w:color w:val="auto"/>
        </w:rPr>
      </w:pPr>
    </w:p>
    <w:p>
      <w:pPr>
        <w:ind w:right="340" w:firstLine="648"/>
        <w:spacing w:after="0" w:line="311" w:lineRule="auto"/>
        <w:rPr>
          <w:sz w:val="20"/>
          <w:szCs w:val="20"/>
          <w:color w:val="auto"/>
        </w:rPr>
      </w:pPr>
      <w:r>
        <w:rPr>
          <w:rFonts w:ascii="Arial" w:cs="Arial" w:eastAsia="Arial" w:hAnsi="Arial"/>
          <w:sz w:val="16"/>
          <w:szCs w:val="16"/>
          <w:color w:val="auto"/>
        </w:rPr>
        <w:t>The additions above primarily reflect the tax positions included as a component of goodwill for businesses recently acquired and foreign tax planning initiatives. The Company recognizes interest and penalties accrued related to uncertain tax positions in income tax expense. The amounts recognized in income tax expense for interest and penalties during the three and nine months ended September 30, 2021 and 2020 were not significant.</w:t>
      </w:r>
    </w:p>
    <w:p>
      <w:pPr>
        <w:spacing w:after="0" w:line="14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effective tax rate for the three months ended September 30, 2021 was 19.5%, compared with 17.5% for the three months ended September 30, 2020. The higher effective tax rate in 2021 is primarily due to an increase in the foreign rate differential related to the mix of earnings generated in higher taxed jurisdictions.</w:t>
      </w:r>
    </w:p>
    <w:p>
      <w:pPr>
        <w:spacing w:after="0" w:line="200" w:lineRule="exact"/>
        <w:rPr>
          <w:sz w:val="20"/>
          <w:szCs w:val="20"/>
          <w:color w:val="auto"/>
        </w:rPr>
      </w:pPr>
    </w:p>
    <w:p>
      <w:pPr>
        <w:spacing w:after="0" w:line="2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Debt</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April 26, 2021, the Company along with certain of its foreign subsidiaries amended and restated its credit agreement dated as of September 22, 2011, as amended and restated as of March 10, 2016 and as further amended and restated as of October 30, 2018, with the lenders, JPMorgan Chase Bank, N.A., as Administrative Agent and Bank of America, N.A., PNC Bank, National Association, Trust Bank and Wells Fargo Bank, National Association, as Co-Syndication Agents. The credit agreement amends and restates the Company’s existing revolving credit facility to add a new five-year, delayed draw, term loan for up to $800 million. The credit agreement places certain restrictions on allowable additional indebtedness. At September 30, 2021, the Company had $150.0 million outstanding on the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Share-Based Compensation</w:t>
      </w:r>
    </w:p>
    <w:p>
      <w:pPr>
        <w:spacing w:after="0" w:line="12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Company's share-based compensation plans are described in Note 11, Share-Based Compensation, to the consolidated financial statements in Part II, Item 8, filed on the Company’s Annual Report on Form 10-K for the year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Compensation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share-based compensation expense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r>
      <w:tr>
        <w:trPr>
          <w:trHeight w:val="188"/>
        </w:trPr>
        <w:tc>
          <w:tcPr>
            <w:tcW w:w="4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47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83"/>
              </w:rPr>
              <w:t>2020</w:t>
            </w: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96"/>
              </w:rPr>
              <w:t>2020</w:t>
            </w:r>
          </w:p>
        </w:tc>
      </w:tr>
      <w:tr>
        <w:trPr>
          <w:trHeight w:val="183"/>
        </w:trPr>
        <w:tc>
          <w:tcPr>
            <w:tcW w:w="4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expense</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2,768</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10,017</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10,330</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Restricted stock expense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4,848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4,537</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16,765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12,665</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restricted stock unit expense</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8,239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6,883</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pre-tax expense</w:t>
            </w: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11,428</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35,021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29,878</w:t>
            </w:r>
          </w:p>
        </w:tc>
      </w:tr>
      <w:tr>
        <w:trPr>
          <w:trHeight w:val="21"/>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Pre-tax share-based compensation expense is included in the consolidated statement of income in either Cost of sales or Selling, general and administrative expenses, depending on where the recipient’s cash compensation is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right="620" w:firstLine="648"/>
        <w:spacing w:after="0" w:line="263" w:lineRule="auto"/>
        <w:rPr>
          <w:sz w:val="20"/>
          <w:szCs w:val="20"/>
          <w:color w:val="auto"/>
        </w:rPr>
      </w:pPr>
      <w:r>
        <w:rPr>
          <w:rFonts w:ascii="Arial" w:cs="Arial" w:eastAsia="Arial" w:hAnsi="Arial"/>
          <w:sz w:val="18"/>
          <w:szCs w:val="18"/>
          <w:color w:val="auto"/>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78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Year Ended December 31,</w:t>
            </w:r>
          </w:p>
        </w:tc>
      </w:tr>
      <w:tr>
        <w:trPr>
          <w:trHeight w:val="188"/>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6"/>
                <w:szCs w:val="16"/>
                <w:color w:val="auto"/>
              </w:rPr>
            </w:pPr>
          </w:p>
        </w:tc>
        <w:tc>
          <w:tcPr>
            <w:tcW w:w="1780" w:type="dxa"/>
            <w:vAlign w:val="bottom"/>
          </w:tcPr>
          <w:p>
            <w:pPr>
              <w:jc w:val="right"/>
              <w:ind w:right="715"/>
              <w:spacing w:after="0"/>
              <w:rPr>
                <w:sz w:val="20"/>
                <w:szCs w:val="20"/>
                <w:color w:val="auto"/>
              </w:rPr>
            </w:pPr>
            <w:r>
              <w:rPr>
                <w:rFonts w:ascii="Arial" w:cs="Arial" w:eastAsia="Arial" w:hAnsi="Arial"/>
                <w:sz w:val="14"/>
                <w:szCs w:val="14"/>
                <w:b w:val="1"/>
                <w:bCs w:val="1"/>
                <w:color w:val="auto"/>
              </w:rPr>
              <w:t>2020</w:t>
            </w:r>
          </w:p>
        </w:tc>
      </w:tr>
      <w:tr>
        <w:trPr>
          <w:trHeight w:val="224"/>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0.85 %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0.52 %</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0.66 %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1.14 %</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Black-Scholes-Merton fair value per stock option granted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25.63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11.01</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Company’s stock option activity and related information: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20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419"/>
              <w:spacing w:after="0" w:line="135"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20" w:type="dxa"/>
            <w:vAlign w:val="bottom"/>
            <w:vMerge w:val="restart"/>
          </w:tcPr>
          <w:p>
            <w:pPr>
              <w:ind w:left="560"/>
              <w:spacing w:after="0"/>
              <w:rPr>
                <w:sz w:val="20"/>
                <w:szCs w:val="20"/>
                <w:color w:val="auto"/>
              </w:rPr>
            </w:pPr>
            <w:r>
              <w:rPr>
                <w:rFonts w:ascii="Arial" w:cs="Arial" w:eastAsia="Arial" w:hAnsi="Arial"/>
                <w:sz w:val="14"/>
                <w:szCs w:val="14"/>
                <w:b w:val="1"/>
                <w:bCs w:val="1"/>
                <w:color w:val="auto"/>
                <w:w w:val="94"/>
              </w:rPr>
              <w:t>Shares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399"/>
              <w:spacing w:after="0" w:line="135"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82"/>
              <w:spacing w:after="0" w:line="13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ind w:left="399"/>
              <w:spacing w:after="0"/>
              <w:rPr>
                <w:sz w:val="20"/>
                <w:szCs w:val="20"/>
                <w:color w:val="auto"/>
              </w:rPr>
            </w:pPr>
            <w:r>
              <w:rPr>
                <w:rFonts w:ascii="Arial" w:cs="Arial" w:eastAsia="Arial" w:hAnsi="Arial"/>
                <w:sz w:val="14"/>
                <w:szCs w:val="14"/>
                <w:b w:val="1"/>
                <w:bCs w:val="1"/>
                <w:color w:val="auto"/>
                <w:w w:val="93"/>
              </w:rPr>
              <w:t>Price</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6"/>
              </w:rPr>
              <w:t>Life</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54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left="248"/>
              <w:spacing w:after="0"/>
              <w:rPr>
                <w:sz w:val="20"/>
                <w:szCs w:val="20"/>
                <w:color w:val="auto"/>
              </w:rPr>
            </w:pPr>
            <w:r>
              <w:rPr>
                <w:rFonts w:ascii="Arial" w:cs="Arial" w:eastAsia="Arial" w:hAnsi="Arial"/>
                <w:sz w:val="14"/>
                <w:szCs w:val="14"/>
                <w:b w:val="1"/>
                <w:bCs w:val="1"/>
                <w:color w:val="auto"/>
                <w:w w:val="92"/>
              </w:rPr>
              <w:t>(Years)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31"/>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3,950</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65.16</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552</w:t>
            </w:r>
          </w:p>
        </w:tc>
        <w:tc>
          <w:tcPr>
            <w:tcW w:w="1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121.91</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60.32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8"/>
              </w:rPr>
              <w:t>84.03</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2021</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3,731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73.95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auto"/>
            </w:tcBorders>
            <w:shd w:val="clear" w:color="auto" w:fill="CCEEFF"/>
          </w:tcPr>
          <w:p>
            <w:pPr>
              <w:spacing w:after="0"/>
              <w:rPr>
                <w:sz w:val="21"/>
                <w:szCs w:val="21"/>
                <w:color w:val="auto"/>
              </w:rPr>
            </w:pPr>
          </w:p>
        </w:tc>
        <w:tc>
          <w:tcPr>
            <w:tcW w:w="3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CCEEFF"/>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186.8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September 30, 2021</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40" w:type="dxa"/>
            <w:vAlign w:val="bottom"/>
            <w:vMerge w:val="continue"/>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3"/>
              </w:rPr>
              <w:t>2,410</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59"/>
              <w:spacing w:after="0" w:line="203" w:lineRule="exact"/>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88"/>
              </w:rPr>
              <w:t>65.00</w:t>
            </w:r>
          </w:p>
        </w:tc>
        <w:tc>
          <w:tcPr>
            <w:tcW w:w="1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2"/>
              <w:spacing w:after="0" w:line="203" w:lineRule="exact"/>
              <w:rPr>
                <w:sz w:val="20"/>
                <w:szCs w:val="20"/>
                <w:color w:val="auto"/>
              </w:rPr>
            </w:pPr>
            <w:r>
              <w:rPr>
                <w:rFonts w:ascii="Arial" w:cs="Arial" w:eastAsia="Arial" w:hAnsi="Arial"/>
                <w:sz w:val="18"/>
                <w:szCs w:val="18"/>
                <w:b w:val="1"/>
                <w:bCs w:val="1"/>
                <w:color w:val="auto"/>
              </w:rPr>
              <w:t>142.2</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The aggregate intrinsic value of stock options exercised during the nine months ended September 30, 2021 was $40.7 million. The total fair value of stock options vested during the nine months ended September 30, 2021 was $13.7 million. As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September 30, 2021, there was approximately $16.4 million of expected future pre-tax compensation expense related to the 1.3 million non-vested stock options outstanding, which is expected to be recognized over a weighted average period of approximately two years.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Company’s non-vested restricted stock activity and related information: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0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040" w:type="dxa"/>
            <w:vAlign w:val="bottom"/>
          </w:tcPr>
          <w:p>
            <w:pPr>
              <w:spacing w:after="0"/>
              <w:rPr>
                <w:sz w:val="11"/>
                <w:szCs w:val="11"/>
                <w:color w:val="auto"/>
              </w:rPr>
            </w:pPr>
          </w:p>
        </w:tc>
        <w:tc>
          <w:tcPr>
            <w:tcW w:w="16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1"/>
                <w:szCs w:val="11"/>
                <w:color w:val="auto"/>
              </w:rPr>
            </w:pPr>
          </w:p>
        </w:tc>
        <w:tc>
          <w:tcPr>
            <w:tcW w:w="126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80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8040" w:type="dxa"/>
            <w:vAlign w:val="bottom"/>
          </w:tcPr>
          <w:p>
            <w:pPr>
              <w:spacing w:after="0"/>
              <w:rPr>
                <w:sz w:val="15"/>
                <w:szCs w:val="15"/>
                <w:color w:val="auto"/>
              </w:rPr>
            </w:pPr>
          </w:p>
        </w:tc>
        <w:tc>
          <w:tcPr>
            <w:tcW w:w="152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December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122.51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68.29</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93.97</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September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97.07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total fair value of restricted stock vested during the nine months ended September 30, 2021 was $24.1 million. As of September 30, 2021, there was approximately $32.6 million of expected future pre-tax compensation expense related to the 0.5 million non-vested restricted shares outstanding, which is expected to be recognized over a weighted average period of approximately two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March 2021, the Company granted performance restricted stock units ("PRSU") to officers and certain key management-level employees. The PRSUs vest over a period up to three years from the grant date based on continuous service, with the number of shares earned (0% to 200% of the target award) depending upon the extent to which the Company achieves certain financial and market performance targets measured over the period from January 1 of the year of grant to December 31 of the third year. Half of the PRSUs were valued in a manner similar to restricted stock as the financial targets are based on the Company’s operating results, which represents a performance condition. The grant date fair value of these PRSUs are recognized as compensation expense over the vesting period based on the probable number of awards to vest at each reporting date.</w:t>
      </w:r>
    </w:p>
    <w:p>
      <w:pPr>
        <w:spacing w:after="0" w:line="17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other half of the PRSUs were valued using a Monte Carlo model as the performance target is related to the Company’s total shareholder return compared to a group of peer companies, which represents a market condition. The Company recognizes the grant date fair value of these awards as compensation expense ratably over the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Company’s non-vested performance restricted stock activity and related information: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0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center"/>
              <w:ind w:right="19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040" w:type="dxa"/>
            <w:vAlign w:val="bottom"/>
          </w:tcPr>
          <w:p>
            <w:pPr>
              <w:spacing w:after="0"/>
              <w:rPr>
                <w:sz w:val="11"/>
                <w:szCs w:val="11"/>
                <w:color w:val="auto"/>
              </w:rPr>
            </w:pPr>
          </w:p>
        </w:tc>
        <w:tc>
          <w:tcPr>
            <w:tcW w:w="16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1"/>
                <w:szCs w:val="11"/>
                <w:color w:val="auto"/>
              </w:rPr>
            </w:pPr>
          </w:p>
        </w:tc>
        <w:tc>
          <w:tcPr>
            <w:tcW w:w="126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80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8040" w:type="dxa"/>
            <w:vAlign w:val="bottom"/>
          </w:tcPr>
          <w:p>
            <w:pPr>
              <w:spacing w:after="0"/>
              <w:rPr>
                <w:sz w:val="15"/>
                <w:szCs w:val="15"/>
                <w:color w:val="auto"/>
              </w:rPr>
            </w:pPr>
          </w:p>
        </w:tc>
        <w:tc>
          <w:tcPr>
            <w:tcW w:w="152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performance restricted stock outstanding at December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121.91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Performance assumption change </w:t>
            </w:r>
            <w:r>
              <w:rPr>
                <w:rFonts w:ascii="Arial" w:cs="Arial" w:eastAsia="Arial" w:hAnsi="Arial"/>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78.20</w:t>
            </w: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Vested</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78.20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91.58</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Non-vested performance restricted stock outstanding at September 30, 2021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85.29</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w:t>
      </w:r>
    </w:p>
    <w:p>
      <w:pPr>
        <w:ind w:left="120" w:hanging="112"/>
        <w:spacing w:after="0" w:line="217" w:lineRule="auto"/>
        <w:tabs>
          <w:tab w:leader="none" w:pos="1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Reflects the number of PRSUs above target levels based on performance metrics.</w:t>
      </w:r>
    </w:p>
    <w:p>
      <w:pPr>
        <w:spacing w:after="0" w:line="10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As of September 30, 2021, there was approximately $7.3 million of expected future pre-tax compensation expense related to the 0.3 million non-vested restricted shares outstanding, which is expected to be recognized over a weighted average period of less than one year.</w:t>
      </w: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Retirement and Pension Plans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periodic pension benefit expense (income)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3"/>
                <w:szCs w:val="13"/>
                <w:color w:val="auto"/>
              </w:rPr>
            </w:pPr>
          </w:p>
        </w:tc>
      </w:tr>
      <w:tr>
        <w:trPr>
          <w:trHeight w:val="188"/>
        </w:trPr>
        <w:tc>
          <w:tcPr>
            <w:tcW w:w="4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4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3"/>
              </w:rPr>
              <w:t>2020</w:t>
            </w: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96"/>
              </w:rPr>
              <w:t>2020</w:t>
            </w:r>
          </w:p>
        </w:tc>
      </w:tr>
      <w:tr>
        <w:trPr>
          <w:trHeight w:val="183"/>
        </w:trPr>
        <w:tc>
          <w:tcPr>
            <w:tcW w:w="4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Defined benefit plans: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1,979</w:t>
            </w:r>
          </w:p>
        </w:tc>
        <w:tc>
          <w:tcPr>
            <w:tcW w:w="2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6,060</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5,858</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13,711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16,893</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(14,172)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(13,681)</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(42,567)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(40,889)</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7,550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16,282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11,915</w:t>
            </w:r>
          </w:p>
        </w:tc>
      </w:tr>
      <w:tr>
        <w:trPr>
          <w:trHeight w:val="223"/>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Pension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w:t>
            </w: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plans: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Defined contribution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7,792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7,068</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24,208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23,975</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plans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6,431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5,807</w:t>
            </w:r>
          </w:p>
        </w:tc>
      </w:tr>
      <w:tr>
        <w:trPr>
          <w:trHeight w:val="223"/>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plans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9,866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9,002</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30,639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29,782</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pension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9,816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24,125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For defined benefit plans, the net periodic benefit income, other than the service cost component, is included in “Other (expense) income, net” in the consolidated statement of income.</w:t>
      </w:r>
    </w:p>
    <w:p>
      <w:pPr>
        <w:spacing w:after="0" w:line="170"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For the nine months ended September 30, 2021 and 2020, contributions to the Company’s defined benefit pension plans were $6.4 million and $5.1 million, respectively. The Company’s current estimate of 2021 contributions to its worldwide defined benefit pension plans is in line with the range disclosed in Note 12 of the Company’s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Contingencies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Litigation</w:t>
      </w:r>
    </w:p>
    <w:p>
      <w:pPr>
        <w:spacing w:after="0" w:line="11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Certain historic processes in the manufacture of products have resulted in environmentally hazardous waste by-products as defined by federal and state laws and regulations. At September 30, 2021, the Company is named a Potentially Responsible Party (“PRP”) at 13 non-AMETEK-owned former waste disposal or treatment sites (the “non-owned” sites). The Company is identified as a “de minimis” party in 12 of these sites based on the low volume of waste attributed to the Company relative to the amounts attributed to other named PRPs. In eight of these sites, the Company has reached a tentative agreement on the cost of the de minimis settlement to satisfy its obligation and is awaiting executed agreements. The tentatively agreed-to settlement amounts are fully reserved. In the other four sites, the Company is continuing to investigate the accuracy of the alleged volume attributed to the Company as estimated by the parties primarily responsible for remedial activity at the sites to establish an appropriate settlement amount. At the remaining site where the Company is a non-de minimis PRP,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environmental reserves at September 30, 2021 and December 31, 2020 were $33.8 million and $32.4 million, respectively, for both non-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owned and owned sites. For the nine months ended September 30, 2021, the Company recorded $7.3 million in reserves. Additionally, the Company spent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$5.9 million on environmental matters for the nine months ended September 30, 2021. The Company’s reserves for environmental liabilities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2021 and December 31, 2020 included reserves of $4.8 million and $7.4 million, respectively, for an owned site acquired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2005 acquisition of HCC Industries (“HCC”). The Company is the designated performing party for the performance of remedial activities for one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several operating units making up a Superfund site in the San Gabriel Valley of California.</w:t>
      </w:r>
    </w:p>
    <w:p>
      <w:pPr>
        <w:spacing w:after="0" w:line="211" w:lineRule="exact"/>
        <w:rPr>
          <w:sz w:val="20"/>
          <w:szCs w:val="20"/>
          <w:color w:val="auto"/>
        </w:rPr>
      </w:pPr>
    </w:p>
    <w:p>
      <w:pPr>
        <w:ind w:right="440" w:firstLine="648"/>
        <w:spacing w:after="0" w:line="279" w:lineRule="auto"/>
        <w:rPr>
          <w:sz w:val="20"/>
          <w:szCs w:val="20"/>
          <w:color w:val="auto"/>
        </w:rPr>
      </w:pPr>
      <w:r>
        <w:rPr>
          <w:rFonts w:ascii="Arial" w:cs="Arial" w:eastAsia="Arial" w:hAnsi="Arial"/>
          <w:sz w:val="17"/>
          <w:szCs w:val="17"/>
          <w:color w:val="auto"/>
        </w:rPr>
        <w:t>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 To date, these parties have met their obligations in all material respects.</w:t>
      </w:r>
    </w:p>
    <w:p>
      <w:pPr>
        <w:spacing w:after="0" w:line="171"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The Company believes it has established reserves for the environmental matters described above, which are sufficient to perform all known responsibilities under existing claims and consent orders. The Company has no reason to believe that other third parties would fail to perform their obligations in the future. In the opinion of management, based on presently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Company has been remediating groundwater contamination for several contaminants, including trichloroethylene (“TCE”), at a formerly owned site in El Cajon, California. Several lawsuits have been filed against the Company alleging damages resulting from the groundwater contamination, including property damages and funds for medical monitoring to detect causally related personal injury, and seeking compensatory and punitive damages. After extensive negotiations, the Company finalized and paid in April 2021 a global settlement of these lawsuits for an aggregate amount of $6.8 million, for which the Company had previously established reserves sufficient to cover this settlement.</w:t>
      </w: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gridSpan w:val="7"/>
          </w:tcPr>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24"/>
        </w:trPr>
        <w:tc>
          <w:tcPr>
            <w:tcW w:w="53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8420" w:type="dxa"/>
            <w:vAlign w:val="bottom"/>
            <w:gridSpan w:val="7"/>
          </w:tcPr>
          <w:p>
            <w:pPr>
              <w:ind w:left="660"/>
              <w:spacing w:after="0"/>
              <w:rPr>
                <w:sz w:val="20"/>
                <w:szCs w:val="20"/>
                <w:color w:val="auto"/>
              </w:rPr>
            </w:pPr>
            <w:r>
              <w:rPr>
                <w:rFonts w:ascii="Arial" w:cs="Arial" w:eastAsia="Arial" w:hAnsi="Arial"/>
                <w:sz w:val="18"/>
                <w:szCs w:val="18"/>
                <w:color w:val="auto"/>
                <w:w w:val="94"/>
              </w:rPr>
              <w:t>The following table sets forth net sales and income by reportable segment and on a consolidated basis: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5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24"/>
                <w:szCs w:val="24"/>
                <w:color w:val="auto"/>
              </w:rPr>
            </w:pPr>
          </w:p>
        </w:tc>
        <w:tc>
          <w:tcPr>
            <w:tcW w:w="23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99"/>
              </w:rPr>
              <w:t>Nine Months Ended</w:t>
            </w:r>
          </w:p>
        </w:tc>
      </w:tr>
      <w:tr>
        <w:trPr>
          <w:trHeight w:val="229"/>
        </w:trPr>
        <w:tc>
          <w:tcPr>
            <w:tcW w:w="5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23"/>
        </w:trPr>
        <w:tc>
          <w:tcPr>
            <w:tcW w:w="5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4"/>
              </w:rPr>
              <w:t>2020</w:t>
            </w: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4"/>
              </w:rPr>
              <w:t>2020</w:t>
            </w:r>
          </w:p>
        </w:tc>
      </w:tr>
      <w:tr>
        <w:trPr>
          <w:trHeight w:val="223"/>
        </w:trPr>
        <w:tc>
          <w:tcPr>
            <w:tcW w:w="5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380" w:type="dxa"/>
            <w:vAlign w:val="bottom"/>
          </w:tcPr>
          <w:p>
            <w:pPr>
              <w:ind w:left="360"/>
              <w:spacing w:after="0"/>
              <w:rPr>
                <w:sz w:val="20"/>
                <w:szCs w:val="20"/>
                <w:color w:val="auto"/>
              </w:rPr>
            </w:pPr>
            <w:r>
              <w:rPr>
                <w:rFonts w:ascii="Arial" w:cs="Arial" w:eastAsia="Arial" w:hAnsi="Arial"/>
                <w:sz w:val="18"/>
                <w:szCs w:val="18"/>
                <w:color w:val="auto"/>
              </w:rPr>
              <w:t>Electronic Instruments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981,815</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748,372</w:t>
            </w:r>
          </w:p>
        </w:tc>
        <w:tc>
          <w:tcPr>
            <w:tcW w:w="2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9"/>
              </w:rPr>
              <w:t>2,706,673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2,170,479</w:t>
            </w:r>
          </w:p>
        </w:tc>
      </w:tr>
      <w:tr>
        <w:trPr>
          <w:trHeight w:val="230"/>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Electromechanical</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458,866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378,570</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1,336,096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1,170,603</w:t>
            </w:r>
          </w:p>
        </w:tc>
      </w:tr>
      <w:tr>
        <w:trPr>
          <w:trHeight w:val="223"/>
        </w:trPr>
        <w:tc>
          <w:tcPr>
            <w:tcW w:w="5380" w:type="dxa"/>
            <w:vAlign w:val="bottom"/>
          </w:tcPr>
          <w:p>
            <w:pPr>
              <w:ind w:left="140"/>
              <w:spacing w:after="0"/>
              <w:rPr>
                <w:sz w:val="20"/>
                <w:szCs w:val="20"/>
                <w:color w:val="auto"/>
              </w:rPr>
            </w:pPr>
            <w:r>
              <w:rPr>
                <w:rFonts w:ascii="Arial" w:cs="Arial" w:eastAsia="Arial" w:hAnsi="Arial"/>
                <w:sz w:val="18"/>
                <w:szCs w:val="18"/>
                <w:color w:val="auto"/>
              </w:rPr>
              <w:t>Consolidated net sales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1,440,681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1,126,942</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4,042,769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3,341,082</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7"/>
        </w:trPr>
        <w:tc>
          <w:tcPr>
            <w:tcW w:w="5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 and income before income taxes: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9"/>
        </w:trPr>
        <w:tc>
          <w:tcPr>
            <w:tcW w:w="5380" w:type="dxa"/>
            <w:vAlign w:val="bottom"/>
          </w:tcPr>
          <w:p>
            <w:pPr>
              <w:ind w:left="360"/>
              <w:spacing w:after="0"/>
              <w:rPr>
                <w:sz w:val="20"/>
                <w:szCs w:val="20"/>
                <w:color w:val="auto"/>
              </w:rPr>
            </w:pPr>
            <w:r>
              <w:rPr>
                <w:rFonts w:ascii="Arial" w:cs="Arial" w:eastAsia="Arial" w:hAnsi="Arial"/>
                <w:sz w:val="18"/>
                <w:szCs w:val="18"/>
                <w:color w:val="auto"/>
              </w:rPr>
              <w:t>Segment operating income: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Electronic Instruments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245,118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203,749</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678,652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534,613</w:t>
            </w:r>
          </w:p>
        </w:tc>
      </w:tr>
      <w:tr>
        <w:trPr>
          <w:trHeight w:val="229"/>
        </w:trPr>
        <w:tc>
          <w:tcPr>
            <w:tcW w:w="53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Electromechanical</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114,571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84,303</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332,038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245,154</w:t>
            </w:r>
          </w:p>
        </w:tc>
      </w:tr>
      <w:tr>
        <w:trPr>
          <w:trHeight w:val="223"/>
        </w:trPr>
        <w:tc>
          <w:tcPr>
            <w:tcW w:w="5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segment operating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359,689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288,052</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1,010,690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779,767</w:t>
            </w:r>
          </w:p>
        </w:tc>
      </w:tr>
      <w:tr>
        <w:trPr>
          <w:trHeight w:val="229"/>
        </w:trPr>
        <w:tc>
          <w:tcPr>
            <w:tcW w:w="53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Corporate administrative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(22,126)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(17,311)</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(63,171)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(49,996)</w:t>
            </w:r>
          </w:p>
        </w:tc>
      </w:tr>
      <w:tr>
        <w:trPr>
          <w:trHeight w:val="22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operating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337,563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270,741</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947,519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729,771</w:t>
            </w:r>
          </w:p>
        </w:tc>
      </w:tr>
      <w:tr>
        <w:trPr>
          <w:trHeight w:val="229"/>
        </w:trPr>
        <w:tc>
          <w:tcPr>
            <w:tcW w:w="53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(20,476)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(21,187)</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(59,865)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(66,597)</w:t>
            </w:r>
          </w:p>
        </w:tc>
      </w:tr>
      <w:tr>
        <w:trPr>
          <w:trHeight w:val="229"/>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142,428</w:t>
            </w:r>
          </w:p>
        </w:tc>
      </w:tr>
      <w:tr>
        <w:trPr>
          <w:trHeight w:val="223"/>
        </w:trPr>
        <w:tc>
          <w:tcPr>
            <w:tcW w:w="5380" w:type="dxa"/>
            <w:vAlign w:val="bottom"/>
          </w:tcPr>
          <w:p>
            <w:pPr>
              <w:ind w:left="140"/>
              <w:spacing w:after="0"/>
              <w:rPr>
                <w:sz w:val="20"/>
                <w:szCs w:val="20"/>
                <w:color w:val="auto"/>
              </w:rPr>
            </w:pPr>
            <w:r>
              <w:rPr>
                <w:rFonts w:ascii="Arial" w:cs="Arial" w:eastAsia="Arial" w:hAnsi="Arial"/>
                <w:sz w:val="18"/>
                <w:szCs w:val="18"/>
                <w:color w:val="auto"/>
              </w:rPr>
              <w:t>Consolidated income before income taxes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319,668</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248,075</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883,879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805,602</w:t>
            </w:r>
          </w:p>
        </w:tc>
      </w:tr>
      <w:tr>
        <w:trPr>
          <w:trHeight w:val="21"/>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For the quarter ended September 30, 2021, the Company posted record sales, operating income, and backlog as well as strong operating cash flow. The Company achieved these results from organic sales growth in both EIG and EMG, contributions from the 2021 acquisitions of Abaco Systems, Inc., Magnetrol International, NSI-MI Technologies, Crank Software, and EGS Automation, as well as the Company's Operational Excellence initiatives.</w:t>
      </w:r>
    </w:p>
    <w:p>
      <w:pPr>
        <w:spacing w:after="0" w:line="14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full year impact of the 2021 acquisitions, continued economic recovery, and benefits from its Operational Excellence initiatives are expected to have a positive impact on the remainder of the Company's 2021 results. While the ultimate duration and impact of the COVID-19 pandemic is unknown, the Company will continue to monitor and address the challenges of the pandemic throughout the remainder of the year.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Impact of COVID-19 Pandemic on our Business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COVID-19 pandemic resulted in significant global economic disruption and had an adverse impact on the Company's financial results throughout 2020. As the global economy has begun to recover, the Company eliminated certain of the temporary cost saving actions put in place in 2020, but continues to closely monitor its fixed costs, capital expenditure plans, inventory, and capital resources to respond to changing conditions and to ensure it has the resources to meet its future needs. The Company has seen sequential improvement in its financial results since the third quarter of 2020, and this trend has continued in the first nine months of 2021. The current economic environment in which the Company operates is characterized by increased material cost inflation, logistics challenges, labor availability issues, and component part shortages. The Company continues to monitor and closely manage through these conditions. The Company expects the impact of these conditions to continue through the fourth quarter of 2021 and has taken steps to mitigate such impacts.</w:t>
      </w:r>
    </w:p>
    <w:p>
      <w:pPr>
        <w:spacing w:after="0" w:line="19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September 24, 2021, the U.S. Safer Federal Workforce Task Force issued guidance requiring federal contractors and subcontractors to comply with COVID-19 safety protocols, including requiring certain employees to be fully vaccinated against COVID-19 by December 8, 2021, except in limited circumstances. The vaccination requirements will be incorporated in new government contracts, renewals, extensions and other modifications signed on and after October 15, 2021, and will apply to employees working on or in connection with such contracts, as well as to employees working at a location at which an employee working on such contract is likely to be present. The Company has determined the December 8, 2021 deadline for vaccination will apply to many of the Company's U.S. sites and is in the process of implementing this executive order across its U.S. workforce. It is uncertain to what extent compliance with the vaccine mandate may result in workforce attrition. While this mandate may have an impact on the Company's operations, we do not expect it to have a material adverse effect on the Company's financial condition, results of operations, or liquidity.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Company's top priority during this pandemic is the health and safety of its employees. All global manufacturing facilities remained fully operational during the third quarter and continue to operate with safety protocols in place to ensure the health and safety of its employees and communities. The Company will continue to evaluate the nature and extent of future impacts of the COVID-19 pandemic on its business. See Risk Factors, included in Part I, Item 1A of our Annual Report on Form 10-K, for further discussion of the possible impact of the COVID-19 pandemic on our business.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Results of operations for the third quarter of 2021 compared with the third quarter of 2020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sales for the third quarter of 2021 were a record $1,440.7 million, an increase of $313.8 million or 27.8%, compared with net sales of $1,126.9 million for the third quarter of 2020. The increase in net sales for the third quarter of 2021 was due to a 17% increase in organic sales, and an 11% increase from acquisitions.</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Total international sales for the third quarter of 2021 were $701.1 million or 48.7% of net sales, an increase of $152.3 million or 27.8%, compared with international sales of $548.8 million or 48.7% of net sales for the third quarter of 2020. The increase in international sales was primarily driven by strong demand in Europe and Asia during the quarter as well as contributions from recent acquisitions.</w:t>
      </w:r>
    </w:p>
    <w:p>
      <w:pPr>
        <w:spacing w:after="0" w:line="1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Orders for the third quarter of 2021 were $1,552.6 million, an increase of $417.1 million or 36.7%, compared with $1,135.5 million for the third quarter of 2020. The increase in orders for the third quarter of 2021 was due to a 31% increase in organic orders, a 9% increase from acquisitions, partially offset by an unfavorable 3% effect of foreign currency translation. As a result, the Company's backlog of unfilled orders at September 30, 2021 was a record $2,623.5 million, an increase of $821.3 million or 45.6% compared with $1,802.2 million at December 31, 2020.</w:t>
      </w:r>
    </w:p>
    <w:p>
      <w:pPr>
        <w:spacing w:after="0" w:line="17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Segment operating income for the third quarter of 2021 was $359.7 million, an increase of $71.6 million or 24.9%, compared with segment operating income of $288.1 million for the third quarter of 2020. Segment operating margins, as a percentage of net sales, decreased to 25.0% for the third quarter of 2021, compared with 25.6% for the third quarter of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sales for the third quarter of 2021 was $949.4 million or 65.9% of net sales, an increase of $216.7 million or 29.6%, compared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$732.7 million or 65.0% of net sales for the third quarter of 2020. The cost of sales increase was primarily due to the net sales increase discussed above.</w:t>
      </w:r>
    </w:p>
    <w:p>
      <w:pPr>
        <w:spacing w:after="0" w:line="23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Selling, general and administrative expenses for the third quarter of 2021 were $153.7 million or 10.7% of net sales, an increase of $30.2 million or 24.5%, compared with $123.5 million or 11.0% of net sales for the third quarter of 2020. Selling, general and administrative expenses increased primarily due to the net sales increase discussed above.</w:t>
      </w:r>
    </w:p>
    <w:p>
      <w:pPr>
        <w:spacing w:after="0" w:line="18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Consolidated operating income was a record $337.6 million or 23.4% of net sales for the third quarter of 2021, an increase of $66.9 million or 24.7%, compared with $270.7 million or 24.0% of net sales for the third quarter of 2020.</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Other income, net was $2.6 million for the third quarter of 2021, compared with $1.5 million of other expense, net for the third quarter of 2020, a change of $4.1 million.</w:t>
      </w:r>
    </w:p>
    <w:p>
      <w:pPr>
        <w:spacing w:after="0" w:line="157" w:lineRule="exact"/>
        <w:rPr>
          <w:sz w:val="20"/>
          <w:szCs w:val="20"/>
          <w:color w:val="auto"/>
        </w:rPr>
      </w:pPr>
    </w:p>
    <w:p>
      <w:pPr>
        <w:ind w:right="100" w:firstLine="648"/>
        <w:spacing w:after="0" w:line="274" w:lineRule="auto"/>
        <w:rPr>
          <w:sz w:val="20"/>
          <w:szCs w:val="20"/>
          <w:color w:val="auto"/>
        </w:rPr>
      </w:pPr>
      <w:r>
        <w:rPr>
          <w:rFonts w:ascii="Arial" w:cs="Arial" w:eastAsia="Arial" w:hAnsi="Arial"/>
          <w:sz w:val="17"/>
          <w:szCs w:val="17"/>
          <w:color w:val="auto"/>
        </w:rPr>
        <w:t>The effective tax rate for the third quarter of 2021 was 19.5%, compared with 17.5% for the third quarter of 2020. The higher effective tax rate in 2021 is primarily due to an increase in the foreign rate differential related to the mix of earnings generated in higher taxed jurisdictions.</w:t>
      </w:r>
    </w:p>
    <w:p>
      <w:pPr>
        <w:spacing w:after="0" w:line="16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Net income for the third quarter of 2021 was $257.5 million, an increase of $52.9 million or 25.8%, compared with $204.6 million for the third quarter of 2020.</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Diluted earnings per share for the third quarter of 2021 were $1.10, an increase of $0.22 or 25.0%, compared with $0.88 per diluted share for the third quarter of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Results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EIG</w:t>
      </w:r>
      <w:r>
        <w:rPr>
          <w:rFonts w:ascii="Arial" w:cs="Arial" w:eastAsia="Arial" w:hAnsi="Arial"/>
          <w:sz w:val="18"/>
          <w:szCs w:val="18"/>
          <w:b w:val="1"/>
          <w:bCs w:val="1"/>
          <w:i w:val="1"/>
          <w:iCs w:val="1"/>
          <w:color w:val="auto"/>
        </w:rPr>
        <w:t>’</w:t>
      </w:r>
      <w:r>
        <w:rPr>
          <w:rFonts w:ascii="Arial" w:cs="Arial" w:eastAsia="Arial" w:hAnsi="Arial"/>
          <w:sz w:val="18"/>
          <w:szCs w:val="18"/>
          <w:color w:val="auto"/>
        </w:rPr>
        <w:t>s net sales totaled a record $981.8 million for the third quarter of 2021, an increase of $233.4 million or 31.2%, compared 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$748.4 million for the third quarter of 2020. The net sales increase was due to a 15% increase in organic sales, and a 16% increase from acquisitions.</w:t>
      </w:r>
    </w:p>
    <w:p>
      <w:pPr>
        <w:spacing w:after="0" w:line="234"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EIG’s operating income was a record $245.1 million for the third quarter of 2021, an increase of $41.4 million or 20.3%, compared with $203.7 million for the third quarter of 2020. EIG's operating income increased primarily due to the sales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increase discussed above. EIG’s operating margins were 25.0% of net sales for the third quarter of 2021, compared with 27.2% for the third quarter of 2020. The 2021 acquisitions of Abaco, Magnetrol, NSI-MI, and Crank Software diluted operating margins by 220 basis points. Excluding the acquisitions, EIG operating margins were flat when compared to the third quarter of 2020.</w:t>
      </w:r>
    </w:p>
    <w:p>
      <w:pPr>
        <w:spacing w:after="0" w:line="180" w:lineRule="exact"/>
        <w:rPr>
          <w:sz w:val="20"/>
          <w:szCs w:val="20"/>
          <w:color w:val="auto"/>
        </w:rPr>
      </w:pPr>
    </w:p>
    <w:p>
      <w:pPr>
        <w:ind w:right="80" w:firstLine="648"/>
        <w:spacing w:after="0" w:line="347" w:lineRule="auto"/>
        <w:rPr>
          <w:sz w:val="20"/>
          <w:szCs w:val="20"/>
          <w:color w:val="auto"/>
        </w:rPr>
      </w:pPr>
      <w:r>
        <w:rPr>
          <w:rFonts w:ascii="Arial" w:cs="Arial" w:eastAsia="Arial" w:hAnsi="Arial"/>
          <w:sz w:val="16"/>
          <w:szCs w:val="16"/>
          <w:b w:val="1"/>
          <w:bCs w:val="1"/>
          <w:color w:val="auto"/>
        </w:rPr>
        <w:t xml:space="preserve">EMG’s </w:t>
      </w:r>
      <w:r>
        <w:rPr>
          <w:rFonts w:ascii="Arial" w:cs="Arial" w:eastAsia="Arial" w:hAnsi="Arial"/>
          <w:sz w:val="16"/>
          <w:szCs w:val="16"/>
          <w:color w:val="auto"/>
        </w:rPr>
        <w:t>net sales totaled $458.9 million for the third quarter of 2021, an increase of $80.3 million or 21.2%, compared with $378.6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third quarter of 2020. The net sales increase was due to a 20% organic sales increase, as well as a favorable 1% effect of foreign currency translation.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EMG’s operating income was a record $114.6 million for the third quarter of 2021, an increase of $30.3 million or 35.9%, compared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$84.3 million for the third quarter of 2020. EMG’s operating margins were a record 25.0% of net sales for the third quarter of 2021, compared with 22.3%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third quarter of 2020. EMG's operating income and operating margins increased primarily due to the increase in sales discussed above as well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benefits from the Company's Operational Excellence initiatives.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Results of operations for the first nine months of 2021 compared with the first nine months of 2020</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for the first nine months of 2021 were $4,042.8 million, an increase of $701.7 million or 21.0%, compared with net sales of</w:t>
      </w:r>
    </w:p>
    <w:p>
      <w:pPr>
        <w:spacing w:after="0" w:line="2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$3,341.1 million for the first nine months of 2020. The increase in net sales for the first nine months of 2021 was due to a 14% organic sales increase, a 6% increase from acquisitions as well as a favorable 1% effect of foreign currency translation.</w:t>
      </w:r>
    </w:p>
    <w:p>
      <w:pPr>
        <w:spacing w:after="0" w:line="18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Total international sales for the first nine months of 2021 were $1,983.1 million or 49.1% of net sales, an increase of $389.6 million or 24.4%, compared with international sales of $1,593.5 million or 47.7% of net sales for the first nine months of 2020. The increase in international sales was primarily driven by strong demand in Europe and Asia as well as contributions from recent acquisitions.</w:t>
      </w:r>
    </w:p>
    <w:p>
      <w:pPr>
        <w:spacing w:after="0" w:line="16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Orders for the first nine months of 2021 were $4,864.0 million, an increase of $1,520.4 million or 45.5%, compared with $3,343.6 million for the first nine months of 2020. The increase in orders for the first nine months of 2021 was due to a 27% organic order increase, as well as an 18% increase from acquisitions.</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Segment operating income for the first nine months of 2021 was $1,010.7 million, an increase of $230.9 million or 29.6%, compared with segment operating income of $779.8 million for the first nine months of 2020. Segment operating margins, as a percentage of net sales, increased to 25.0% for the first nine months of 2021, compared with 23.3% for the first nine months of 2020. The Company recorded realignment costs of $43.7 million in the first quarter of 2020 in response to the impact of a weak global economy as a result of the COVID-19 pandemic. The 2020 realignment costs were composed of $35.3 million in severance costs for a reduction in workforce and $8.4 million of asset write-downs, primarily inventory, which decreased margins by130 basis points for the first nine months of 2020. Segment operating income and segment operating margins for the first nine months of 2021 were positively impacted by the increase in net sales discussed above as well as the Company's Operational Excellence initiatives, including the 2020 realignment actions.</w:t>
      </w:r>
    </w:p>
    <w:p>
      <w:pPr>
        <w:spacing w:after="0" w:line="16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Cost of sales for the first nine months of 2021 was $2,651.5 million or 65.6% of net sales, an increase of $425.0 million or 19.1%, compared with $2,226.5 million or 66.6% of net sales for the first nine months of 2020. The cost of sales increase was primarily due to the net sales increase discussed above. The first nine months of 2020 included the realignment costs discussed above.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Selling, general and administrative expenses for the first nine months of 2021 were $443.7 million or 11.0% of net sales, an increase of</w:t>
      </w:r>
    </w:p>
    <w:p>
      <w:pPr>
        <w:spacing w:after="0" w:line="3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$58.9 million or 15.3%, compared with $384.8 million or 11.5% of net sales for the first nine months of 2020. Selling, general and administrative expenses increased primarily due to the increase in net sales discussed above.</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Consolidated operating income was $947.5 million or 23.4% of net sales for the first nine months of 2021, an increase of $217.7 million or 29.8%, compared with $729.8 million or 21.8% of net sales for the first nine months of 2020. The consolidated operating income and operating income margins for the first nine months of 2021 were positively impacted by the increase in net sales discussed above as well as the benefits of the Company's Operational Excellence initiatives. The first nine months of 2020 included the realignment costs discussed above, which negatively impacted consolidated operating margins by 140 basis points.</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Other expense, net was $3.8 million for the first nine months of 2021, compared with $142.4 million of other income, net for the first nine months of 2020, a change of $146.2 million. In March 2020, the Company completed the sale of its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460"/>
        <w:spacing w:after="0" w:line="251" w:lineRule="auto"/>
        <w:rPr>
          <w:sz w:val="20"/>
          <w:szCs w:val="20"/>
          <w:color w:val="auto"/>
        </w:rPr>
      </w:pPr>
      <w:r>
        <w:rPr>
          <w:rFonts w:ascii="Arial" w:cs="Arial" w:eastAsia="Arial" w:hAnsi="Arial"/>
          <w:sz w:val="18"/>
          <w:szCs w:val="18"/>
          <w:color w:val="auto"/>
        </w:rPr>
        <w:t>Reading Alloys business ("Reading") to Kymera International for net proceeds of $245.3 million in cash. The sale resulted in a pre-tax gain of $141.0 million recorded in other income, net in the first quarter of 2020. The first nine months of 2021 also includes higher acquisition-related due diligence expense compared to the first nine months of 2020.</w:t>
      </w:r>
    </w:p>
    <w:p>
      <w:pPr>
        <w:spacing w:after="0" w:line="1" w:lineRule="exact"/>
        <w:rPr>
          <w:sz w:val="20"/>
          <w:szCs w:val="20"/>
          <w:color w:val="auto"/>
        </w:rPr>
      </w:pPr>
    </w:p>
    <w:p>
      <w:pPr>
        <w:ind w:firstLine="648"/>
        <w:spacing w:after="0" w:line="228" w:lineRule="auto"/>
        <w:rPr>
          <w:sz w:val="20"/>
          <w:szCs w:val="20"/>
          <w:color w:val="auto"/>
        </w:rPr>
      </w:pPr>
      <w:r>
        <w:rPr>
          <w:rFonts w:ascii="Arial" w:cs="Arial" w:eastAsia="Arial" w:hAnsi="Arial"/>
          <w:sz w:val="18"/>
          <w:szCs w:val="18"/>
          <w:color w:val="auto"/>
        </w:rPr>
        <w:t>The effective tax rate for the first nine months of 2021 was 19.9%, compared with 19.1% for the first nine months of 2020. The higher effective tax rate in 2021 is primarily due to an increase in the foreign rate differential and from the remeasurement of the deferred tax liabilities due to an increase in the UK tax rate in 2021.</w:t>
      </w:r>
    </w:p>
    <w:p>
      <w:pPr>
        <w:spacing w:after="0" w:line="19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Net income for the first nine months of 2021 was $708.4 million, an increase of $57.0 million or 8.7%, compared with $651.4 million for the first nine months of 2020.</w:t>
      </w:r>
    </w:p>
    <w:p>
      <w:pPr>
        <w:spacing w:after="0" w:line="170"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Diluted earnings per share for the first nine months of 2021 were $3.04, an increase of $0.22 or 7.8%, compared with $2.82 per diluted share for the first nine months of 2020. In the first nine months of 2020, diluted earnings per share included $0.47 for the net gain on the sale of Reading and $0.15 for the net realignment costs.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Results</w:t>
      </w:r>
    </w:p>
    <w:p>
      <w:pPr>
        <w:spacing w:after="0" w:line="113"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EIG’</w:t>
      </w:r>
      <w:r>
        <w:rPr>
          <w:rFonts w:ascii="Arial" w:cs="Arial" w:eastAsia="Arial" w:hAnsi="Arial"/>
          <w:sz w:val="18"/>
          <w:szCs w:val="18"/>
          <w:color w:val="auto"/>
        </w:rPr>
        <w:t>s net sales totaled $2,706.7 million for the first nine months of 2021, an increase of $536.2 million or 24.7%, compared with $2,170.5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first nine months of 2020. The net sales increase was due to a 13% organic sales increase, a 10% increase from acquisitions, and a favorable 1% effect of foreign currency translation.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EIG’s operating income was $678.7 million for the first nine months of 2021, an increase of $144.1 million or 26.9%, compared with</w:t>
      </w: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$534.6 million for the first nine months of 2020. EIG’s operating margins were 25.1% of net sales for the first nine months of 2021, compared with 24.6% for the first nine months of 2020. EIG's operating income and operating margins in the first nine months of 2021 were positively impacted by the sales increase discussed above as well as the Company's Operational Excellence initiatives. The 2021 acquisitions of Abaco, Magnetrol, NSI-MI, and Crank Software diluted operating margins by 150 basis points. Excluding the acquisitions, EIG operating margins would have been 26.6% for the first nine months of 2021. EIG’s operating margins were negatively impacted in the first nine months of 2020 by 110 basis points due to the 2020 realignment costs discussed above.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EMG’s </w:t>
      </w:r>
      <w:r>
        <w:rPr>
          <w:rFonts w:ascii="Arial" w:cs="Arial" w:eastAsia="Arial" w:hAnsi="Arial"/>
          <w:sz w:val="18"/>
          <w:szCs w:val="18"/>
          <w:color w:val="auto"/>
        </w:rPr>
        <w:t>net sales totaled $1,336.1 million for the first nine months of 2021, an increase of $165.5 million or 14.1%, compared with</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$1,170.6 million for the first nine months of 2020. The net sales increase was due to a 14% organic sales increase, a favorable 2% effect of foreign currency translation, partially offset by an unfavorable 2% impact from the Reading divestiture.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EMG’s operating income was $332.0 million for the first nine months of 2021, an increase of $86.8 million or 35.4%, compared with</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$245.2 million for the first nine months of 2020. EMG’s operating margins were 24.9% of net sales for the first nine months of 2021, compared with 20.9% for the first nine months of 2020. EMG's operating income and operating margins in the first nine months of 2021 were positively impacted by the sales increase discussed above as well as the Company's Operational Excellence initiatives. EMG’s operating margins were negatively impacted in the first nine months of 2020 by 180 basis points due to the 2020 realignment costs discussed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Cash provided by operating activities totaled $878.6 million for the first nine months of 2021, a decrease of $16.5 million or 1.8%, compared with $895.1 million for the first nine months of 2020. The decrease in cash provided by operating activities for the first nine months of 2021 was primarily due to higher working capital requirements, partially offset by higher net income, net of the gain on the sale of the Reading business in 2020.</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Free cash flow (cash flow provided by operating activities less capital expenditures) was $811.3 million for the first nine months of 2021,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compared with $857.9 million for the first nine months of 2020. EBITDA (earnings before interest, income taxes, depreciation and amortization)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$1,157.2 million for the first nine months of 2021, compared with $1,060.9 million for the first nine months of 2020, which included the gain on the sale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Reading business. Free cash flow and EBITDA are presented because the Company is aware that they are measures used by third parties in evaluating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2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Cash used by investing activities totaled $1,895.2 million for the first nine months of 2021, compared with cash provided by investing activities of $98.7 million for the first nine months of 2020. For the first nine months of 2021, the Company paid $1,839.7 million, net of cash acquired, to purchase Abaco Systems, Magnetrol International, NSI-MI</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Technologies, Crank Software, and EGS Automation compared to $116.5 million, net of cash acquired, to purchase IntelliPower in the first nine months of 2020. For the first nine months of 2020, the Company received proceeds of $245.3 million from the sale of its Reading business. Additions to property, plant and equipment totaled $67.2 million for the first nine months of 2021, compared with $37.2 million for the first nine months of 2020.</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provided by financing activities totaled $171.2 million for the first nine months of 2021, compared with cash used by financing activities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$84.7 million for the first nine months of 2020. At September 30, 2021, total debt, net was $2,654.6 million, compared with $2,413.7 million at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For the first nine months of 2021, total borrowings increased by $286.1 million, driven by the 2021 acquisitions, compared with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$7.1 million increase for the first nine months of 2020. At September 30, 2021, the Company had available borrowing capacity of $2,407.3 million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revolving credit facility and $800 million term loan, including the $500 million accordion feature.</w:t>
      </w:r>
    </w:p>
    <w:p>
      <w:pPr>
        <w:spacing w:after="0" w:line="10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April 26, 2021, the Company along with certain of its foreign subsidiaries amended and restated its credit agreement dated as of September 22, 2011, as amended and restated as of March 10, 2016 and as further amended and restated as of October 30, 2018, with the lenders, JPMorgan Chase Bank, N.A., as Administrative Agent and Bank of America, N.A., PNC Bank, National Association, Trust Bank and Wells Fargo Bank, National Association, as Co-Syndication Agents. The credit agreement amends and restates the Company’s existing revolving credit facility to add a new five-year, delayed draw, term loan for up to $800 million. The credit agreement places certain restrictions on allowable additional indebtedness. At September 30, 2021, the Company had $150.0 million outstanding on the term loan.</w:t>
      </w:r>
    </w:p>
    <w:p>
      <w:pPr>
        <w:spacing w:after="0" w:line="19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debt-to-capital ratio was 28.8% at September 30, 2021, compared with 28.9% at December 31, 2020. The net debt-to-capital ratio (total debt, net less cash and cash equivalents divided by the sum of net debt and stockholders’ equity) was 25.9% at September 30, 2021, compared with 16.8% at December 31, 2020. The net debt-to-capital ratio is presented because the Company is aware that this measure is used by third parties in evaluating the Company.</w:t>
      </w:r>
    </w:p>
    <w:p>
      <w:pPr>
        <w:spacing w:after="0" w:line="187"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Additional financing activities for the first nine months of 2021 included cash dividends paid of $138.3 million, compared with $123.7 million for the first nine months of 2020. Effective February 11, 2021, the Company’s Board of Directors approved an 11% increase in the quarterly cash dividend on the Company’s common stock to $0.20 per common share from $0.18 per common share. Proceeds from stock option exercises were $42.3 million for the first nine months of 2021, compared with $39.9 million for the first nine months of 2020.</w:t>
      </w:r>
    </w:p>
    <w:p>
      <w:pPr>
        <w:spacing w:after="0" w:line="18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As a result of all of the Company’s cash flow activities for the first nine months of 2021, cash and cash equivalents at September 30, 2021 totaled $358.7 million, compared with $1,212.8 million at December 31, 2020. At September 30, 2021, the Company had $319.9 million in cash outside the United States, compared with $344.0 million at December 31, 2020. The Company utilizes this cash to fund its international operations, as well as to acquire international businesses. The Company is in compliance with all covenants, including financial covenants, for all of its debt agreements. The Company believes it has sufficient cash-generating capabilities from domestic and unrestricted foreign sources, available credit facilities and access to long-term capital funds to enable it to meet its operating needs and contractual obligations in the foreseeable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Company’s critical accounting policies are detailed in Part II, Item 7, Management’s Discussion and Analysis of Financial Condition of its Annual Report on Form 10-K for the year ended December 31, 2020. Primary disclosure of the Company’s significant accounting policies is also included in Note 1 to the Consolidated Financial Statements included in Part II, Item 8 of its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Information contained in this discussion, other than historical information, is considered “forward-looking statements” and is subject to various factors and uncertainties that may cause actual results to differ significantly from expectations. These factors and uncertainties include risks related to the COVID-19 pandemic and its potential impact on AMETEK’s operations, supply chain, and demand across key end markets; general economic conditions affecting the industries the Company serves; changes in the competitive environment or the effects of competition in the Company’s markets; risks associated with international sales and operations; the Company’s ability to consummate and successfully integrate future acquisitions; the Company’s ability to successfully develop new products, open new facilities or transfer product lines; the price and availability of raw materials; compliance with government regulations, including environmental regulations; and the ability to maintain adequate liquidity and financing sources. A detailed discussion of these and other factors that may affect the Company’s future results is contained in AMETEK’s filings with the U.S. Securities and Exchange Commission, including its most recent reports on Form 10-K,10-Q and 8-K. AMETEK disclaims any intention or obligation to update or revise any forward-looking statements, unless required by the securities laws to do so.</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September 30, 2021. Based on that evaluation, the Company’s principal executive officer and principal financial officer concluded that the Company’s disclosure controls and procedures are effective at the reasonable assurance level.</w:t>
      </w:r>
    </w:p>
    <w:p>
      <w:pPr>
        <w:spacing w:after="0" w:line="84" w:lineRule="exact"/>
        <w:rPr>
          <w:sz w:val="20"/>
          <w:szCs w:val="20"/>
          <w:color w:val="auto"/>
        </w:rPr>
      </w:pPr>
    </w:p>
    <w:p>
      <w:pPr>
        <w:ind w:firstLine="445"/>
        <w:spacing w:after="0" w:line="308" w:lineRule="auto"/>
        <w:rPr>
          <w:sz w:val="20"/>
          <w:szCs w:val="20"/>
          <w:color w:val="auto"/>
        </w:rPr>
      </w:pPr>
      <w:r>
        <w:rPr>
          <w:rFonts w:ascii="Arial" w:cs="Arial" w:eastAsia="Arial" w:hAnsi="Arial"/>
          <w:sz w:val="17"/>
          <w:szCs w:val="17"/>
          <w:color w:val="auto"/>
        </w:rPr>
        <w:t>Such evaluation did not identify any change in the Company’s internal control over financial reporting during the quarter ended September 30, 2021 that has materially affected, or is reasonably likely to materially affect, the Company’s internal control over financial reporting.</w:t>
      </w: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disruption in, shortage of, or price increases for, supply of our components and raw materials may adversely impact our operations.</w:t>
      </w:r>
    </w:p>
    <w:p>
      <w:pPr>
        <w:spacing w:after="0" w:line="37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While we manufacture certain parts and components used in our products, we require substantial amounts of raw materials and purchase some parts and components, including semiconductor chips and other electronic components, from suppliers. The availability and prices for raw materials, parts and components may be subject to curtailment or change due to, among other things, suppliers' allocation to other purchasers, interruptions in production by suppliers, changes in exchange rates and prevailing price levels. In addition, our facilities, supply chains, distribution systems, and products may be impacted by natural or man-made disruptions, including armed conflict, damaging weather or other acts of nature, pandemics or other public health crises. A shutdown of, or inability to utilize, one or more of our facilities, our supply chain, or our distribution system could significantly disrupt our operations, delay production and shipments, damage our relationships and reputation with customers, suppliers, employees, stockholders and others, result in lost sales, result in the misappropriation or corruption of data, or result in legal exposure and large remediation or other expenses. Furthermore, certain items, including base metals and certain steel components, are available only from a limited number of suppliers and are subject to commodity market fluctuations. Shortages in raw materials or price increases therefore could affect the prices we charge, our operating costs and our competitive position, which could adversely affect our business, financial condition, results of operations and cash flows.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Purchase of equity securities by the issuer and affiliated purchasers.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reflects purchases of AMETEK, Inc. common stock by the Company during the three months ended September 30,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Purchased as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Average Price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86"/>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Period</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Purchased (1)</w:t>
            </w:r>
          </w:p>
        </w:tc>
        <w:tc>
          <w:tcPr>
            <w:tcW w:w="2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Paid per Share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the Plan</w:t>
            </w:r>
          </w:p>
        </w:tc>
        <w:tc>
          <w:tcPr>
            <w:tcW w:w="0" w:type="dxa"/>
            <w:vAlign w:val="bottom"/>
          </w:tcPr>
          <w:p>
            <w:pPr>
              <w:spacing w:after="0"/>
              <w:rPr>
                <w:sz w:val="1"/>
                <w:szCs w:val="1"/>
                <w:color w:val="auto"/>
              </w:rPr>
            </w:pPr>
          </w:p>
        </w:tc>
      </w:tr>
      <w:tr>
        <w:trPr>
          <w:trHeight w:val="25"/>
        </w:trPr>
        <w:tc>
          <w:tcPr>
            <w:tcW w:w="47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2021 to July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471,486,433</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August 1, 2021 to August 31, 2021</w:t>
            </w:r>
          </w:p>
        </w:tc>
        <w:tc>
          <w:tcPr>
            <w:tcW w:w="152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138.09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2"/>
              <w:spacing w:after="0"/>
              <w:rPr>
                <w:sz w:val="20"/>
                <w:szCs w:val="20"/>
                <w:color w:val="auto"/>
              </w:rPr>
            </w:pPr>
            <w:r>
              <w:rPr>
                <w:rFonts w:ascii="Arial" w:cs="Arial" w:eastAsia="Arial" w:hAnsi="Arial"/>
                <w:sz w:val="18"/>
                <w:szCs w:val="18"/>
                <w:color w:val="auto"/>
              </w:rPr>
              <w:t>471,378,035</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2021 to September 30, 2021</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471,378,035</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137.74</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7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520" w:hanging="652"/>
        <w:spacing w:after="0" w:line="260" w:lineRule="auto"/>
        <w:tabs>
          <w:tab w:leader="none" w:pos="4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shares surrendered to the Company to satisfy tax withholding obligations in connection with employees’ share-based compensation awards.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4"/>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9440" w:type="dxa"/>
            <w:vAlign w:val="bottom"/>
            <w:gridSpan w:val="3"/>
            <w:vMerge w:val="restart"/>
          </w:tcPr>
          <w:p>
            <w:pPr>
              <w:ind w:left="43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740" w:type="dxa"/>
            <w:vAlign w:val="bottom"/>
            <w:gridSpan w:val="4"/>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94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4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center"/>
              <w:spacing w:after="0"/>
              <w:rPr>
                <w:rFonts w:ascii="Arial" w:cs="Arial" w:eastAsia="Arial" w:hAnsi="Arial"/>
                <w:sz w:val="18"/>
                <w:szCs w:val="18"/>
                <w:color w:val="0000FF"/>
                <w:w w:val="99"/>
              </w:rPr>
            </w:pPr>
            <w:hyperlink w:anchor="page31">
              <w:r>
                <w:rPr>
                  <w:rFonts w:ascii="Arial" w:cs="Arial" w:eastAsia="Arial" w:hAnsi="Arial"/>
                  <w:sz w:val="18"/>
                  <w:szCs w:val="18"/>
                  <w:color w:val="0000FF"/>
                  <w:w w:val="99"/>
                </w:rPr>
                <w:t>31.</w:t>
              </w:r>
              <w:r>
                <w:rPr>
                  <w:rFonts w:ascii="Arial" w:cs="Arial" w:eastAsia="Arial" w:hAnsi="Arial"/>
                  <w:sz w:val="18"/>
                  <w:szCs w:val="18"/>
                  <w:u w:val="single" w:color="auto"/>
                  <w:color w:val="0000FF"/>
                  <w:w w:val="99"/>
                </w:rPr>
                <w:t>1*</w:t>
              </w:r>
            </w:hyperlink>
          </w:p>
        </w:tc>
        <w:tc>
          <w:tcPr>
            <w:tcW w:w="4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40" w:type="dxa"/>
            <w:vAlign w:val="bottom"/>
            <w:tcBorders>
              <w:top w:val="single" w:sz="8" w:color="auto"/>
            </w:tcBorders>
            <w:gridSpan w:val="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42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31.</w:t>
              </w:r>
              <w:r>
                <w:rPr>
                  <w:rFonts w:ascii="Arial" w:cs="Arial" w:eastAsia="Arial" w:hAnsi="Arial"/>
                  <w:sz w:val="18"/>
                  <w:szCs w:val="18"/>
                  <w:u w:val="single" w:color="auto"/>
                  <w:color w:val="0000FF"/>
                  <w:w w:val="99"/>
                </w:rPr>
                <w:t>2*</w:t>
              </w:r>
            </w:hyperlink>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Certification of Chief Financial Officer, Pursuant to Section 302 of the Sarbanes-Oxley Act of 2002.</w:t>
              </w:r>
            </w:hyperlink>
          </w:p>
        </w:tc>
        <w:tc>
          <w:tcPr>
            <w:tcW w:w="4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gridSpan w:val="2"/>
          </w:tcPr>
          <w:p>
            <w:pPr>
              <w:jc w:val="center"/>
              <w:ind w:left="334"/>
              <w:spacing w:after="0"/>
              <w:rPr>
                <w:rFonts w:ascii="Arial" w:cs="Arial" w:eastAsia="Arial" w:hAnsi="Arial"/>
                <w:sz w:val="18"/>
                <w:szCs w:val="18"/>
                <w:color w:val="0000FF"/>
                <w:w w:val="99"/>
              </w:rPr>
            </w:pPr>
            <w:hyperlink w:anchor="page33">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1*</w:t>
              </w:r>
            </w:hyperlink>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Certification of Chief Executive Officer, Pursuant to Section 906 of the Sarbanes-Oxley Act of 2002.</w:t>
              </w:r>
            </w:hyperlink>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2*</w:t>
              </w:r>
            </w:hyperlink>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Certification of Chief Financial Officer, Pursuant to Section 906 of the Sarbanes-Oxley Act of 2002.</w:t>
              </w:r>
            </w:hyperlink>
          </w:p>
        </w:tc>
        <w:tc>
          <w:tcPr>
            <w:tcW w:w="4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740" w:type="dxa"/>
            <w:vAlign w:val="bottom"/>
            <w:gridSpan w:val="4"/>
          </w:tcPr>
          <w:p>
            <w:pPr>
              <w:jc w:val="center"/>
              <w:ind w:right="480"/>
              <w:spacing w:after="0"/>
              <w:rPr>
                <w:sz w:val="20"/>
                <w:szCs w:val="20"/>
                <w:color w:val="auto"/>
              </w:rPr>
            </w:pPr>
            <w:r>
              <w:rPr>
                <w:rFonts w:ascii="Arial" w:cs="Arial" w:eastAsia="Arial" w:hAnsi="Arial"/>
                <w:sz w:val="18"/>
                <w:szCs w:val="18"/>
                <w:color w:val="auto"/>
                <w:w w:val="97"/>
              </w:rPr>
              <w:t>101.INS*</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Arial" w:cs="Arial" w:eastAsia="Arial" w:hAnsi="Arial"/>
                <w:sz w:val="18"/>
                <w:szCs w:val="18"/>
                <w:color w:val="auto"/>
                <w:w w:val="92"/>
              </w:rPr>
              <w:t>101.SCH*</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Arial" w:cs="Arial" w:eastAsia="Arial" w:hAnsi="Arial"/>
                <w:sz w:val="18"/>
                <w:szCs w:val="18"/>
                <w:color w:val="auto"/>
                <w:w w:val="94"/>
              </w:rPr>
              <w:t>101.DEF*</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84"/>
        </w:trPr>
        <w:tc>
          <w:tcPr>
            <w:tcW w:w="1740" w:type="dxa"/>
            <w:vAlign w:val="bottom"/>
            <w:gridSpan w:val="4"/>
          </w:tcPr>
          <w:p>
            <w:pPr>
              <w:jc w:val="center"/>
              <w:ind w:right="480"/>
              <w:spacing w:after="0"/>
              <w:rPr>
                <w:sz w:val="20"/>
                <w:szCs w:val="20"/>
                <w:color w:val="auto"/>
              </w:rPr>
            </w:pPr>
            <w:r>
              <w:rPr>
                <w:rFonts w:ascii="Arial" w:cs="Arial" w:eastAsia="Arial" w:hAnsi="Arial"/>
                <w:sz w:val="18"/>
                <w:szCs w:val="18"/>
                <w:color w:val="auto"/>
                <w:w w:val="93"/>
              </w:rPr>
              <w:t>101.PRE*</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760" w:right="640" w:hanging="1266"/>
        <w:spacing w:after="0" w:line="235" w:lineRule="auto"/>
        <w:tabs>
          <w:tab w:leader="none" w:pos="1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electronically herewith.</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7500"/>
        <w:spacing w:after="0"/>
        <w:rPr>
          <w:sz w:val="20"/>
          <w:szCs w:val="20"/>
          <w:color w:val="auto"/>
        </w:rPr>
      </w:pPr>
      <w:r>
        <w:rPr>
          <w:rFonts w:ascii="Arial" w:cs="Arial" w:eastAsia="Arial" w:hAnsi="Arial"/>
          <w:sz w:val="18"/>
          <w:szCs w:val="18"/>
          <w:u w:val="single" w:color="auto"/>
          <w:color w:val="auto"/>
        </w:rPr>
        <w:t>AMETEK, Inc.</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p>
      <w:pPr>
        <w:ind w:left="7040"/>
        <w:spacing w:after="0"/>
        <w:tabs>
          <w:tab w:leader="none" w:pos="7480" w:val="left"/>
        </w:tabs>
        <w:rPr>
          <w:sz w:val="20"/>
          <w:szCs w:val="20"/>
          <w:color w:val="auto"/>
        </w:rPr>
      </w:pPr>
      <w:r>
        <w:rPr>
          <w:rFonts w:ascii="Arial" w:cs="Arial" w:eastAsia="Arial" w:hAnsi="Arial"/>
          <w:sz w:val="18"/>
          <w:szCs w:val="18"/>
          <w:color w:val="auto"/>
        </w:rPr>
        <w:t>By:</w:t>
        <w:tab/>
        <w:t>/s/ THOMAS M.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14605</wp:posOffset>
            </wp:positionV>
            <wp:extent cx="23749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Thomas M. Montgomery</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Senior Vice President – Comptroller</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(Principal Accounting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320" w:top="125" w:right="6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Zapico, certify that:</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AMETEK, Inc. (the “registrant”);</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2021</w:t>
      </w:r>
    </w:p>
    <w:p>
      <w:pPr>
        <w:spacing w:after="0" w:line="18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D</w:t>
      </w:r>
      <w:r>
        <w:rPr>
          <w:rFonts w:ascii="Arial" w:cs="Arial" w:eastAsia="Arial" w:hAnsi="Arial"/>
          <w:sz w:val="16"/>
          <w:szCs w:val="16"/>
          <w:color w:val="auto"/>
        </w:rPr>
        <w:t>AVID</w:t>
      </w:r>
      <w:r>
        <w:rPr>
          <w:rFonts w:ascii="Arial" w:cs="Arial" w:eastAsia="Arial" w:hAnsi="Arial"/>
          <w:sz w:val="18"/>
          <w:szCs w:val="18"/>
          <w:color w:val="auto"/>
        </w:rPr>
        <w:t xml:space="preserve"> A. Z</w:t>
      </w:r>
      <w:r>
        <w:rPr>
          <w:rFonts w:ascii="Arial" w:cs="Arial" w:eastAsia="Arial" w:hAnsi="Arial"/>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14605</wp:posOffset>
            </wp:positionV>
            <wp:extent cx="2588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David A. Zapico</w:t>
      </w:r>
    </w:p>
    <w:p>
      <w:pPr>
        <w:spacing w:after="0" w:line="5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240"/>
          </w:cols>
          <w:pgMar w:left="320" w:top="999"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Burke, certify that:</w:t>
      </w:r>
    </w:p>
    <w:p>
      <w:pPr>
        <w:spacing w:after="0" w:line="117" w:lineRule="exact"/>
        <w:rPr>
          <w:sz w:val="20"/>
          <w:szCs w:val="20"/>
          <w:color w:val="auto"/>
        </w:rPr>
      </w:pPr>
    </w:p>
    <w:p>
      <w:pPr>
        <w:jc w:val="both"/>
        <w:ind w:left="660" w:right="1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38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7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2021</w:t>
      </w:r>
    </w:p>
    <w:p>
      <w:pPr>
        <w:spacing w:after="0" w:line="18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WILLIAM J.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14605</wp:posOffset>
            </wp:positionV>
            <wp:extent cx="25888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William J. Burke</w:t>
      </w:r>
    </w:p>
    <w:p>
      <w:pPr>
        <w:spacing w:after="0" w:line="5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Executive Vice President – Chief Financial Officer</w:t>
      </w:r>
    </w:p>
    <w:p>
      <w:pPr>
        <w:sectPr>
          <w:pgSz w:w="11900" w:h="16838" w:orient="portrait"/>
          <w:cols w:equalWidth="0" w:num="1">
            <w:col w:w="11240"/>
          </w:cols>
          <w:pgMar w:left="320" w:top="999"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In connection with the Quarterly Report of AMETEK, Inc. (the “Company”) on Form 10-Q for the quarter ended September 30, 2021 as filed with the Securities and Exchange Commission on the date hereof (the “Report”), I, David A. Zapico, Chairman of the Board and Chief Executive Officer of the Company, certify, pursuant to 18 U.S.C. Section 1350, as adopted pursuant to Section 906 of the Sarbanes-Oxley Act of 2002, that:</w:t>
      </w:r>
    </w:p>
    <w:p>
      <w:pPr>
        <w:spacing w:after="0" w:line="4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w:t>
      </w:r>
      <w:r>
        <w:rPr>
          <w:rFonts w:ascii="Arial" w:cs="Arial" w:eastAsia="Arial" w:hAnsi="Arial"/>
          <w:sz w:val="16"/>
          <w:szCs w:val="16"/>
          <w:color w:val="auto"/>
        </w:rPr>
        <w:t>AVID</w:t>
      </w:r>
      <w:r>
        <w:rPr>
          <w:rFonts w:ascii="Arial" w:cs="Arial" w:eastAsia="Arial" w:hAnsi="Arial"/>
          <w:sz w:val="18"/>
          <w:szCs w:val="18"/>
          <w:color w:val="auto"/>
        </w:rPr>
        <w:t xml:space="preserve"> A. Z</w:t>
      </w:r>
      <w:r>
        <w:rPr>
          <w:rFonts w:ascii="Arial" w:cs="Arial" w:eastAsia="Arial" w:hAnsi="Arial"/>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800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A. Zapico</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the Board and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2021</w:t>
      </w:r>
    </w:p>
    <w:p>
      <w:pPr>
        <w:spacing w:after="0" w:line="200" w:lineRule="exact"/>
        <w:rPr>
          <w:sz w:val="20"/>
          <w:szCs w:val="20"/>
          <w:color w:val="auto"/>
        </w:rPr>
      </w:pPr>
    </w:p>
    <w:p>
      <w:pPr>
        <w:spacing w:after="0" w:line="26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AMETEK, Inc. and will be retained by AMETEK, Inc. and furnished to the Securities and Exchange Commission or its staff upon request.</w:t>
      </w:r>
    </w:p>
    <w:p>
      <w:pPr>
        <w:sectPr>
          <w:pgSz w:w="11900" w:h="16838" w:orient="portrait"/>
          <w:cols w:equalWidth="0" w:num="1">
            <w:col w:w="11240"/>
          </w:cols>
          <w:pgMar w:left="320" w:top="999"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0"/>
        <w:spacing w:after="0" w:line="311" w:lineRule="auto"/>
        <w:rPr>
          <w:sz w:val="20"/>
          <w:szCs w:val="20"/>
          <w:color w:val="auto"/>
        </w:rPr>
      </w:pPr>
      <w:r>
        <w:rPr>
          <w:rFonts w:ascii="Arial" w:cs="Arial" w:eastAsia="Arial" w:hAnsi="Arial"/>
          <w:sz w:val="16"/>
          <w:szCs w:val="16"/>
          <w:color w:val="auto"/>
        </w:rPr>
        <w:t>In connection with the Quarterly Report of AMETEK, Inc. (the “Company”) on Form 10-Q for the quarter ended September 30, 2021 as filed with the Securities and Exchange Commission on the date hereof (the “Report”), I, William J. Burke, Executive Vice President – Chief Financial Officer of the Company, certify, pursuant to 18 U.S.C. Section 1350, as adopted pursuant to Section 906 of the Sarbanes-Oxley Act of 2002, that:</w:t>
      </w:r>
    </w:p>
    <w:p>
      <w:pPr>
        <w:spacing w:after="0" w:line="41"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w:t>
      </w:r>
      <w:r>
        <w:rPr>
          <w:rFonts w:ascii="Arial" w:cs="Arial" w:eastAsia="Arial" w:hAnsi="Arial"/>
          <w:sz w:val="16"/>
          <w:szCs w:val="16"/>
          <w:color w:val="auto"/>
        </w:rPr>
        <w:t>ILLIAM</w:t>
      </w:r>
      <w:r>
        <w:rPr>
          <w:rFonts w:ascii="Arial" w:cs="Arial" w:eastAsia="Arial" w:hAnsi="Arial"/>
          <w:sz w:val="18"/>
          <w:szCs w:val="18"/>
          <w:color w:val="auto"/>
        </w:rPr>
        <w:t xml:space="preserve"> J. B</w:t>
      </w:r>
      <w:r>
        <w:rPr>
          <w:rFonts w:ascii="Arial" w:cs="Arial" w:eastAsia="Arial" w:hAnsi="Arial"/>
          <w:sz w:val="16"/>
          <w:szCs w:val="16"/>
          <w:color w:val="auto"/>
        </w:rPr>
        <w:t>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800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J. Burke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2021</w:t>
      </w:r>
    </w:p>
    <w:p>
      <w:pPr>
        <w:spacing w:after="0" w:line="200" w:lineRule="exact"/>
        <w:rPr>
          <w:sz w:val="20"/>
          <w:szCs w:val="20"/>
          <w:color w:val="auto"/>
        </w:rPr>
      </w:pPr>
    </w:p>
    <w:p>
      <w:pPr>
        <w:spacing w:after="0" w:line="26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AMETEK, Inc. and will be retained by AMETEK, Inc. and furnished to the Securities and Exchange Commission or its staff upon request.</w:t>
      </w:r>
    </w:p>
    <w:sectPr>
      <w:pgSz w:w="11900" w:h="16838" w:orient="portrait"/>
      <w:cols w:equalWidth="0" w:num="1">
        <w:col w:w="11240"/>
      </w:cols>
      <w:pgMar w:left="320" w:top="9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2021-11-02T12:54:14Z</dcterms:created>
  <dcterms:modified xsi:type="dcterms:W3CDTF">2021-11-02T12:54:14Z</dcterms:modified>
</cp:coreProperties>
</file>