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July 30, 2024 was 231,535,965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18"/>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3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and six months ended June 30, 2024 and 2023</w:t>
            </w:r>
          </w:p>
        </w:tc>
        <w:tc>
          <w:tcPr>
            <w:tcW w:w="29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and six months ended June 30, 2024 and 2023</w:t>
            </w:r>
          </w:p>
        </w:tc>
        <w:tc>
          <w:tcPr>
            <w:tcW w:w="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 at June 30, 2024 and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 of Stockholders’ Equity for the three and six months ended June 30, 2024 and 2023</w:t>
            </w:r>
          </w:p>
        </w:tc>
        <w:tc>
          <w:tcPr>
            <w:tcW w:w="198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six months ended June 30, 2024 and 2023</w:t>
            </w:r>
          </w:p>
        </w:tc>
        <w:tc>
          <w:tcPr>
            <w:tcW w:w="2520" w:type="dxa"/>
            <w:vAlign w:val="bottom"/>
            <w:gridSpan w:val="3"/>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9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66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808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50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1,734,834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1,646,111</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3,471,014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3,243,228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1,110,425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1,053,190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2,255,106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2,075,715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176,895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351,178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343,181</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1,287,320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1,227,320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2,606,284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2,418,896</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447,514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418,791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864,730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824,332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(30,590)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417,010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396,384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798,339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775,983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79,327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149,713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146,029</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324,242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648,626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629,954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231,437</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230,478</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231,267</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230,302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232,304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0.28</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0.56</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Comprehensive Income</w:t>
      </w:r>
    </w:p>
    <w:p>
      <w:pPr>
        <w:spacing w:after="0" w:line="2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4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28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325,618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350,692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611,175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682,903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396,573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409,804</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976,442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1,012,932</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1,101,719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1,132,471</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292,510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269,461</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2,824,668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891,293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6,453,513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6,447,629</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4,013,096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4,165,317</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482,967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464,903</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14,795,866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15,023,533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827,967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1,417,915</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510,457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516,588</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378,256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375,513</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69,567</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439,714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502,990</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2,203,047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2,882,573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1,895,432</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819,233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836,695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697,772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678,642</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5,543,462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6,293,342</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1,168,694</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10,459,556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9,940,343</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(484,942)</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(1,897,889)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(1,896,613)</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9,252,404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8,730,191</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14,795,866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15,023,533</w:t>
            </w: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2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Shares issued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1,094,236</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1,210,414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1,210,414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1,123,920</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10,186,621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9,105,705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9,940,343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8,857,485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337,683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648,626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629,954</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(129,411)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10,459,556</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9,372,368</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10,459,556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9,372,368</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(368,124)</w:t>
            </w:r>
          </w:p>
        </w:tc>
        <w:tc>
          <w:tcPr>
            <w:tcW w:w="0" w:type="dxa"/>
            <w:vAlign w:val="bottom"/>
          </w:tcPr>
          <w:p>
            <w:pPr>
              <w:spacing w:after="0"/>
              <w:rPr>
                <w:sz w:val="1"/>
                <w:szCs w:val="1"/>
                <w:color w:val="auto"/>
              </w:rPr>
            </w:pPr>
          </w:p>
        </w:tc>
      </w:tr>
      <w:tr>
        <w:trPr>
          <w:trHeight w:val="229"/>
        </w:trPr>
        <w:tc>
          <w:tcPr>
            <w:tcW w:w="6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investment hedge instruments gain (loss), net of tax of $(930) and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$2,317 for the quarter ended June 30, 2024 and 2023, and $(4,917) and</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$6,122 for the six months ended June 30, 2024 and 2023, respectively</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(318,359)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(318,359)</w:t>
            </w:r>
          </w:p>
        </w:tc>
        <w:tc>
          <w:tcPr>
            <w:tcW w:w="0" w:type="dxa"/>
            <w:vAlign w:val="bottom"/>
          </w:tcPr>
          <w:p>
            <w:pPr>
              <w:spacing w:after="0"/>
              <w:rPr>
                <w:sz w:val="1"/>
                <w:szCs w:val="1"/>
                <w:color w:val="auto"/>
              </w:rPr>
            </w:pPr>
          </w:p>
        </w:tc>
      </w:tr>
      <w:tr>
        <w:trPr>
          <w:trHeight w:val="20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(206,821)</w:t>
            </w: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and other, net of tax of $(365) and $(518)</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for the quarter ended June 30, 2024 and 2023 and $(730) and $(1,036) for</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the six months ended June 30, 2024 and 2023 , respectively</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(183,787)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(183,787)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(203,637)</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Accumulated other comprehensive loss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(521,996)</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(1,902,964)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(1,897,889)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(1,895,628)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(1,897,889)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(1,895,628)</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9,252,404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8,081,371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9,252,404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8,081,371</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648,626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629,954</w:t>
            </w: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196,681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163,935</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(38,144)</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Gain on sale of facilities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(51,627)</w:t>
            </w:r>
          </w:p>
        </w:tc>
      </w:tr>
      <w:tr>
        <w:trPr>
          <w:trHeight w:val="229"/>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3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791,662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721,783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(47,835)</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(99,266)</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business/investment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(149,987)</w:t>
            </w: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(640,611)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(219,610)</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(115,071)</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29,055</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(751,650)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(317,091)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260,201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345,386</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605,587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June 30, 2024, the consolidated results of its operations for the three and six months ended June 30, 2024 and 2023 and its cash flows for the six months ended June 30, 2024 and 2023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2023 as filed with the U.S. Securities and Exchange Commission.</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requires disclosure of significant segment expenses and other segment items on an annual and interim basis under ASC 280. ASU 2023-07 is effective for annual periods beginning after December 15, 2023, and for interim periods beginning after December 15, 2024. Early adoption is permitted and the amendments in this ASU should be applied on a retrospective basis to all periods presented. The Company has not determined the impact ASU 2023-07 may have on the Company’s financial statement disclosures.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its guidance prospectively with an option for retroactive application to each period in the financial statements. The Company has not determined the impact ASU 2023-09 may have on the Company’s financial statement disclosures.</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June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432,830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398,692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June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443,768</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decrease (increase)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(45,076)</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the Company recognized revenue of $285.5 million and $268.0 million, respectively, that was previously included in the beginning balance of contract liabilities.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June 30, 2024 and December 31, 2023, $47.4 million and $57.3 million of Customer advanced payments (contract liabilities), respectively, were recorded in Other long-term liabilities in the consolidated balance sheets.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June 30, 2024 and December 31, 2023 were $597.7 million and $607.5 million, respectively. Remaining performance obligations represent the transaction price of firm, non-cancelable orders, with expected delivery dates to customers greater than one year from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balance sheet date, for which the performance obligation is unsatisfied or partially unsatisfied. These performance obligations will be substantially satisfied within two to three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and six months ended June 30: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20" w:type="dxa"/>
            <w:vAlign w:val="bottom"/>
          </w:tcPr>
          <w:p>
            <w:pPr>
              <w:spacing w:after="0"/>
              <w:rPr>
                <w:sz w:val="16"/>
                <w:szCs w:val="16"/>
                <w:color w:val="auto"/>
              </w:rPr>
            </w:pPr>
          </w:p>
        </w:tc>
        <w:tc>
          <w:tcPr>
            <w:tcW w:w="2580" w:type="dxa"/>
            <w:vAlign w:val="bottom"/>
            <w:gridSpan w:val="6"/>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00" w:type="dxa"/>
            <w:vAlign w:val="bottom"/>
          </w:tcPr>
          <w:p>
            <w:pPr>
              <w:spacing w:after="0"/>
              <w:rPr>
                <w:sz w:val="16"/>
                <w:szCs w:val="16"/>
                <w:color w:val="auto"/>
              </w:rPr>
            </w:pP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300" w:type="dxa"/>
            <w:vAlign w:val="bottom"/>
          </w:tcPr>
          <w:p>
            <w:pPr>
              <w:spacing w:after="0"/>
              <w:rPr>
                <w:sz w:val="17"/>
                <w:szCs w:val="17"/>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3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342,201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944,878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1,171,574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686,061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1,857,635</w:t>
            </w:r>
          </w:p>
        </w:tc>
      </w:tr>
      <w:tr>
        <w:trPr>
          <w:trHeight w:val="209"/>
        </w:trPr>
        <w:tc>
          <w:tcPr>
            <w:tcW w:w="39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63,514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118,413</w:t>
            </w:r>
          </w:p>
        </w:tc>
      </w:tr>
      <w:tr>
        <w:trPr>
          <w:trHeight w:val="229"/>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235,418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270,670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221,976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492,646</w:t>
            </w:r>
          </w:p>
        </w:tc>
      </w:tr>
      <w:tr>
        <w:trPr>
          <w:trHeight w:val="22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580,035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686,544</w:t>
            </w:r>
          </w:p>
        </w:tc>
      </w:tr>
      <w:tr>
        <w:trPr>
          <w:trHeight w:val="230"/>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112,759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152,724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233,647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82,129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315,776</w:t>
            </w:r>
          </w:p>
        </w:tc>
      </w:tr>
      <w:tr>
        <w:trPr>
          <w:trHeight w:val="22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550,936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789,956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1,138,818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474,561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1,613,379</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1,153,613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581,221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1,734,834</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2,310,392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1,160,622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3,471,014</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$435.6 million and $909.3 million for the three and six months ended June 30, 2024, respectively.</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20" w:type="dxa"/>
            <w:vAlign w:val="bottom"/>
          </w:tcPr>
          <w:p>
            <w:pPr>
              <w:spacing w:after="0"/>
              <w:rPr>
                <w:sz w:val="16"/>
                <w:szCs w:val="16"/>
                <w:color w:val="auto"/>
              </w:rPr>
            </w:pPr>
          </w:p>
        </w:tc>
        <w:tc>
          <w:tcPr>
            <w:tcW w:w="2580" w:type="dxa"/>
            <w:vAlign w:val="bottom"/>
            <w:gridSpan w:val="6"/>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820" w:type="dxa"/>
            <w:vAlign w:val="bottom"/>
          </w:tcPr>
          <w:p>
            <w:pPr>
              <w:spacing w:after="0"/>
              <w:rPr>
                <w:sz w:val="16"/>
                <w:szCs w:val="16"/>
                <w:color w:val="auto"/>
              </w:rPr>
            </w:pPr>
          </w:p>
        </w:tc>
      </w:tr>
      <w:tr>
        <w:trPr>
          <w:trHeight w:val="2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39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EMG</w:t>
            </w: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575,281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284,611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859,892</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1,137,177</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531,730</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1,668,907</w:t>
            </w:r>
          </w:p>
        </w:tc>
      </w:tr>
      <w:tr>
        <w:trPr>
          <w:trHeight w:val="210"/>
        </w:trPr>
        <w:tc>
          <w:tcPr>
            <w:tcW w:w="39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110,652</w:t>
            </w:r>
          </w:p>
        </w:tc>
      </w:tr>
      <w:tr>
        <w:trPr>
          <w:trHeight w:val="229"/>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241,687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266,469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227,683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494,152</w:t>
            </w: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343,389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574,528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678,186</w:t>
            </w:r>
          </w:p>
        </w:tc>
      </w:tr>
      <w:tr>
        <w:trPr>
          <w:trHeight w:val="230"/>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222,531</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291,331</w:t>
            </w:r>
          </w:p>
        </w:tc>
      </w:tr>
      <w:tr>
        <w:trPr>
          <w:trHeight w:val="223"/>
        </w:trPr>
        <w:tc>
          <w:tcPr>
            <w:tcW w:w="3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786,219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1,114,716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1,574,321</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1,646,111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2,251,893</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991,335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3,243,228</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$439.1 million and $873.3 million for the three and six months ended June 30, 2023, respectively.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20" w:type="dxa"/>
            <w:vAlign w:val="bottom"/>
          </w:tcPr>
          <w:p>
            <w:pPr>
              <w:spacing w:after="0"/>
              <w:rPr>
                <w:sz w:val="16"/>
                <w:szCs w:val="16"/>
                <w:color w:val="auto"/>
              </w:rPr>
            </w:pPr>
          </w:p>
        </w:tc>
        <w:tc>
          <w:tcPr>
            <w:tcW w:w="3300" w:type="dxa"/>
            <w:vAlign w:val="bottom"/>
            <w:gridSpan w:val="7"/>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r>
      <w:tr>
        <w:trPr>
          <w:trHeight w:val="2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802,724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802,724</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1,594,262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1,594,262</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505,352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1,023,045</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426,758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426,758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853,707</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1,153,613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581,221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1,734,834</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2,310,392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1,160,622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3,471,014</w:t>
            </w:r>
          </w:p>
        </w:tc>
      </w:tr>
      <w:tr>
        <w:trPr>
          <w:trHeight w:val="21"/>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23"/>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20" w:type="dxa"/>
            <w:vAlign w:val="bottom"/>
          </w:tcPr>
          <w:p>
            <w:pPr>
              <w:spacing w:after="0"/>
              <w:rPr>
                <w:sz w:val="24"/>
                <w:szCs w:val="24"/>
                <w:color w:val="auto"/>
              </w:rPr>
            </w:pPr>
          </w:p>
        </w:tc>
        <w:tc>
          <w:tcPr>
            <w:tcW w:w="3300" w:type="dxa"/>
            <w:vAlign w:val="bottom"/>
            <w:gridSpan w:val="7"/>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r>
      <w:tr>
        <w:trPr>
          <w:trHeight w:val="2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798,667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1,593,100</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951,635</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361,673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698,493</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1,134,646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1,646,111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2,251,893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3,243,228</w:t>
            </w:r>
          </w:p>
        </w:tc>
      </w:tr>
      <w:tr>
        <w:trPr>
          <w:trHeight w:val="21"/>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140"/>
        <w:spacing w:after="0" w:line="289" w:lineRule="auto"/>
        <w:rPr>
          <w:sz w:val="20"/>
          <w:szCs w:val="20"/>
          <w:color w:val="auto"/>
        </w:rPr>
      </w:pPr>
      <w:r>
        <w:rPr>
          <w:rFonts w:ascii="Times New Roman" w:cs="Times New Roman" w:eastAsia="Times New Roman" w:hAnsi="Times New Roman"/>
          <w:sz w:val="18"/>
          <w:szCs w:val="18"/>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20" w:type="dxa"/>
            <w:vAlign w:val="bottom"/>
          </w:tcPr>
          <w:p>
            <w:pPr>
              <w:spacing w:after="0"/>
              <w:rPr>
                <w:sz w:val="16"/>
                <w:szCs w:val="16"/>
                <w:color w:val="auto"/>
              </w:rPr>
            </w:pPr>
          </w:p>
        </w:tc>
        <w:tc>
          <w:tcPr>
            <w:tcW w:w="3300" w:type="dxa"/>
            <w:vAlign w:val="bottom"/>
            <w:gridSpan w:val="7"/>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r>
      <w:tr>
        <w:trPr>
          <w:trHeight w:val="23"/>
        </w:trPr>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925,932</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493,999</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1,419,931</w:t>
            </w:r>
          </w:p>
        </w:tc>
        <w:tc>
          <w:tcPr>
            <w:tcW w:w="2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1,871,930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997,584</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2,869,514</w:t>
            </w:r>
          </w:p>
        </w:tc>
      </w:tr>
      <w:tr>
        <w:trPr>
          <w:trHeight w:val="238"/>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227,681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314,903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438,462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163,038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601,500</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1,153,613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581,221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1,734,834</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2,310,392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1,160,622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3,471,014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37"/>
        </w:trPr>
        <w:tc>
          <w:tcPr>
            <w:tcW w:w="22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20" w:type="dxa"/>
            <w:vAlign w:val="bottom"/>
          </w:tcPr>
          <w:p>
            <w:pPr>
              <w:spacing w:after="0"/>
              <w:rPr>
                <w:sz w:val="24"/>
                <w:szCs w:val="24"/>
                <w:color w:val="auto"/>
              </w:rPr>
            </w:pPr>
          </w:p>
        </w:tc>
        <w:tc>
          <w:tcPr>
            <w:tcW w:w="3300" w:type="dxa"/>
            <w:vAlign w:val="bottom"/>
            <w:gridSpan w:val="7"/>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r>
      <w:tr>
        <w:trPr>
          <w:trHeight w:val="23"/>
        </w:trPr>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-1124585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-833120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1,400,552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2,749,461</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245,559</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493,767</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1,646,111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3,243,228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2024, the Company had $976.4 million of accounts receivable, net of allowances of $14.3 million. Changes in the allowance were not material for the three and six months ended June 30, 2024.</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80" w:type="dxa"/>
            <w:vAlign w:val="bottom"/>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231,437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231,267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230,302</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232,304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231,261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232,170</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231,245</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diluted earnings per share for the three and six months ended June 30, 2024 excluded an immaterial number of stock options because the exercise prices of these stock options exceeded the average market price of the Company’s common shares, and the effect of their inclusion would have been antidilutive. There were no antidilutive shares for the three and six months ended June 30, 2023.</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measure assets and liabilities at fair value. A financial asset or liability’s classification within the hierarchy is determined based on the lowest level input that is significant to the fair value measurement.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12,018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12,018</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(276)</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32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86"/>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11,922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11,922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2,035</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2,035</w:t>
            </w:r>
          </w:p>
        </w:tc>
        <w:tc>
          <w:tcPr>
            <w:tcW w:w="32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is based on quoted market prices. The mutual fund investments are shown as a component of investments and other assets on the consolidated balance sheet.</w:t>
      </w:r>
    </w:p>
    <w:p>
      <w:pPr>
        <w:spacing w:after="0" w:line="162"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gains and losses on the investments noted above were not significant. No transfers between level 1 and level 2 investments occurred during the six months ended June 30, 2024 and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June 30, 2024, the Company had a Euro forward contract for a total notional value of 60.0 million Euros. The foreign currency forward contract is valued as a level 2 liability as it is corroborated by foreign currency exchange rates and shown as a component of other current liabilities on the consolidated balance sheet. For the six months ended June 30, 2024, realized and unrealized gains and losses on the foreign currency forward contracts were not significant.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June 30, 2024 and December 31, 2023 in the accompanying consolidated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June 30, 2024 and December 31,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6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40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4"/>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7"/>
                <w:szCs w:val="17"/>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(2,175,213)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(2,068,035)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(2,197,538)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(2,087,607)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June 30, 2024,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 translation gains or losses on the net investment due to changes in the British pound and Euro exchange rates. These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June 30, 2024, the Company had $284.3 million of British-pound-denominated loans, which were designated as a hedge against the net investment in British pound functional currency foreign subsidiaries. At June 30, 2024, the Company had $545.4 million in Euro-denominated loans, which were designated as a hedge against the net investment in Euro functional currency foreign subsidiaries. As a result of the British-pound- and Euro-denominated loans designated and 100% effective as net investment hedges, $20.0 million of pre-tax currency remeasurement gains have been included in the foreign currency translation component of other comprehensive income for the six months ended June 30, 2024.</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179,778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781,713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830,554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1,101,719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1,132,471</w:t>
            </w: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six months ended June 30, 2024 and 2023. The Company's leases have a weighted average remaining lease term of approximately 7 years. Certain lease agreements contain provisions for future rent increases.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58,713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61,055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182,436</w:t>
            </w: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231,259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243,491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94"/>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June 30, 2024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4"/>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160" w:type="dxa"/>
            <w:vAlign w:val="bottom"/>
          </w:tcPr>
          <w:p>
            <w:pPr>
              <w:spacing w:after="0"/>
              <w:rPr>
                <w:sz w:val="24"/>
                <w:szCs w:val="24"/>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9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52,822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43,098</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23,314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79,249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259,374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28,115</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initial accounting for the December 2023 Paragon Medical acquisition is being finalized, including the measurement of the acquired tangible and intangible assets and liabilities, as well as, the associated income tax considerations. Amounts for fixed assets, intangibles, and income taxes could change, potentially materially, as there is significant additional information that the Company must obtain to finalize the valuations of the assets acquired and liabilities assumed, and to finalize the value of the intangible assets.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its measurements of tangible and intangible assets and liabilities for its August 2023 acquisition of United Electronic Industries, which had no material impact to the consolidated statement of income and balance sheet. The Company is in the process of finalizing the accounting for income taxes for its October 2023 acquisition of Amplifier Research Corp.</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4,365.0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6,447.6</w:t>
            </w: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4,370.9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6,453.5</w:t>
            </w:r>
          </w:p>
        </w:tc>
      </w:tr>
      <w:tr>
        <w:trPr>
          <w:trHeight w:val="20"/>
        </w:trPr>
        <w:tc>
          <w:tcPr>
            <w:tcW w:w="6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2024, the Company had gross uncertain tax benefits of $260.9 million, of which $211.2 million, if recognized, would impact the effective tax rate.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0628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28" w:hanging="1028"/>
        <w:spacing w:after="0"/>
        <w:tabs>
          <w:tab w:leader="none" w:pos="10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233.5</w:t>
      </w:r>
    </w:p>
    <w:p>
      <w:pPr>
        <w:spacing w:after="0" w:line="27"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28.8</w:t>
      </w:r>
    </w:p>
    <w:p>
      <w:pPr>
        <w:spacing w:after="0" w:line="22"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68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68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six months ended June 30, 2024 and 2023 were not significant.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June 30, 2024 was 19.0%, compared with 18.2% for the three months ended June 30, 2023. The higher effective tax rate in the second quarter of 2024 is primarily due to higher U.S. taxes on foreign sourced earnings compared to the second quarter of 2023.</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r>
      <w:tr>
        <w:trPr>
          <w:trHeight w:val="195"/>
        </w:trPr>
        <w:tc>
          <w:tcPr>
            <w:tcW w:w="4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5"/>
        </w:trPr>
        <w:tc>
          <w:tcPr>
            <w:tcW w:w="4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13,223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22,164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22,860</w:t>
            </w: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7"/>
                <w:szCs w:val="17"/>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56.42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142.5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1,860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97.05</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129.6</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six months ended June 30, 2024 was $39.6 million. The total fair value of stock options vested during the six months ended June 30, 2024 was $14.7 million. As of June 30, 2024, there was approximately $22.9 million of expected future pre-tax compensation expense related to the 0.7 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6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181.60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132.72</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151.02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six months ended June 30, 2024 was $18.1 million. As of June 30, 2024, there was approximately $38.1 million of expected future pre-tax compensation expense related to the 0.3 million non-vested restricted shares outstanding, which is expected to be recognized over a weighted average period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2024,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121.91</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121.91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149.90</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June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151.06</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there was approximately $13.5 million of expected future pre-tax compensation expense related to the 0.2 million non-vested restricted shares outstanding, which is expected to be recognized over a weighted average period of approximately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1,457</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10,985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24,028</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28,598</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2023, contributions to the Company’s defined benefit pension plans were $2.9 million and $2.9 million, respectively. The Company’s current estimate of 2024 contributions to its worldwide defined benefit pension plans is in line with the range disclosed in Note 12 of the Company’s Annual Report on Form 10-K for the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tab/>
        <w:t>Contingencies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June 30, 2024, the Company is named a Potentially Responsible Party (“PRP”) at 12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June 30, 2024 and December 31, 2023 were $30.6 million and $37.1 million, respectively, for both non-owned and owned sites. For the six months ended June 30, 2024, the Company recorded $4.5 million in reserves. Additionally, the Company spent $11.0 million on environmental matters for the six months ended June 30,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net sales and income by reportable segment and on a consolidated basis: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6"/>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1,153,613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1,134,646</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2,310,392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2,251,893</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511,465</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1,160,622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991,335</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1,734,834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1,646,111</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3,471,014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3,243,228</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5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and income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349,857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307,052</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702,797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616,799</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136,215</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213,793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256,719</w:t>
            </w:r>
          </w:p>
        </w:tc>
      </w:tr>
      <w:tr>
        <w:trPr>
          <w:trHeight w:val="223"/>
        </w:trPr>
        <w:tc>
          <w:tcPr>
            <w:tcW w:w="5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472,959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443,267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916,590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873,518</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Corporate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(49,186)</w:t>
            </w:r>
          </w:p>
        </w:tc>
      </w:tr>
      <w:tr>
        <w:trPr>
          <w:trHeight w:val="22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447,514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418,791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864,730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824,332</w:t>
            </w: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417,010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396,384</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798,339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775,983</w:t>
            </w:r>
          </w:p>
        </w:tc>
      </w:tr>
      <w:tr>
        <w:trPr>
          <w:trHeight w:val="21"/>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quarter ended June 30, 2024, the Company posted record operating income. Contributions from the acquisitions of United Electronic Industries ("UEI") in August 2023, Amplifier Research Corp. ("Amplifier Research") in October 2023, and Paragon Medical ("Paragon") in December 2023, as well as our Operational Excellence initiatives, had a positive impact on the second quarter of 2024 results. In the first quarter of 2024, the Company recorded pre-tax integration costs related to the Paragon acquisition totaling $29.2 million, of which $22.4 million was employee severance. The integration costs reduced net income by $22.2 million. For the first six months of 2024, EMG experienced customer inventory normalization in our automation and engineered solutions core businesses, which we expect will continue through the remainder of 2024. The full year impact of the 2023 acquisitions, including the continued integration of Paragon, and focus on and implementation of our Operational Excellence initiatives are expected to have a positive impact on our 2024 results.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second quarter of 2024 compared with the second quarter of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second quarter of 2024 were $1,734.8 million, an increase of $88.7 million or 5.4%, compared with net sales of $1,646.1 million for the second quarter of 2023. The increase in net sales for the second quarter of 2024 was due to an 8% increase from acquisitions, partially offset by a 2% organic sales decline.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international sales for the second quarter of 2024 were $790.0 million or 45.5% of net sales, an increase of $3.7 million or 0.5%, compared with international sales of $786.2 million or 47.8% of net sales for the second quarter of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second quarter of 2024 were $1,677.2 million, an increase of $22.8 million or 1.4%, compared with $1,654.4 million for the second quarter of 2023. The increase in orders for the second quarter of 2024 was due to a 6% increase from acquisitions, partially offset by 4% organic order decline as well as a 1% unfavorable effect of foreign currency translation. The Company's backlog of unfilled orders at June 30, 2024 was $3,403.0 million, a decrease of $131.1 million or 3.7% compared with $3,534.1 million at December 31, 2023.</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second quarter of 2024 was $1,110.4 million or 64.0% of net sales, an increase of $57.2 million or 5.4%, compared with $1,053.2 million or 64.0% of net sales for the second quarter of 2023. The cost of sales increase was primarily due to the net sales increase discussed above.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Segment operating income for the second quarter of 2024 was $473.0 million, an increase of $29.7 million or 6.7%, compared with segment operating income of $443.3 million for the second quarter of 2023. Segment operating margins, as a percentage of net sales, increased to 27.3% for the second quarter of 2024, compared with 26.9% for the second quarter of 2023. Segment operating margins were negatively impacted in the second quarter of 2024 by the dilutive impact of the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acquisitions. Excluding the dilutive impact of recent acquisitions, segment operating margins increased 190 basis points compared to the second quarter of 2023, due to the continued benefits from the Company's Operational Excellence initiatives.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second quarter of 2024 were $176.9 million or 10.2% of net sales, an increase of $2.8 million or 1.6%, compared with $174.1 million or 10.6% of net sales for the second quarter of 2023. General and administrative expenses for the second quarter of 2024 were $25.4 million, compared with $24.5 million for the second quarter of 2023.</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operating income was a record $447.5 million or 25.8% of net sales for the second quarter of 2024, an increase of $28.7 million or 6.9%, compared with $418.8 million or 25.4% of net sales for the second quarter of 2023. Operating income for the second quarter of 2024 increased primarily to due the sales increase discussed above. Operating margins were negatively impacted in the second quarter of 2024 by the dilutive impact of the 2023 acquisitions. Excluding the dilutive impact of these acquisitions, operating margins increased 180 basis points compared to the second quarter of 2023.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second quarter of 2024 was $30.6 million, an increase of $11.9 million or 63.4%, compared with $18.7 million for the second quarter of 2023. The increase in the second quarter of 2024 is primarily driven by higher borrowings under the revolving credit facility, related to the 2023 acquisitions.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$0.1 million for the second quarter of 2024, compared with $3.7 million of other expense, net for the second quarter of 2023. The increase of $3.8 million of other income in the second quarter of 2024 includes higher pension income of $1.5 million, compared to the second quarter of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second quarter of 2024 was 19.0%, compared with 18.2% for the second quarter of 2023. The higher effective tax rate in the second quarter of 2024 is primarily due to higher U.S. taxes on foreign sourced earnings compared to the second quarter of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second quarter of 2024 was $337.7 million, an increase of $13.5 million or 4.1%, compared with $324.2 million for the second quarter of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second quarter of 2024 were $1.45, an increase of $0.05 or 3.6%, compared with $1.40 per diluted share for the second quarter of 2023.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$1,153.6 million for the second quarter of 2024, an increase of $19.0 million or 1.7%, compared with $1,134.6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quarter of 2023. The net sales increase was due to a 2% increase from the recent acquisitions.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EIG’s operating income was $349.9 million for the second quarter of 2024, an increase of $42.8 million or 13.9%, compared with $307.1 million for the second quarter of 2023. EIG’s operating margins were 30.3% of net sales for the second quarter of 2024, compared with 27.1% for the second quarter of 2023. EIG's operating margins increased in the second quarter of 2024 compared to the second quarter of 2023 due to the sales increase discussed above, as well as continued benefits from the Company's Operational Excellence initiatives.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a record $581.2 million for the second quarter of 2024, an increase of $69.7 million or 13.6%,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$511.5 million for the second quarter of 2023. The net sales increase was due to a 20% increase from the recent acquisitions, partially offset by a 6% organic sales decrease. The organic sales decrease for the second quarter of 2024 is due to customer inventory normalization in our automation and engineered solutions core businesses.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EMG’s operating income was $123.1 million for the second quarter of 2024, a decrease of $13.1 million or 9.6%, compared with $136.2 million for the second quarter of 2023. EMG’s operating margins were 21.2% of net sales for the second quarter of 2024, compared with 26.6% for the second quarter of 2023. EMG's operating income and operating margins were negatively impacted in the second quarter of 2024 by the dilutive impact of the 2023 acquisitions. Excluding the dilutive impact of the 2023 acquisitions, segment operating margins decreased 160 basis points compared to the second quarter of 2023, due to the organic sales decrease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six months of 2024 compared with the first six months of 2023</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first six months of 2024 were $3,471.0 million, an increase of $227.8 million or 7.0%, compared with net sales of $3,243.2 million for the first six months of 2023. The increase in net sales for the first six months of 2024 was due to an 8% increase from acquisitions, partially offset by a 1% organic sales decline.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international sales for the first six months of 2024 were $1,613.4 million or 46.5% of net sales, an increase of $39.1 million or 2.5%, compared with international sales of $1,574.3 million or 48.5% of net sales for the first six months of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first six months of 2024 were $3,339.9 million, a decrease of $126.5 million or 3.6%, compared with $3,466.4 million for the first six months of 2023. The decrease in orders for the first six months of 2024 was due to a 7% organic order decline as well as a 1% unfavorable effect of foreign currency translation, partially offset by a 5% increase from acquisitions. The organic orders decrease for the first six months of 2024 is due to customer inventory normalization in our automation and engineered solutions core businesses.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first six months of 2024 was $2,255.1 million or 65.0% of net sales, an increase of $179.4 million or 8.6%, compared with $2,075.7 million or 64.0% of net sales for the first six months of 2023. The cost of sales increase was primarily due to the net sales increase discussed above.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Segment operating income for the first six months of 2024 was $916.6 million, an increase of $43.1 million or 4.9%, compared with segment operating income of $873.5 million for the first six months of 2023. Segment operating margins, as a percentage of net sales, decreased to 26.4% for the first six months of 2024, compared with 26.9% for the first six months of 2023. Segment operating income and operating margins for the first six months of 2024 included $29.2 million of integration costs related to the Paragon acquisition, which negatively impacted segment operating margins by 80 basis points. Segment operating margins were also negatively impacted in the first six months of 2024 by the dilutive impact of the 2023 acquisitions. Excluding the dilutive impact of the 2023 acquisitions and the Paragon integration costs, segment operating margins increased 190 basis points compared to the first six months of 2023, due to the continued benefits from the Company's Operational Excellence initiatives.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first six months of 2024 were $351.2 million or 10.1% of net sales, an increase of $8.0 million or 2.3%, compared with $343.2 million or 10.6% of net sales for the first six months of 2023. Selling expenses increased primarily due to the net sales increase discussed above. General and administrative expenses for the first six months of 2024 were $51.9 million, compared with $49.2 million for the first six months of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$864.7 million or 24.9% of net sales for the first six months of 2024, an increase of $40.4 million or 4.9%, compared with $824.3 million or 25.4% of net sales for the first six months of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first six months of 2024 was $65.8 million, an increase of $26.5 million or 67.6%, compared with $39.3 million for the first six months of 2023. The increase in the first six months of 2024 is primarily driven by higher borrowings under the revolving credit facility, related to the 2023 acquisitions.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$0.5 million for the first six months of 2024, compared with $9.1 million of other expense, net for the first six months of 2023, an increase of $8.5 million of other income. The first six months of 2024 includes $3.1 million of higher pension income, compared to the first six months of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first six months of 2024 was 18.8%, compared with 18.8% for the first six months of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six months of 2024 was $648.6 million, an increase of $18.7 million or 3.0%, compared with $630.0 million for the first six months of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six months of 2024 were $2.79, an increase of $0.07 or 2.6%, compared with $2.72 per diluted share for the first six months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color w:val="auto"/>
        </w:rPr>
        <w:t>s net sales totaled $2,310.4 million for the first six months of 2024, an increase of $58.5 million or 2.6%, compared with $2,251.9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six months of 2023. The net sales increase was due to a 2% increase from acquisitions.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EIG’s operating income was $702.8 million for the first six months of 2024, an increase of $86.0 million or 13.9%, compared with $616.8 million for the first six months of 2023. EIG’s operating margins were 30.4% of net sales for the first six months of 2024, compared with 27.4% for the first six months of 2023. EIG operating margins increased in the first six months of 2024 compared to the first six months of 2023, due to the increase in net sales discussed above, as well as continued benefits from the Company's Operational Excellence initiatives.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$1,160.6 million for the first six months of 2024, an increase of $169.3 million or 17.1%, compared with $991.3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six months of 2023. The net sales increase was due to a 22% increase from acquisitions, partially offset by a 5% organic sales decrease. The organic sales decrease for the first six months of 2024 is due to customer inventory normalization in our automation and engineered solutions core businesses.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EMG’s operating income was $213.8 million for the first six months of 2024, a decrease of $42.9 million or 16.7%, compared with $256.7 million for the first six months of 2023. EMG’s operating margins were 18.4% of net sales for the first six months of 2024, compared with 25.9% for the first six months of 2023. EMG's operating income and operating margins for the first six months of 2024 included $29.2 million of integration costs related to the Paragon acquisition, which negatively impacted segment operating margins by 250 basis points. Segment operating margins were also negatively impacted in the first six months of 2024 by the dilutive impact of the 2023 acquisitions. Excluding the dilutive impact of the 2023 acquisitions and the Paragon integration costs, segment operating margins decreased 140 basis points compared to the first six months of 2023, due to the organic sales decrease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$791.7 million for the first six months of 2024, an increase of $69.9 million or 9.7%, compared with $721.8 million for the first six months of 2023. The increase in cash provided by operating activities for the first six months of 2024 was primarily due to higher net income, net of noncash depreciation and amortization expense related to recent acquisitions.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$742.6 million for the first six months of 2024, compared with $673.9 million for the first six months of 2023. EBITDA (earnings before interest, income taxes, depreciation and amortization) was $1,057.5 million for the first six months of 2024, compared with $977.3 million for the first six months of 2023. Free cash flow and EBITDA are presented because the Company is aware that they are measures used by third parties in evaluating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totaled $43.5 million for the first six months of 2024, compared with cash used by investing activities of $150.0 million for the first six months of 2023. For the first six months of 2023, the Company paid $99.3 million, net of cash acquired, to purchase Bison Gear &amp; Engineering Corp. Additions to property, plant and equipment totaled $49.1 million for the first six months of 2024, compared with $47.8 million for the first six months of 2023.</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Cash used by financing activities totaled $751.7 million for the first six months of 2024, compared with cash used by financing activities of $317.1 million for the first six months of 2023. At June 30, 2024, total debt, net was $2,651.4 million, compared with $3,313.3 million at December 31, 2023. For the first six months of 2024, total borrowings decreased by $640.6 million compared with a $219.6 million decrease for the first six months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2023. At June 30, 2024, the Company had available borrowing capacity of $2,483.2 million under its revolving credit facility, including the $700 million accordion feature.</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debt-to-capital ratio was 22.3% at June 30, 2024, compared with 27.5% at December 31, 2023. The net debt-to-capital ratio (total debt, net less cash and cash equivalents divided by the sum of net debt and stockholders’ equity) was 19.6% at June 30, 2024, compared with 25.0% at December 31, 2023. The net debt-to-capital ratio is presented because the Company is aware that this measure is used by third parties in evaluating the Company.</w:t>
      </w:r>
    </w:p>
    <w:p>
      <w:pPr>
        <w:spacing w:after="0" w:line="4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financing activities for the first six months of 2024 included cash dividends paid of $129.4 million, compared with $115.1 million for the first six months of 2023. Effective February 9, 2024, the Company’s Board of Directors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approved a 12% increase in the quarterly cash dividend on the Company’s common stock to $0.28 per common share from $0.25 per common share. The Company repurchased $7.6 million of its common stock for the first six months of 2024, compared with $6.5 million for the first six months of 2023. Proceeds from stock option exercises were $34.5 million for the first six months of 2024, compared with $29.1 million for the first six months of 2023.</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six months of 2024, cash and cash equivalents at June 30, 2024 totaled $396.6 million, compared with $409.8 million at December 31, 2023. At June 30, 2024, the Company had $366.9 million in cash outside the United States, compared with $375.9 million at December 31, 2023.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2023. Primary disclosure of the Company’s significant accounting policies is also included in Note 1 to the Consolidated Financial Statements included in Part II, Item 8 of its Annual Report on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June 30, 2024.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June 30,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June 30,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2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to April 30,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808,567,943</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to May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808,535,864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to June 30, 2024</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808,535,864</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0" w:lineRule="auto"/>
        <w:tabs>
          <w:tab w:leader="none" w:pos="5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660" w:hanging="652"/>
        <w:spacing w:after="0" w:line="250" w:lineRule="auto"/>
        <w:tabs>
          <w:tab w:leader="none" w:pos="4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purchased pursuant to the Company’s Board of Directors $1 billion authorization for the repurchase of its common stock announced in May 2022. Such purchases may be effected from time to time in the open market or in private transactions, subject to market conditions and at management’s discretion.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900" w:type="dxa"/>
            <w:vAlign w:val="bottom"/>
            <w:gridSpan w:val="6"/>
            <w:vMerge w:val="restart"/>
          </w:tcPr>
          <w:p>
            <w:pPr>
              <w:ind w:left="3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9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40" w:type="dxa"/>
            <w:vAlign w:val="bottom"/>
            <w:tcBorders>
              <w:top w:val="single" w:sz="8" w:color="auto"/>
            </w:tcBorders>
            <w:gridSpan w:val="5"/>
          </w:tcPr>
          <w:p>
            <w:pPr>
              <w:jc w:val="center"/>
              <w:ind w:left="333"/>
              <w:spacing w:after="0"/>
              <w:rPr>
                <w:rFonts w:ascii="Times New Roman" w:cs="Times New Roman" w:eastAsia="Times New Roman" w:hAnsi="Times New Roman"/>
                <w:sz w:val="18"/>
                <w:szCs w:val="18"/>
                <w:color w:val="0000FF"/>
                <w:w w:val="95"/>
              </w:rPr>
            </w:pPr>
            <w:hyperlink r:id="rId4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7"/>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Credit Agreement, dated May 12, 2022, by and among AMETEK, Inc., the Foreign Subsidiary Borrowers</w:t>
              </w:r>
            </w:hyperlink>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thereto, with the lenders from time to time party thereto and JPMorgan Chase Bank, N.A., as Administrative Agent, and Bank of</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America, N.A., PNC Bank, National Association, Truist Bank and Wells Fargo Bank, National Association, as Co-Syndication</w:t>
              </w:r>
            </w:hyperlink>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Agents.</w:t>
              </w:r>
            </w:hyperlink>
          </w:p>
        </w:tc>
        <w:tc>
          <w:tcPr>
            <w:tcW w:w="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Amended and Restated Credit Agreement, dated June 17, 2024, by and among AMETEK, Inc., the Foreign Subsidiary Borrowers</w:t>
            </w: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thereto, with the lenders from time to time party thereto and JPMorgan Chase Bank, N.A., as Administrative Agent, and Bank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America, N.A., PNC Bank, National Association, Truist Bank and Wells Fargo Bank, National Association, as Co-Syndication</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Agents.</w:t>
            </w:r>
          </w:p>
        </w:tc>
        <w:tc>
          <w:tcPr>
            <w:tcW w:w="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5"/>
          </w:tcPr>
          <w:p>
            <w:pPr>
              <w:jc w:val="center"/>
              <w:ind w:left="333"/>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420" w:type="dxa"/>
            <w:vAlign w:val="bottom"/>
            <w:gridSpan w:val="2"/>
          </w:tcPr>
          <w:p>
            <w:pPr>
              <w:spacing w:after="0"/>
              <w:rPr>
                <w:sz w:val="22"/>
                <w:szCs w:val="22"/>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5"/>
          </w:tcPr>
          <w:p>
            <w:pPr>
              <w:jc w:val="center"/>
              <w:ind w:left="333"/>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3"/>
        </w:trPr>
        <w:tc>
          <w:tcPr>
            <w:tcW w:w="420" w:type="dxa"/>
            <w:vAlign w:val="bottom"/>
            <w:gridSpan w:val="2"/>
          </w:tcPr>
          <w:p>
            <w:pPr>
              <w:spacing w:after="0"/>
              <w:rPr>
                <w:sz w:val="22"/>
                <w:szCs w:val="22"/>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4"/>
        </w:trPr>
        <w:tc>
          <w:tcPr>
            <w:tcW w:w="174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74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M. Montgomery</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 Comptroller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7" w:name="page28"/>
    <w:bookmarkEnd w:id="27"/>
    <w:p>
      <w:pPr>
        <w:ind w:left="832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9"/>
          <w:szCs w:val="19"/>
          <w:b w:val="1"/>
          <w:bCs w:val="1"/>
          <w:color w:val="auto"/>
        </w:rPr>
        <w:t>EXECUTION COPY</w:t>
      </w:r>
    </w:p>
    <w:p>
      <w:pPr>
        <w:spacing w:after="0" w:line="27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AMENDMENT NO. 1</w:t>
      </w:r>
    </w:p>
    <w:p>
      <w:pPr>
        <w:spacing w:after="0" w:line="36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Dated as of June 17, 2024</w:t>
      </w:r>
    </w:p>
    <w:p>
      <w:pPr>
        <w:spacing w:after="0" w:line="9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to</w:t>
      </w:r>
    </w:p>
    <w:p>
      <w:pPr>
        <w:spacing w:after="0" w:line="20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AMENDED AND RESTATED CREDIT AGREEMENT</w:t>
      </w:r>
    </w:p>
    <w:p>
      <w:pPr>
        <w:spacing w:after="0" w:line="25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Dated as of September 22, 2011</w:t>
      </w:r>
    </w:p>
    <w:p>
      <w:pPr>
        <w:spacing w:after="0" w:line="2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as amended and restated as of March 10, 2016</w:t>
      </w:r>
    </w:p>
    <w:p>
      <w:pPr>
        <w:spacing w:after="0" w:line="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as further amended and restated as of October 30, 2018 and as further</w:t>
      </w:r>
    </w:p>
    <w:p>
      <w:pPr>
        <w:spacing w:after="0" w:line="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amended and restated as of May 12, 2022</w:t>
      </w:r>
    </w:p>
    <w:p>
      <w:pPr>
        <w:spacing w:after="0" w:line="241" w:lineRule="exact"/>
        <w:rPr>
          <w:sz w:val="20"/>
          <w:szCs w:val="20"/>
          <w:color w:val="auto"/>
        </w:rPr>
      </w:pPr>
    </w:p>
    <w:p>
      <w:pPr>
        <w:jc w:val="both"/>
        <w:ind w:right="199" w:firstLine="1295"/>
        <w:spacing w:after="0" w:line="251" w:lineRule="auto"/>
        <w:rPr>
          <w:sz w:val="20"/>
          <w:szCs w:val="20"/>
          <w:color w:val="auto"/>
        </w:rPr>
      </w:pPr>
      <w:r>
        <w:rPr>
          <w:rFonts w:ascii="Times New Roman" w:cs="Times New Roman" w:eastAsia="Times New Roman" w:hAnsi="Times New Roman"/>
          <w:sz w:val="20"/>
          <w:szCs w:val="20"/>
          <w:color w:val="auto"/>
        </w:rPr>
        <w:t>THIS AMENDMENT NO. 1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June 17, 2024 by and among AMETEK,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JPMORGAN CHASE BANK, N.A., in its capacity as administrative agent for the Lenders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under that certain Amended and Restated Credit Agreement dated as of September 22, 2011, as amended and restated as of March 10, 2016, as further amended and restated as of October 30, 2018 and as further amended and restated as of May 12, 2022, by and among the Borrowers, the Lenders from time to time party thereto and the Administrative Agent (as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and not otherwise defined herein shall have the respective meanings given to them in the Amended Credit Agreement (as defined below).</w:t>
      </w:r>
    </w:p>
    <w:p>
      <w:pPr>
        <w:spacing w:after="0" w:line="222" w:lineRule="exact"/>
        <w:rPr>
          <w:sz w:val="20"/>
          <w:szCs w:val="20"/>
          <w:color w:val="auto"/>
        </w:rPr>
      </w:pPr>
    </w:p>
    <w:p>
      <w:pPr>
        <w:jc w:val="both"/>
        <w:ind w:right="199" w:firstLine="1296"/>
        <w:spacing w:after="0" w:line="268" w:lineRule="auto"/>
        <w:rPr>
          <w:sz w:val="20"/>
          <w:szCs w:val="20"/>
          <w:color w:val="auto"/>
        </w:rPr>
      </w:pPr>
      <w:r>
        <w:rPr>
          <w:rFonts w:ascii="Times New Roman" w:cs="Times New Roman" w:eastAsia="Times New Roman" w:hAnsi="Times New Roman"/>
          <w:sz w:val="20"/>
          <w:szCs w:val="20"/>
          <w:color w:val="auto"/>
        </w:rPr>
        <w:t>WHEREAS, certain loans, commitments and/or other extensions of credit (the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under the Credit Agreement denominated in Canadian Dollars incur or are permitted to incur interest, fees or other amounts based on CDOR in accordance with the terms of the Credit Agreement;</w:t>
      </w:r>
    </w:p>
    <w:p>
      <w:pPr>
        <w:spacing w:after="0" w:line="202" w:lineRule="exact"/>
        <w:rPr>
          <w:sz w:val="20"/>
          <w:szCs w:val="20"/>
          <w:color w:val="auto"/>
        </w:rPr>
      </w:pPr>
    </w:p>
    <w:p>
      <w:pPr>
        <w:jc w:val="both"/>
        <w:ind w:right="199" w:firstLine="1296"/>
        <w:spacing w:after="0" w:line="261" w:lineRule="auto"/>
        <w:rPr>
          <w:sz w:val="20"/>
          <w:szCs w:val="20"/>
          <w:color w:val="auto"/>
        </w:rPr>
      </w:pPr>
      <w:r>
        <w:rPr>
          <w:rFonts w:ascii="Times New Roman" w:cs="Times New Roman" w:eastAsia="Times New Roman" w:hAnsi="Times New Roman"/>
          <w:sz w:val="20"/>
          <w:szCs w:val="20"/>
          <w:color w:val="auto"/>
        </w:rPr>
        <w:t>WHEREAS, pursuant to Section 2.14(b) of the Credit Agreement, the Administrative Agent and the Company have determined in accordance with the Credit Agreement that CDOR for Canadian Dollars should be replaced with a Benchmark Replacement in accordance with the Credit Agreement;</w:t>
      </w:r>
    </w:p>
    <w:p>
      <w:pPr>
        <w:spacing w:after="0" w:line="208" w:lineRule="exact"/>
        <w:rPr>
          <w:sz w:val="20"/>
          <w:szCs w:val="20"/>
          <w:color w:val="auto"/>
        </w:rPr>
      </w:pPr>
    </w:p>
    <w:p>
      <w:pPr>
        <w:jc w:val="both"/>
        <w:ind w:right="199" w:firstLine="1295"/>
        <w:spacing w:after="0" w:line="261" w:lineRule="auto"/>
        <w:rPr>
          <w:sz w:val="20"/>
          <w:szCs w:val="20"/>
          <w:color w:val="auto"/>
        </w:rPr>
      </w:pPr>
      <w:r>
        <w:rPr>
          <w:rFonts w:ascii="Times New Roman" w:cs="Times New Roman" w:eastAsia="Times New Roman" w:hAnsi="Times New Roman"/>
          <w:sz w:val="20"/>
          <w:szCs w:val="20"/>
          <w:color w:val="auto"/>
        </w:rPr>
        <w:t>WHEREAS, in connection with the implementation of a Benchmark Replacement for CDOR and also as permitted by Section 2.14(c) of the Credit Agreement, the Administrative Agent has determined that certain Benchmark Replacement Conforming Changes are necessary or advisable;</w:t>
      </w:r>
    </w:p>
    <w:p>
      <w:pPr>
        <w:spacing w:after="0" w:line="222" w:lineRule="exact"/>
        <w:rPr>
          <w:sz w:val="20"/>
          <w:szCs w:val="20"/>
          <w:color w:val="auto"/>
        </w:rPr>
      </w:pPr>
    </w:p>
    <w:p>
      <w:pPr>
        <w:jc w:val="both"/>
        <w:ind w:right="199" w:firstLine="1296"/>
        <w:spacing w:after="0" w:line="249" w:lineRule="auto"/>
        <w:rPr>
          <w:sz w:val="20"/>
          <w:szCs w:val="20"/>
          <w:color w:val="auto"/>
        </w:rPr>
      </w:pPr>
      <w:r>
        <w:rPr>
          <w:rFonts w:ascii="Times New Roman" w:cs="Times New Roman" w:eastAsia="Times New Roman" w:hAnsi="Times New Roman"/>
          <w:sz w:val="20"/>
          <w:szCs w:val="20"/>
          <w:color w:val="auto"/>
        </w:rPr>
        <w:t>WHEREAS, such changes shall become effective on July 1, 2024 (the “</w:t>
      </w:r>
      <w:r>
        <w:rPr>
          <w:rFonts w:ascii="Times New Roman" w:cs="Times New Roman" w:eastAsia="Times New Roman" w:hAnsi="Times New Roman"/>
          <w:sz w:val="20"/>
          <w:szCs w:val="20"/>
          <w:u w:val="single" w:color="auto"/>
          <w:color w:val="auto"/>
        </w:rPr>
        <w:t>Conforming Changes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without any further consent of any other party to the Credit Agreement or any other Loan Document so long as the Administrative Agent has not received, prior to 5:00</w:t>
      </w:r>
    </w:p>
    <w:p>
      <w:pPr>
        <w:spacing w:after="0" w:line="2" w:lineRule="exact"/>
        <w:rPr>
          <w:sz w:val="20"/>
          <w:szCs w:val="20"/>
          <w:color w:val="auto"/>
        </w:rPr>
      </w:pPr>
    </w:p>
    <w:p>
      <w:pPr>
        <w:jc w:val="both"/>
        <w:ind w:right="199"/>
        <w:spacing w:after="0" w:line="233" w:lineRule="auto"/>
        <w:rPr>
          <w:sz w:val="20"/>
          <w:szCs w:val="20"/>
          <w:color w:val="auto"/>
        </w:rPr>
      </w:pPr>
      <w:r>
        <w:rPr>
          <w:rFonts w:ascii="Times New Roman" w:cs="Times New Roman" w:eastAsia="Times New Roman" w:hAnsi="Times New Roman"/>
          <w:sz w:val="20"/>
          <w:szCs w:val="20"/>
          <w:color w:val="auto"/>
        </w:rPr>
        <w:t>p.m. (New York City time)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Business Day after the Notice Date (as defined below) (such time, the “</w:t>
      </w:r>
      <w:r>
        <w:rPr>
          <w:rFonts w:ascii="Times New Roman" w:cs="Times New Roman" w:eastAsia="Times New Roman" w:hAnsi="Times New Roman"/>
          <w:sz w:val="20"/>
          <w:szCs w:val="20"/>
          <w:u w:val="single" w:color="auto"/>
          <w:color w:val="auto"/>
        </w:rPr>
        <w:t>Objection Deadline</w:t>
      </w:r>
      <w:r>
        <w:rPr>
          <w:rFonts w:ascii="Times New Roman" w:cs="Times New Roman" w:eastAsia="Times New Roman" w:hAnsi="Times New Roman"/>
          <w:sz w:val="20"/>
          <w:szCs w:val="20"/>
          <w:color w:val="auto"/>
        </w:rPr>
        <w:t>”), written notice of objection to such applicable Benchmark Replacement from Lenders comprising the Required Lenders; and</w:t>
      </w:r>
    </w:p>
    <w:p>
      <w:pPr>
        <w:spacing w:after="0" w:line="230" w:lineRule="exact"/>
        <w:rPr>
          <w:sz w:val="20"/>
          <w:szCs w:val="20"/>
          <w:color w:val="auto"/>
        </w:rPr>
      </w:pPr>
    </w:p>
    <w:p>
      <w:pPr>
        <w:jc w:val="both"/>
        <w:ind w:right="199" w:firstLine="1296"/>
        <w:spacing w:after="0" w:line="261" w:lineRule="auto"/>
        <w:rPr>
          <w:sz w:val="20"/>
          <w:szCs w:val="20"/>
          <w:color w:val="auto"/>
        </w:rPr>
      </w:pPr>
      <w:r>
        <w:rPr>
          <w:rFonts w:ascii="Times New Roman" w:cs="Times New Roman" w:eastAsia="Times New Roman" w:hAnsi="Times New Roman"/>
          <w:sz w:val="20"/>
          <w:szCs w:val="20"/>
          <w:color w:val="auto"/>
        </w:rPr>
        <w:t>WHEREAS, the posting of this Amendment to the Lenders on June 17, 2024 (such date, the “</w:t>
      </w:r>
      <w:r>
        <w:rPr>
          <w:rFonts w:ascii="Times New Roman" w:cs="Times New Roman" w:eastAsia="Times New Roman" w:hAnsi="Times New Roman"/>
          <w:sz w:val="20"/>
          <w:szCs w:val="20"/>
          <w:u w:val="single" w:color="auto"/>
          <w:color w:val="auto"/>
        </w:rPr>
        <w:t>Notice Date</w:t>
      </w:r>
      <w:r>
        <w:rPr>
          <w:rFonts w:ascii="Times New Roman" w:cs="Times New Roman" w:eastAsia="Times New Roman" w:hAnsi="Times New Roman"/>
          <w:sz w:val="20"/>
          <w:szCs w:val="20"/>
          <w:color w:val="auto"/>
        </w:rPr>
        <w:t>”) constitutes the notice contemplated by Section 2.14(b) of the Credit Agreement in respect of the Benchmark Replacement implemented pursuant to this Amendment.</w:t>
      </w:r>
    </w:p>
    <w:p>
      <w:pPr>
        <w:sectPr>
          <w:pgSz w:w="11900" w:h="16838" w:orient="portrait"/>
          <w:cols w:equalWidth="0" w:num="1">
            <w:col w:w="10019"/>
          </w:cols>
          <w:pgMar w:left="440" w:top="1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US-DOCS\150823244.3</w:t>
      </w:r>
    </w:p>
    <w:p>
      <w:pPr>
        <w:sectPr>
          <w:pgSz w:w="11900" w:h="16838" w:orient="portrait"/>
          <w:cols w:equalWidth="0" w:num="1">
            <w:col w:w="10019"/>
          </w:cols>
          <w:pgMar w:left="440" w:top="100" w:right="1440" w:bottom="1440" w:gutter="0" w:footer="0" w:header="0"/>
          <w:type w:val="continuous"/>
        </w:sectPr>
      </w:pPr>
    </w:p>
    <w:bookmarkStart w:id="28" w:name="page29"/>
    <w:bookmarkEnd w:id="28"/>
    <w:p>
      <w:pPr>
        <w:jc w:val="both"/>
        <w:ind w:left="40" w:right="199" w:firstLine="1296"/>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premises set forth above, the terms and conditions contained herein, and other good and valuable consideration, the receipt and sufficiency of which are hereby acknowledged, the Company and the Administrative Agent hereby agree to enter into this Amendment.</w:t>
      </w:r>
    </w:p>
    <w:p>
      <w:pPr>
        <w:spacing w:after="0" w:line="208" w:lineRule="exact"/>
        <w:rPr>
          <w:sz w:val="20"/>
          <w:szCs w:val="20"/>
          <w:color w:val="auto"/>
        </w:rPr>
      </w:pPr>
    </w:p>
    <w:p>
      <w:pPr>
        <w:jc w:val="both"/>
        <w:ind w:left="40" w:right="199" w:firstLine="1291"/>
        <w:spacing w:after="0" w:line="253" w:lineRule="auto"/>
        <w:tabs>
          <w:tab w:leader="none" w:pos="187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 xml:space="preserve">. Effective as of the Conforming Changes Amendment Effective Date, the Credit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b w:val="1"/>
          <w:bCs w:val="1"/>
          <w:u w:val="single" w:color="auto"/>
          <w:color w:val="0000FF"/>
        </w:rPr>
        <w:t>double-underlined text</w:t>
      </w:r>
      <w:r>
        <w:rPr>
          <w:rFonts w:ascii="Times New Roman" w:cs="Times New Roman" w:eastAsia="Times New Roman" w:hAnsi="Times New Roman"/>
          <w:sz w:val="20"/>
          <w:szCs w:val="20"/>
          <w:color w:val="auto"/>
        </w:rPr>
        <w:t xml:space="preserve">) as set forth in the pages of the Credit Agreement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(the Credit Agreement as so amended,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299" w:lineRule="exact"/>
        <w:rPr>
          <w:rFonts w:ascii="Times New Roman" w:cs="Times New Roman" w:eastAsia="Times New Roman" w:hAnsi="Times New Roman"/>
          <w:sz w:val="20"/>
          <w:szCs w:val="20"/>
          <w:color w:val="auto"/>
        </w:rPr>
      </w:pPr>
    </w:p>
    <w:p>
      <w:pPr>
        <w:ind w:left="40" w:right="199" w:firstLine="1292"/>
        <w:spacing w:after="0" w:line="283" w:lineRule="auto"/>
        <w:tabs>
          <w:tab w:leader="none" w:pos="187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Effectiveness</w:t>
      </w:r>
      <w:r>
        <w:rPr>
          <w:rFonts w:ascii="Times New Roman" w:cs="Times New Roman" w:eastAsia="Times New Roman" w:hAnsi="Times New Roman"/>
          <w:sz w:val="20"/>
          <w:szCs w:val="20"/>
          <w:color w:val="auto"/>
        </w:rPr>
        <w:t>. The effectiveness of this Amendment is subject to the satisfaction of the following conditions precedent (the date of such satisfaction,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w:t>
      </w:r>
    </w:p>
    <w:p>
      <w:pPr>
        <w:spacing w:after="0" w:line="268" w:lineRule="exact"/>
        <w:rPr>
          <w:sz w:val="20"/>
          <w:szCs w:val="20"/>
          <w:color w:val="auto"/>
        </w:rPr>
      </w:pPr>
    </w:p>
    <w:p>
      <w:pPr>
        <w:jc w:val="both"/>
        <w:ind w:left="40" w:right="199" w:firstLine="1291"/>
        <w:spacing w:after="0" w:line="261" w:lineRule="auto"/>
        <w:tabs>
          <w:tab w:leader="none" w:pos="186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counterparts (or written evidence reasonably satisfactory to the Administrative Agent that such party has signed a counterpart) of this Amendment duly executed by the Company and the Administrative Agent.</w:t>
      </w:r>
    </w:p>
    <w:p>
      <w:pPr>
        <w:spacing w:after="0" w:line="208" w:lineRule="exact"/>
        <w:rPr>
          <w:rFonts w:ascii="Times New Roman" w:cs="Times New Roman" w:eastAsia="Times New Roman" w:hAnsi="Times New Roman"/>
          <w:sz w:val="20"/>
          <w:szCs w:val="20"/>
          <w:color w:val="auto"/>
        </w:rPr>
      </w:pPr>
    </w:p>
    <w:p>
      <w:pPr>
        <w:jc w:val="both"/>
        <w:ind w:left="40" w:right="199" w:firstLine="1291"/>
        <w:spacing w:after="0" w:line="268" w:lineRule="auto"/>
        <w:tabs>
          <w:tab w:leader="none" w:pos="1863"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have received, by the Objection Deadline, written notice of objection to the applicable Benchmark Replacement or the amendments to the Credit Agreement as provided herein from Lenders comprising the Required Lenders.</w:t>
      </w:r>
    </w:p>
    <w:p>
      <w:pPr>
        <w:spacing w:after="0" w:line="201" w:lineRule="exact"/>
        <w:rPr>
          <w:rFonts w:ascii="Times New Roman" w:cs="Times New Roman" w:eastAsia="Times New Roman" w:hAnsi="Times New Roman"/>
          <w:sz w:val="20"/>
          <w:szCs w:val="20"/>
          <w:color w:val="auto"/>
        </w:rPr>
      </w:pPr>
    </w:p>
    <w:p>
      <w:pPr>
        <w:jc w:val="both"/>
        <w:ind w:left="40" w:right="199" w:firstLine="1291"/>
        <w:spacing w:after="0" w:line="267" w:lineRule="auto"/>
        <w:tabs>
          <w:tab w:leader="none" w:pos="1866"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payment of the Administrative Agent’s and its affiliates’ fees and reasonable and documented out-of-pocket expenses (including reasonable and documented fees, charges and expenses of counsel for the Administrative Agent) for which invoices have been provided to the Company at least two</w:t>
      </w:r>
    </w:p>
    <w:p>
      <w:pPr>
        <w:spacing w:after="0" w:line="1" w:lineRule="exact"/>
        <w:rPr>
          <w:rFonts w:ascii="Times New Roman" w:cs="Times New Roman" w:eastAsia="Times New Roman" w:hAnsi="Times New Roman"/>
          <w:sz w:val="19"/>
          <w:szCs w:val="19"/>
          <w:color w:val="auto"/>
        </w:rPr>
      </w:pPr>
    </w:p>
    <w:p>
      <w:pPr>
        <w:ind w:left="40" w:right="199" w:hanging="5"/>
        <w:spacing w:after="0" w:line="253" w:lineRule="auto"/>
        <w:tabs>
          <w:tab w:leader="none" w:pos="36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prior to the Amendment Effective Date in connection with this Amendment and the other Loan Documents to the extent provided for in Section 9.03 of the Amended Credit Agreement.</w:t>
      </w:r>
    </w:p>
    <w:p>
      <w:pPr>
        <w:spacing w:after="0" w:line="215" w:lineRule="exact"/>
        <w:rPr>
          <w:rFonts w:ascii="Times New Roman" w:cs="Times New Roman" w:eastAsia="Times New Roman" w:hAnsi="Times New Roman"/>
          <w:sz w:val="20"/>
          <w:szCs w:val="20"/>
          <w:color w:val="auto"/>
        </w:rPr>
      </w:pPr>
    </w:p>
    <w:p>
      <w:pPr>
        <w:ind w:left="1880" w:hanging="548"/>
        <w:spacing w:after="0"/>
        <w:tabs>
          <w:tab w:leader="none" w:pos="188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The Company hereby represents and warrants as</w:t>
      </w:r>
    </w:p>
    <w:p>
      <w:pPr>
        <w:spacing w:after="0" w:line="28" w:lineRule="exact"/>
        <w:rPr>
          <w:rFonts w:ascii="Times New Roman" w:cs="Times New Roman" w:eastAsia="Times New Roman" w:hAnsi="Times New Roman"/>
          <w:sz w:val="20"/>
          <w:szCs w:val="20"/>
          <w:color w:val="auto"/>
        </w:rPr>
      </w:pPr>
    </w:p>
    <w:p>
      <w:pPr>
        <w:ind w:left="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240" w:lineRule="exact"/>
        <w:rPr>
          <w:rFonts w:ascii="Times New Roman" w:cs="Times New Roman" w:eastAsia="Times New Roman" w:hAnsi="Times New Roman"/>
          <w:sz w:val="20"/>
          <w:szCs w:val="20"/>
          <w:color w:val="auto"/>
        </w:rPr>
      </w:pPr>
    </w:p>
    <w:p>
      <w:pPr>
        <w:jc w:val="both"/>
        <w:ind w:left="40" w:right="199" w:firstLine="1292"/>
        <w:spacing w:after="0" w:line="261" w:lineRule="auto"/>
        <w:tabs>
          <w:tab w:leader="none" w:pos="186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Amended Credit Agreement are within each Borrower’s organizational powers and have been duly authorized by all necessary organizational actions and, if required, actions by equity holders, and this Amendment has been duly executed and delivered by the Company.</w:t>
      </w:r>
    </w:p>
    <w:p>
      <w:pPr>
        <w:spacing w:after="0" w:line="221" w:lineRule="exact"/>
        <w:rPr>
          <w:rFonts w:ascii="Times New Roman" w:cs="Times New Roman" w:eastAsia="Times New Roman" w:hAnsi="Times New Roman"/>
          <w:sz w:val="20"/>
          <w:szCs w:val="20"/>
          <w:color w:val="auto"/>
        </w:rPr>
      </w:pPr>
    </w:p>
    <w:p>
      <w:pPr>
        <w:jc w:val="both"/>
        <w:ind w:left="40" w:right="199" w:firstLine="1292"/>
        <w:spacing w:after="0" w:line="258" w:lineRule="auto"/>
        <w:tabs>
          <w:tab w:leader="none" w:pos="186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Amended Credit Agreement constitute legal, valid and binding obligations of each Borrower, enforceable in accordance with their respective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059"/>
          </w:cols>
          <w:pgMar w:left="400" w:top="1413" w:right="1440" w:bottom="1440" w:gutter="0" w:footer="0" w:header="0"/>
        </w:sectPr>
      </w:pPr>
    </w:p>
    <w:bookmarkStart w:id="29" w:name="page30"/>
    <w:bookmarkEnd w:id="29"/>
    <w:p>
      <w:pPr>
        <w:ind w:left="482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40" w:right="199" w:firstLine="1291"/>
        <w:spacing w:after="0" w:line="251" w:lineRule="auto"/>
        <w:tabs>
          <w:tab w:leader="none" w:pos="186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and after giving effect to the terms of this Amendment, (i) no Default or Event of Default has occurred and is continuing and (ii) the representations and warranties of each Borrower set forth in the Amended Credit Agreement are true and correct in all material respects (or, in the case of any representation or warranty qualified by materiality or Material Adverse Effect, in all respects) (except to the extent any such representation or warranty expressly relates to any earlier and/or specific date, in which case such representation and warranty shall be true and correct in all material respects (or, in the case of any representation or warranty qualified by materiality or Material Adverse Effect, in all respects) as of such earlier and/or specific date).</w:t>
      </w:r>
    </w:p>
    <w:p>
      <w:pPr>
        <w:spacing w:after="0" w:line="220" w:lineRule="exact"/>
        <w:rPr>
          <w:sz w:val="20"/>
          <w:szCs w:val="20"/>
          <w:color w:val="auto"/>
        </w:rPr>
      </w:pPr>
    </w:p>
    <w:p>
      <w:pPr>
        <w:ind w:left="1980" w:hanging="649"/>
        <w:spacing w:after="0"/>
        <w:tabs>
          <w:tab w:leader="none" w:pos="1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Credit Agreement</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both"/>
        <w:ind w:left="40" w:right="199" w:firstLine="1291"/>
        <w:spacing w:after="0" w:line="254" w:lineRule="auto"/>
        <w:tabs>
          <w:tab w:leader="none" w:pos="186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227" w:lineRule="exact"/>
        <w:rPr>
          <w:rFonts w:ascii="Times New Roman" w:cs="Times New Roman" w:eastAsia="Times New Roman" w:hAnsi="Times New Roman"/>
          <w:sz w:val="20"/>
          <w:szCs w:val="20"/>
          <w:color w:val="auto"/>
        </w:rPr>
      </w:pPr>
    </w:p>
    <w:p>
      <w:pPr>
        <w:jc w:val="both"/>
        <w:ind w:left="40" w:right="199" w:firstLine="1291"/>
        <w:spacing w:after="0" w:line="253" w:lineRule="auto"/>
        <w:tabs>
          <w:tab w:leader="none" w:pos="186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for itself and on behalf of each Borrower, consents to this Amendment and reaffirms the terms and conditions of the Amended Credit Agreement and any other Loan Document executed by it and acknowledges and agrees that such Amended Credit Agreement and each and every such Loan Document executed by such Borrower in connection with the Amended Credit Agreement remains in full force and effect and is hereby reaffirmed, ratified and confirmed.</w:t>
      </w:r>
    </w:p>
    <w:p>
      <w:pPr>
        <w:spacing w:after="0" w:line="218" w:lineRule="exact"/>
        <w:rPr>
          <w:rFonts w:ascii="Times New Roman" w:cs="Times New Roman" w:eastAsia="Times New Roman" w:hAnsi="Times New Roman"/>
          <w:sz w:val="20"/>
          <w:szCs w:val="20"/>
          <w:color w:val="auto"/>
        </w:rPr>
      </w:pPr>
    </w:p>
    <w:p>
      <w:pPr>
        <w:jc w:val="both"/>
        <w:ind w:left="40" w:right="199" w:firstLine="1291"/>
        <w:spacing w:after="0" w:line="258" w:lineRule="auto"/>
        <w:tabs>
          <w:tab w:leader="none" w:pos="186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the Administrative Agent or the Lenders, nor constitute a waiver of any provision of the Credit Agreement, the other Loan Documents or any other documents, instruments and agreements executed and/or delivered in connection therewith.</w:t>
      </w:r>
    </w:p>
    <w:p>
      <w:pPr>
        <w:spacing w:after="0" w:line="212" w:lineRule="exact"/>
        <w:rPr>
          <w:rFonts w:ascii="Times New Roman" w:cs="Times New Roman" w:eastAsia="Times New Roman" w:hAnsi="Times New Roman"/>
          <w:sz w:val="20"/>
          <w:szCs w:val="20"/>
          <w:color w:val="auto"/>
        </w:rPr>
      </w:pPr>
    </w:p>
    <w:p>
      <w:pPr>
        <w:ind w:left="1860" w:hanging="529"/>
        <w:spacing w:after="0"/>
        <w:tabs>
          <w:tab w:leader="none" w:pos="186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 under (and as defined in) the Amended Credit Agreement.</w:t>
      </w:r>
    </w:p>
    <w:p>
      <w:pPr>
        <w:spacing w:after="0" w:line="269" w:lineRule="exact"/>
        <w:rPr>
          <w:rFonts w:ascii="Times New Roman" w:cs="Times New Roman" w:eastAsia="Times New Roman" w:hAnsi="Times New Roman"/>
          <w:sz w:val="20"/>
          <w:szCs w:val="20"/>
          <w:color w:val="auto"/>
        </w:rPr>
      </w:pPr>
    </w:p>
    <w:p>
      <w:pPr>
        <w:jc w:val="both"/>
        <w:ind w:left="40" w:right="199" w:firstLine="1290"/>
        <w:spacing w:after="0" w:line="263" w:lineRule="auto"/>
        <w:tabs>
          <w:tab w:leader="none" w:pos="187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This Amendment shall be construed in accordance with and governed by the law of the State of New York.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Amendment, the Amended Credit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Amendment, the Amended Credit Agreement or in any other Loan Document shall affect any right that the Administrative Agent, any Issuing Bank or any Lender may otherwise have to bring any action or proceeding relating to this Amendment, the Amended Credit Agreement or any other Loan Document against any Borrower or its properties in the courts of any jurisdiction.</w:t>
      </w:r>
    </w:p>
    <w:p>
      <w:pPr>
        <w:spacing w:after="0" w:line="215" w:lineRule="exact"/>
        <w:rPr>
          <w:rFonts w:ascii="Times New Roman" w:cs="Times New Roman" w:eastAsia="Times New Roman" w:hAnsi="Times New Roman"/>
          <w:sz w:val="19"/>
          <w:szCs w:val="19"/>
          <w:color w:val="auto"/>
        </w:rPr>
      </w:pPr>
    </w:p>
    <w:p>
      <w:pPr>
        <w:ind w:left="1980" w:hanging="649"/>
        <w:spacing w:after="0"/>
        <w:tabs>
          <w:tab w:leader="none" w:pos="1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used herein are for convenience of reference only, are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59"/>
          </w:cols>
          <w:pgMar w:left="400" w:top="427" w:right="1440" w:bottom="1440" w:gutter="0" w:footer="0" w:header="0"/>
        </w:sectPr>
      </w:pPr>
    </w:p>
    <w:bookmarkStart w:id="30" w:name="page31"/>
    <w:bookmarkEnd w:id="30"/>
    <w:p>
      <w:pPr>
        <w:ind w:left="482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right="739"/>
        <w:spacing w:after="0" w:line="269" w:lineRule="auto"/>
        <w:rPr>
          <w:sz w:val="20"/>
          <w:szCs w:val="20"/>
          <w:color w:val="auto"/>
        </w:rPr>
      </w:pPr>
      <w:r>
        <w:rPr>
          <w:rFonts w:ascii="Times New Roman" w:cs="Times New Roman" w:eastAsia="Times New Roman" w:hAnsi="Times New Roman"/>
          <w:sz w:val="20"/>
          <w:szCs w:val="20"/>
          <w:color w:val="auto"/>
        </w:rPr>
        <w:t>not part of this Amendment and shall not affect the construction of, or be taken into consideration in interpreting, this Amendment.</w:t>
      </w:r>
    </w:p>
    <w:p>
      <w:pPr>
        <w:spacing w:after="0" w:line="200" w:lineRule="exact"/>
        <w:rPr>
          <w:sz w:val="20"/>
          <w:szCs w:val="20"/>
          <w:color w:val="auto"/>
        </w:rPr>
      </w:pPr>
    </w:p>
    <w:p>
      <w:pPr>
        <w:jc w:val="both"/>
        <w:ind w:left="40" w:right="199" w:firstLine="1292"/>
        <w:spacing w:after="0" w:line="252" w:lineRule="auto"/>
        <w:tabs>
          <w:tab w:leader="none" w:pos="187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counterparts (and by different parties hereto on different counterparts), each of which shall constitute an original, but all of which when taken together shall constitute a single contract.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20"/>
          <w:szCs w:val="20"/>
          <w:u w:val="single" w:color="auto"/>
          <w:color w:val="auto"/>
        </w:rPr>
        <w:t>Electronic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Signatures</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 contract or record.</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059"/>
          </w:cols>
          <w:pgMar w:left="400" w:top="427" w:right="1440" w:bottom="1440" w:gutter="0" w:footer="0" w:header="0"/>
        </w:sectPr>
      </w:pPr>
    </w:p>
    <w:bookmarkStart w:id="31" w:name="page32"/>
    <w:bookmarkEnd w:id="31"/>
    <w:p>
      <w:pPr>
        <w:ind w:left="480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9"/>
          <w:szCs w:val="19"/>
          <w:color w:val="auto"/>
        </w:rPr>
        <w:t>IN WITNESS WHEREOF, this Amendment has been duly executed as of the day and year first above written.</w:t>
      </w:r>
    </w:p>
    <w:p>
      <w:pPr>
        <w:spacing w:after="0" w:line="2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AMETEK, INC.,</w:t>
      </w:r>
    </w:p>
    <w:p>
      <w:pPr>
        <w:spacing w:after="0" w:line="2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as the Company</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C. COLEMAN</w:t>
      </w:r>
    </w:p>
    <w:p>
      <w:pPr>
        <w:spacing w:after="0" w:line="6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Name: Kevin C. Coleman</w:t>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Title: Vice President - Investor Relations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Signature Page to Amendment No. 1 to</w:t>
      </w:r>
    </w:p>
    <w:p>
      <w:pPr>
        <w:ind w:left="2840"/>
        <w:spacing w:after="0" w:line="237" w:lineRule="auto"/>
        <w:rPr>
          <w:sz w:val="20"/>
          <w:szCs w:val="20"/>
          <w:color w:val="auto"/>
        </w:rPr>
      </w:pPr>
      <w:r>
        <w:rPr>
          <w:rFonts w:ascii="Times New Roman" w:cs="Times New Roman" w:eastAsia="Times New Roman" w:hAnsi="Times New Roman"/>
          <w:sz w:val="18"/>
          <w:szCs w:val="18"/>
          <w:color w:val="auto"/>
        </w:rPr>
        <w:t>Amended and Restated Credit Agreement dated as of September 22, 2011,</w:t>
      </w:r>
    </w:p>
    <w:p>
      <w:pPr>
        <w:jc w:val="center"/>
        <w:ind w:right="-1000"/>
        <w:spacing w:after="0" w:line="234" w:lineRule="auto"/>
        <w:rPr>
          <w:sz w:val="20"/>
          <w:szCs w:val="20"/>
          <w:color w:val="auto"/>
        </w:rPr>
      </w:pPr>
      <w:r>
        <w:rPr>
          <w:rFonts w:ascii="Times New Roman" w:cs="Times New Roman" w:eastAsia="Times New Roman" w:hAnsi="Times New Roman"/>
          <w:sz w:val="18"/>
          <w:szCs w:val="18"/>
          <w:color w:val="auto"/>
        </w:rPr>
        <w:t>as amended and restated as of March 10, 2016</w:t>
      </w:r>
    </w:p>
    <w:p>
      <w:pPr>
        <w:ind w:left="3540"/>
        <w:spacing w:after="0" w:line="235" w:lineRule="auto"/>
        <w:rPr>
          <w:sz w:val="20"/>
          <w:szCs w:val="20"/>
          <w:color w:val="auto"/>
        </w:rPr>
      </w:pPr>
      <w:r>
        <w:rPr>
          <w:rFonts w:ascii="Times New Roman" w:cs="Times New Roman" w:eastAsia="Times New Roman" w:hAnsi="Times New Roman"/>
          <w:sz w:val="18"/>
          <w:szCs w:val="18"/>
          <w:color w:val="auto"/>
        </w:rPr>
        <w:t>as further amended and restated as of October 30, 2018</w:t>
      </w:r>
    </w:p>
    <w:p>
      <w:pPr>
        <w:spacing w:after="0" w:line="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and as further amended and restated as of May 12, 2022</w:t>
      </w:r>
    </w:p>
    <w:p>
      <w:pPr>
        <w:sectPr>
          <w:pgSz w:w="11900" w:h="16838" w:orient="portrait"/>
          <w:cols w:equalWidth="0" w:num="1">
            <w:col w:w="10039"/>
          </w:cols>
          <w:pgMar w:left="420" w:top="427"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3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FEDERICO BECKMANN</w:t>
      </w:r>
    </w:p>
    <w:p>
      <w:pPr>
        <w:spacing w:after="0" w:line="6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Federico Beckmann</w:t>
      </w:r>
    </w:p>
    <w:p>
      <w:pPr>
        <w:spacing w:after="0" w:line="5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1820" w:right="1839"/>
        <w:spacing w:after="0" w:line="242" w:lineRule="auto"/>
        <w:rPr>
          <w:sz w:val="20"/>
          <w:szCs w:val="20"/>
          <w:color w:val="auto"/>
        </w:rPr>
      </w:pPr>
      <w:r>
        <w:rPr>
          <w:rFonts w:ascii="Times New Roman" w:cs="Times New Roman" w:eastAsia="Times New Roman" w:hAnsi="Times New Roman"/>
          <w:sz w:val="18"/>
          <w:szCs w:val="18"/>
          <w:color w:val="auto"/>
        </w:rPr>
        <w:t>Signature Page to Amendment No. 1 to Amended and Restated Credit Agreement dated as of September 22, 2011, as amended and restated as of March 10, 2016</w:t>
      </w:r>
    </w:p>
    <w:p>
      <w:pPr>
        <w:ind w:left="2520"/>
        <w:spacing w:after="0" w:line="220" w:lineRule="auto"/>
        <w:rPr>
          <w:sz w:val="20"/>
          <w:szCs w:val="20"/>
          <w:color w:val="auto"/>
        </w:rPr>
      </w:pPr>
      <w:r>
        <w:rPr>
          <w:rFonts w:ascii="Times New Roman" w:cs="Times New Roman" w:eastAsia="Times New Roman" w:hAnsi="Times New Roman"/>
          <w:sz w:val="18"/>
          <w:szCs w:val="18"/>
          <w:color w:val="auto"/>
        </w:rPr>
        <w:t>as further amended and restated as of October 30, 2018</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and as further amended and restated as of May 12, 2022</w:t>
      </w:r>
    </w:p>
    <w:p>
      <w:pPr>
        <w:sectPr>
          <w:pgSz w:w="11900" w:h="16838" w:orient="portrait"/>
          <w:cols w:equalWidth="0" w:num="1">
            <w:col w:w="9019"/>
          </w:cols>
          <w:pgMar w:left="1440" w:top="427"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Table Of Contents</w:t>
      </w:r>
    </w:p>
    <w:p>
      <w:pPr>
        <w:sectPr>
          <w:pgSz w:w="11900" w:h="16838" w:orient="portrait"/>
          <w:cols w:equalWidth="0" w:num="1">
            <w:col w:w="9019"/>
          </w:cols>
          <w:pgMar w:left="1440" w:top="4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ANNEX A</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427" w:right="1440" w:bottom="1440" w:gutter="0" w:footer="0" w:header="0"/>
          <w:type w:val="continuous"/>
        </w:sectPr>
      </w:pPr>
    </w:p>
    <w:bookmarkStart w:id="34" w:name="page35"/>
    <w:bookmarkEnd w:id="34"/>
    <w:p>
      <w:pPr>
        <w:ind w:left="478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58"/>
          <w:szCs w:val="58"/>
          <w:b w:val="1"/>
          <w:bCs w:val="1"/>
          <w:color w:val="auto"/>
        </w:rPr>
        <w:t>J.P. Morgan</w:t>
      </w:r>
    </w:p>
    <w:p>
      <w:pPr>
        <w:spacing w:after="0" w:line="14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AMENDED AND RESTATED CREDIT AGREEMENT</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color w:val="auto"/>
        </w:rPr>
        <w:t>dated as of September 22, 2011</w:t>
      </w:r>
    </w:p>
    <w:p>
      <w:pPr>
        <w:spacing w:after="0" w:line="14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as amended and restated as of March 10, 2016</w:t>
      </w:r>
    </w:p>
    <w:p>
      <w:pPr>
        <w:spacing w:after="0" w:line="2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9"/>
          <w:szCs w:val="19"/>
          <w:color w:val="auto"/>
        </w:rPr>
        <w:t>as further amended and restated as of October 30, 2018 and as further</w:t>
      </w:r>
    </w:p>
    <w:p>
      <w:pPr>
        <w:spacing w:after="0" w:line="2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amended and restated as of May 12, 2022</w:t>
      </w:r>
    </w:p>
    <w:p>
      <w:pPr>
        <w:spacing w:after="0" w:line="34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among AMETEK, INC.</w:t>
      </w:r>
    </w:p>
    <w:p>
      <w:pPr>
        <w:spacing w:after="0" w:line="2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The Foreign Subsidiary Borrowers Party Hereto The Lenders</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Party Hereto</w:t>
      </w:r>
    </w:p>
    <w:p>
      <w:pPr>
        <w:spacing w:after="0" w:line="1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4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PNC BANK, NATIONAL ASSOCIATION, TRUIST BANK and</w:t>
      </w:r>
    </w:p>
    <w:p>
      <w:pPr>
        <w:spacing w:after="0" w:line="1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10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as Co-Syndication Agents and</w:t>
      </w:r>
    </w:p>
    <w:p>
      <w:pPr>
        <w:spacing w:after="0" w:line="10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U.S. BANK NATIONAL ASSOCIATION, BNP PARIBAS,</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NATIONAL WESTMINSTER BANK PLC and</w:t>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COMMERZBANK AG, NEW YORK BRANCH</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JPMORGAN CHASE BANK, N.A., BofA</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SECURITIES, INC.,</w:t>
      </w:r>
    </w:p>
    <w:p>
      <w:pPr>
        <w:spacing w:after="0" w:line="1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PNC CAPITAL MARKETS LLC, TRUIST</w:t>
      </w:r>
    </w:p>
    <w:p>
      <w:pPr>
        <w:spacing w:after="0" w:line="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SECURITIES, INC. and WELLS FARGO</w:t>
      </w:r>
    </w:p>
    <w:p>
      <w:pPr>
        <w:spacing w:after="0" w:line="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SECURITIES, LLC</w:t>
      </w:r>
    </w:p>
    <w:p>
      <w:pPr>
        <w:spacing w:after="0" w:line="1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as Joint Bookrunners and Joint Lead Arrangers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131265636.8</w:t>
      </w:r>
      <w:r>
        <w:rPr>
          <w:rFonts w:ascii="Times New Roman" w:cs="Times New Roman" w:eastAsia="Times New Roman" w:hAnsi="Times New Roman"/>
          <w:sz w:val="14"/>
          <w:szCs w:val="14"/>
          <w:b w:val="1"/>
          <w:bCs w:val="1"/>
          <w:u w:val="single" w:color="auto"/>
          <w:color w:val="0000FF"/>
        </w:rPr>
        <w:t>150825873.3</w:t>
      </w:r>
    </w:p>
    <w:p>
      <w:pPr>
        <w:sectPr>
          <w:pgSz w:w="11900" w:h="16838" w:orient="portrait"/>
          <w:cols w:equalWidth="0" w:num="1">
            <w:col w:w="10019"/>
          </w:cols>
          <w:pgMar w:left="440" w:top="427" w:right="1440" w:bottom="1440" w:gutter="0" w:footer="0" w:header="0"/>
        </w:sectPr>
      </w:pPr>
    </w:p>
    <w:bookmarkStart w:id="35" w:name="page36"/>
    <w:bookmarkEnd w:id="35"/>
    <w:p>
      <w:pPr>
        <w:ind w:left="482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2"/>
              </w:rPr>
              <w:t>Page</w:t>
            </w:r>
          </w:p>
        </w:tc>
      </w:tr>
      <w:tr>
        <w:trPr>
          <w:trHeight w:val="236"/>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1.02.  Classification of Loans and Borrowings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38</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Terms Generally</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38</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1.04.  Accounting Terms; GAAP</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39</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1.05.  Interest Rates; Benchmark Notification</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40</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1.06.  Status of Obligations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40</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1.07.  Amendment and Restatement of Existing Credit Agreement</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40</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Divisions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41</w:t>
            </w:r>
          </w:p>
        </w:tc>
        <w:tc>
          <w:tcPr>
            <w:tcW w:w="180" w:type="dxa"/>
            <w:vAlign w:val="bottom"/>
          </w:tcPr>
          <w:p>
            <w:pPr>
              <w:spacing w:after="0"/>
              <w:rPr>
                <w:sz w:val="22"/>
                <w:szCs w:val="22"/>
                <w:color w:val="auto"/>
              </w:rPr>
            </w:pPr>
          </w:p>
        </w:tc>
      </w:tr>
      <w:tr>
        <w:trPr>
          <w:trHeight w:val="264"/>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1.09.  Letter of Credit Amounts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41</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1.10.  Exchange Rates; Currency Equivalents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41</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42</w:t>
            </w:r>
          </w:p>
        </w:tc>
        <w:tc>
          <w:tcPr>
            <w:tcW w:w="180" w:type="dxa"/>
            <w:vAlign w:val="bottom"/>
          </w:tcPr>
          <w:p>
            <w:pPr>
              <w:spacing w:after="0"/>
              <w:rPr>
                <w:sz w:val="22"/>
                <w:szCs w:val="22"/>
                <w:color w:val="auto"/>
              </w:rPr>
            </w:pPr>
          </w:p>
        </w:tc>
      </w:tr>
      <w:tr>
        <w:trPr>
          <w:trHeight w:val="23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Commitments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42</w:t>
            </w:r>
          </w:p>
        </w:tc>
        <w:tc>
          <w:tcPr>
            <w:tcW w:w="180" w:type="dxa"/>
            <w:vAlign w:val="bottom"/>
          </w:tcPr>
          <w:p>
            <w:pPr>
              <w:spacing w:after="0"/>
              <w:rPr>
                <w:sz w:val="20"/>
                <w:szCs w:val="20"/>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2.02.  Loans and Borrowings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42</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2.03.  Requests for Borrowings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43</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2.04.  Determination of Dollar Amounts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44</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[Intentionally Omitted]</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44</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2.06.  Letters of Credit</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44</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2.07.  Funding of Borrowings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49</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Elections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50</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2.09.  Termination and Reduction of Commitments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52</w:t>
            </w:r>
          </w:p>
        </w:tc>
        <w:tc>
          <w:tcPr>
            <w:tcW w:w="180" w:type="dxa"/>
            <w:vAlign w:val="bottom"/>
          </w:tcPr>
          <w:p>
            <w:pPr>
              <w:spacing w:after="0"/>
              <w:rPr>
                <w:sz w:val="22"/>
                <w:szCs w:val="22"/>
                <w:color w:val="auto"/>
              </w:rPr>
            </w:pPr>
          </w:p>
        </w:tc>
      </w:tr>
      <w:tr>
        <w:trPr>
          <w:trHeight w:val="264"/>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2.10.  Repayment of Loans; Evidence of Debt</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52</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2.11.  Prepayment of Loans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53</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54</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55</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2.14.  Alternate Rate of Interest</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56</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Increased Costs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60</w:t>
            </w:r>
          </w:p>
        </w:tc>
        <w:tc>
          <w:tcPr>
            <w:tcW w:w="180" w:type="dxa"/>
            <w:vAlign w:val="bottom"/>
          </w:tcPr>
          <w:p>
            <w:pPr>
              <w:spacing w:after="0"/>
              <w:rPr>
                <w:sz w:val="22"/>
                <w:szCs w:val="22"/>
                <w:color w:val="auto"/>
              </w:rPr>
            </w:pPr>
          </w:p>
        </w:tc>
      </w:tr>
      <w:tr>
        <w:trPr>
          <w:trHeight w:val="264"/>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2.16.  Break Funding Payments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61</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62</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2.18.</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UK Tax.</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65</w:t>
            </w:r>
          </w:p>
        </w:tc>
        <w:tc>
          <w:tcPr>
            <w:tcW w:w="180" w:type="dxa"/>
            <w:vAlign w:val="bottom"/>
          </w:tcPr>
          <w:p>
            <w:pPr>
              <w:spacing w:after="0"/>
              <w:rPr>
                <w:sz w:val="22"/>
                <w:szCs w:val="22"/>
                <w:color w:val="auto"/>
              </w:rPr>
            </w:pPr>
          </w:p>
        </w:tc>
      </w:tr>
      <w:tr>
        <w:trPr>
          <w:trHeight w:val="264"/>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2.19.  Payments Generally; Pro Rata Treatment; Sharing of Set-offs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69</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2.20.  Mitigation Obligations; Replacement of Lenders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71</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2.21.</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Expansion Option</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72</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2.22.</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[Intentionally Omitted]</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73</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2.23.</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Judgment Currency</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73</w:t>
            </w:r>
          </w:p>
        </w:tc>
        <w:tc>
          <w:tcPr>
            <w:tcW w:w="180" w:type="dxa"/>
            <w:vAlign w:val="bottom"/>
          </w:tcPr>
          <w:p>
            <w:pPr>
              <w:spacing w:after="0"/>
              <w:rPr>
                <w:sz w:val="22"/>
                <w:szCs w:val="22"/>
                <w:color w:val="auto"/>
              </w:rPr>
            </w:pPr>
          </w:p>
        </w:tc>
      </w:tr>
      <w:tr>
        <w:trPr>
          <w:trHeight w:val="264"/>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2.24.  Designation of Foreign Subsidiary Borrowers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74</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2.25.</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Defaulting Lenders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74</w:t>
            </w:r>
          </w:p>
        </w:tc>
        <w:tc>
          <w:tcPr>
            <w:tcW w:w="180" w:type="dxa"/>
            <w:vAlign w:val="bottom"/>
          </w:tcPr>
          <w:p>
            <w:pPr>
              <w:spacing w:after="0"/>
              <w:rPr>
                <w:sz w:val="22"/>
                <w:szCs w:val="22"/>
                <w:color w:val="auto"/>
              </w:rPr>
            </w:pPr>
          </w:p>
        </w:tc>
      </w:tr>
      <w:tr>
        <w:trPr>
          <w:trHeight w:val="264"/>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76</w:t>
            </w:r>
          </w:p>
        </w:tc>
        <w:tc>
          <w:tcPr>
            <w:tcW w:w="180" w:type="dxa"/>
            <w:vAlign w:val="bottom"/>
          </w:tcPr>
          <w:p>
            <w:pPr>
              <w:spacing w:after="0"/>
              <w:rPr>
                <w:sz w:val="22"/>
                <w:szCs w:val="22"/>
                <w:color w:val="auto"/>
              </w:rPr>
            </w:pPr>
          </w:p>
        </w:tc>
      </w:tr>
      <w:tr>
        <w:trPr>
          <w:trHeight w:val="236"/>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3.01.  Organization; Powers; Subsidiaries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77</w:t>
            </w:r>
          </w:p>
        </w:tc>
        <w:tc>
          <w:tcPr>
            <w:tcW w:w="180" w:type="dxa"/>
            <w:vAlign w:val="bottom"/>
          </w:tcPr>
          <w:p>
            <w:pPr>
              <w:spacing w:after="0"/>
              <w:rPr>
                <w:sz w:val="20"/>
                <w:szCs w:val="20"/>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77</w:t>
            </w:r>
          </w:p>
        </w:tc>
        <w:tc>
          <w:tcPr>
            <w:tcW w:w="180" w:type="dxa"/>
            <w:vAlign w:val="bottom"/>
          </w:tcPr>
          <w:p>
            <w:pPr>
              <w:spacing w:after="0"/>
              <w:rPr>
                <w:sz w:val="22"/>
                <w:szCs w:val="22"/>
                <w:color w:val="auto"/>
              </w:rPr>
            </w:pPr>
          </w:p>
        </w:tc>
      </w:tr>
      <w:tr>
        <w:trPr>
          <w:trHeight w:val="264"/>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3.03.  Governmental Approvals; No Conflicts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77</w:t>
            </w:r>
          </w:p>
        </w:tc>
        <w:tc>
          <w:tcPr>
            <w:tcW w:w="180" w:type="dxa"/>
            <w:vAlign w:val="bottom"/>
          </w:tcPr>
          <w:p>
            <w:pPr>
              <w:spacing w:after="0"/>
              <w:rPr>
                <w:sz w:val="22"/>
                <w:szCs w:val="22"/>
                <w:color w:val="auto"/>
              </w:rPr>
            </w:pPr>
          </w:p>
        </w:tc>
      </w:tr>
      <w:tr>
        <w:trPr>
          <w:trHeight w:val="263"/>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3.04.  Financial Condition; No Material Adverse Change</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77</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89"/>
              </w:rPr>
              <w:t>78</w:t>
            </w:r>
          </w:p>
        </w:tc>
        <w:tc>
          <w:tcPr>
            <w:tcW w:w="180" w:type="dxa"/>
            <w:vAlign w:val="bottom"/>
          </w:tcPr>
          <w:p>
            <w:pPr>
              <w:spacing w:after="0"/>
              <w:rPr>
                <w:sz w:val="22"/>
                <w:szCs w:val="22"/>
                <w:color w:val="auto"/>
              </w:rPr>
            </w:pPr>
          </w:p>
        </w:tc>
      </w:tr>
    </w:tbl>
    <w:p>
      <w:pPr>
        <w:sectPr>
          <w:pgSz w:w="11900" w:h="16838" w:orient="portrait"/>
          <w:cols w:equalWidth="0" w:num="1">
            <w:col w:w="10059"/>
          </w:cols>
          <w:pgMar w:left="400" w:top="427" w:right="1440"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8140" w:type="dxa"/>
            <w:vAlign w:val="bottom"/>
            <w:gridSpan w:val="3"/>
          </w:tcPr>
          <w:p>
            <w:pPr>
              <w:ind w:left="3700"/>
              <w:spacing w:after="0"/>
              <w:rPr>
                <w:sz w:val="20"/>
                <w:szCs w:val="20"/>
                <w:color w:val="auto"/>
              </w:rPr>
            </w:pPr>
            <w:r>
              <w:rPr>
                <w:rFonts w:ascii="Times New Roman" w:cs="Times New Roman" w:eastAsia="Times New Roman" w:hAnsi="Times New Roman"/>
                <w:sz w:val="20"/>
                <w:szCs w:val="20"/>
                <w:color w:val="auto"/>
              </w:rPr>
              <w:t>Table Of Contents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844"/>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2"/>
              </w:rPr>
              <w:t>Page</w:t>
            </w:r>
          </w:p>
        </w:tc>
      </w:tr>
      <w:tr>
        <w:trPr>
          <w:trHeight w:val="237"/>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3.06.  Litigation, Environmental and Labor Matters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78</w:t>
            </w:r>
          </w:p>
        </w:tc>
        <w:tc>
          <w:tcPr>
            <w:tcW w:w="180" w:type="dxa"/>
            <w:vAlign w:val="bottom"/>
          </w:tcPr>
          <w:p>
            <w:pPr>
              <w:spacing w:after="0"/>
              <w:rPr>
                <w:sz w:val="20"/>
                <w:szCs w:val="20"/>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3.07.  Compliance with Laws and Agreements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78</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3.08.  Investment Company Status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79</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79</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3.10.  ERISA; Non-U.S. Pension Plans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79</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3.11.</w:t>
            </w:r>
          </w:p>
        </w:tc>
        <w:tc>
          <w:tcPr>
            <w:tcW w:w="8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Disclosure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79</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3.12.  Federal Reserve Regulations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80</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3.13.</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Liens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80</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3.14.</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No Default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80</w:t>
            </w:r>
          </w:p>
        </w:tc>
        <w:tc>
          <w:tcPr>
            <w:tcW w:w="180" w:type="dxa"/>
            <w:vAlign w:val="bottom"/>
          </w:tcPr>
          <w:p>
            <w:pPr>
              <w:spacing w:after="0"/>
              <w:rPr>
                <w:sz w:val="22"/>
                <w:szCs w:val="22"/>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3.15.  Anti-Corruption Laws and Sanctions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80</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3.16.  Affected Financial Institutions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80</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IV Conditions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81</w:t>
            </w:r>
          </w:p>
        </w:tc>
        <w:tc>
          <w:tcPr>
            <w:tcW w:w="180" w:type="dxa"/>
            <w:vAlign w:val="bottom"/>
          </w:tcPr>
          <w:p>
            <w:pPr>
              <w:spacing w:after="0"/>
              <w:rPr>
                <w:sz w:val="22"/>
                <w:szCs w:val="22"/>
                <w:color w:val="auto"/>
              </w:rPr>
            </w:pPr>
          </w:p>
        </w:tc>
      </w:tr>
      <w:tr>
        <w:trPr>
          <w:trHeight w:val="237"/>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4.01.  Restatement Effective Date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81</w:t>
            </w:r>
          </w:p>
        </w:tc>
        <w:tc>
          <w:tcPr>
            <w:tcW w:w="180" w:type="dxa"/>
            <w:vAlign w:val="bottom"/>
          </w:tcPr>
          <w:p>
            <w:pPr>
              <w:spacing w:after="0"/>
              <w:rPr>
                <w:sz w:val="20"/>
                <w:szCs w:val="20"/>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4.02.  Each Credit Event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82</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4.03.  Designation of a Foreign Subsidiary Borrower</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82</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83</w:t>
            </w:r>
          </w:p>
        </w:tc>
        <w:tc>
          <w:tcPr>
            <w:tcW w:w="180" w:type="dxa"/>
            <w:vAlign w:val="bottom"/>
          </w:tcPr>
          <w:p>
            <w:pPr>
              <w:spacing w:after="0"/>
              <w:rPr>
                <w:sz w:val="22"/>
                <w:szCs w:val="22"/>
                <w:color w:val="auto"/>
              </w:rPr>
            </w:pPr>
          </w:p>
        </w:tc>
      </w:tr>
      <w:tr>
        <w:trPr>
          <w:trHeight w:val="237"/>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5.01.  Financial Statements and Other Information</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83</w:t>
            </w:r>
          </w:p>
        </w:tc>
        <w:tc>
          <w:tcPr>
            <w:tcW w:w="180" w:type="dxa"/>
            <w:vAlign w:val="bottom"/>
          </w:tcPr>
          <w:p>
            <w:pPr>
              <w:spacing w:after="0"/>
              <w:rPr>
                <w:sz w:val="20"/>
                <w:szCs w:val="20"/>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5.02.  Notices of Material Events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85</w:t>
            </w:r>
          </w:p>
        </w:tc>
        <w:tc>
          <w:tcPr>
            <w:tcW w:w="180" w:type="dxa"/>
            <w:vAlign w:val="bottom"/>
          </w:tcPr>
          <w:p>
            <w:pPr>
              <w:spacing w:after="0"/>
              <w:rPr>
                <w:sz w:val="22"/>
                <w:szCs w:val="22"/>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5.03.  Existence; Conduct of Business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85</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5.04.  Payment of Obligations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85</w:t>
            </w:r>
          </w:p>
        </w:tc>
        <w:tc>
          <w:tcPr>
            <w:tcW w:w="180" w:type="dxa"/>
            <w:vAlign w:val="bottom"/>
          </w:tcPr>
          <w:p>
            <w:pPr>
              <w:spacing w:after="0"/>
              <w:rPr>
                <w:sz w:val="22"/>
                <w:szCs w:val="22"/>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5.05.  Maintenance of Properties; Insurance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86</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5.06.  Books and Records; Inspection Rights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86</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5.07.  Compliance with Laws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86</w:t>
            </w:r>
          </w:p>
        </w:tc>
        <w:tc>
          <w:tcPr>
            <w:tcW w:w="180" w:type="dxa"/>
            <w:vAlign w:val="bottom"/>
          </w:tcPr>
          <w:p>
            <w:pPr>
              <w:spacing w:after="0"/>
              <w:rPr>
                <w:sz w:val="22"/>
                <w:szCs w:val="22"/>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5.08.  Use of Proceeds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87</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87</w:t>
            </w:r>
          </w:p>
        </w:tc>
        <w:tc>
          <w:tcPr>
            <w:tcW w:w="180" w:type="dxa"/>
            <w:vAlign w:val="bottom"/>
          </w:tcPr>
          <w:p>
            <w:pPr>
              <w:spacing w:after="0"/>
              <w:rPr>
                <w:sz w:val="22"/>
                <w:szCs w:val="22"/>
                <w:color w:val="auto"/>
              </w:rPr>
            </w:pPr>
          </w:p>
        </w:tc>
      </w:tr>
      <w:tr>
        <w:trPr>
          <w:trHeight w:val="23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Indebtedness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87</w:t>
            </w:r>
          </w:p>
        </w:tc>
        <w:tc>
          <w:tcPr>
            <w:tcW w:w="180" w:type="dxa"/>
            <w:vAlign w:val="bottom"/>
          </w:tcPr>
          <w:p>
            <w:pPr>
              <w:spacing w:after="0"/>
              <w:rPr>
                <w:sz w:val="20"/>
                <w:szCs w:val="20"/>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Liens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88</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6.03.  Fundamental Changes and Asset Sales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89</w:t>
            </w:r>
          </w:p>
        </w:tc>
        <w:tc>
          <w:tcPr>
            <w:tcW w:w="180" w:type="dxa"/>
            <w:vAlign w:val="bottom"/>
          </w:tcPr>
          <w:p>
            <w:pPr>
              <w:spacing w:after="0"/>
              <w:rPr>
                <w:sz w:val="22"/>
                <w:szCs w:val="22"/>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6.04.  Speculative Swap Agreements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91</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6.05.  Transactions with Affiliates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91</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6.06.  Sale and Leaseback Transactions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91</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Financial Covenants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91</w:t>
            </w:r>
          </w:p>
        </w:tc>
        <w:tc>
          <w:tcPr>
            <w:tcW w:w="1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6.08.  Anti-Corruption Laws and Sanctions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92</w:t>
            </w:r>
          </w:p>
        </w:tc>
        <w:tc>
          <w:tcPr>
            <w:tcW w:w="1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UK Pensions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92</w:t>
            </w:r>
          </w:p>
        </w:tc>
        <w:tc>
          <w:tcPr>
            <w:tcW w:w="180" w:type="dxa"/>
            <w:vAlign w:val="bottom"/>
          </w:tcPr>
          <w:p>
            <w:pPr>
              <w:spacing w:after="0"/>
              <w:rPr>
                <w:sz w:val="22"/>
                <w:szCs w:val="22"/>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VII Events of Default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93</w:t>
            </w:r>
          </w:p>
        </w:tc>
        <w:tc>
          <w:tcPr>
            <w:tcW w:w="180" w:type="dxa"/>
            <w:vAlign w:val="bottom"/>
          </w:tcPr>
          <w:p>
            <w:pPr>
              <w:spacing w:after="0"/>
              <w:rPr>
                <w:sz w:val="22"/>
                <w:szCs w:val="22"/>
                <w:color w:val="auto"/>
              </w:rPr>
            </w:pPr>
          </w:p>
        </w:tc>
      </w:tr>
      <w:tr>
        <w:trPr>
          <w:trHeight w:val="236"/>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VIII The Administrative Agent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95</w:t>
            </w:r>
          </w:p>
        </w:tc>
        <w:tc>
          <w:tcPr>
            <w:tcW w:w="180" w:type="dxa"/>
            <w:vAlign w:val="bottom"/>
          </w:tcPr>
          <w:p>
            <w:pPr>
              <w:spacing w:after="0"/>
              <w:rPr>
                <w:sz w:val="20"/>
                <w:szCs w:val="20"/>
                <w:color w:val="auto"/>
              </w:rPr>
            </w:pPr>
          </w:p>
        </w:tc>
      </w:tr>
      <w:tr>
        <w:trPr>
          <w:trHeight w:val="236"/>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8.01.  Authorization and Action</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95</w:t>
            </w:r>
          </w:p>
        </w:tc>
        <w:tc>
          <w:tcPr>
            <w:tcW w:w="180" w:type="dxa"/>
            <w:vAlign w:val="bottom"/>
          </w:tcPr>
          <w:p>
            <w:pPr>
              <w:spacing w:after="0"/>
              <w:rPr>
                <w:sz w:val="20"/>
                <w:szCs w:val="20"/>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8.02.  Administrative Agent’s Reliance, Indemnification, Etc</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97</w:t>
            </w:r>
          </w:p>
        </w:tc>
        <w:tc>
          <w:tcPr>
            <w:tcW w:w="1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Posting of Communications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9"/>
              </w:rPr>
              <w:t>99</w:t>
            </w:r>
          </w:p>
        </w:tc>
        <w:tc>
          <w:tcPr>
            <w:tcW w:w="180" w:type="dxa"/>
            <w:vAlign w:val="bottom"/>
          </w:tcPr>
          <w:p>
            <w:pPr>
              <w:spacing w:after="0"/>
              <w:rPr>
                <w:sz w:val="22"/>
                <w:szCs w:val="22"/>
                <w:color w:val="auto"/>
              </w:rPr>
            </w:pPr>
          </w:p>
        </w:tc>
      </w:tr>
    </w:tbl>
    <w:p>
      <w:pPr>
        <w:sectPr>
          <w:pgSz w:w="11900" w:h="16838" w:orient="portrait"/>
          <w:cols w:equalWidth="0" w:num="1">
            <w:col w:w="10059"/>
          </w:cols>
          <w:pgMar w:left="400" w:top="409" w:right="1440"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8140" w:type="dxa"/>
            <w:vAlign w:val="bottom"/>
            <w:gridSpan w:val="3"/>
          </w:tcPr>
          <w:p>
            <w:pPr>
              <w:ind w:left="3700"/>
              <w:spacing w:after="0"/>
              <w:rPr>
                <w:sz w:val="20"/>
                <w:szCs w:val="20"/>
                <w:color w:val="auto"/>
              </w:rPr>
            </w:pPr>
            <w:r>
              <w:rPr>
                <w:rFonts w:ascii="Times New Roman" w:cs="Times New Roman" w:eastAsia="Times New Roman" w:hAnsi="Times New Roman"/>
                <w:sz w:val="20"/>
                <w:szCs w:val="20"/>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844"/>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2"/>
              </w:rPr>
              <w:t>Page</w:t>
            </w:r>
          </w:p>
        </w:tc>
      </w:tr>
      <w:tr>
        <w:trPr>
          <w:trHeight w:val="237"/>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8.04.  The Administrative Agent Individually</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100</w:t>
            </w:r>
          </w:p>
        </w:tc>
        <w:tc>
          <w:tcPr>
            <w:tcW w:w="80" w:type="dxa"/>
            <w:vAlign w:val="bottom"/>
          </w:tcPr>
          <w:p>
            <w:pPr>
              <w:spacing w:after="0"/>
              <w:rPr>
                <w:sz w:val="20"/>
                <w:szCs w:val="20"/>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8.05.  Successor Administrative Agent</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100</w:t>
            </w: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8.06.  Acknowledgements of Lenders and Issuing Bank</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101</w:t>
            </w:r>
          </w:p>
        </w:tc>
        <w:tc>
          <w:tcPr>
            <w:tcW w:w="80" w:type="dxa"/>
            <w:vAlign w:val="bottom"/>
          </w:tcPr>
          <w:p>
            <w:pPr>
              <w:spacing w:after="0"/>
              <w:rPr>
                <w:sz w:val="22"/>
                <w:szCs w:val="22"/>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8.07.  Certain ERISA Matters</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102</w:t>
            </w: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104</w:t>
            </w:r>
          </w:p>
        </w:tc>
        <w:tc>
          <w:tcPr>
            <w:tcW w:w="80" w:type="dxa"/>
            <w:vAlign w:val="bottom"/>
          </w:tcPr>
          <w:p>
            <w:pPr>
              <w:spacing w:after="0"/>
              <w:rPr>
                <w:sz w:val="22"/>
                <w:szCs w:val="22"/>
                <w:color w:val="auto"/>
              </w:rPr>
            </w:pPr>
          </w:p>
        </w:tc>
      </w:tr>
      <w:tr>
        <w:trPr>
          <w:trHeight w:val="23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9.01.</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104</w:t>
            </w:r>
          </w:p>
        </w:tc>
        <w:tc>
          <w:tcPr>
            <w:tcW w:w="80" w:type="dxa"/>
            <w:vAlign w:val="bottom"/>
          </w:tcPr>
          <w:p>
            <w:pPr>
              <w:spacing w:after="0"/>
              <w:rPr>
                <w:sz w:val="20"/>
                <w:szCs w:val="20"/>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9.02.</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Waivers; Amendments</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105</w:t>
            </w: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9.03.  Expenses; Indemnity; Damage Waiver</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107</w:t>
            </w: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9.04.  Successors and Assigns</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108</w:t>
            </w:r>
          </w:p>
        </w:tc>
        <w:tc>
          <w:tcPr>
            <w:tcW w:w="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9.05.</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Survival</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9.06.  Counterparts; Integration; Effectiveness; Electronic Execution</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9.07.</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9.08.</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Right of Setoff</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9.09.  Governing Law; Jurisdiction; Consent to Service of Process</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9.10.  WAIVER OF JURY TRIAL</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9.11.</w:t>
            </w:r>
          </w:p>
        </w:tc>
        <w:tc>
          <w:tcPr>
            <w:tcW w:w="8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Headings</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9.12.</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9.13.  USA PATRIOT Act</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9.14.</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[Intentionally Omitted]</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9.15.  Interest Rate Limitation</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9.16.  No Fiduciary Duty, etc</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9.17.</w:t>
            </w:r>
          </w:p>
        </w:tc>
        <w:tc>
          <w:tcPr>
            <w:tcW w:w="8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Several Liability</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9.18.  Acknowledgement and Consent to Bail-In of Affected Financial Institutions</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9.19.  Acknowledgement Regarding Any Supported QFCs</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9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X Company Guarantee</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86"/>
              </w:rPr>
              <w:t>119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10059"/>
          </w:cols>
          <w:pgMar w:left="400" w:top="409" w:right="1440" w:bottom="1440" w:gutter="0" w:footer="0" w:header="0"/>
        </w:sectPr>
      </w:pPr>
    </w:p>
    <w:bookmarkStart w:id="38" w:name="page39"/>
    <w:bookmarkEnd w:id="38"/>
    <w:p>
      <w:pPr>
        <w:ind w:left="4300"/>
        <w:spacing w:after="0"/>
        <w:rPr>
          <w:sz w:val="20"/>
          <w:szCs w:val="20"/>
          <w:color w:val="auto"/>
        </w:rPr>
      </w:pPr>
      <w:r>
        <w:rPr>
          <w:rFonts w:ascii="Times New Roman" w:cs="Times New Roman" w:eastAsia="Times New Roman" w:hAnsi="Times New Roman"/>
          <w:sz w:val="20"/>
          <w:szCs w:val="20"/>
          <w:color w:val="auto"/>
        </w:rPr>
        <w:t>Table Of Contents (continued)</w:t>
      </w:r>
    </w:p>
    <w:p>
      <w:pPr>
        <w:spacing w:after="0" w:line="324"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SCHEDULES:</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97"/>
        </w:trPr>
        <w:tc>
          <w:tcPr>
            <w:tcW w:w="12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Schedule 2.01A</w:t>
            </w:r>
          </w:p>
        </w:tc>
        <w:tc>
          <w:tcPr>
            <w:tcW w:w="41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 Commitments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9"/>
        </w:trPr>
        <w:tc>
          <w:tcPr>
            <w:tcW w:w="12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Schedule 2.01B</w:t>
            </w:r>
          </w:p>
        </w:tc>
        <w:tc>
          <w:tcPr>
            <w:tcW w:w="41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 Letter of Credit Commitments Schedule 2.06</w:t>
            </w: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3"/>
        </w:trPr>
        <w:tc>
          <w:tcPr>
            <w:tcW w:w="53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Existing Letters of Credit Schedule 3.01  – Subsidiaries</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8"/>
        </w:trPr>
        <w:tc>
          <w:tcPr>
            <w:tcW w:w="53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Schedule 6.01  – Existing Indebtedness</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304"/>
        </w:trPr>
        <w:tc>
          <w:tcPr>
            <w:tcW w:w="53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Schedule 6.02  – Existing Liens EXHIBITS: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44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  Form of Assignment and Assumption</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w w:val="97"/>
              </w:rPr>
              <w:t>Exhibit B-1</w:t>
            </w:r>
          </w:p>
        </w:tc>
        <w:tc>
          <w:tcPr>
            <w:tcW w:w="320" w:type="dxa"/>
            <w:vAlign w:val="bottom"/>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9"/>
              </w:rPr>
              <w:t>–</w:t>
            </w:r>
          </w:p>
        </w:tc>
        <w:tc>
          <w:tcPr>
            <w:tcW w:w="4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Opinion of Loan Parties’ U.S. Counsel</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w w:val="97"/>
              </w:rPr>
              <w:t>Exhibit B-2</w:t>
            </w:r>
          </w:p>
        </w:tc>
        <w:tc>
          <w:tcPr>
            <w:tcW w:w="320" w:type="dxa"/>
            <w:vAlign w:val="bottom"/>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9"/>
              </w:rPr>
              <w:t>–</w:t>
            </w:r>
          </w:p>
        </w:tc>
        <w:tc>
          <w:tcPr>
            <w:tcW w:w="71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Form of Opinion of Loan Parties’ England and Wales Counsel Exhibit B-3  –  Form</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0"/>
        </w:trPr>
        <w:tc>
          <w:tcPr>
            <w:tcW w:w="53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of Opinion of Loan Parties’ Canadian Counsel</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w w:val="97"/>
              </w:rPr>
              <w:t>Exhibit B-4</w:t>
            </w:r>
          </w:p>
        </w:tc>
        <w:tc>
          <w:tcPr>
            <w:tcW w:w="320" w:type="dxa"/>
            <w:vAlign w:val="bottom"/>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9"/>
              </w:rPr>
              <w:t>–</w:t>
            </w:r>
          </w:p>
        </w:tc>
        <w:tc>
          <w:tcPr>
            <w:tcW w:w="516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Form of Opinion of Loan Parties’ German Counsel Exhibit C</w:t>
            </w:r>
          </w:p>
        </w:tc>
        <w:tc>
          <w:tcPr>
            <w:tcW w:w="1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Form</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53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of Increasing Lender Supplement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1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Form of Augmenting Lender Supplement Exhibit E</w:t>
            </w:r>
          </w:p>
        </w:tc>
        <w:tc>
          <w:tcPr>
            <w:tcW w:w="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List of</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3"/>
        </w:trPr>
        <w:tc>
          <w:tcPr>
            <w:tcW w:w="53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Closing Documents</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Exhibit F-1</w:t>
            </w:r>
          </w:p>
        </w:tc>
        <w:tc>
          <w:tcPr>
            <w:tcW w:w="32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w:t>
            </w:r>
          </w:p>
        </w:tc>
        <w:tc>
          <w:tcPr>
            <w:tcW w:w="452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w w:val="99"/>
              </w:rPr>
              <w:t>Form of Borrowing Subsidiary Agreement Exhibit F-2</w:t>
            </w:r>
          </w:p>
        </w:tc>
        <w:tc>
          <w:tcPr>
            <w:tcW w:w="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Form</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3"/>
        </w:trPr>
        <w:tc>
          <w:tcPr>
            <w:tcW w:w="53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of Borrowing Subsidiary Termination</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w w:val="96"/>
              </w:rPr>
              <w:t>Exhibit G-1</w:t>
            </w:r>
          </w:p>
        </w:tc>
        <w:tc>
          <w:tcPr>
            <w:tcW w:w="320" w:type="dxa"/>
            <w:vAlign w:val="bottom"/>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9"/>
              </w:rPr>
              <w:t>–</w:t>
            </w:r>
          </w:p>
        </w:tc>
        <w:tc>
          <w:tcPr>
            <w:tcW w:w="71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9"/>
              </w:rPr>
              <w:t>Form of U.S. Tax Certificate (Foreign Lenders That Are Not Partnerships) Exhibit G-2</w:t>
            </w:r>
          </w:p>
        </w:tc>
        <w:tc>
          <w:tcPr>
            <w:tcW w:w="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2"/>
              </w:rPr>
              <w:t>Form</w:t>
            </w:r>
          </w:p>
        </w:tc>
      </w:tr>
      <w:tr>
        <w:trPr>
          <w:trHeight w:val="229"/>
        </w:trPr>
        <w:tc>
          <w:tcPr>
            <w:tcW w:w="53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of U.S. Tax Certificate (Foreign Participants That Are Not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3"/>
        </w:trPr>
        <w:tc>
          <w:tcPr>
            <w:tcW w:w="5360" w:type="dxa"/>
            <w:vAlign w:val="bottom"/>
            <w:gridSpan w:val="6"/>
          </w:tcPr>
          <w:p>
            <w:pPr>
              <w:jc w:val="center"/>
              <w:ind w:right="3040"/>
              <w:spacing w:after="0"/>
              <w:rPr>
                <w:sz w:val="20"/>
                <w:szCs w:val="20"/>
                <w:color w:val="auto"/>
              </w:rPr>
            </w:pPr>
            <w:r>
              <w:rPr>
                <w:rFonts w:ascii="Times New Roman" w:cs="Times New Roman" w:eastAsia="Times New Roman" w:hAnsi="Times New Roman"/>
                <w:sz w:val="20"/>
                <w:szCs w:val="20"/>
                <w:color w:val="auto"/>
                <w:w w:val="98"/>
              </w:rPr>
              <w:t>Partnerships)</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w w:val="96"/>
              </w:rPr>
              <w:t>Exhibit G-3</w:t>
            </w:r>
          </w:p>
        </w:tc>
        <w:tc>
          <w:tcPr>
            <w:tcW w:w="320" w:type="dxa"/>
            <w:vAlign w:val="bottom"/>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9"/>
              </w:rPr>
              <w:t>–</w:t>
            </w:r>
          </w:p>
        </w:tc>
        <w:tc>
          <w:tcPr>
            <w:tcW w:w="71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Form of U.S. Tax Certificate (Foreign Participants That Are Partnerships) Exhibit G-4</w:t>
            </w:r>
          </w:p>
        </w:tc>
        <w:tc>
          <w:tcPr>
            <w:tcW w:w="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w:t>
            </w:r>
          </w:p>
        </w:tc>
      </w:tr>
      <w:tr>
        <w:trPr>
          <w:trHeight w:val="243"/>
        </w:trPr>
        <w:tc>
          <w:tcPr>
            <w:tcW w:w="614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9"/>
              </w:rPr>
              <w:t>of U.S. Tax Certificate (Foreign Lenders That Are Partnerships) Exhibit H-1</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2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Form of Borrowing Request</w:t>
            </w: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w w:val="96"/>
              </w:rPr>
              <w:t>Exhibit H-2</w:t>
            </w:r>
          </w:p>
        </w:tc>
        <w:tc>
          <w:tcPr>
            <w:tcW w:w="320" w:type="dxa"/>
            <w:vAlign w:val="bottom"/>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9"/>
              </w:rPr>
              <w:t>–</w:t>
            </w:r>
          </w:p>
        </w:tc>
        <w:tc>
          <w:tcPr>
            <w:tcW w:w="4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Interest Election Request Exhibit I  –</w:t>
            </w:r>
          </w:p>
        </w:tc>
        <w:tc>
          <w:tcPr>
            <w:tcW w:w="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w:t>
            </w: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Note</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905"/>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019"/>
          </w:cols>
          <w:pgMar w:left="440" w:top="765" w:right="1440" w:bottom="1440" w:gutter="0" w:footer="0" w:header="0"/>
        </w:sectPr>
      </w:pPr>
    </w:p>
    <w:bookmarkStart w:id="39" w:name="page40"/>
    <w:bookmarkEnd w:id="39"/>
    <w:p>
      <w:pPr>
        <w:ind w:right="219" w:firstLine="1296"/>
        <w:spacing w:after="0" w:line="251" w:lineRule="auto"/>
        <w:rPr>
          <w:sz w:val="20"/>
          <w:szCs w:val="20"/>
          <w:color w:val="auto"/>
        </w:rPr>
      </w:pPr>
      <w:r>
        <w:rPr>
          <w:rFonts w:ascii="Times New Roman" w:cs="Times New Roman" w:eastAsia="Times New Roman" w:hAnsi="Times New Roman"/>
          <w:sz w:val="20"/>
          <w:szCs w:val="20"/>
          <w:color w:val="auto"/>
        </w:rPr>
        <w:t>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September 22, 2011, as amended and restated as of March 10, 2016, as further amended and restated as of October 30, 2018 and as further amended and restated as of May 12, 2022, among AMETEK, INC., the FOREIGN SUBSIDIARY BORROWERS from time to time party hereto, the LENDERS from time to time party hereto, JPMORGAN CHASE BANK, N.A., as Administrative Agent, BANK OF AMERICA, N.A., PNC BANK, NATIONAL ASSOCIATION, TRUIST BANK and WELLS FARGO BANK, NATIONAL ASSOCIATION, as Co-Syndication Agents and U.S. BANK NATIONAL ASSOCIATION, BNP PARIBAS, NATIONAL WESTMINSTER BANK PLC and COMMERZBANK AG, NEW YORK BRANCH, as Co-Documentation Agents.</w:t>
      </w:r>
    </w:p>
    <w:p>
      <w:pPr>
        <w:spacing w:after="0" w:line="222" w:lineRule="exact"/>
        <w:rPr>
          <w:sz w:val="20"/>
          <w:szCs w:val="20"/>
          <w:color w:val="auto"/>
        </w:rPr>
      </w:pPr>
    </w:p>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auto"/>
        </w:rPr>
        <w:t>WHEREAS, the Borrowers, the lenders party thereto and JPMorgan Chase Bank, N.A., as administrative agent thereunder, are currently party to the Amended and Restated Credit Agreement, dated as of September 22, 2011, as amended and restated as of March 10, 2016 and as further amended and restated as of October 30, 2018 (as amended,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right="239" w:firstLine="1295"/>
        <w:spacing w:after="0" w:line="253" w:lineRule="auto"/>
        <w:rPr>
          <w:sz w:val="20"/>
          <w:szCs w:val="20"/>
          <w:color w:val="auto"/>
        </w:rPr>
      </w:pPr>
      <w:r>
        <w:rPr>
          <w:rFonts w:ascii="Times New Roman" w:cs="Times New Roman" w:eastAsia="Times New Roman" w:hAnsi="Times New Roman"/>
          <w:sz w:val="20"/>
          <w:szCs w:val="20"/>
          <w:color w:val="auto"/>
        </w:rPr>
        <w:t>WHEREAS, the Borrowers, the Lenders, the Departing Lenders (as hereafter defined) and the Administrative Agent have agreed (a) to enter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Borrowers and (b) that each Departing Lender shall cease to be a party to the Existing Credit Agreement as evidenced by its execution and delivery of its Departing Lender Signature Page;</w:t>
      </w:r>
    </w:p>
    <w:p>
      <w:pPr>
        <w:spacing w:after="0" w:line="206" w:lineRule="exact"/>
        <w:rPr>
          <w:sz w:val="20"/>
          <w:szCs w:val="20"/>
          <w:color w:val="auto"/>
        </w:rPr>
      </w:pPr>
    </w:p>
    <w:p>
      <w:pPr>
        <w:jc w:val="both"/>
        <w:ind w:right="239" w:firstLine="1296"/>
        <w:spacing w:after="0" w:line="257" w:lineRule="auto"/>
        <w:rPr>
          <w:sz w:val="20"/>
          <w:szCs w:val="20"/>
          <w:color w:val="auto"/>
        </w:rPr>
      </w:pPr>
      <w:r>
        <w:rPr>
          <w:rFonts w:ascii="Times New Roman" w:cs="Times New Roman" w:eastAsia="Times New Roman" w:hAnsi="Times New Roman"/>
          <w:sz w:val="20"/>
          <w:szCs w:val="20"/>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modify and re-evidence the obligations and liabilities of the Borrowers outstanding thereunder, which shall be payable in accordance with the terms hereof; and</w:t>
      </w:r>
    </w:p>
    <w:p>
      <w:pPr>
        <w:spacing w:after="0" w:line="200" w:lineRule="exact"/>
        <w:rPr>
          <w:sz w:val="20"/>
          <w:szCs w:val="20"/>
          <w:color w:val="auto"/>
        </w:rPr>
      </w:pPr>
    </w:p>
    <w:p>
      <w:pPr>
        <w:jc w:val="both"/>
        <w:ind w:right="219" w:firstLine="1295"/>
        <w:spacing w:after="0" w:line="257" w:lineRule="auto"/>
        <w:rPr>
          <w:sz w:val="20"/>
          <w:szCs w:val="20"/>
          <w:color w:val="auto"/>
        </w:rPr>
      </w:pPr>
      <w:r>
        <w:rPr>
          <w:rFonts w:ascii="Times New Roman" w:cs="Times New Roman" w:eastAsia="Times New Roman" w:hAnsi="Times New Roman"/>
          <w:sz w:val="20"/>
          <w:szCs w:val="20"/>
          <w:color w:val="auto"/>
        </w:rPr>
        <w:t>WHEREAS, it is also the intent of the Borrowers to confirm that all obligations under the “Loan Documents” (as referred to and defined in the Existing Credit Agreement) shall continue in full force and effect as modified and/or restated by the Loan Documents (as referred to and defined herein) and that, from and after the Restatement Effective Date, all references to the “Credit Agreement” contained in any such existing “Loan Documents” shall be deemed to refer to this Agreement.</w:t>
      </w:r>
    </w:p>
    <w:p>
      <w:pPr>
        <w:spacing w:after="0" w:line="213" w:lineRule="exact"/>
        <w:rPr>
          <w:sz w:val="20"/>
          <w:szCs w:val="20"/>
          <w:color w:val="auto"/>
        </w:rPr>
      </w:pPr>
    </w:p>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the parties hereto agree that the Existing Credit Agreement is hereby amended and restated as follows:</w:t>
      </w:r>
    </w:p>
    <w:p>
      <w:pPr>
        <w:spacing w:after="0" w:line="18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010000"/>
        </w:rPr>
        <w:t>ARTICLE I</w:t>
      </w:r>
    </w:p>
    <w:p>
      <w:pPr>
        <w:spacing w:after="0" w:line="25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324" w:lineRule="exact"/>
        <w:rPr>
          <w:sz w:val="20"/>
          <w:szCs w:val="20"/>
          <w:color w:val="auto"/>
        </w:rPr>
      </w:pPr>
    </w:p>
    <w:p>
      <w:pPr>
        <w:ind w:right="859"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1.01.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As used in this Agreement, the following terms have the meanings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specified below:</w:t>
      </w:r>
    </w:p>
    <w:p>
      <w:pPr>
        <w:sectPr>
          <w:pgSz w:w="11900" w:h="16838" w:orient="portrait"/>
          <w:cols w:equalWidth="0" w:num="1">
            <w:col w:w="10019"/>
          </w:cols>
          <w:pgMar w:left="440" w:top="1413" w:right="1440" w:bottom="1440" w:gutter="0" w:footer="0" w:header="0"/>
        </w:sectPr>
      </w:pPr>
    </w:p>
    <w:bookmarkStart w:id="40" w:name="page41"/>
    <w:bookmarkEnd w:id="40"/>
    <w:p>
      <w:pPr>
        <w:jc w:val="both"/>
        <w:ind w:left="4" w:right="259" w:firstLine="1297"/>
        <w:spacing w:after="0" w:line="275" w:lineRule="auto"/>
        <w:rPr>
          <w:sz w:val="20"/>
          <w:szCs w:val="20"/>
          <w:color w:val="auto"/>
        </w:rPr>
      </w:pPr>
      <w:r>
        <w:rPr>
          <w:sz w:val="1"/>
          <w:szCs w:val="1"/>
          <w:color w:val="auto"/>
        </w:rPr>
        <w:drawing>
          <wp:inline distT="0" distB="0" distL="0" distR="0">
            <wp:extent cx="8890" cy="1454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890" cy="145415"/>
                    </a:xfrm>
                    <a:prstGeom prst="rect">
                      <a:avLst/>
                    </a:prstGeom>
                    <a:noFill/>
                    <a:ln>
                      <a:noFill/>
                    </a:ln>
                  </pic:spPr>
                </pic:pic>
              </a:graphicData>
            </a:graphic>
          </wp:inline>
        </w:drawing>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210"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has the meaning assigned to such term in Section 6.07(a).</w:t>
      </w:r>
    </w:p>
    <w:p>
      <w:pPr>
        <w:spacing w:after="0" w:line="280" w:lineRule="exact"/>
        <w:rPr>
          <w:sz w:val="20"/>
          <w:szCs w:val="20"/>
          <w:color w:val="auto"/>
        </w:rPr>
      </w:pPr>
    </w:p>
    <w:p>
      <w:pPr>
        <w:jc w:val="both"/>
        <w:ind w:left="4" w:right="239" w:firstLine="1296"/>
        <w:spacing w:after="0" w:line="235"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Adjusted Daily Simple RFR</w:t>
      </w:r>
      <w:r>
        <w:rPr>
          <w:rFonts w:ascii="Cambria" w:cs="Cambria" w:eastAsia="Cambria" w:hAnsi="Cambria"/>
          <w:sz w:val="20"/>
          <w:szCs w:val="20"/>
          <w:b w:val="1"/>
          <w:bCs w:val="1"/>
          <w:color w:val="auto"/>
        </w:rPr>
        <w:t xml:space="preserve">” means, (i) with respect to any RFR Borrowing denominated in Pounds Sterling, an interest rate per annum equal to the Daily Simple RFR for Pounds Sterling, (ii) with respect to any RFR Borrowing denominated in Swiss Francs, an interest rate per annum equal to the Daily Simple RFR for Swiss Francs, </w:t>
      </w:r>
      <w:r>
        <w:rPr>
          <w:rFonts w:ascii="Cambria" w:cs="Cambria" w:eastAsia="Cambria" w:hAnsi="Cambria"/>
          <w:sz w:val="20"/>
          <w:szCs w:val="20"/>
          <w:b w:val="1"/>
          <w:bCs w:val="1"/>
          <w:color w:val="FF0000"/>
          <w:strike w:val="1"/>
        </w:rPr>
        <w:t>and</w:t>
      </w:r>
      <w:r>
        <w:rPr>
          <w:rFonts w:ascii="Cambria" w:cs="Cambria" w:eastAsia="Cambria" w:hAnsi="Cambria"/>
          <w:sz w:val="20"/>
          <w:szCs w:val="20"/>
          <w:b w:val="1"/>
          <w:bCs w:val="1"/>
          <w:color w:val="auto"/>
        </w:rPr>
        <w:t xml:space="preserve"> (iii) with respect to any RFR Borrowing denominated in Dollars, an</w:t>
      </w:r>
    </w:p>
    <w:p>
      <w:pPr>
        <w:jc w:val="both"/>
        <w:ind w:left="4" w:right="239"/>
        <w:spacing w:after="0" w:line="248" w:lineRule="auto"/>
        <w:rPr>
          <w:sz w:val="20"/>
          <w:szCs w:val="20"/>
          <w:color w:val="auto"/>
        </w:rPr>
      </w:pPr>
      <w:r>
        <w:rPr>
          <w:rFonts w:ascii="Cambria" w:cs="Cambria" w:eastAsia="Cambria" w:hAnsi="Cambria"/>
          <w:sz w:val="20"/>
          <w:szCs w:val="20"/>
          <w:b w:val="1"/>
          <w:bCs w:val="1"/>
          <w:color w:val="auto"/>
        </w:rPr>
        <w:t xml:space="preserve">interest rate per annum equal to (a) the Daily Simple RFR for Dollars, </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(b) 0.10% </w:t>
      </w:r>
      <w:r>
        <w:rPr>
          <w:rFonts w:ascii="Cambria" w:cs="Cambria" w:eastAsia="Cambria" w:hAnsi="Cambria"/>
          <w:sz w:val="20"/>
          <w:szCs w:val="20"/>
          <w:b w:val="1"/>
          <w:bCs w:val="1"/>
          <w:u w:val="single" w:color="auto"/>
          <w:color w:val="0000FF"/>
        </w:rPr>
        <w:t>,and (iv)</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with respect</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to any RFR Borrowing denominated in Canadian Dollars, an interest rate per annum equal to (a) the Daily Simple RFR for Canadian Dollars, plus (b) 0.29547%</w:t>
      </w:r>
      <w:r>
        <w:rPr>
          <w:rFonts w:ascii="Cambria" w:cs="Cambria" w:eastAsia="Cambria" w:hAnsi="Cambria"/>
          <w:sz w:val="20"/>
          <w:szCs w:val="20"/>
          <w:b w:val="1"/>
          <w:bCs w:val="1"/>
          <w:color w:val="000000"/>
        </w:rPr>
        <w:t>;</w:t>
      </w:r>
      <w:r>
        <w:rPr>
          <w:rFonts w:ascii="Times New Roman" w:cs="Times New Roman" w:eastAsia="Times New Roman" w:hAnsi="Times New Roman"/>
          <w:sz w:val="20"/>
          <w:szCs w:val="20"/>
          <w:b w:val="1"/>
          <w:bCs w:val="1"/>
          <w:color w:val="0000FF"/>
        </w:rPr>
        <w:t xml:space="preserve"> </w:t>
      </w:r>
      <w:r>
        <w:rPr>
          <w:rFonts w:ascii="Cambria" w:cs="Cambria" w:eastAsia="Cambria" w:hAnsi="Cambria"/>
          <w:sz w:val="20"/>
          <w:szCs w:val="20"/>
          <w:b w:val="1"/>
          <w:bCs w:val="1"/>
          <w:u w:val="single" w:color="auto"/>
          <w:color w:val="000000"/>
        </w:rPr>
        <w:t>provided</w:t>
      </w:r>
      <w:r>
        <w:rPr>
          <w:rFonts w:ascii="Times New Roman" w:cs="Times New Roman" w:eastAsia="Times New Roman" w:hAnsi="Times New Roman"/>
          <w:sz w:val="20"/>
          <w:szCs w:val="20"/>
          <w:b w:val="1"/>
          <w:bCs w:val="1"/>
          <w:color w:val="0000FF"/>
        </w:rPr>
        <w:t xml:space="preserve"> </w:t>
      </w:r>
      <w:r>
        <w:rPr>
          <w:rFonts w:ascii="Cambria" w:cs="Cambria" w:eastAsia="Cambria" w:hAnsi="Cambria"/>
          <w:sz w:val="20"/>
          <w:szCs w:val="20"/>
          <w:b w:val="1"/>
          <w:bCs w:val="1"/>
          <w:color w:val="000000"/>
        </w:rPr>
        <w:t>that if the Adjusted Daily Simple RFR as so</w:t>
      </w:r>
    </w:p>
    <w:p>
      <w:pPr>
        <w:spacing w:after="0" w:line="2" w:lineRule="exact"/>
        <w:rPr>
          <w:sz w:val="20"/>
          <w:szCs w:val="20"/>
          <w:color w:val="auto"/>
        </w:rPr>
      </w:pPr>
    </w:p>
    <w:p>
      <w:pPr>
        <w:jc w:val="both"/>
        <w:ind w:left="4" w:right="239"/>
        <w:spacing w:after="0" w:line="235" w:lineRule="auto"/>
        <w:rPr>
          <w:sz w:val="20"/>
          <w:szCs w:val="20"/>
          <w:color w:val="auto"/>
        </w:rPr>
      </w:pPr>
      <w:r>
        <w:rPr>
          <w:rFonts w:ascii="Cambria" w:cs="Cambria" w:eastAsia="Cambria" w:hAnsi="Cambria"/>
          <w:sz w:val="20"/>
          <w:szCs w:val="20"/>
          <w:b w:val="1"/>
          <w:bCs w:val="1"/>
          <w:color w:val="auto"/>
        </w:rPr>
        <w:t>determined would be less than the Floor, such rate shall be deemed to be equal to the Floor for the purposes of this Agreement.</w:t>
      </w:r>
    </w:p>
    <w:p>
      <w:pPr>
        <w:spacing w:after="0" w:line="233" w:lineRule="exact"/>
        <w:rPr>
          <w:sz w:val="20"/>
          <w:szCs w:val="20"/>
          <w:color w:val="auto"/>
        </w:rPr>
      </w:pPr>
    </w:p>
    <w:p>
      <w:pPr>
        <w:jc w:val="both"/>
        <w:ind w:left="4" w:right="239"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 Rate</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means, with respect to any Term Benchmark Borrowing</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 xml:space="preserve">denominated in euro for any Interest Period, an interest rate per annum equal to (a) the EURIBO Rate for such Interest Period multiplied by (b) the Statutory Reserve Rate;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if the Adjusted EURIBO Rate as so determined would be less than the Floor, such rate shall be deemed to be equal to the Floor for the purposes of this Agreement.</w:t>
      </w:r>
    </w:p>
    <w:p>
      <w:pPr>
        <w:spacing w:after="0" w:line="21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9"/>
          <w:szCs w:val="19"/>
          <w:b w:val="1"/>
          <w:bCs w:val="1"/>
          <w:u w:val="single" w:color="auto"/>
          <w:color w:val="0000FF"/>
        </w:rPr>
        <w:t>“Adjusted Term CORRA Rate” means, for purposes of any calculation, the rate per annum equal to</w:t>
      </w:r>
    </w:p>
    <w:p>
      <w:pPr>
        <w:spacing w:after="0" w:line="37" w:lineRule="exact"/>
        <w:rPr>
          <w:sz w:val="20"/>
          <w:szCs w:val="20"/>
          <w:color w:val="auto"/>
        </w:rPr>
      </w:pPr>
    </w:p>
    <w:p>
      <w:pPr>
        <w:jc w:val="both"/>
        <w:ind w:left="4" w:right="239" w:hanging="4"/>
        <w:spacing w:after="0" w:line="256" w:lineRule="auto"/>
        <w:tabs>
          <w:tab w:leader="none" w:pos="297" w:val="left"/>
        </w:tabs>
        <w:numPr>
          <w:ilvl w:val="0"/>
          <w:numId w:val="19"/>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Term CORRA for such calculation plus (b) 0.29547% for a one month interest period or 0.32138% for a three month interest period; provided that if Adjusted Term CORRA Rate as so determined would be less than the Floor, such rate shall be deemed to be equal to the Floor for the purposes of this Agreement.</w:t>
      </w:r>
    </w:p>
    <w:p>
      <w:pPr>
        <w:spacing w:after="0" w:line="228" w:lineRule="exact"/>
        <w:rPr>
          <w:sz w:val="20"/>
          <w:szCs w:val="20"/>
          <w:color w:val="auto"/>
        </w:rPr>
      </w:pPr>
    </w:p>
    <w:p>
      <w:pPr>
        <w:ind w:left="4" w:right="579"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means, with respect to any Term Benchmark Borrowing</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 xml:space="preserve">denominated in Dollars for any Interest Period, an interest rate per annum equal to (a) the Term SOFR Rate for such Interest Period, </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(b) 0.10%;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if the Adjusted Term SOFR Rate as so determined would be less than the Floor, such rate shall be deemed to be equal to the Floor for the purposes of this Agreement</w:t>
      </w:r>
      <w:r>
        <w:rPr>
          <w:rFonts w:ascii="Times New Roman" w:cs="Times New Roman" w:eastAsia="Times New Roman" w:hAnsi="Times New Roman"/>
          <w:sz w:val="20"/>
          <w:szCs w:val="20"/>
          <w:color w:val="auto"/>
        </w:rPr>
        <w:t>.</w:t>
      </w:r>
    </w:p>
    <w:p>
      <w:pPr>
        <w:spacing w:after="0" w:line="226" w:lineRule="exact"/>
        <w:rPr>
          <w:sz w:val="20"/>
          <w:szCs w:val="20"/>
          <w:color w:val="auto"/>
        </w:rPr>
      </w:pPr>
    </w:p>
    <w:p>
      <w:pPr>
        <w:jc w:val="both"/>
        <w:ind w:left="4"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TIBO Rate</w:t>
      </w:r>
      <w:r>
        <w:rPr>
          <w:rFonts w:ascii="Times New Roman" w:cs="Times New Roman" w:eastAsia="Times New Roman" w:hAnsi="Times New Roman"/>
          <w:sz w:val="20"/>
          <w:szCs w:val="20"/>
          <w:color w:val="auto"/>
        </w:rPr>
        <w:t xml:space="preserve">” means, with respect to any Term Benchmark Borrowing denominated in Japanese Yen for any Interest Period, an interest rate per annum equal to (a) the TIBO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TIBO Rate as so determined would be less than the Floor, such rate shall be deemed to be equal to the Floor for the purposes of this Agreement.</w:t>
      </w:r>
    </w:p>
    <w:p>
      <w:pPr>
        <w:spacing w:after="0" w:line="213" w:lineRule="exact"/>
        <w:rPr>
          <w:sz w:val="20"/>
          <w:szCs w:val="20"/>
          <w:color w:val="auto"/>
        </w:rPr>
      </w:pPr>
    </w:p>
    <w:p>
      <w:pPr>
        <w:jc w:val="both"/>
        <w:ind w:left="4"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(including its branches and affiliates), in its capacity as administrative agent for the Lenders hereunder.</w:t>
      </w:r>
    </w:p>
    <w:p>
      <w:pPr>
        <w:spacing w:after="0" w:line="187" w:lineRule="exact"/>
        <w:rPr>
          <w:sz w:val="20"/>
          <w:szCs w:val="20"/>
          <w:color w:val="auto"/>
        </w:rPr>
      </w:pPr>
    </w:p>
    <w:p>
      <w:pPr>
        <w:jc w:val="both"/>
        <w:ind w:left="4"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18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w:t>
      </w:r>
    </w:p>
    <w:p>
      <w:pPr>
        <w:spacing w:after="0" w:line="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Institution.</w:t>
      </w:r>
    </w:p>
    <w:p>
      <w:pPr>
        <w:spacing w:after="0" w:line="275"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023"/>
          </w:cols>
          <w:pgMar w:left="436" w:top="1436" w:right="1440" w:bottom="1440" w:gutter="0" w:footer="0" w:header="0"/>
        </w:sectPr>
      </w:pPr>
    </w:p>
    <w:bookmarkStart w:id="41" w:name="page42"/>
    <w:bookmarkEnd w:id="41"/>
    <w:p>
      <w:pPr>
        <w:spacing w:after="0" w:line="216" w:lineRule="exact"/>
        <w:rPr>
          <w:sz w:val="20"/>
          <w:szCs w:val="20"/>
          <w:color w:val="auto"/>
        </w:rPr>
      </w:pPr>
    </w:p>
    <w:p>
      <w:pPr>
        <w:jc w:val="both"/>
        <w:ind w:left="120" w:right="11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200" w:lineRule="exact"/>
        <w:rPr>
          <w:sz w:val="20"/>
          <w:szCs w:val="20"/>
          <w:color w:val="auto"/>
        </w:rPr>
      </w:pPr>
    </w:p>
    <w:p>
      <w:pPr>
        <w:jc w:val="both"/>
        <w:ind w:left="120" w:right="112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w:t>
      </w:r>
      <w:r>
        <w:rPr>
          <w:rFonts w:ascii="Times New Roman" w:cs="Times New Roman" w:eastAsia="Times New Roman" w:hAnsi="Times New Roman"/>
          <w:sz w:val="20"/>
          <w:szCs w:val="20"/>
          <w:color w:val="auto"/>
        </w:rPr>
        <w:t>” means the aggregate of the Commitments of all of the Lenders, as reduced or increased from time to time pursuant to the terms and conditions hereof. As of the Restatement Effective Date, the Aggregate Commitment is $2,300,000,000.</w:t>
      </w:r>
    </w:p>
    <w:p>
      <w:pPr>
        <w:spacing w:after="0" w:line="202" w:lineRule="exact"/>
        <w:rPr>
          <w:sz w:val="20"/>
          <w:szCs w:val="20"/>
          <w:color w:val="auto"/>
        </w:rPr>
      </w:pPr>
    </w:p>
    <w:p>
      <w:pPr>
        <w:jc w:val="both"/>
        <w:ind w:left="120" w:right="112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means (i) Dollars, (ii) euro, (iii) Pounds Sterling, (iv) Canadian Dollars, (v) Japanese Yen, (vi) Swiss Francs and (vii) any other currency (x) that is a lawful currency that is readily available and freely transferable and convertible into Dollars and (y) that is agreed to by the Administrative Agent and each of the Lenders, and with respect to any Letter of Credit, any other currency other than Dollars which is approved by the Issuing Bank in respect of such Letter of Credit and the Administrative Agent prior to the issuance of such Letter of Credit.</w:t>
      </w:r>
    </w:p>
    <w:p>
      <w:pPr>
        <w:spacing w:after="0" w:line="16" w:lineRule="exact"/>
        <w:rPr>
          <w:sz w:val="20"/>
          <w:szCs w:val="20"/>
          <w:color w:val="auto"/>
        </w:rPr>
      </w:pPr>
    </w:p>
    <w:p>
      <w:pPr>
        <w:jc w:val="both"/>
        <w:ind w:left="80" w:right="1120" w:firstLine="129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has the meaning assigned to such term in the introductory paragraph. “Alternate Base Rate”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hereof (for the avoidance of doubt, only until the Benchmark Replacement has been determined pursuant to Section 2.14(b)), then the Alternate Base Rate shall be the greater of clauses</w:t>
      </w:r>
    </w:p>
    <w:p>
      <w:pPr>
        <w:spacing w:after="0" w:line="2" w:lineRule="exact"/>
        <w:rPr>
          <w:sz w:val="20"/>
          <w:szCs w:val="20"/>
          <w:color w:val="auto"/>
        </w:rPr>
      </w:pPr>
    </w:p>
    <w:p>
      <w:pPr>
        <w:jc w:val="both"/>
        <w:ind w:left="80" w:right="1120" w:firstLine="9"/>
        <w:spacing w:after="0" w:line="253" w:lineRule="auto"/>
        <w:tabs>
          <w:tab w:leader="none" w:pos="35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21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such term in Section 9.06.</w:t>
      </w:r>
    </w:p>
    <w:p>
      <w:pPr>
        <w:spacing w:after="0" w:line="256" w:lineRule="exact"/>
        <w:rPr>
          <w:sz w:val="20"/>
          <w:szCs w:val="20"/>
          <w:color w:val="auto"/>
        </w:rPr>
      </w:pPr>
    </w:p>
    <w:p>
      <w:pPr>
        <w:jc w:val="both"/>
        <w:ind w:left="120" w:right="11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Company or its Subsidiaries from time to time concerning or relating to bribery or corruption.</w:t>
      </w:r>
    </w:p>
    <w:p>
      <w:pPr>
        <w:spacing w:after="0" w:line="187" w:lineRule="exact"/>
        <w:rPr>
          <w:sz w:val="20"/>
          <w:szCs w:val="20"/>
          <w:color w:val="auto"/>
        </w:rPr>
      </w:pPr>
    </w:p>
    <w:p>
      <w:pPr>
        <w:jc w:val="both"/>
        <w:ind w:left="120" w:right="112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has the meaning assigned to such term in Section 8.03(c).</w:t>
      </w:r>
    </w:p>
    <w:p>
      <w:pPr>
        <w:spacing w:after="0" w:line="221" w:lineRule="exact"/>
        <w:rPr>
          <w:sz w:val="20"/>
          <w:szCs w:val="20"/>
          <w:color w:val="auto"/>
        </w:rPr>
      </w:pPr>
    </w:p>
    <w:p>
      <w:pPr>
        <w:ind w:firstLine="1377"/>
        <w:spacing w:after="0"/>
        <w:rPr>
          <w:sz w:val="20"/>
          <w:szCs w:val="20"/>
          <w:color w:val="auto"/>
        </w:rPr>
      </w:pP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the percentage of the Aggregate Commitment represented by such Lender’s Commitment; provided that, in the case of Section</w:t>
      </w: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20"/>
          </w:cols>
          <w:pgMar w:left="320" w:top="1440" w:right="559" w:bottom="1440" w:gutter="0" w:footer="0" w:header="0"/>
        </w:sectPr>
      </w:pPr>
    </w:p>
    <w:bookmarkStart w:id="42" w:name="page43"/>
    <w:bookmarkEnd w:id="42"/>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2.25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205" w:lineRule="exact"/>
        <w:rPr>
          <w:sz w:val="20"/>
          <w:szCs w:val="20"/>
          <w:color w:val="auto"/>
        </w:rPr>
      </w:pPr>
    </w:p>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with respect to any Term Benchmark Loan, any RFR Loan, any ABR Loan or with respect to the facility fees payable hereunder, as the case may be, the applicable rate per annum set forth below under the caption “Term Benchmark Spread”, “RFR Spread”, “ABR Spread” or “Facility Fee Rate”, as the case may be, based upon the Pricing Level applicable on such date:</w:t>
      </w:r>
    </w:p>
    <w:p>
      <w:pPr>
        <w:spacing w:after="0" w:line="242" w:lineRule="exact"/>
        <w:rPr>
          <w:sz w:val="20"/>
          <w:szCs w:val="20"/>
          <w:color w:val="auto"/>
        </w:rPr>
      </w:pPr>
    </w:p>
    <w:tbl>
      <w:tblPr>
        <w:tblLayout w:type="fixed"/>
        <w:tblInd w:w="370" w:type="dxa"/>
        <w:tblCellMar>
          <w:top w:w="0" w:type="dxa"/>
          <w:left w:w="0" w:type="dxa"/>
          <w:bottom w:w="0" w:type="dxa"/>
          <w:right w:w="0" w:type="dxa"/>
        </w:tblCellMar>
      </w:tblPr>
      <w:tr>
        <w:trPr>
          <w:trHeight w:val="216"/>
        </w:trPr>
        <w:tc>
          <w:tcPr>
            <w:tcW w:w="1460" w:type="dxa"/>
            <w:vAlign w:val="bottom"/>
            <w:tcBorders>
              <w:top w:val="single" w:sz="8" w:color="010101"/>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Pricing Level</w:t>
            </w:r>
          </w:p>
        </w:tc>
        <w:tc>
          <w:tcPr>
            <w:tcW w:w="1740" w:type="dxa"/>
            <w:vAlign w:val="bottom"/>
            <w:tcBorders>
              <w:top w:val="single" w:sz="8" w:color="010101"/>
              <w:right w:val="single" w:sz="8" w:color="010101"/>
            </w:tcBorders>
          </w:tcPr>
          <w:p>
            <w:pPr>
              <w:ind w:left="300"/>
              <w:spacing w:after="0"/>
              <w:rPr>
                <w:sz w:val="20"/>
                <w:szCs w:val="20"/>
                <w:color w:val="auto"/>
              </w:rPr>
            </w:pPr>
            <w:r>
              <w:rPr>
                <w:rFonts w:ascii="Times New Roman" w:cs="Times New Roman" w:eastAsia="Times New Roman" w:hAnsi="Times New Roman"/>
                <w:sz w:val="16"/>
                <w:szCs w:val="16"/>
                <w:color w:val="auto"/>
              </w:rPr>
              <w:t>Facility Fee Rate</w:t>
            </w:r>
          </w:p>
        </w:tc>
        <w:tc>
          <w:tcPr>
            <w:tcW w:w="1760" w:type="dxa"/>
            <w:vAlign w:val="bottom"/>
            <w:tcBorders>
              <w:top w:val="single" w:sz="8" w:color="010101"/>
              <w:right w:val="single" w:sz="8" w:color="010101"/>
            </w:tcBorders>
            <w:shd w:val="clear" w:color="auto" w:fill="FDFFFF"/>
          </w:tcPr>
          <w:p>
            <w:pPr>
              <w:jc w:val="center"/>
              <w:ind w:right="79"/>
              <w:spacing w:after="0"/>
              <w:rPr>
                <w:sz w:val="20"/>
                <w:szCs w:val="20"/>
                <w:color w:val="auto"/>
              </w:rPr>
            </w:pPr>
            <w:r>
              <w:rPr>
                <w:rFonts w:ascii="Times New Roman" w:cs="Times New Roman" w:eastAsia="Times New Roman" w:hAnsi="Times New Roman"/>
                <w:sz w:val="16"/>
                <w:szCs w:val="16"/>
                <w:color w:val="auto"/>
                <w:w w:val="99"/>
              </w:rPr>
              <w:t>Term Benchmark</w:t>
            </w:r>
          </w:p>
        </w:tc>
        <w:tc>
          <w:tcPr>
            <w:tcW w:w="176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w w:val="99"/>
              </w:rPr>
              <w:t>RFR</w:t>
            </w:r>
          </w:p>
        </w:tc>
        <w:tc>
          <w:tcPr>
            <w:tcW w:w="178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w w:val="97"/>
              </w:rPr>
              <w:t>ABR</w:t>
            </w:r>
          </w:p>
        </w:tc>
      </w:tr>
      <w:tr>
        <w:trPr>
          <w:trHeight w:val="243"/>
        </w:trPr>
        <w:tc>
          <w:tcPr>
            <w:tcW w:w="1460" w:type="dxa"/>
            <w:vAlign w:val="bottom"/>
            <w:tcBorders>
              <w:left w:val="single" w:sz="8" w:color="010101"/>
              <w:right w:val="single" w:sz="8" w:color="010101"/>
            </w:tcBorders>
          </w:tcPr>
          <w:p>
            <w:pPr>
              <w:spacing w:after="0"/>
              <w:rPr>
                <w:sz w:val="21"/>
                <w:szCs w:val="21"/>
                <w:color w:val="auto"/>
              </w:rPr>
            </w:pPr>
          </w:p>
        </w:tc>
        <w:tc>
          <w:tcPr>
            <w:tcW w:w="1740" w:type="dxa"/>
            <w:vAlign w:val="bottom"/>
            <w:tcBorders>
              <w:right w:val="single" w:sz="8" w:color="010101"/>
            </w:tcBorders>
          </w:tcPr>
          <w:p>
            <w:pPr>
              <w:spacing w:after="0"/>
              <w:rPr>
                <w:sz w:val="21"/>
                <w:szCs w:val="21"/>
                <w:color w:val="auto"/>
              </w:rPr>
            </w:pPr>
          </w:p>
        </w:tc>
        <w:tc>
          <w:tcPr>
            <w:tcW w:w="1760" w:type="dxa"/>
            <w:vAlign w:val="bottom"/>
            <w:tcBorders>
              <w:bottom w:val="single" w:sz="8" w:color="FDFFFF"/>
              <w:right w:val="single" w:sz="8" w:color="010101"/>
            </w:tcBorders>
            <w:shd w:val="clear" w:color="auto" w:fill="FDFFFF"/>
          </w:tcPr>
          <w:p>
            <w:pPr>
              <w:jc w:val="center"/>
              <w:ind w:right="79"/>
              <w:spacing w:after="0"/>
              <w:rPr>
                <w:sz w:val="20"/>
                <w:szCs w:val="20"/>
                <w:color w:val="auto"/>
              </w:rPr>
            </w:pPr>
            <w:r>
              <w:rPr>
                <w:rFonts w:ascii="Times New Roman" w:cs="Times New Roman" w:eastAsia="Times New Roman" w:hAnsi="Times New Roman"/>
                <w:sz w:val="16"/>
                <w:szCs w:val="16"/>
                <w:color w:val="auto"/>
                <w:w w:val="98"/>
              </w:rPr>
              <w:t>Spread</w:t>
            </w:r>
          </w:p>
        </w:tc>
        <w:tc>
          <w:tcPr>
            <w:tcW w:w="176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Spread</w:t>
            </w:r>
          </w:p>
        </w:tc>
        <w:tc>
          <w:tcPr>
            <w:tcW w:w="178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w w:val="98"/>
              </w:rPr>
              <w:t>Spread</w:t>
            </w:r>
          </w:p>
        </w:tc>
      </w:tr>
      <w:tr>
        <w:trPr>
          <w:trHeight w:val="237"/>
        </w:trPr>
        <w:tc>
          <w:tcPr>
            <w:tcW w:w="1460" w:type="dxa"/>
            <w:vAlign w:val="bottom"/>
            <w:tcBorders>
              <w:top w:val="single" w:sz="8" w:color="010101"/>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Level I</w:t>
            </w:r>
          </w:p>
        </w:tc>
        <w:tc>
          <w:tcPr>
            <w:tcW w:w="174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0.07%</w:t>
            </w:r>
          </w:p>
        </w:tc>
        <w:tc>
          <w:tcPr>
            <w:tcW w:w="1760" w:type="dxa"/>
            <w:vAlign w:val="bottom"/>
            <w:tcBorders>
              <w:top w:val="single" w:sz="8" w:color="010101"/>
              <w:bottom w:val="single" w:sz="8" w:color="FDFFFF"/>
              <w:right w:val="single" w:sz="8" w:color="010101"/>
            </w:tcBorders>
            <w:shd w:val="clear" w:color="auto" w:fill="FDFFFF"/>
          </w:tcPr>
          <w:p>
            <w:pPr>
              <w:jc w:val="center"/>
              <w:spacing w:after="0"/>
              <w:rPr>
                <w:sz w:val="20"/>
                <w:szCs w:val="20"/>
                <w:color w:val="auto"/>
              </w:rPr>
            </w:pPr>
            <w:r>
              <w:rPr>
                <w:rFonts w:ascii="Times New Roman" w:cs="Times New Roman" w:eastAsia="Times New Roman" w:hAnsi="Times New Roman"/>
                <w:sz w:val="16"/>
                <w:szCs w:val="16"/>
                <w:color w:val="auto"/>
              </w:rPr>
              <w:t>0.805%</w:t>
            </w:r>
          </w:p>
        </w:tc>
        <w:tc>
          <w:tcPr>
            <w:tcW w:w="1760" w:type="dxa"/>
            <w:vAlign w:val="bottom"/>
            <w:tcBorders>
              <w:top w:val="single" w:sz="8" w:color="010101"/>
              <w:right w:val="single" w:sz="8" w:color="010101"/>
            </w:tcBorders>
          </w:tcPr>
          <w:p>
            <w:pPr>
              <w:jc w:val="center"/>
              <w:ind w:right="59"/>
              <w:spacing w:after="0"/>
              <w:rPr>
                <w:sz w:val="20"/>
                <w:szCs w:val="20"/>
                <w:color w:val="auto"/>
              </w:rPr>
            </w:pPr>
            <w:r>
              <w:rPr>
                <w:rFonts w:ascii="Times New Roman" w:cs="Times New Roman" w:eastAsia="Times New Roman" w:hAnsi="Times New Roman"/>
                <w:sz w:val="16"/>
                <w:szCs w:val="16"/>
                <w:color w:val="auto"/>
              </w:rPr>
              <w:t>0.805%</w:t>
            </w:r>
          </w:p>
        </w:tc>
        <w:tc>
          <w:tcPr>
            <w:tcW w:w="178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w w:val="93"/>
              </w:rPr>
              <w:t>0%</w:t>
            </w:r>
          </w:p>
        </w:tc>
      </w:tr>
      <w:tr>
        <w:trPr>
          <w:trHeight w:val="237"/>
        </w:trPr>
        <w:tc>
          <w:tcPr>
            <w:tcW w:w="1460" w:type="dxa"/>
            <w:vAlign w:val="bottom"/>
            <w:tcBorders>
              <w:top w:val="single" w:sz="8" w:color="010101"/>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Level II</w:t>
            </w:r>
          </w:p>
        </w:tc>
        <w:tc>
          <w:tcPr>
            <w:tcW w:w="174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0.09%</w:t>
            </w:r>
          </w:p>
        </w:tc>
        <w:tc>
          <w:tcPr>
            <w:tcW w:w="1760" w:type="dxa"/>
            <w:vAlign w:val="bottom"/>
            <w:tcBorders>
              <w:top w:val="single" w:sz="8" w:color="010101"/>
              <w:bottom w:val="single" w:sz="8" w:color="FDFFFF"/>
              <w:right w:val="single" w:sz="8" w:color="010101"/>
            </w:tcBorders>
            <w:shd w:val="clear" w:color="auto" w:fill="FDFFFF"/>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760" w:type="dxa"/>
            <w:vAlign w:val="bottom"/>
            <w:tcBorders>
              <w:top w:val="single" w:sz="8" w:color="010101"/>
              <w:right w:val="single" w:sz="8" w:color="010101"/>
            </w:tcBorders>
          </w:tcPr>
          <w:p>
            <w:pPr>
              <w:jc w:val="center"/>
              <w:ind w:right="59"/>
              <w:spacing w:after="0"/>
              <w:rPr>
                <w:sz w:val="20"/>
                <w:szCs w:val="20"/>
                <w:color w:val="auto"/>
              </w:rPr>
            </w:pPr>
            <w:r>
              <w:rPr>
                <w:rFonts w:ascii="Times New Roman" w:cs="Times New Roman" w:eastAsia="Times New Roman" w:hAnsi="Times New Roman"/>
                <w:sz w:val="16"/>
                <w:szCs w:val="16"/>
                <w:color w:val="auto"/>
              </w:rPr>
              <w:t>0.91%</w:t>
            </w:r>
          </w:p>
        </w:tc>
        <w:tc>
          <w:tcPr>
            <w:tcW w:w="178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w w:val="93"/>
              </w:rPr>
              <w:t>0%</w:t>
            </w:r>
          </w:p>
        </w:tc>
      </w:tr>
      <w:tr>
        <w:trPr>
          <w:trHeight w:val="237"/>
        </w:trPr>
        <w:tc>
          <w:tcPr>
            <w:tcW w:w="1460" w:type="dxa"/>
            <w:vAlign w:val="bottom"/>
            <w:tcBorders>
              <w:top w:val="single" w:sz="8" w:color="010101"/>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III</w:t>
            </w:r>
          </w:p>
        </w:tc>
        <w:tc>
          <w:tcPr>
            <w:tcW w:w="174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1760" w:type="dxa"/>
            <w:vAlign w:val="bottom"/>
            <w:tcBorders>
              <w:top w:val="single" w:sz="8" w:color="010101"/>
              <w:bottom w:val="single" w:sz="8" w:color="FDFFFF"/>
              <w:right w:val="single" w:sz="8" w:color="010101"/>
            </w:tcBorders>
            <w:shd w:val="clear" w:color="auto" w:fill="FDFFFF"/>
          </w:tcPr>
          <w:p>
            <w:pPr>
              <w:jc w:val="center"/>
              <w:spacing w:after="0"/>
              <w:rPr>
                <w:sz w:val="20"/>
                <w:szCs w:val="20"/>
                <w:color w:val="auto"/>
              </w:rPr>
            </w:pPr>
            <w:r>
              <w:rPr>
                <w:rFonts w:ascii="Times New Roman" w:cs="Times New Roman" w:eastAsia="Times New Roman" w:hAnsi="Times New Roman"/>
                <w:sz w:val="16"/>
                <w:szCs w:val="16"/>
                <w:color w:val="auto"/>
              </w:rPr>
              <w:t>1.025%</w:t>
            </w:r>
          </w:p>
        </w:tc>
        <w:tc>
          <w:tcPr>
            <w:tcW w:w="1760" w:type="dxa"/>
            <w:vAlign w:val="bottom"/>
            <w:tcBorders>
              <w:top w:val="single" w:sz="8" w:color="010101"/>
              <w:right w:val="single" w:sz="8" w:color="010101"/>
            </w:tcBorders>
          </w:tcPr>
          <w:p>
            <w:pPr>
              <w:jc w:val="center"/>
              <w:ind w:right="59"/>
              <w:spacing w:after="0"/>
              <w:rPr>
                <w:sz w:val="20"/>
                <w:szCs w:val="20"/>
                <w:color w:val="auto"/>
              </w:rPr>
            </w:pPr>
            <w:r>
              <w:rPr>
                <w:rFonts w:ascii="Times New Roman" w:cs="Times New Roman" w:eastAsia="Times New Roman" w:hAnsi="Times New Roman"/>
                <w:sz w:val="16"/>
                <w:szCs w:val="16"/>
                <w:color w:val="auto"/>
              </w:rPr>
              <w:t>1.025%</w:t>
            </w:r>
          </w:p>
        </w:tc>
        <w:tc>
          <w:tcPr>
            <w:tcW w:w="1780" w:type="dxa"/>
            <w:vAlign w:val="bottom"/>
            <w:tcBorders>
              <w:top w:val="single" w:sz="8" w:color="010101"/>
              <w:right w:val="single" w:sz="8" w:color="010101"/>
            </w:tcBorders>
          </w:tcPr>
          <w:p>
            <w:pPr>
              <w:jc w:val="center"/>
              <w:ind w:left="39"/>
              <w:spacing w:after="0"/>
              <w:rPr>
                <w:sz w:val="20"/>
                <w:szCs w:val="20"/>
                <w:color w:val="auto"/>
              </w:rPr>
            </w:pPr>
            <w:r>
              <w:rPr>
                <w:rFonts w:ascii="Times New Roman" w:cs="Times New Roman" w:eastAsia="Times New Roman" w:hAnsi="Times New Roman"/>
                <w:sz w:val="16"/>
                <w:szCs w:val="16"/>
                <w:color w:val="auto"/>
              </w:rPr>
              <w:t>0.025%</w:t>
            </w:r>
          </w:p>
        </w:tc>
      </w:tr>
      <w:tr>
        <w:trPr>
          <w:trHeight w:val="236"/>
        </w:trPr>
        <w:tc>
          <w:tcPr>
            <w:tcW w:w="1460" w:type="dxa"/>
            <w:vAlign w:val="bottom"/>
            <w:tcBorders>
              <w:top w:val="single" w:sz="8" w:color="010101"/>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Level IV</w:t>
            </w:r>
          </w:p>
        </w:tc>
        <w:tc>
          <w:tcPr>
            <w:tcW w:w="174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0.125%</w:t>
            </w:r>
          </w:p>
        </w:tc>
        <w:tc>
          <w:tcPr>
            <w:tcW w:w="1760" w:type="dxa"/>
            <w:vAlign w:val="bottom"/>
            <w:tcBorders>
              <w:top w:val="single" w:sz="8" w:color="010101"/>
              <w:bottom w:val="single" w:sz="8" w:color="FDFFFF"/>
              <w:right w:val="single" w:sz="8" w:color="010101"/>
            </w:tcBorders>
            <w:shd w:val="clear" w:color="auto" w:fill="FDFFFF"/>
          </w:tcPr>
          <w:p>
            <w:pPr>
              <w:jc w:val="center"/>
              <w:spacing w:after="0"/>
              <w:rPr>
                <w:sz w:val="20"/>
                <w:szCs w:val="20"/>
                <w:color w:val="auto"/>
              </w:rPr>
            </w:pPr>
            <w:r>
              <w:rPr>
                <w:rFonts w:ascii="Times New Roman" w:cs="Times New Roman" w:eastAsia="Times New Roman" w:hAnsi="Times New Roman"/>
                <w:sz w:val="16"/>
                <w:szCs w:val="16"/>
                <w:color w:val="auto"/>
              </w:rPr>
              <w:t>1.125%</w:t>
            </w:r>
          </w:p>
        </w:tc>
        <w:tc>
          <w:tcPr>
            <w:tcW w:w="1760" w:type="dxa"/>
            <w:vAlign w:val="bottom"/>
            <w:tcBorders>
              <w:top w:val="single" w:sz="8" w:color="010101"/>
              <w:right w:val="single" w:sz="8" w:color="010101"/>
            </w:tcBorders>
          </w:tcPr>
          <w:p>
            <w:pPr>
              <w:jc w:val="center"/>
              <w:ind w:right="59"/>
              <w:spacing w:after="0"/>
              <w:rPr>
                <w:sz w:val="20"/>
                <w:szCs w:val="20"/>
                <w:color w:val="auto"/>
              </w:rPr>
            </w:pPr>
            <w:r>
              <w:rPr>
                <w:rFonts w:ascii="Times New Roman" w:cs="Times New Roman" w:eastAsia="Times New Roman" w:hAnsi="Times New Roman"/>
                <w:sz w:val="16"/>
                <w:szCs w:val="16"/>
                <w:color w:val="auto"/>
              </w:rPr>
              <w:t>1.125%</w:t>
            </w:r>
          </w:p>
        </w:tc>
        <w:tc>
          <w:tcPr>
            <w:tcW w:w="1780" w:type="dxa"/>
            <w:vAlign w:val="bottom"/>
            <w:tcBorders>
              <w:top w:val="single" w:sz="8" w:color="010101"/>
              <w:right w:val="single" w:sz="8" w:color="010101"/>
            </w:tcBorders>
          </w:tcPr>
          <w:p>
            <w:pPr>
              <w:jc w:val="center"/>
              <w:ind w:left="39"/>
              <w:spacing w:after="0"/>
              <w:rPr>
                <w:sz w:val="20"/>
                <w:szCs w:val="20"/>
                <w:color w:val="auto"/>
              </w:rPr>
            </w:pPr>
            <w:r>
              <w:rPr>
                <w:rFonts w:ascii="Times New Roman" w:cs="Times New Roman" w:eastAsia="Times New Roman" w:hAnsi="Times New Roman"/>
                <w:sz w:val="16"/>
                <w:szCs w:val="16"/>
                <w:color w:val="auto"/>
              </w:rPr>
              <w:t>0.125%</w:t>
            </w:r>
          </w:p>
        </w:tc>
      </w:tr>
      <w:tr>
        <w:trPr>
          <w:trHeight w:val="217"/>
        </w:trPr>
        <w:tc>
          <w:tcPr>
            <w:tcW w:w="1460" w:type="dxa"/>
            <w:vAlign w:val="bottom"/>
            <w:tcBorders>
              <w:top w:val="single" w:sz="8" w:color="010101"/>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V</w:t>
            </w:r>
          </w:p>
        </w:tc>
        <w:tc>
          <w:tcPr>
            <w:tcW w:w="174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6"/>
                <w:szCs w:val="16"/>
                <w:color w:val="auto"/>
              </w:rPr>
              <w:t>0.175%</w:t>
            </w:r>
          </w:p>
        </w:tc>
        <w:tc>
          <w:tcPr>
            <w:tcW w:w="1760" w:type="dxa"/>
            <w:vAlign w:val="bottom"/>
            <w:tcBorders>
              <w:top w:val="single" w:sz="8" w:color="010101"/>
              <w:bottom w:val="single" w:sz="8" w:color="FDFFFF"/>
              <w:right w:val="single" w:sz="8" w:color="010101"/>
            </w:tcBorders>
            <w:shd w:val="clear" w:color="auto" w:fill="FDFFFF"/>
          </w:tcPr>
          <w:p>
            <w:pPr>
              <w:jc w:val="center"/>
              <w:spacing w:after="0"/>
              <w:rPr>
                <w:sz w:val="20"/>
                <w:szCs w:val="20"/>
                <w:color w:val="auto"/>
              </w:rPr>
            </w:pPr>
            <w:r>
              <w:rPr>
                <w:rFonts w:ascii="Times New Roman" w:cs="Times New Roman" w:eastAsia="Times New Roman" w:hAnsi="Times New Roman"/>
                <w:sz w:val="16"/>
                <w:szCs w:val="16"/>
                <w:color w:val="auto"/>
              </w:rPr>
              <w:t>1.20%</w:t>
            </w:r>
          </w:p>
        </w:tc>
        <w:tc>
          <w:tcPr>
            <w:tcW w:w="1760" w:type="dxa"/>
            <w:vAlign w:val="bottom"/>
            <w:tcBorders>
              <w:top w:val="single" w:sz="8" w:color="010101"/>
              <w:right w:val="single" w:sz="8" w:color="010101"/>
            </w:tcBorders>
          </w:tcPr>
          <w:p>
            <w:pPr>
              <w:jc w:val="center"/>
              <w:ind w:right="59"/>
              <w:spacing w:after="0"/>
              <w:rPr>
                <w:sz w:val="20"/>
                <w:szCs w:val="20"/>
                <w:color w:val="auto"/>
              </w:rPr>
            </w:pPr>
            <w:r>
              <w:rPr>
                <w:rFonts w:ascii="Times New Roman" w:cs="Times New Roman" w:eastAsia="Times New Roman" w:hAnsi="Times New Roman"/>
                <w:sz w:val="16"/>
                <w:szCs w:val="16"/>
                <w:color w:val="auto"/>
              </w:rPr>
              <w:t>1.20%</w:t>
            </w:r>
          </w:p>
        </w:tc>
        <w:tc>
          <w:tcPr>
            <w:tcW w:w="1780" w:type="dxa"/>
            <w:vAlign w:val="bottom"/>
            <w:tcBorders>
              <w:top w:val="single" w:sz="8" w:color="010101"/>
              <w:right w:val="single" w:sz="8" w:color="010101"/>
            </w:tcBorders>
          </w:tcPr>
          <w:p>
            <w:pPr>
              <w:jc w:val="center"/>
              <w:ind w:left="39"/>
              <w:spacing w:after="0"/>
              <w:rPr>
                <w:sz w:val="20"/>
                <w:szCs w:val="20"/>
                <w:color w:val="auto"/>
              </w:rPr>
            </w:pPr>
            <w:r>
              <w:rPr>
                <w:rFonts w:ascii="Times New Roman" w:cs="Times New Roman" w:eastAsia="Times New Roman" w:hAnsi="Times New Roman"/>
                <w:sz w:val="16"/>
                <w:szCs w:val="16"/>
                <w:color w:val="auto"/>
              </w:rPr>
              <w:t>0.20%</w:t>
            </w:r>
          </w:p>
        </w:tc>
      </w:tr>
      <w:tr>
        <w:trPr>
          <w:trHeight w:val="20"/>
        </w:trPr>
        <w:tc>
          <w:tcPr>
            <w:tcW w:w="1460" w:type="dxa"/>
            <w:vAlign w:val="bottom"/>
            <w:tcBorders>
              <w:left w:val="single" w:sz="8" w:color="010101"/>
              <w:right w:val="single" w:sz="8" w:color="010101"/>
            </w:tcBorders>
            <w:shd w:val="clear" w:color="auto" w:fill="010101"/>
          </w:tcPr>
          <w:p>
            <w:pPr>
              <w:spacing w:after="0" w:line="20" w:lineRule="exact"/>
              <w:rPr>
                <w:sz w:val="1"/>
                <w:szCs w:val="1"/>
                <w:color w:val="auto"/>
              </w:rPr>
            </w:pPr>
          </w:p>
        </w:tc>
        <w:tc>
          <w:tcPr>
            <w:tcW w:w="1740" w:type="dxa"/>
            <w:vAlign w:val="bottom"/>
            <w:tcBorders>
              <w:right w:val="single" w:sz="8" w:color="010101"/>
            </w:tcBorders>
            <w:shd w:val="clear" w:color="auto" w:fill="010101"/>
          </w:tcPr>
          <w:p>
            <w:pPr>
              <w:spacing w:after="0" w:line="20" w:lineRule="exact"/>
              <w:rPr>
                <w:sz w:val="1"/>
                <w:szCs w:val="1"/>
                <w:color w:val="auto"/>
              </w:rPr>
            </w:pPr>
          </w:p>
        </w:tc>
        <w:tc>
          <w:tcPr>
            <w:tcW w:w="1760" w:type="dxa"/>
            <w:vAlign w:val="bottom"/>
            <w:tcBorders>
              <w:right w:val="single" w:sz="8" w:color="010101"/>
            </w:tcBorders>
            <w:shd w:val="clear" w:color="auto" w:fill="010101"/>
          </w:tcPr>
          <w:p>
            <w:pPr>
              <w:spacing w:after="0" w:line="20" w:lineRule="exact"/>
              <w:rPr>
                <w:sz w:val="1"/>
                <w:szCs w:val="1"/>
                <w:color w:val="auto"/>
              </w:rPr>
            </w:pPr>
          </w:p>
        </w:tc>
        <w:tc>
          <w:tcPr>
            <w:tcW w:w="1760" w:type="dxa"/>
            <w:vAlign w:val="bottom"/>
            <w:tcBorders>
              <w:right w:val="single" w:sz="8" w:color="010101"/>
            </w:tcBorders>
            <w:shd w:val="clear" w:color="auto" w:fill="010101"/>
          </w:tcPr>
          <w:p>
            <w:pPr>
              <w:spacing w:after="0" w:line="20" w:lineRule="exact"/>
              <w:rPr>
                <w:sz w:val="1"/>
                <w:szCs w:val="1"/>
                <w:color w:val="auto"/>
              </w:rPr>
            </w:pPr>
          </w:p>
        </w:tc>
        <w:tc>
          <w:tcPr>
            <w:tcW w:w="1780" w:type="dxa"/>
            <w:vAlign w:val="bottom"/>
            <w:tcBorders>
              <w:right w:val="single" w:sz="8" w:color="010101"/>
            </w:tcBorders>
            <w:shd w:val="clear" w:color="auto" w:fill="010101"/>
          </w:tcPr>
          <w:p>
            <w:pPr>
              <w:spacing w:after="0" w:line="20" w:lineRule="exact"/>
              <w:rPr>
                <w:sz w:val="1"/>
                <w:szCs w:val="1"/>
                <w:color w:val="auto"/>
              </w:rPr>
            </w:pPr>
          </w:p>
        </w:tc>
      </w:tr>
    </w:tbl>
    <w:p>
      <w:pPr>
        <w:spacing w:after="0" w:line="315" w:lineRule="exact"/>
        <w:rPr>
          <w:sz w:val="20"/>
          <w:szCs w:val="20"/>
          <w:color w:val="auto"/>
        </w:rPr>
      </w:pPr>
    </w:p>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For purposes hereof: (i) Pricing Level I, Leverage Level 1 and Ratings Level A are equivalent and correspond to each other, (ii) Pricing Level II, Leverage Level 2 and Ratings Level B are equivalent and correspond to each other, (iii) Pricing Level III, Leverage Level 3 and Ratings Level C are equivalent and correspond to each other, (iv) Pricing Level IV, Leverage Level 4 and Ratings Level D are equivalent and correspond to each other and (v) Pricing Level V, Leverage Level 5 and Ratings Level E are equivalent and correspond to each other.</w:t>
      </w:r>
    </w:p>
    <w:p>
      <w:pPr>
        <w:spacing w:after="0" w:line="219" w:lineRule="exact"/>
        <w:rPr>
          <w:sz w:val="20"/>
          <w:szCs w:val="20"/>
          <w:color w:val="auto"/>
        </w:rPr>
      </w:pPr>
    </w:p>
    <w:p>
      <w:pPr>
        <w:jc w:val="both"/>
        <w:ind w:right="259"/>
        <w:spacing w:after="0" w:line="269" w:lineRule="auto"/>
        <w:rPr>
          <w:sz w:val="20"/>
          <w:szCs w:val="20"/>
          <w:color w:val="auto"/>
        </w:rPr>
      </w:pPr>
      <w:r>
        <w:rPr>
          <w:rFonts w:ascii="Times New Roman" w:cs="Times New Roman" w:eastAsia="Times New Roman" w:hAnsi="Times New Roman"/>
          <w:sz w:val="20"/>
          <w:szCs w:val="20"/>
          <w:color w:val="auto"/>
        </w:rPr>
        <w:t>Notwithstanding anything to the contrary in this definition, Pricing Level III shall be deemed to be applicable until the Administrative Agent’s receipt of the financial statements for the Company’s fiscal quarter ending September 30, 2022.</w:t>
      </w:r>
    </w:p>
    <w:p>
      <w:pPr>
        <w:spacing w:after="0" w:line="200" w:lineRule="exact"/>
        <w:rPr>
          <w:sz w:val="20"/>
          <w:szCs w:val="20"/>
          <w:color w:val="auto"/>
        </w:rPr>
      </w:pPr>
    </w:p>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At any time of determination, the Pricing Level shall be determined by reference to the Leverage Level or the Ratings Level, as the Company shall from time to time elect by written notice to the Administrative Agent, and any change in Pricing Level resulting from such election by the Company shall be effected as promptly as practicable by the Administrative Agent after receiving such written election from the Company (but in any event no later than three (3) Business Days after such receipt).</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u w:val="single" w:color="auto"/>
          <w:color w:val="auto"/>
        </w:rPr>
        <w:t>Leverage Level Determination</w:t>
      </w:r>
    </w:p>
    <w:p>
      <w:pPr>
        <w:spacing w:after="0" w:line="272" w:lineRule="exact"/>
        <w:rPr>
          <w:sz w:val="20"/>
          <w:szCs w:val="20"/>
          <w:color w:val="auto"/>
        </w:rPr>
      </w:pPr>
    </w:p>
    <w:tbl>
      <w:tblPr>
        <w:tblLayout w:type="fixed"/>
        <w:tblInd w:w="1810" w:type="dxa"/>
        <w:tblCellMar>
          <w:top w:w="0" w:type="dxa"/>
          <w:left w:w="0" w:type="dxa"/>
          <w:bottom w:w="0" w:type="dxa"/>
          <w:right w:w="0" w:type="dxa"/>
        </w:tblCellMar>
      </w:tblPr>
      <w:tr>
        <w:trPr>
          <w:trHeight w:val="247"/>
        </w:trPr>
        <w:tc>
          <w:tcPr>
            <w:tcW w:w="1920" w:type="dxa"/>
            <w:vAlign w:val="bottom"/>
            <w:tcBorders>
              <w:top w:val="single" w:sz="8" w:color="010101"/>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9"/>
              </w:rPr>
              <w:t>Leverage</w:t>
            </w:r>
          </w:p>
        </w:tc>
        <w:tc>
          <w:tcPr>
            <w:tcW w:w="266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9"/>
              </w:rPr>
              <w:t>Total Net Leverage</w:t>
            </w:r>
          </w:p>
        </w:tc>
      </w:tr>
      <w:tr>
        <w:trPr>
          <w:trHeight w:val="258"/>
        </w:trPr>
        <w:tc>
          <w:tcPr>
            <w:tcW w:w="1920" w:type="dxa"/>
            <w:vAlign w:val="bottom"/>
            <w:tcBorders>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rPr>
              <w:t>Level</w:t>
            </w:r>
          </w:p>
        </w:tc>
        <w:tc>
          <w:tcPr>
            <w:tcW w:w="266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6"/>
              </w:rPr>
              <w:t>Ratio</w:t>
            </w:r>
          </w:p>
        </w:tc>
      </w:tr>
      <w:tr>
        <w:trPr>
          <w:trHeight w:val="21"/>
        </w:trPr>
        <w:tc>
          <w:tcPr>
            <w:tcW w:w="1920" w:type="dxa"/>
            <w:vAlign w:val="bottom"/>
            <w:tcBorders>
              <w:left w:val="single" w:sz="8" w:color="010101"/>
              <w:bottom w:val="single" w:sz="8" w:color="010101"/>
              <w:right w:val="single" w:sz="8" w:color="010101"/>
            </w:tcBorders>
          </w:tcPr>
          <w:p>
            <w:pPr>
              <w:spacing w:after="0" w:line="20" w:lineRule="exact"/>
              <w:rPr>
                <w:sz w:val="1"/>
                <w:szCs w:val="1"/>
                <w:color w:val="auto"/>
              </w:rPr>
            </w:pPr>
          </w:p>
        </w:tc>
        <w:tc>
          <w:tcPr>
            <w:tcW w:w="2660" w:type="dxa"/>
            <w:vAlign w:val="bottom"/>
            <w:tcBorders>
              <w:bottom w:val="single" w:sz="8" w:color="010101"/>
              <w:right w:val="single" w:sz="8" w:color="010101"/>
            </w:tcBorders>
          </w:tcPr>
          <w:p>
            <w:pPr>
              <w:spacing w:after="0" w:line="20" w:lineRule="exact"/>
              <w:rPr>
                <w:sz w:val="1"/>
                <w:szCs w:val="1"/>
                <w:color w:val="auto"/>
              </w:rPr>
            </w:pPr>
          </w:p>
        </w:tc>
      </w:tr>
      <w:tr>
        <w:trPr>
          <w:trHeight w:val="256"/>
        </w:trPr>
        <w:tc>
          <w:tcPr>
            <w:tcW w:w="1920" w:type="dxa"/>
            <w:vAlign w:val="bottom"/>
            <w:tcBorders>
              <w:left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266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8"/>
              </w:rPr>
              <w:t>≤ 0.75 to 1.00</w:t>
            </w:r>
          </w:p>
        </w:tc>
      </w:tr>
      <w:tr>
        <w:trPr>
          <w:trHeight w:val="21"/>
        </w:trPr>
        <w:tc>
          <w:tcPr>
            <w:tcW w:w="1920" w:type="dxa"/>
            <w:vAlign w:val="bottom"/>
            <w:tcBorders>
              <w:left w:val="single" w:sz="8" w:color="010101"/>
              <w:bottom w:val="single" w:sz="8" w:color="010101"/>
              <w:right w:val="single" w:sz="8" w:color="010101"/>
            </w:tcBorders>
          </w:tcPr>
          <w:p>
            <w:pPr>
              <w:spacing w:after="0" w:line="20" w:lineRule="exact"/>
              <w:rPr>
                <w:sz w:val="1"/>
                <w:szCs w:val="1"/>
                <w:color w:val="auto"/>
              </w:rPr>
            </w:pPr>
          </w:p>
        </w:tc>
        <w:tc>
          <w:tcPr>
            <w:tcW w:w="2660" w:type="dxa"/>
            <w:vAlign w:val="bottom"/>
            <w:tcBorders>
              <w:bottom w:val="single" w:sz="8" w:color="010101"/>
              <w:right w:val="single" w:sz="8" w:color="010101"/>
            </w:tcBorders>
          </w:tcPr>
          <w:p>
            <w:pPr>
              <w:spacing w:after="0" w:line="20" w:lineRule="exact"/>
              <w:rPr>
                <w:sz w:val="1"/>
                <w:szCs w:val="1"/>
                <w:color w:val="auto"/>
              </w:rPr>
            </w:pPr>
          </w:p>
        </w:tc>
      </w:tr>
      <w:tr>
        <w:trPr>
          <w:trHeight w:val="214"/>
        </w:trPr>
        <w:tc>
          <w:tcPr>
            <w:tcW w:w="1920" w:type="dxa"/>
            <w:vAlign w:val="bottom"/>
            <w:tcBorders>
              <w:left w:val="single" w:sz="8" w:color="010101"/>
              <w:right w:val="single" w:sz="8" w:color="010101"/>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Level 2</w:t>
            </w:r>
          </w:p>
        </w:tc>
        <w:tc>
          <w:tcPr>
            <w:tcW w:w="2660" w:type="dxa"/>
            <w:vAlign w:val="bottom"/>
            <w:tcBorders>
              <w:right w:val="single" w:sz="8" w:color="010101"/>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&gt; 0.75 to 1.00 but</w:t>
            </w:r>
          </w:p>
        </w:tc>
      </w:tr>
      <w:tr>
        <w:trPr>
          <w:trHeight w:val="262"/>
        </w:trPr>
        <w:tc>
          <w:tcPr>
            <w:tcW w:w="1920" w:type="dxa"/>
            <w:vAlign w:val="bottom"/>
            <w:tcBorders>
              <w:left w:val="single" w:sz="8" w:color="010101"/>
              <w:bottom w:val="single" w:sz="8" w:color="010101"/>
              <w:right w:val="single" w:sz="8" w:color="010101"/>
            </w:tcBorders>
          </w:tcPr>
          <w:p>
            <w:pPr>
              <w:spacing w:after="0"/>
              <w:rPr>
                <w:sz w:val="22"/>
                <w:szCs w:val="22"/>
                <w:color w:val="auto"/>
              </w:rPr>
            </w:pPr>
          </w:p>
        </w:tc>
        <w:tc>
          <w:tcPr>
            <w:tcW w:w="26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8"/>
              </w:rPr>
              <w:t>≤ 1.25 to 1.00</w:t>
            </w:r>
          </w:p>
        </w:tc>
      </w:tr>
      <w:tr>
        <w:trPr>
          <w:trHeight w:val="217"/>
        </w:trPr>
        <w:tc>
          <w:tcPr>
            <w:tcW w:w="1920" w:type="dxa"/>
            <w:vAlign w:val="bottom"/>
            <w:tcBorders>
              <w:left w:val="single" w:sz="8" w:color="010101"/>
              <w:right w:val="single" w:sz="8" w:color="010101"/>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Level 3</w:t>
            </w:r>
          </w:p>
        </w:tc>
        <w:tc>
          <w:tcPr>
            <w:tcW w:w="2660" w:type="dxa"/>
            <w:vAlign w:val="bottom"/>
            <w:tcBorders>
              <w:right w:val="single" w:sz="8" w:color="010101"/>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&gt; 1.25 to 1.00 but</w:t>
            </w:r>
          </w:p>
        </w:tc>
      </w:tr>
      <w:tr>
        <w:trPr>
          <w:trHeight w:val="262"/>
        </w:trPr>
        <w:tc>
          <w:tcPr>
            <w:tcW w:w="1920" w:type="dxa"/>
            <w:vAlign w:val="bottom"/>
            <w:tcBorders>
              <w:left w:val="single" w:sz="8" w:color="010101"/>
              <w:bottom w:val="single" w:sz="8" w:color="010101"/>
              <w:right w:val="single" w:sz="8" w:color="010101"/>
            </w:tcBorders>
          </w:tcPr>
          <w:p>
            <w:pPr>
              <w:spacing w:after="0"/>
              <w:rPr>
                <w:sz w:val="22"/>
                <w:szCs w:val="22"/>
                <w:color w:val="auto"/>
              </w:rPr>
            </w:pPr>
          </w:p>
        </w:tc>
        <w:tc>
          <w:tcPr>
            <w:tcW w:w="26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8"/>
              </w:rPr>
              <w:t>≤ 2.25 to 1.00</w:t>
            </w:r>
          </w:p>
        </w:tc>
      </w:tr>
      <w:tr>
        <w:trPr>
          <w:trHeight w:val="381"/>
        </w:trPr>
        <w:tc>
          <w:tcPr>
            <w:tcW w:w="1920" w:type="dxa"/>
            <w:vAlign w:val="bottom"/>
          </w:tcPr>
          <w:p>
            <w:pPr>
              <w:spacing w:after="0"/>
              <w:rPr>
                <w:sz w:val="24"/>
                <w:szCs w:val="24"/>
                <w:color w:val="auto"/>
              </w:rPr>
            </w:pPr>
          </w:p>
        </w:tc>
        <w:tc>
          <w:tcPr>
            <w:tcW w:w="266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4</w:t>
            </w:r>
          </w:p>
        </w:tc>
      </w:tr>
    </w:tbl>
    <w:p>
      <w:pPr>
        <w:sectPr>
          <w:pgSz w:w="11900" w:h="16838" w:orient="portrait"/>
          <w:cols w:equalWidth="0" w:num="1">
            <w:col w:w="10019"/>
          </w:cols>
          <w:pgMar w:left="440" w:top="1413" w:right="1440" w:bottom="1440" w:gutter="0" w:footer="0" w:header="0"/>
        </w:sectPr>
      </w:pPr>
    </w:p>
    <w:bookmarkStart w:id="43" w:name="page44"/>
    <w:bookmarkEnd w:id="43"/>
    <w:p>
      <w:pPr>
        <w:spacing w:after="0" w:line="1" w:lineRule="exact"/>
        <w:rPr>
          <w:sz w:val="20"/>
          <w:szCs w:val="20"/>
          <w:color w:val="auto"/>
        </w:rPr>
      </w:pPr>
    </w:p>
    <w:tbl>
      <w:tblPr>
        <w:tblLayout w:type="fixed"/>
        <w:tblInd w:w="1815" w:type="dxa"/>
        <w:tblCellMar>
          <w:top w:w="0" w:type="dxa"/>
          <w:left w:w="0" w:type="dxa"/>
          <w:bottom w:w="0" w:type="dxa"/>
          <w:right w:w="0" w:type="dxa"/>
        </w:tblCellMar>
      </w:tblPr>
      <w:tr>
        <w:trPr>
          <w:trHeight w:val="234"/>
        </w:trPr>
        <w:tc>
          <w:tcPr>
            <w:tcW w:w="1920" w:type="dxa"/>
            <w:vAlign w:val="bottom"/>
            <w:tcBorders>
              <w:top w:val="single" w:sz="8" w:color="010101"/>
              <w:left w:val="single" w:sz="8" w:color="010101"/>
              <w:right w:val="single" w:sz="8" w:color="010101"/>
            </w:tcBorders>
          </w:tcPr>
          <w:p>
            <w:pPr>
              <w:ind w:left="660"/>
              <w:spacing w:after="0"/>
              <w:rPr>
                <w:sz w:val="20"/>
                <w:szCs w:val="20"/>
                <w:color w:val="auto"/>
              </w:rPr>
            </w:pPr>
            <w:r>
              <w:rPr>
                <w:rFonts w:ascii="Times New Roman" w:cs="Times New Roman" w:eastAsia="Times New Roman" w:hAnsi="Times New Roman"/>
                <w:sz w:val="20"/>
                <w:szCs w:val="20"/>
                <w:color w:val="auto"/>
              </w:rPr>
              <w:t>Level 4</w:t>
            </w:r>
          </w:p>
        </w:tc>
        <w:tc>
          <w:tcPr>
            <w:tcW w:w="266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9"/>
              </w:rPr>
              <w:t>&gt; 2.25 to 1.00 but</w:t>
            </w:r>
          </w:p>
        </w:tc>
      </w:tr>
      <w:tr>
        <w:trPr>
          <w:trHeight w:val="262"/>
        </w:trPr>
        <w:tc>
          <w:tcPr>
            <w:tcW w:w="1920" w:type="dxa"/>
            <w:vAlign w:val="bottom"/>
            <w:tcBorders>
              <w:left w:val="single" w:sz="8" w:color="010101"/>
              <w:bottom w:val="single" w:sz="8" w:color="010101"/>
              <w:right w:val="single" w:sz="8" w:color="010101"/>
            </w:tcBorders>
          </w:tcPr>
          <w:p>
            <w:pPr>
              <w:spacing w:after="0"/>
              <w:rPr>
                <w:sz w:val="22"/>
                <w:szCs w:val="22"/>
                <w:color w:val="auto"/>
              </w:rPr>
            </w:pPr>
          </w:p>
        </w:tc>
        <w:tc>
          <w:tcPr>
            <w:tcW w:w="26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20"/>
                <w:szCs w:val="20"/>
                <w:color w:val="auto"/>
                <w:w w:val="98"/>
              </w:rPr>
              <w:t>≤ 3.25 to 1.00</w:t>
            </w:r>
          </w:p>
        </w:tc>
      </w:tr>
      <w:tr>
        <w:trPr>
          <w:trHeight w:val="260"/>
        </w:trPr>
        <w:tc>
          <w:tcPr>
            <w:tcW w:w="1920" w:type="dxa"/>
            <w:vAlign w:val="bottom"/>
            <w:tcBorders>
              <w:left w:val="single" w:sz="8" w:color="010101"/>
              <w:right w:val="single" w:sz="8" w:color="010101"/>
            </w:tcBorders>
          </w:tcPr>
          <w:p>
            <w:pPr>
              <w:ind w:left="660"/>
              <w:spacing w:after="0"/>
              <w:rPr>
                <w:sz w:val="20"/>
                <w:szCs w:val="20"/>
                <w:color w:val="auto"/>
              </w:rPr>
            </w:pPr>
            <w:r>
              <w:rPr>
                <w:rFonts w:ascii="Times New Roman" w:cs="Times New Roman" w:eastAsia="Times New Roman" w:hAnsi="Times New Roman"/>
                <w:sz w:val="20"/>
                <w:szCs w:val="20"/>
                <w:color w:val="auto"/>
              </w:rPr>
              <w:t>Level 5</w:t>
            </w:r>
          </w:p>
        </w:tc>
        <w:tc>
          <w:tcPr>
            <w:tcW w:w="2660" w:type="dxa"/>
            <w:vAlign w:val="bottom"/>
            <w:tcBorders>
              <w:right w:val="single" w:sz="8" w:color="010101"/>
            </w:tcBorders>
          </w:tcPr>
          <w:p>
            <w:pPr>
              <w:ind w:left="880"/>
              <w:spacing w:after="0"/>
              <w:rPr>
                <w:sz w:val="20"/>
                <w:szCs w:val="20"/>
                <w:color w:val="auto"/>
              </w:rPr>
            </w:pPr>
            <w:r>
              <w:rPr>
                <w:rFonts w:ascii="Times New Roman" w:cs="Times New Roman" w:eastAsia="Times New Roman" w:hAnsi="Times New Roman"/>
                <w:sz w:val="20"/>
                <w:szCs w:val="20"/>
                <w:color w:val="auto"/>
              </w:rPr>
              <w:t>&gt; 3.25 to 1.00</w:t>
            </w:r>
          </w:p>
        </w:tc>
      </w:tr>
      <w:tr>
        <w:trPr>
          <w:trHeight w:val="21"/>
        </w:trPr>
        <w:tc>
          <w:tcPr>
            <w:tcW w:w="1920" w:type="dxa"/>
            <w:vAlign w:val="bottom"/>
            <w:tcBorders>
              <w:left w:val="single" w:sz="8" w:color="010101"/>
              <w:bottom w:val="single" w:sz="8" w:color="010101"/>
              <w:right w:val="single" w:sz="8" w:color="010101"/>
            </w:tcBorders>
          </w:tcPr>
          <w:p>
            <w:pPr>
              <w:spacing w:after="0" w:line="20" w:lineRule="exact"/>
              <w:rPr>
                <w:sz w:val="1"/>
                <w:szCs w:val="1"/>
                <w:color w:val="auto"/>
              </w:rPr>
            </w:pPr>
          </w:p>
        </w:tc>
        <w:tc>
          <w:tcPr>
            <w:tcW w:w="2660" w:type="dxa"/>
            <w:vAlign w:val="bottom"/>
            <w:tcBorders>
              <w:bottom w:val="single" w:sz="8" w:color="010101"/>
              <w:right w:val="single" w:sz="8" w:color="010101"/>
            </w:tcBorders>
          </w:tcPr>
          <w:p>
            <w:pPr>
              <w:spacing w:after="0" w:line="20" w:lineRule="exact"/>
              <w:rPr>
                <w:sz w:val="1"/>
                <w:szCs w:val="1"/>
                <w:color w:val="auto"/>
              </w:rPr>
            </w:pPr>
          </w:p>
        </w:tc>
      </w:tr>
    </w:tbl>
    <w:p>
      <w:pPr>
        <w:spacing w:after="0" w:line="396" w:lineRule="exact"/>
        <w:rPr>
          <w:sz w:val="20"/>
          <w:szCs w:val="20"/>
          <w:color w:val="auto"/>
        </w:rPr>
      </w:pPr>
    </w:p>
    <w:p>
      <w:pPr>
        <w:ind w:left="5" w:right="239" w:hanging="5"/>
        <w:spacing w:after="0" w:line="258" w:lineRule="auto"/>
        <w:tabs>
          <w:tab w:leader="none" w:pos="54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Company fails to deliver the Financials on or before the date the Financials are due pursuant to Section 5.01, Leverage Level 5 shall be deemed applicable for the period commencing three</w:t>
      </w:r>
    </w:p>
    <w:p>
      <w:pPr>
        <w:jc w:val="both"/>
        <w:ind w:left="5" w:right="239"/>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Business Days after the required date of delivery and ending on the date which is three (3) Business Days after the Financials are actually delivered, after which the Leverage Level shall be determined in accordance with the table above as applicable; and</w:t>
      </w:r>
    </w:p>
    <w:p>
      <w:pPr>
        <w:spacing w:after="0" w:line="220" w:lineRule="exact"/>
        <w:rPr>
          <w:rFonts w:ascii="Times New Roman" w:cs="Times New Roman" w:eastAsia="Times New Roman" w:hAnsi="Times New Roman"/>
          <w:sz w:val="20"/>
          <w:szCs w:val="20"/>
          <w:color w:val="auto"/>
        </w:rPr>
      </w:pPr>
    </w:p>
    <w:p>
      <w:pPr>
        <w:jc w:val="both"/>
        <w:ind w:left="5" w:right="239" w:hanging="5"/>
        <w:spacing w:after="0" w:line="258" w:lineRule="auto"/>
        <w:tabs>
          <w:tab w:leader="none" w:pos="54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1" w:lineRule="exact"/>
        <w:rPr>
          <w:sz w:val="20"/>
          <w:szCs w:val="20"/>
          <w:color w:val="auto"/>
        </w:rPr>
      </w:pPr>
    </w:p>
    <w:tbl>
      <w:tblPr>
        <w:tblLayout w:type="fixed"/>
        <w:tblInd w:w="1875" w:type="dxa"/>
        <w:tblCellMar>
          <w:top w:w="0" w:type="dxa"/>
          <w:left w:w="0" w:type="dxa"/>
          <w:bottom w:w="0" w:type="dxa"/>
          <w:right w:w="0" w:type="dxa"/>
        </w:tblCellMar>
      </w:tblPr>
      <w:tr>
        <w:trPr>
          <w:trHeight w:val="230"/>
        </w:trPr>
        <w:tc>
          <w:tcPr>
            <w:tcW w:w="122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Ratings Level Determination</w:t>
            </w:r>
          </w:p>
        </w:tc>
      </w:tr>
      <w:tr>
        <w:trPr>
          <w:trHeight w:val="304"/>
        </w:trPr>
        <w:tc>
          <w:tcPr>
            <w:tcW w:w="1220" w:type="dxa"/>
            <w:vAlign w:val="bottom"/>
            <w:tcBorders>
              <w:bottom w:val="single" w:sz="8" w:color="010101"/>
            </w:tcBorders>
          </w:tcPr>
          <w:p>
            <w:pPr>
              <w:spacing w:after="0"/>
              <w:rPr>
                <w:sz w:val="24"/>
                <w:szCs w:val="24"/>
                <w:color w:val="auto"/>
              </w:rPr>
            </w:pPr>
          </w:p>
        </w:tc>
        <w:tc>
          <w:tcPr>
            <w:tcW w:w="540" w:type="dxa"/>
            <w:vAlign w:val="bottom"/>
            <w:tcBorders>
              <w:top w:val="single" w:sz="8" w:color="auto"/>
              <w:bottom w:val="single" w:sz="8" w:color="010101"/>
            </w:tcBorders>
          </w:tcPr>
          <w:p>
            <w:pPr>
              <w:spacing w:after="0"/>
              <w:rPr>
                <w:sz w:val="24"/>
                <w:szCs w:val="24"/>
                <w:color w:val="auto"/>
              </w:rPr>
            </w:pPr>
          </w:p>
        </w:tc>
        <w:tc>
          <w:tcPr>
            <w:tcW w:w="1760" w:type="dxa"/>
            <w:vAlign w:val="bottom"/>
            <w:tcBorders>
              <w:top w:val="single" w:sz="8" w:color="auto"/>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r>
      <w:tr>
        <w:trPr>
          <w:trHeight w:val="227"/>
        </w:trPr>
        <w:tc>
          <w:tcPr>
            <w:tcW w:w="1220" w:type="dxa"/>
            <w:vAlign w:val="bottom"/>
            <w:tcBorders>
              <w:left w:val="single" w:sz="8" w:color="010101"/>
            </w:tcBorders>
          </w:tcPr>
          <w:p>
            <w:pPr>
              <w:jc w:val="center"/>
              <w:ind w:left="421"/>
              <w:spacing w:after="0" w:line="228" w:lineRule="exact"/>
              <w:rPr>
                <w:sz w:val="20"/>
                <w:szCs w:val="20"/>
                <w:color w:val="auto"/>
              </w:rPr>
            </w:pPr>
            <w:r>
              <w:rPr>
                <w:rFonts w:ascii="Times New Roman" w:cs="Times New Roman" w:eastAsia="Times New Roman" w:hAnsi="Times New Roman"/>
                <w:sz w:val="20"/>
                <w:szCs w:val="20"/>
                <w:color w:val="auto"/>
              </w:rPr>
              <w:t>Ratings</w:t>
            </w:r>
          </w:p>
        </w:tc>
        <w:tc>
          <w:tcPr>
            <w:tcW w:w="540" w:type="dxa"/>
            <w:vAlign w:val="bottom"/>
            <w:tcBorders>
              <w:right w:val="single" w:sz="8" w:color="010101"/>
            </w:tcBorders>
          </w:tcPr>
          <w:p>
            <w:pPr>
              <w:spacing w:after="0"/>
              <w:rPr>
                <w:sz w:val="19"/>
                <w:szCs w:val="19"/>
                <w:color w:val="auto"/>
              </w:rPr>
            </w:pPr>
          </w:p>
        </w:tc>
        <w:tc>
          <w:tcPr>
            <w:tcW w:w="2720" w:type="dxa"/>
            <w:vAlign w:val="bottom"/>
            <w:tcBorders>
              <w:right w:val="single" w:sz="8" w:color="010101"/>
            </w:tcBorders>
            <w:gridSpan w:val="2"/>
          </w:tcPr>
          <w:p>
            <w:pPr>
              <w:ind w:left="640"/>
              <w:spacing w:after="0" w:line="228" w:lineRule="exact"/>
              <w:rPr>
                <w:sz w:val="20"/>
                <w:szCs w:val="20"/>
                <w:color w:val="auto"/>
              </w:rPr>
            </w:pPr>
            <w:r>
              <w:rPr>
                <w:rFonts w:ascii="Times New Roman" w:cs="Times New Roman" w:eastAsia="Times New Roman" w:hAnsi="Times New Roman"/>
                <w:sz w:val="20"/>
                <w:szCs w:val="20"/>
                <w:color w:val="auto"/>
              </w:rPr>
              <w:t>Index Debt</w:t>
            </w:r>
          </w:p>
        </w:tc>
      </w:tr>
      <w:tr>
        <w:trPr>
          <w:trHeight w:val="243"/>
        </w:trPr>
        <w:tc>
          <w:tcPr>
            <w:tcW w:w="1220" w:type="dxa"/>
            <w:vAlign w:val="bottom"/>
            <w:tcBorders>
              <w:left w:val="single" w:sz="8" w:color="010101"/>
            </w:tcBorders>
          </w:tcPr>
          <w:p>
            <w:pPr>
              <w:jc w:val="center"/>
              <w:ind w:left="421"/>
              <w:spacing w:after="0"/>
              <w:rPr>
                <w:sz w:val="20"/>
                <w:szCs w:val="20"/>
                <w:color w:val="auto"/>
              </w:rPr>
            </w:pPr>
            <w:r>
              <w:rPr>
                <w:rFonts w:ascii="Times New Roman" w:cs="Times New Roman" w:eastAsia="Times New Roman" w:hAnsi="Times New Roman"/>
                <w:sz w:val="20"/>
                <w:szCs w:val="20"/>
                <w:color w:val="auto"/>
              </w:rPr>
              <w:t>Level</w:t>
            </w:r>
          </w:p>
        </w:tc>
        <w:tc>
          <w:tcPr>
            <w:tcW w:w="540" w:type="dxa"/>
            <w:vAlign w:val="bottom"/>
            <w:tcBorders>
              <w:right w:val="single" w:sz="8" w:color="010101"/>
            </w:tcBorders>
          </w:tcPr>
          <w:p>
            <w:pPr>
              <w:spacing w:after="0"/>
              <w:rPr>
                <w:sz w:val="21"/>
                <w:szCs w:val="21"/>
                <w:color w:val="auto"/>
              </w:rPr>
            </w:pPr>
          </w:p>
        </w:tc>
        <w:tc>
          <w:tcPr>
            <w:tcW w:w="2720" w:type="dxa"/>
            <w:vAlign w:val="bottom"/>
            <w:tcBorders>
              <w:right w:val="single" w:sz="8" w:color="010101"/>
            </w:tcBorders>
            <w:gridSpan w:val="2"/>
          </w:tcPr>
          <w:p>
            <w:pPr>
              <w:ind w:left="780"/>
              <w:spacing w:after="0"/>
              <w:rPr>
                <w:sz w:val="20"/>
                <w:szCs w:val="20"/>
                <w:color w:val="auto"/>
              </w:rPr>
            </w:pPr>
            <w:r>
              <w:rPr>
                <w:rFonts w:ascii="Times New Roman" w:cs="Times New Roman" w:eastAsia="Times New Roman" w:hAnsi="Times New Roman"/>
                <w:sz w:val="20"/>
                <w:szCs w:val="20"/>
                <w:color w:val="auto"/>
              </w:rPr>
              <w:t>Ratings</w:t>
            </w:r>
          </w:p>
        </w:tc>
      </w:tr>
      <w:tr>
        <w:trPr>
          <w:trHeight w:val="258"/>
        </w:trPr>
        <w:tc>
          <w:tcPr>
            <w:tcW w:w="1220" w:type="dxa"/>
            <w:vAlign w:val="bottom"/>
            <w:tcBorders>
              <w:left w:val="single" w:sz="8" w:color="010101"/>
            </w:tcBorders>
          </w:tcPr>
          <w:p>
            <w:pPr>
              <w:spacing w:after="0"/>
              <w:rPr>
                <w:sz w:val="22"/>
                <w:szCs w:val="22"/>
                <w:color w:val="auto"/>
              </w:rPr>
            </w:pPr>
          </w:p>
        </w:tc>
        <w:tc>
          <w:tcPr>
            <w:tcW w:w="540" w:type="dxa"/>
            <w:vAlign w:val="bottom"/>
            <w:tcBorders>
              <w:right w:val="single" w:sz="8" w:color="010101"/>
            </w:tcBorders>
          </w:tcPr>
          <w:p>
            <w:pPr>
              <w:spacing w:after="0"/>
              <w:rPr>
                <w:sz w:val="22"/>
                <w:szCs w:val="22"/>
                <w:color w:val="auto"/>
              </w:rPr>
            </w:pPr>
          </w:p>
        </w:tc>
        <w:tc>
          <w:tcPr>
            <w:tcW w:w="2720" w:type="dxa"/>
            <w:vAlign w:val="bottom"/>
            <w:tcBorders>
              <w:right w:val="single" w:sz="8" w:color="010101"/>
            </w:tcBorders>
            <w:gridSpan w:val="2"/>
          </w:tcPr>
          <w:p>
            <w:pPr>
              <w:ind w:left="780"/>
              <w:spacing w:after="0"/>
              <w:rPr>
                <w:sz w:val="20"/>
                <w:szCs w:val="20"/>
                <w:color w:val="auto"/>
              </w:rPr>
            </w:pPr>
            <w:r>
              <w:rPr>
                <w:rFonts w:ascii="Times New Roman" w:cs="Times New Roman" w:eastAsia="Times New Roman" w:hAnsi="Times New Roman"/>
                <w:sz w:val="20"/>
                <w:szCs w:val="20"/>
                <w:color w:val="auto"/>
              </w:rPr>
              <w:t>(S&amp;P/Moody’s)</w:t>
            </w:r>
          </w:p>
        </w:tc>
      </w:tr>
      <w:tr>
        <w:trPr>
          <w:trHeight w:val="34"/>
        </w:trPr>
        <w:tc>
          <w:tcPr>
            <w:tcW w:w="1220" w:type="dxa"/>
            <w:vAlign w:val="bottom"/>
            <w:tcBorders>
              <w:left w:val="single" w:sz="8" w:color="010101"/>
              <w:bottom w:val="single" w:sz="8" w:color="010101"/>
            </w:tcBorders>
          </w:tcPr>
          <w:p>
            <w:pPr>
              <w:spacing w:after="0"/>
              <w:rPr>
                <w:sz w:val="3"/>
                <w:szCs w:val="3"/>
                <w:color w:val="auto"/>
              </w:rPr>
            </w:pPr>
          </w:p>
        </w:tc>
        <w:tc>
          <w:tcPr>
            <w:tcW w:w="540" w:type="dxa"/>
            <w:vAlign w:val="bottom"/>
            <w:tcBorders>
              <w:bottom w:val="single" w:sz="8" w:color="010101"/>
              <w:right w:val="single" w:sz="8" w:color="010101"/>
            </w:tcBorders>
          </w:tcPr>
          <w:p>
            <w:pPr>
              <w:spacing w:after="0"/>
              <w:rPr>
                <w:sz w:val="3"/>
                <w:szCs w:val="3"/>
                <w:color w:val="auto"/>
              </w:rPr>
            </w:pPr>
          </w:p>
        </w:tc>
        <w:tc>
          <w:tcPr>
            <w:tcW w:w="2720" w:type="dxa"/>
            <w:vAlign w:val="bottom"/>
            <w:tcBorders>
              <w:bottom w:val="single" w:sz="8" w:color="010101"/>
              <w:right w:val="single" w:sz="8" w:color="010101"/>
            </w:tcBorders>
            <w:gridSpan w:val="2"/>
          </w:tcPr>
          <w:p>
            <w:pPr>
              <w:spacing w:after="0"/>
              <w:rPr>
                <w:sz w:val="3"/>
                <w:szCs w:val="3"/>
                <w:color w:val="auto"/>
              </w:rPr>
            </w:pPr>
          </w:p>
        </w:tc>
      </w:tr>
      <w:tr>
        <w:trPr>
          <w:trHeight w:val="256"/>
        </w:trPr>
        <w:tc>
          <w:tcPr>
            <w:tcW w:w="1220" w:type="dxa"/>
            <w:vAlign w:val="bottom"/>
            <w:tcBorders>
              <w:left w:val="single" w:sz="8" w:color="010101"/>
            </w:tcBorders>
          </w:tcPr>
          <w:p>
            <w:pPr>
              <w:jc w:val="center"/>
              <w:ind w:left="441"/>
              <w:spacing w:after="0"/>
              <w:rPr>
                <w:sz w:val="20"/>
                <w:szCs w:val="20"/>
                <w:color w:val="auto"/>
              </w:rPr>
            </w:pPr>
            <w:r>
              <w:rPr>
                <w:rFonts w:ascii="Times New Roman" w:cs="Times New Roman" w:eastAsia="Times New Roman" w:hAnsi="Times New Roman"/>
                <w:sz w:val="20"/>
                <w:szCs w:val="20"/>
                <w:color w:val="auto"/>
                <w:w w:val="98"/>
              </w:rPr>
              <w:t>Level A</w:t>
            </w:r>
          </w:p>
        </w:tc>
        <w:tc>
          <w:tcPr>
            <w:tcW w:w="540" w:type="dxa"/>
            <w:vAlign w:val="bottom"/>
            <w:tcBorders>
              <w:right w:val="single" w:sz="8" w:color="010101"/>
            </w:tcBorders>
          </w:tcPr>
          <w:p>
            <w:pPr>
              <w:spacing w:after="0"/>
              <w:rPr>
                <w:sz w:val="22"/>
                <w:szCs w:val="22"/>
                <w:color w:val="auto"/>
              </w:rPr>
            </w:pPr>
          </w:p>
        </w:tc>
        <w:tc>
          <w:tcPr>
            <w:tcW w:w="27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8"/>
              </w:rPr>
              <w:t>A/A2 or higher</w:t>
            </w:r>
          </w:p>
        </w:tc>
      </w:tr>
      <w:tr>
        <w:trPr>
          <w:trHeight w:val="21"/>
        </w:trPr>
        <w:tc>
          <w:tcPr>
            <w:tcW w:w="1220" w:type="dxa"/>
            <w:vAlign w:val="bottom"/>
            <w:tcBorders>
              <w:left w:val="single" w:sz="8" w:color="010101"/>
              <w:bottom w:val="single" w:sz="8" w:color="010101"/>
            </w:tcBorders>
          </w:tcPr>
          <w:p>
            <w:pPr>
              <w:spacing w:after="0" w:line="20" w:lineRule="exact"/>
              <w:rPr>
                <w:sz w:val="1"/>
                <w:szCs w:val="1"/>
                <w:color w:val="auto"/>
              </w:rPr>
            </w:pPr>
          </w:p>
        </w:tc>
        <w:tc>
          <w:tcPr>
            <w:tcW w:w="540" w:type="dxa"/>
            <w:vAlign w:val="bottom"/>
            <w:tcBorders>
              <w:bottom w:val="single" w:sz="8" w:color="010101"/>
              <w:right w:val="single" w:sz="8" w:color="010101"/>
            </w:tcBorders>
          </w:tcPr>
          <w:p>
            <w:pPr>
              <w:spacing w:after="0" w:line="20" w:lineRule="exact"/>
              <w:rPr>
                <w:sz w:val="1"/>
                <w:szCs w:val="1"/>
                <w:color w:val="auto"/>
              </w:rPr>
            </w:pPr>
          </w:p>
        </w:tc>
        <w:tc>
          <w:tcPr>
            <w:tcW w:w="2720" w:type="dxa"/>
            <w:vAlign w:val="bottom"/>
            <w:tcBorders>
              <w:bottom w:val="single" w:sz="8" w:color="010101"/>
              <w:right w:val="single" w:sz="8" w:color="010101"/>
            </w:tcBorders>
            <w:gridSpan w:val="2"/>
          </w:tcPr>
          <w:p>
            <w:pPr>
              <w:spacing w:after="0" w:line="20" w:lineRule="exact"/>
              <w:rPr>
                <w:sz w:val="1"/>
                <w:szCs w:val="1"/>
                <w:color w:val="auto"/>
              </w:rPr>
            </w:pPr>
          </w:p>
        </w:tc>
      </w:tr>
      <w:tr>
        <w:trPr>
          <w:trHeight w:val="256"/>
        </w:trPr>
        <w:tc>
          <w:tcPr>
            <w:tcW w:w="1220" w:type="dxa"/>
            <w:vAlign w:val="bottom"/>
            <w:tcBorders>
              <w:left w:val="single" w:sz="8" w:color="010101"/>
            </w:tcBorders>
          </w:tcPr>
          <w:p>
            <w:pPr>
              <w:jc w:val="center"/>
              <w:ind w:left="421"/>
              <w:spacing w:after="0"/>
              <w:rPr>
                <w:sz w:val="20"/>
                <w:szCs w:val="20"/>
                <w:color w:val="auto"/>
              </w:rPr>
            </w:pPr>
            <w:r>
              <w:rPr>
                <w:rFonts w:ascii="Times New Roman" w:cs="Times New Roman" w:eastAsia="Times New Roman" w:hAnsi="Times New Roman"/>
                <w:sz w:val="20"/>
                <w:szCs w:val="20"/>
                <w:color w:val="auto"/>
                <w:w w:val="96"/>
              </w:rPr>
              <w:t>Level B</w:t>
            </w:r>
          </w:p>
        </w:tc>
        <w:tc>
          <w:tcPr>
            <w:tcW w:w="540" w:type="dxa"/>
            <w:vAlign w:val="bottom"/>
            <w:tcBorders>
              <w:right w:val="single" w:sz="8" w:color="010101"/>
            </w:tcBorders>
          </w:tcPr>
          <w:p>
            <w:pPr>
              <w:spacing w:after="0"/>
              <w:rPr>
                <w:sz w:val="22"/>
                <w:szCs w:val="22"/>
                <w:color w:val="auto"/>
              </w:rPr>
            </w:pPr>
          </w:p>
        </w:tc>
        <w:tc>
          <w:tcPr>
            <w:tcW w:w="27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A-/A3</w:t>
            </w:r>
          </w:p>
        </w:tc>
      </w:tr>
      <w:tr>
        <w:trPr>
          <w:trHeight w:val="21"/>
        </w:trPr>
        <w:tc>
          <w:tcPr>
            <w:tcW w:w="1220" w:type="dxa"/>
            <w:vAlign w:val="bottom"/>
            <w:tcBorders>
              <w:left w:val="single" w:sz="8" w:color="010101"/>
              <w:bottom w:val="single" w:sz="8" w:color="010101"/>
            </w:tcBorders>
          </w:tcPr>
          <w:p>
            <w:pPr>
              <w:spacing w:after="0" w:line="20" w:lineRule="exact"/>
              <w:rPr>
                <w:sz w:val="1"/>
                <w:szCs w:val="1"/>
                <w:color w:val="auto"/>
              </w:rPr>
            </w:pPr>
          </w:p>
        </w:tc>
        <w:tc>
          <w:tcPr>
            <w:tcW w:w="540" w:type="dxa"/>
            <w:vAlign w:val="bottom"/>
            <w:tcBorders>
              <w:bottom w:val="single" w:sz="8" w:color="010101"/>
              <w:right w:val="single" w:sz="8" w:color="010101"/>
            </w:tcBorders>
          </w:tcPr>
          <w:p>
            <w:pPr>
              <w:spacing w:after="0" w:line="20" w:lineRule="exact"/>
              <w:rPr>
                <w:sz w:val="1"/>
                <w:szCs w:val="1"/>
                <w:color w:val="auto"/>
              </w:rPr>
            </w:pPr>
          </w:p>
        </w:tc>
        <w:tc>
          <w:tcPr>
            <w:tcW w:w="2720" w:type="dxa"/>
            <w:vAlign w:val="bottom"/>
            <w:tcBorders>
              <w:bottom w:val="single" w:sz="8" w:color="010101"/>
              <w:right w:val="single" w:sz="8" w:color="010101"/>
            </w:tcBorders>
            <w:gridSpan w:val="2"/>
          </w:tcPr>
          <w:p>
            <w:pPr>
              <w:spacing w:after="0" w:line="20" w:lineRule="exact"/>
              <w:rPr>
                <w:sz w:val="1"/>
                <w:szCs w:val="1"/>
                <w:color w:val="auto"/>
              </w:rPr>
            </w:pPr>
          </w:p>
        </w:tc>
      </w:tr>
      <w:tr>
        <w:trPr>
          <w:trHeight w:val="256"/>
        </w:trPr>
        <w:tc>
          <w:tcPr>
            <w:tcW w:w="1220" w:type="dxa"/>
            <w:vAlign w:val="bottom"/>
            <w:tcBorders>
              <w:left w:val="single" w:sz="8" w:color="010101"/>
            </w:tcBorders>
          </w:tcPr>
          <w:p>
            <w:pPr>
              <w:jc w:val="center"/>
              <w:ind w:left="421"/>
              <w:spacing w:after="0"/>
              <w:rPr>
                <w:sz w:val="20"/>
                <w:szCs w:val="20"/>
                <w:color w:val="auto"/>
              </w:rPr>
            </w:pPr>
            <w:r>
              <w:rPr>
                <w:rFonts w:ascii="Times New Roman" w:cs="Times New Roman" w:eastAsia="Times New Roman" w:hAnsi="Times New Roman"/>
                <w:sz w:val="20"/>
                <w:szCs w:val="20"/>
                <w:color w:val="auto"/>
                <w:w w:val="96"/>
              </w:rPr>
              <w:t>Level C</w:t>
            </w:r>
          </w:p>
        </w:tc>
        <w:tc>
          <w:tcPr>
            <w:tcW w:w="540" w:type="dxa"/>
            <w:vAlign w:val="bottom"/>
            <w:tcBorders>
              <w:right w:val="single" w:sz="8" w:color="010101"/>
            </w:tcBorders>
          </w:tcPr>
          <w:p>
            <w:pPr>
              <w:spacing w:after="0"/>
              <w:rPr>
                <w:sz w:val="22"/>
                <w:szCs w:val="22"/>
                <w:color w:val="auto"/>
              </w:rPr>
            </w:pPr>
          </w:p>
        </w:tc>
        <w:tc>
          <w:tcPr>
            <w:tcW w:w="27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BBB+/Baa1</w:t>
            </w:r>
          </w:p>
        </w:tc>
      </w:tr>
      <w:tr>
        <w:trPr>
          <w:trHeight w:val="21"/>
        </w:trPr>
        <w:tc>
          <w:tcPr>
            <w:tcW w:w="1220" w:type="dxa"/>
            <w:vAlign w:val="bottom"/>
            <w:tcBorders>
              <w:left w:val="single" w:sz="8" w:color="010101"/>
              <w:bottom w:val="single" w:sz="8" w:color="010101"/>
            </w:tcBorders>
          </w:tcPr>
          <w:p>
            <w:pPr>
              <w:spacing w:after="0" w:line="20" w:lineRule="exact"/>
              <w:rPr>
                <w:sz w:val="1"/>
                <w:szCs w:val="1"/>
                <w:color w:val="auto"/>
              </w:rPr>
            </w:pPr>
          </w:p>
        </w:tc>
        <w:tc>
          <w:tcPr>
            <w:tcW w:w="540" w:type="dxa"/>
            <w:vAlign w:val="bottom"/>
            <w:tcBorders>
              <w:bottom w:val="single" w:sz="8" w:color="010101"/>
              <w:right w:val="single" w:sz="8" w:color="010101"/>
            </w:tcBorders>
          </w:tcPr>
          <w:p>
            <w:pPr>
              <w:spacing w:after="0" w:line="20" w:lineRule="exact"/>
              <w:rPr>
                <w:sz w:val="1"/>
                <w:szCs w:val="1"/>
                <w:color w:val="auto"/>
              </w:rPr>
            </w:pPr>
          </w:p>
        </w:tc>
        <w:tc>
          <w:tcPr>
            <w:tcW w:w="2720" w:type="dxa"/>
            <w:vAlign w:val="bottom"/>
            <w:tcBorders>
              <w:bottom w:val="single" w:sz="8" w:color="010101"/>
              <w:right w:val="single" w:sz="8" w:color="010101"/>
            </w:tcBorders>
            <w:gridSpan w:val="2"/>
          </w:tcPr>
          <w:p>
            <w:pPr>
              <w:spacing w:after="0" w:line="20" w:lineRule="exact"/>
              <w:rPr>
                <w:sz w:val="1"/>
                <w:szCs w:val="1"/>
                <w:color w:val="auto"/>
              </w:rPr>
            </w:pPr>
          </w:p>
        </w:tc>
      </w:tr>
      <w:tr>
        <w:trPr>
          <w:trHeight w:val="256"/>
        </w:trPr>
        <w:tc>
          <w:tcPr>
            <w:tcW w:w="1220" w:type="dxa"/>
            <w:vAlign w:val="bottom"/>
            <w:tcBorders>
              <w:left w:val="single" w:sz="8" w:color="010101"/>
            </w:tcBorders>
          </w:tcPr>
          <w:p>
            <w:pPr>
              <w:jc w:val="center"/>
              <w:ind w:left="441"/>
              <w:spacing w:after="0"/>
              <w:rPr>
                <w:sz w:val="20"/>
                <w:szCs w:val="20"/>
                <w:color w:val="auto"/>
              </w:rPr>
            </w:pPr>
            <w:r>
              <w:rPr>
                <w:rFonts w:ascii="Times New Roman" w:cs="Times New Roman" w:eastAsia="Times New Roman" w:hAnsi="Times New Roman"/>
                <w:sz w:val="20"/>
                <w:szCs w:val="20"/>
                <w:color w:val="auto"/>
                <w:w w:val="98"/>
              </w:rPr>
              <w:t>Level D</w:t>
            </w:r>
          </w:p>
        </w:tc>
        <w:tc>
          <w:tcPr>
            <w:tcW w:w="540" w:type="dxa"/>
            <w:vAlign w:val="bottom"/>
            <w:tcBorders>
              <w:right w:val="single" w:sz="8" w:color="010101"/>
            </w:tcBorders>
          </w:tcPr>
          <w:p>
            <w:pPr>
              <w:spacing w:after="0"/>
              <w:rPr>
                <w:sz w:val="22"/>
                <w:szCs w:val="22"/>
                <w:color w:val="auto"/>
              </w:rPr>
            </w:pPr>
          </w:p>
        </w:tc>
        <w:tc>
          <w:tcPr>
            <w:tcW w:w="27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6"/>
              </w:rPr>
              <w:t>BBB/Baa2</w:t>
            </w:r>
          </w:p>
        </w:tc>
      </w:tr>
      <w:tr>
        <w:trPr>
          <w:trHeight w:val="21"/>
        </w:trPr>
        <w:tc>
          <w:tcPr>
            <w:tcW w:w="1220" w:type="dxa"/>
            <w:vAlign w:val="bottom"/>
            <w:tcBorders>
              <w:left w:val="single" w:sz="8" w:color="010101"/>
              <w:bottom w:val="single" w:sz="8" w:color="010101"/>
            </w:tcBorders>
          </w:tcPr>
          <w:p>
            <w:pPr>
              <w:spacing w:after="0" w:line="20" w:lineRule="exact"/>
              <w:rPr>
                <w:sz w:val="1"/>
                <w:szCs w:val="1"/>
                <w:color w:val="auto"/>
              </w:rPr>
            </w:pPr>
          </w:p>
        </w:tc>
        <w:tc>
          <w:tcPr>
            <w:tcW w:w="540" w:type="dxa"/>
            <w:vAlign w:val="bottom"/>
            <w:tcBorders>
              <w:bottom w:val="single" w:sz="8" w:color="010101"/>
              <w:right w:val="single" w:sz="8" w:color="010101"/>
            </w:tcBorders>
          </w:tcPr>
          <w:p>
            <w:pPr>
              <w:spacing w:after="0" w:line="20" w:lineRule="exact"/>
              <w:rPr>
                <w:sz w:val="1"/>
                <w:szCs w:val="1"/>
                <w:color w:val="auto"/>
              </w:rPr>
            </w:pPr>
          </w:p>
        </w:tc>
        <w:tc>
          <w:tcPr>
            <w:tcW w:w="2720" w:type="dxa"/>
            <w:vAlign w:val="bottom"/>
            <w:tcBorders>
              <w:bottom w:val="single" w:sz="8" w:color="010101"/>
              <w:right w:val="single" w:sz="8" w:color="010101"/>
            </w:tcBorders>
            <w:gridSpan w:val="2"/>
          </w:tcPr>
          <w:p>
            <w:pPr>
              <w:spacing w:after="0" w:line="20" w:lineRule="exact"/>
              <w:rPr>
                <w:sz w:val="1"/>
                <w:szCs w:val="1"/>
                <w:color w:val="auto"/>
              </w:rPr>
            </w:pPr>
          </w:p>
        </w:tc>
      </w:tr>
      <w:tr>
        <w:trPr>
          <w:trHeight w:val="227"/>
        </w:trPr>
        <w:tc>
          <w:tcPr>
            <w:tcW w:w="1220" w:type="dxa"/>
            <w:vAlign w:val="bottom"/>
            <w:tcBorders>
              <w:left w:val="single" w:sz="8" w:color="010101"/>
            </w:tcBorders>
          </w:tcPr>
          <w:p>
            <w:pPr>
              <w:jc w:val="center"/>
              <w:ind w:left="421"/>
              <w:spacing w:after="0" w:line="228" w:lineRule="exact"/>
              <w:rPr>
                <w:sz w:val="20"/>
                <w:szCs w:val="20"/>
                <w:color w:val="auto"/>
              </w:rPr>
            </w:pPr>
            <w:r>
              <w:rPr>
                <w:rFonts w:ascii="Times New Roman" w:cs="Times New Roman" w:eastAsia="Times New Roman" w:hAnsi="Times New Roman"/>
                <w:sz w:val="20"/>
                <w:szCs w:val="20"/>
                <w:color w:val="auto"/>
                <w:w w:val="98"/>
              </w:rPr>
              <w:t>Level E</w:t>
            </w:r>
          </w:p>
        </w:tc>
        <w:tc>
          <w:tcPr>
            <w:tcW w:w="540" w:type="dxa"/>
            <w:vAlign w:val="bottom"/>
            <w:tcBorders>
              <w:right w:val="single" w:sz="8" w:color="010101"/>
            </w:tcBorders>
          </w:tcPr>
          <w:p>
            <w:pPr>
              <w:spacing w:after="0"/>
              <w:rPr>
                <w:sz w:val="19"/>
                <w:szCs w:val="19"/>
                <w:color w:val="auto"/>
              </w:rPr>
            </w:pPr>
          </w:p>
        </w:tc>
        <w:tc>
          <w:tcPr>
            <w:tcW w:w="2720" w:type="dxa"/>
            <w:vAlign w:val="bottom"/>
            <w:tcBorders>
              <w:right w:val="single" w:sz="8" w:color="010101"/>
            </w:tcBorders>
            <w:gridSpan w:val="2"/>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w w:val="97"/>
              </w:rPr>
              <w:t>BBB-/Baa3 or</w:t>
            </w:r>
          </w:p>
        </w:tc>
      </w:tr>
      <w:tr>
        <w:trPr>
          <w:trHeight w:val="258"/>
        </w:trPr>
        <w:tc>
          <w:tcPr>
            <w:tcW w:w="1220" w:type="dxa"/>
            <w:vAlign w:val="bottom"/>
            <w:tcBorders>
              <w:left w:val="single" w:sz="8" w:color="010101"/>
            </w:tcBorders>
          </w:tcPr>
          <w:p>
            <w:pPr>
              <w:spacing w:after="0"/>
              <w:rPr>
                <w:sz w:val="22"/>
                <w:szCs w:val="22"/>
                <w:color w:val="auto"/>
              </w:rPr>
            </w:pPr>
          </w:p>
        </w:tc>
        <w:tc>
          <w:tcPr>
            <w:tcW w:w="540" w:type="dxa"/>
            <w:vAlign w:val="bottom"/>
            <w:tcBorders>
              <w:right w:val="single" w:sz="8" w:color="010101"/>
            </w:tcBorders>
          </w:tcPr>
          <w:p>
            <w:pPr>
              <w:spacing w:after="0"/>
              <w:rPr>
                <w:sz w:val="22"/>
                <w:szCs w:val="22"/>
                <w:color w:val="auto"/>
              </w:rPr>
            </w:pPr>
          </w:p>
        </w:tc>
        <w:tc>
          <w:tcPr>
            <w:tcW w:w="2720" w:type="dxa"/>
            <w:vAlign w:val="bottom"/>
            <w:tcBorders>
              <w:right w:val="single" w:sz="8" w:color="010101"/>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6"/>
              </w:rPr>
              <w:t>lower</w:t>
            </w:r>
          </w:p>
        </w:tc>
      </w:tr>
      <w:tr>
        <w:trPr>
          <w:trHeight w:val="21"/>
        </w:trPr>
        <w:tc>
          <w:tcPr>
            <w:tcW w:w="1220" w:type="dxa"/>
            <w:vAlign w:val="bottom"/>
            <w:tcBorders>
              <w:left w:val="single" w:sz="8" w:color="010101"/>
              <w:bottom w:val="single" w:sz="8" w:color="010101"/>
            </w:tcBorders>
          </w:tcPr>
          <w:p>
            <w:pPr>
              <w:spacing w:after="0" w:line="20" w:lineRule="exact"/>
              <w:rPr>
                <w:sz w:val="1"/>
                <w:szCs w:val="1"/>
                <w:color w:val="auto"/>
              </w:rPr>
            </w:pPr>
          </w:p>
        </w:tc>
        <w:tc>
          <w:tcPr>
            <w:tcW w:w="540" w:type="dxa"/>
            <w:vAlign w:val="bottom"/>
            <w:tcBorders>
              <w:bottom w:val="single" w:sz="8" w:color="010101"/>
              <w:right w:val="single" w:sz="8" w:color="010101"/>
            </w:tcBorders>
          </w:tcPr>
          <w:p>
            <w:pPr>
              <w:spacing w:after="0" w:line="20" w:lineRule="exact"/>
              <w:rPr>
                <w:sz w:val="1"/>
                <w:szCs w:val="1"/>
                <w:color w:val="auto"/>
              </w:rPr>
            </w:pPr>
          </w:p>
        </w:tc>
        <w:tc>
          <w:tcPr>
            <w:tcW w:w="1760" w:type="dxa"/>
            <w:vAlign w:val="bottom"/>
            <w:tcBorders>
              <w:bottom w:val="single" w:sz="8" w:color="010101"/>
            </w:tcBorders>
          </w:tcPr>
          <w:p>
            <w:pPr>
              <w:spacing w:after="0" w:line="20" w:lineRule="exact"/>
              <w:rPr>
                <w:sz w:val="1"/>
                <w:szCs w:val="1"/>
                <w:color w:val="auto"/>
              </w:rPr>
            </w:pPr>
          </w:p>
        </w:tc>
        <w:tc>
          <w:tcPr>
            <w:tcW w:w="960" w:type="dxa"/>
            <w:vAlign w:val="bottom"/>
            <w:tcBorders>
              <w:bottom w:val="single" w:sz="8" w:color="010101"/>
              <w:right w:val="single" w:sz="8" w:color="010101"/>
            </w:tcBorders>
          </w:tcPr>
          <w:p>
            <w:pPr>
              <w:spacing w:after="0" w:line="20" w:lineRule="exact"/>
              <w:rPr>
                <w:sz w:val="1"/>
                <w:szCs w:val="1"/>
                <w:color w:val="auto"/>
              </w:rPr>
            </w:pPr>
          </w:p>
        </w:tc>
      </w:tr>
    </w:tbl>
    <w:p>
      <w:pPr>
        <w:spacing w:after="0" w:line="315" w:lineRule="exact"/>
        <w:rPr>
          <w:sz w:val="20"/>
          <w:szCs w:val="20"/>
          <w:color w:val="auto"/>
        </w:rPr>
      </w:pPr>
    </w:p>
    <w:p>
      <w:pPr>
        <w:jc w:val="both"/>
        <w:ind w:left="5" w:right="219" w:firstLine="648"/>
        <w:spacing w:after="0" w:line="249" w:lineRule="auto"/>
        <w:rPr>
          <w:sz w:val="20"/>
          <w:szCs w:val="20"/>
          <w:color w:val="auto"/>
        </w:rPr>
      </w:pPr>
      <w:r>
        <w:rPr>
          <w:rFonts w:ascii="Times New Roman" w:cs="Times New Roman" w:eastAsia="Times New Roman" w:hAnsi="Times New Roman"/>
          <w:sz w:val="20"/>
          <w:szCs w:val="20"/>
          <w:color w:val="auto"/>
        </w:rPr>
        <w:t>For purposes of the foregoing, (i) if neither Moody’s nor S&amp;P shall have in effect a rating for the Index Debt (other than by reason of the circumstances referred to in the last sentence of this definition), then Ratings Level E shall be in effect; (ii) if only one of Moody’s or S&amp;P provides a rating for the Index Debt, the Ratings Level corresponding to such rating shall be in effect; (iii) if the ratings for the Index Debt established or deemed to have been established by Moody’s and S&amp;P shall fall within different Ratings Levels, the Ratings Level then in effect shall be based on the higher of the two ratings unless one of the two ratings is two or more Ratings Levels lower than the other, in which case the Ratings Level then in effect shall be determined by reference to the Ratings Level next above that of the lower of the two ratings; and (iv) if the ratings established or deemed to have been established by Moody’s or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Company to the Administrative Agent and the Lenders pursuant to Section 5.01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w:t>
      </w:r>
    </w:p>
    <w:p>
      <w:pPr>
        <w:spacing w:after="0" w:line="30" w:lineRule="exact"/>
        <w:rPr>
          <w:sz w:val="20"/>
          <w:szCs w:val="20"/>
          <w:color w:val="auto"/>
        </w:rPr>
      </w:pPr>
    </w:p>
    <w:p>
      <w:pPr>
        <w:ind w:left="5465"/>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024"/>
          </w:cols>
          <w:pgMar w:left="435" w:top="1362" w:right="1440" w:bottom="1440" w:gutter="0" w:footer="0" w:header="0"/>
        </w:sectPr>
      </w:pPr>
    </w:p>
    <w:bookmarkStart w:id="44" w:name="page45"/>
    <w:bookmarkEnd w:id="44"/>
    <w:p>
      <w:pPr>
        <w:ind w:right="599"/>
        <w:spacing w:after="0" w:line="283" w:lineRule="auto"/>
        <w:rPr>
          <w:sz w:val="20"/>
          <w:szCs w:val="20"/>
          <w:color w:val="auto"/>
        </w:rPr>
      </w:pPr>
      <w:r>
        <w:rPr>
          <w:rFonts w:ascii="Times New Roman" w:cs="Times New Roman" w:eastAsia="Times New Roman" w:hAnsi="Times New Roman"/>
          <w:sz w:val="20"/>
          <w:szCs w:val="20"/>
          <w:color w:val="auto"/>
        </w:rPr>
        <w:t>effectiveness of any such amendment, the Ratings Level shall be determined by reference to the rating most recently in effect prior to such change or cessation.</w:t>
      </w:r>
    </w:p>
    <w:p>
      <w:pPr>
        <w:spacing w:after="0" w:line="187" w:lineRule="exact"/>
        <w:rPr>
          <w:sz w:val="20"/>
          <w:szCs w:val="20"/>
          <w:color w:val="auto"/>
        </w:rPr>
      </w:pPr>
    </w:p>
    <w:p>
      <w:pPr>
        <w:jc w:val="both"/>
        <w:ind w:right="19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Foreign Currency, the local time in the place of settlement for such Foreign Currency as may be determined by the Administrative Agent or the relevant Issuing Bank, as the case may be, to be necessary for timely settlement on the relevant date in accordance with normal banking procedures in the place of payment.</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such term in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8.03(a).</w:t>
      </w:r>
    </w:p>
    <w:p>
      <w:pPr>
        <w:spacing w:after="0" w:line="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such term in Section 9.04(b).</w:t>
      </w:r>
    </w:p>
    <w:p>
      <w:pPr>
        <w:spacing w:after="0" w:line="256"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each of JPMorgan Chase Bank, N.A., BofA Securities, Inc., PNC Capital Markets LLC, Truist Securities, Inc. and Wells Fargo Securities, LLC in its capacity as a joint bookrunner and a joint lead arranger hereunder.</w:t>
      </w:r>
    </w:p>
    <w:p>
      <w:pPr>
        <w:spacing w:after="0" w:line="208" w:lineRule="exact"/>
        <w:rPr>
          <w:sz w:val="20"/>
          <w:szCs w:val="20"/>
          <w:color w:val="auto"/>
        </w:rPr>
      </w:pPr>
    </w:p>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213"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Receivables Indebtedness</w:t>
      </w:r>
      <w:r>
        <w:rPr>
          <w:rFonts w:ascii="Times New Roman" w:cs="Times New Roman" w:eastAsia="Times New Roman" w:hAnsi="Times New Roman"/>
          <w:sz w:val="20"/>
          <w:szCs w:val="20"/>
          <w:color w:val="auto"/>
        </w:rPr>
        <w:t>” at any time shall mean the principal amount of Indebtedness which (i) if a Permitted Receivables Facility is structured as a secured lending arrangement, constitutes the principal amount of such Indebtedness or (ii) if a Permitted Receivables Facility is structured as a purchase agreement, would be outstanding at such time under the Permitted Receivables Facility if the same were structured as a secured lending arrangement rather than a purchase arrangement.</w:t>
      </w:r>
    </w:p>
    <w:p>
      <w:pPr>
        <w:spacing w:after="0" w:line="1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Augmenting Lender</w:t>
      </w:r>
      <w:r>
        <w:rPr>
          <w:rFonts w:ascii="Times New Roman" w:cs="Times New Roman" w:eastAsia="Times New Roman" w:hAnsi="Times New Roman"/>
          <w:sz w:val="19"/>
          <w:szCs w:val="19"/>
          <w:color w:val="auto"/>
        </w:rPr>
        <w:t>” has the meaning assigned to such term in Section 2.21. “</w:t>
      </w:r>
      <w:r>
        <w:rPr>
          <w:rFonts w:ascii="Times New Roman" w:cs="Times New Roman" w:eastAsia="Times New Roman" w:hAnsi="Times New Roman"/>
          <w:sz w:val="19"/>
          <w:szCs w:val="19"/>
          <w:u w:val="single" w:color="auto"/>
          <w:color w:val="auto"/>
        </w:rPr>
        <w:t>Availability Period</w:t>
      </w:r>
      <w:r>
        <w:rPr>
          <w:rFonts w:ascii="Times New Roman" w:cs="Times New Roman" w:eastAsia="Times New Roman" w:hAnsi="Times New Roman"/>
          <w:sz w:val="19"/>
          <w:szCs w:val="19"/>
          <w:color w:val="auto"/>
        </w:rPr>
        <w:t>” means</w:t>
      </w:r>
    </w:p>
    <w:p>
      <w:pPr>
        <w:spacing w:after="0" w:line="2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period from and including the Restatement Effective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to but excluding the earlier of the Maturity Date and the date of termination of the Commitments.</w:t>
      </w:r>
    </w:p>
    <w:p>
      <w:pPr>
        <w:spacing w:after="0" w:line="256"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206" w:lineRule="exact"/>
        <w:rPr>
          <w:sz w:val="20"/>
          <w:szCs w:val="20"/>
          <w:color w:val="auto"/>
        </w:rPr>
      </w:pPr>
    </w:p>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87" w:lineRule="exact"/>
        <w:rPr>
          <w:sz w:val="20"/>
          <w:szCs w:val="20"/>
          <w:color w:val="auto"/>
        </w:rPr>
      </w:pPr>
    </w:p>
    <w:p>
      <w:pPr>
        <w:jc w:val="both"/>
        <w:ind w:right="21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019"/>
          </w:cols>
          <w:pgMar w:left="440" w:top="1413" w:right="1440" w:bottom="1440" w:gutter="0" w:footer="0" w:header="0"/>
          <w:type w:val="continuous"/>
        </w:sectPr>
      </w:pPr>
    </w:p>
    <w:bookmarkStart w:id="45" w:name="page46"/>
    <w:bookmarkEnd w:id="45"/>
    <w:p>
      <w:pPr>
        <w:jc w:val="both"/>
        <w:ind w:right="239"/>
        <w:spacing w:after="0" w:line="282" w:lineRule="auto"/>
        <w:rPr>
          <w:sz w:val="20"/>
          <w:szCs w:val="20"/>
          <w:color w:val="auto"/>
        </w:rPr>
      </w:pPr>
      <w:r>
        <w:rPr>
          <w:sz w:val="1"/>
          <w:szCs w:val="1"/>
          <w:color w:val="auto"/>
        </w:rPr>
        <w:drawing>
          <wp:inline distT="0" distB="0" distL="0" distR="0">
            <wp:extent cx="8890" cy="1454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890" cy="145415"/>
                    </a:xfrm>
                    <a:prstGeom prst="rect">
                      <a:avLst/>
                    </a:prstGeom>
                    <a:noFill/>
                    <a:ln>
                      <a:noFill/>
                    </a:ln>
                  </pic:spPr>
                </pic:pic>
              </a:graphicData>
            </a:graphic>
          </wp:inline>
        </w:drawing>
      </w:r>
      <w:r>
        <w:rPr>
          <w:rFonts w:ascii="Times New Roman" w:cs="Times New Roman" w:eastAsia="Times New Roman" w:hAnsi="Times New Roman"/>
          <w:sz w:val="20"/>
          <w:szCs w:val="20"/>
          <w:color w:val="auto"/>
        </w:rPr>
        <w:t>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0" w:lineRule="exact"/>
        <w:rPr>
          <w:sz w:val="20"/>
          <w:szCs w:val="20"/>
          <w:color w:val="auto"/>
        </w:rPr>
      </w:pPr>
    </w:p>
    <w:p>
      <w:pPr>
        <w:jc w:val="both"/>
        <w:ind w:left="120" w:right="239"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27" w:lineRule="exact"/>
        <w:rPr>
          <w:sz w:val="20"/>
          <w:szCs w:val="20"/>
          <w:color w:val="auto"/>
        </w:rPr>
      </w:pPr>
    </w:p>
    <w:p>
      <w:pPr>
        <w:jc w:val="both"/>
        <w:ind w:left="120" w:right="239"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with respect to any (i) RFR Loan in any Agreed Currency, the applicable Relevant Rate for such Agreed Currency or (ii) Term Benchmark Loan, the Relevant Rate for such Agreed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w:t>
      </w:r>
      <w:r>
        <w:rPr>
          <w:rFonts w:ascii="Times New Roman" w:cs="Times New Roman" w:eastAsia="Times New Roman" w:hAnsi="Times New Roman"/>
          <w:sz w:val="20"/>
          <w:szCs w:val="20"/>
          <w:b w:val="1"/>
          <w:bCs w:val="1"/>
          <w:u w:val="single" w:color="auto"/>
          <w:color w:val="0000FF"/>
        </w:rPr>
        <w:t>or a Term CORRA Reelection Event</w:t>
      </w:r>
      <w:r>
        <w:rPr>
          <w:rFonts w:ascii="Times New Roman" w:cs="Times New Roman" w:eastAsia="Times New Roman" w:hAnsi="Times New Roman"/>
          <w:sz w:val="20"/>
          <w:szCs w:val="20"/>
          <w:color w:val="auto"/>
        </w:rPr>
        <w:t xml:space="preserve">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233" w:lineRule="exact"/>
        <w:rPr>
          <w:sz w:val="20"/>
          <w:szCs w:val="20"/>
          <w:color w:val="auto"/>
        </w:rPr>
      </w:pPr>
    </w:p>
    <w:p>
      <w:pPr>
        <w:jc w:val="both"/>
        <w:ind w:left="120" w:right="239" w:firstLine="1296"/>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means, for any Available Tenor, the first alternative set forth in the</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 xml:space="preserve">order below that can be determined by the Administrative Agent for the applicable Benchmark Replacement Date;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in the case of any Loan denominated in a Foreign Currency </w:t>
      </w:r>
      <w:r>
        <w:rPr>
          <w:rFonts w:ascii="Cambria" w:cs="Cambria" w:eastAsia="Cambria" w:hAnsi="Cambria"/>
          <w:sz w:val="20"/>
          <w:szCs w:val="20"/>
          <w:b w:val="1"/>
          <w:bCs w:val="1"/>
          <w:u w:val="single" w:color="auto"/>
          <w:color w:val="0000FF"/>
        </w:rPr>
        <w:t>(other than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0000FF"/>
        </w:rPr>
        <w:t>any Loan denominated in Canadian Dollars)</w:t>
      </w:r>
      <w:r>
        <w:rPr>
          <w:rFonts w:ascii="Cambria" w:cs="Cambria" w:eastAsia="Cambria" w:hAnsi="Cambria"/>
          <w:sz w:val="20"/>
          <w:szCs w:val="20"/>
          <w:b w:val="1"/>
          <w:bCs w:val="1"/>
          <w:color w:val="000000"/>
        </w:rPr>
        <w:t>, “Benchmark Replacement” shall mean the alternative set</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forth in (2) below</w:t>
      </w:r>
      <w:r>
        <w:rPr>
          <w:rFonts w:ascii="Times New Roman" w:cs="Times New Roman" w:eastAsia="Times New Roman" w:hAnsi="Times New Roman"/>
          <w:sz w:val="20"/>
          <w:szCs w:val="20"/>
          <w:color w:val="000000"/>
        </w:rPr>
        <w:t>:</w:t>
      </w:r>
    </w:p>
    <w:p>
      <w:pPr>
        <w:spacing w:after="0" w:line="235" w:lineRule="exact"/>
        <w:rPr>
          <w:sz w:val="20"/>
          <w:szCs w:val="20"/>
          <w:color w:val="auto"/>
        </w:rPr>
      </w:pPr>
    </w:p>
    <w:p>
      <w:pPr>
        <w:jc w:val="both"/>
        <w:ind w:left="760" w:right="239" w:firstLine="652"/>
        <w:spacing w:after="0" w:line="251" w:lineRule="auto"/>
        <w:tabs>
          <w:tab w:leader="none" w:pos="1990" w:val="left"/>
        </w:tabs>
        <w:numPr>
          <w:ilvl w:val="0"/>
          <w:numId w:val="22"/>
        </w:numPr>
        <w:rPr>
          <w:rFonts w:ascii="Times New Roman" w:cs="Times New Roman" w:eastAsia="Times New Roman" w:hAnsi="Times New Roman"/>
          <w:sz w:val="20"/>
          <w:szCs w:val="20"/>
          <w:b w:val="1"/>
          <w:bCs w:val="1"/>
          <w:color w:val="auto"/>
        </w:rPr>
      </w:pPr>
      <w:r>
        <w:rPr>
          <w:rFonts w:ascii="Cambria" w:cs="Cambria" w:eastAsia="Cambria" w:hAnsi="Cambria"/>
          <w:sz w:val="20"/>
          <w:szCs w:val="20"/>
          <w:b w:val="1"/>
          <w:bCs w:val="1"/>
          <w:color w:val="auto"/>
        </w:rPr>
        <w:t>in the case of any Loan denominated in Dollars, the Adjusted Daily Simple RFR for RFR Borrowings denominated in Dollars</w:t>
      </w:r>
      <w:r>
        <w:rPr>
          <w:rFonts w:ascii="Times New Roman" w:cs="Times New Roman" w:eastAsia="Times New Roman" w:hAnsi="Times New Roman"/>
          <w:sz w:val="20"/>
          <w:szCs w:val="20"/>
          <w:b w:val="1"/>
          <w:bCs w:val="1"/>
          <w:color w:val="FF0000"/>
        </w:rPr>
        <w:t>;</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and/or in the case of any Loan denominated in Canadian</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Dollars, the Adjusted Daily Simple RFR for RFR Borrowings denominated in Canadian Dollars; or</w:t>
      </w:r>
    </w:p>
    <w:p>
      <w:pPr>
        <w:spacing w:after="0" w:line="241" w:lineRule="exact"/>
        <w:rPr>
          <w:rFonts w:ascii="Times New Roman" w:cs="Times New Roman" w:eastAsia="Times New Roman" w:hAnsi="Times New Roman"/>
          <w:sz w:val="20"/>
          <w:szCs w:val="20"/>
          <w:b w:val="1"/>
          <w:bCs w:val="1"/>
          <w:color w:val="auto"/>
        </w:rPr>
      </w:pPr>
    </w:p>
    <w:p>
      <w:pPr>
        <w:jc w:val="both"/>
        <w:ind w:left="760" w:right="239" w:firstLine="651"/>
        <w:spacing w:after="0"/>
        <w:tabs>
          <w:tab w:leader="none" w:pos="1935" w:val="left"/>
        </w:tabs>
        <w:numPr>
          <w:ilvl w:val="0"/>
          <w:numId w:val="2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-1731010</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9" w:lineRule="exact"/>
        <w:rPr>
          <w:sz w:val="20"/>
          <w:szCs w:val="20"/>
          <w:color w:val="auto"/>
        </w:rPr>
      </w:pPr>
    </w:p>
    <w:p>
      <w:pPr>
        <w:jc w:val="both"/>
        <w:ind w:left="760" w:right="219"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0000FF"/>
        </w:rPr>
        <w:t>provided that, notwithstanding anything to the contrary in this Agreement or in any other Loan Document, upon the occurrence of a Term CORRA Reelection Event, and the delivery of a Term CORRA Notice, on the applicable Benchmark Replacement Date the</w:t>
      </w:r>
    </w:p>
    <w:p>
      <w:pPr>
        <w:sectPr>
          <w:pgSz w:w="11900" w:h="16838" w:orient="portrait"/>
          <w:cols w:equalWidth="0" w:num="1">
            <w:col w:w="10139"/>
          </w:cols>
          <w:pgMar w:left="320" w:top="14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39"/>
          </w:cols>
          <w:pgMar w:left="320" w:top="1436" w:right="1440" w:bottom="1440" w:gutter="0" w:footer="0" w:header="0"/>
          <w:type w:val="continuous"/>
        </w:sectPr>
      </w:pPr>
    </w:p>
    <w:bookmarkStart w:id="46" w:name="page47"/>
    <w:bookmarkEnd w:id="46"/>
    <w:p>
      <w:pPr>
        <w:ind w:left="540"/>
        <w:spacing w:after="0"/>
        <w:rPr>
          <w:sz w:val="20"/>
          <w:szCs w:val="20"/>
          <w:color w:val="auto"/>
        </w:rPr>
      </w:pPr>
      <w:r>
        <w:rPr>
          <w:rFonts w:ascii="Times New Roman" w:cs="Times New Roman" w:eastAsia="Times New Roman" w:hAnsi="Times New Roman"/>
          <w:sz w:val="20"/>
          <w:szCs w:val="20"/>
          <w:b w:val="1"/>
          <w:bCs w:val="1"/>
          <w:u w:val="single" w:color="auto"/>
          <w:color w:val="0000FF"/>
        </w:rPr>
        <w:t>“Benchmark Replacement” shall revert to and shall be deemed to be the Adjusted Term CORRA Rate.</w:t>
      </w:r>
    </w:p>
    <w:p>
      <w:pPr>
        <w:spacing w:after="0" w:line="337" w:lineRule="exact"/>
        <w:rPr>
          <w:sz w:val="20"/>
          <w:szCs w:val="20"/>
          <w:color w:val="auto"/>
        </w:rPr>
      </w:pPr>
    </w:p>
    <w:p>
      <w:pPr>
        <w:jc w:val="both"/>
        <w:ind w:left="640" w:right="239"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FF0000"/>
          <w:strike w:val="1"/>
        </w:rPr>
        <w:t>provided</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color w:val="FF0000"/>
          <w:strike w:val="1"/>
        </w:rPr>
        <w:t>that if</w:t>
      </w:r>
      <w:r>
        <w:rPr>
          <w:rFonts w:ascii="Times New Roman" w:cs="Times New Roman" w:eastAsia="Times New Roman" w:hAnsi="Times New Roman"/>
          <w:sz w:val="20"/>
          <w:szCs w:val="20"/>
          <w:b w:val="1"/>
          <w:bCs w:val="1"/>
          <w:u w:val="single" w:color="auto"/>
          <w:color w:val="0000FF"/>
        </w:rPr>
        <w:t>If</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the Benchmark Replacement as determined pursuant to</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color w:val="FF0000"/>
          <w:strike w:val="1"/>
        </w:rPr>
        <w:t>the foregoing</w:t>
      </w:r>
      <w:r>
        <w:rPr>
          <w:rFonts w:ascii="Times New Roman" w:cs="Times New Roman" w:eastAsia="Times New Roman" w:hAnsi="Times New Roman"/>
          <w:sz w:val="20"/>
          <w:szCs w:val="20"/>
          <w:b w:val="1"/>
          <w:bCs w:val="1"/>
          <w:u w:val="single" w:color="auto"/>
          <w:color w:val="0000FF"/>
        </w:rPr>
        <w:t>clause (1) or</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u w:val="single" w:color="auto"/>
          <w:color w:val="0000FF"/>
        </w:rPr>
        <w:t>clause (2)</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would be less than the Floor, the Benchmark Replacement will be deemed to be the Floor for the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purposes of this Agreement and the other Loan Documents.</w:t>
      </w:r>
    </w:p>
    <w:p>
      <w:pPr>
        <w:spacing w:after="0" w:line="206" w:lineRule="exact"/>
        <w:rPr>
          <w:sz w:val="20"/>
          <w:szCs w:val="20"/>
          <w:color w:val="auto"/>
        </w:rPr>
      </w:pPr>
    </w:p>
    <w:p>
      <w:pPr>
        <w:jc w:val="both"/>
        <w:ind w:right="199" w:firstLine="133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w:t>
      </w:r>
      <w:r>
        <w:rPr>
          <w:rFonts w:ascii="Times New Roman" w:cs="Times New Roman" w:eastAsia="Times New Roman" w:hAnsi="Times New Roman"/>
          <w:sz w:val="20"/>
          <w:szCs w:val="20"/>
          <w:b w:val="1"/>
          <w:bCs w:val="1"/>
          <w:color w:val="0000FF"/>
        </w:rPr>
        <w:t>,</w:t>
      </w:r>
      <w:r>
        <w:rPr>
          <w:rFonts w:ascii="Times New Roman" w:cs="Times New Roman" w:eastAsia="Times New Roman" w:hAnsi="Times New Roman"/>
          <w:sz w:val="20"/>
          <w:szCs w:val="20"/>
          <w:color w:val="auto"/>
        </w:rPr>
        <w:t xml:space="preserve">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-1589405</wp:posOffset>
            </wp:positionV>
            <wp:extent cx="26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7" w:lineRule="exact"/>
        <w:rPr>
          <w:sz w:val="20"/>
          <w:szCs w:val="20"/>
          <w:color w:val="auto"/>
        </w:rPr>
      </w:pPr>
    </w:p>
    <w:p>
      <w:pPr>
        <w:jc w:val="both"/>
        <w:ind w:right="199"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xml:space="preserve">” means, with respect to any Benchmark Replacement and/or any Term Benchmark Revolving Loan denominated in Dollars </w:t>
      </w:r>
      <w:r>
        <w:rPr>
          <w:rFonts w:ascii="Times New Roman" w:cs="Times New Roman" w:eastAsia="Times New Roman" w:hAnsi="Times New Roman"/>
          <w:sz w:val="20"/>
          <w:szCs w:val="20"/>
          <w:b w:val="1"/>
          <w:bCs w:val="1"/>
          <w:color w:val="0000FF"/>
        </w:rPr>
        <w:t>or Canadian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Dollars, as applicable</w:t>
      </w:r>
      <w:r>
        <w:rPr>
          <w:rFonts w:ascii="Times New Roman" w:cs="Times New Roman" w:eastAsia="Times New Roman" w:hAnsi="Times New Roman"/>
          <w:sz w:val="20"/>
          <w:szCs w:val="20"/>
          <w:color w:val="auto"/>
        </w:rPr>
        <w:t xml:space="preserve">, any technical, administrative or operational changes (including changes to the definition of “Alternate Base Rate,” the definition of </w:t>
      </w:r>
      <w:r>
        <w:rPr>
          <w:rFonts w:ascii="Times New Roman" w:cs="Times New Roman" w:eastAsia="Times New Roman" w:hAnsi="Times New Roman"/>
          <w:sz w:val="20"/>
          <w:szCs w:val="20"/>
          <w:b w:val="1"/>
          <w:bCs w:val="1"/>
          <w:u w:val="single" w:color="auto"/>
          <w:color w:val="0000FF"/>
        </w:rPr>
        <w:t>“Canadian Prime Rate”, the definition of</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“Business Day,” the definition of “U.S. Government Securities Business Day,”</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-1696720</wp:posOffset>
            </wp:positionV>
            <wp:extent cx="7137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740" cy="8890"/>
                    </a:xfrm>
                    <a:prstGeom prst="rect">
                      <a:avLst/>
                    </a:prstGeom>
                    <a:noFill/>
                  </pic:spPr>
                </pic:pic>
              </a:graphicData>
            </a:graphic>
          </wp:anchor>
        </w:drawing>
      </w:r>
    </w:p>
    <w:p>
      <w:pPr>
        <w:spacing w:after="0" w:line="200" w:lineRule="exact"/>
        <w:rPr>
          <w:sz w:val="20"/>
          <w:szCs w:val="20"/>
          <w:color w:val="auto"/>
        </w:rPr>
      </w:pPr>
    </w:p>
    <w:p>
      <w:pPr>
        <w:ind w:right="25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200" w:lineRule="exact"/>
        <w:rPr>
          <w:sz w:val="20"/>
          <w:szCs w:val="20"/>
          <w:color w:val="auto"/>
        </w:rPr>
      </w:pPr>
    </w:p>
    <w:p>
      <w:pPr>
        <w:jc w:val="both"/>
        <w:ind w:left="640" w:right="199" w:firstLine="651"/>
        <w:spacing w:after="0" w:line="258" w:lineRule="auto"/>
        <w:tabs>
          <w:tab w:leader="none" w:pos="1815"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20"/>
          <w:szCs w:val="20"/>
          <w:b w:val="1"/>
          <w:bCs w:val="1"/>
          <w:color w:val="FF0000"/>
        </w:rPr>
        <w:t>or</w:t>
      </w:r>
    </w:p>
    <w:p>
      <w:pPr>
        <w:spacing w:after="0" w:line="50" w:lineRule="exact"/>
        <w:rPr>
          <w:rFonts w:ascii="Times New Roman" w:cs="Times New Roman" w:eastAsia="Times New Roman" w:hAnsi="Times New Roman"/>
          <w:sz w:val="20"/>
          <w:szCs w:val="20"/>
          <w:b w:val="1"/>
          <w:bCs w:val="1"/>
          <w:color w:val="auto"/>
        </w:rPr>
      </w:pPr>
    </w:p>
    <w:p>
      <w:pPr>
        <w:jc w:val="both"/>
        <w:ind w:left="640" w:right="239" w:firstLine="651"/>
        <w:spacing w:after="0" w:line="253" w:lineRule="auto"/>
        <w:tabs>
          <w:tab w:leader="none" w:pos="181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-891540</wp:posOffset>
            </wp:positionV>
            <wp:extent cx="149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986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019"/>
          </w:cols>
          <w:pgMar w:left="440" w:top="1409" w:right="1440" w:bottom="1440" w:gutter="0" w:footer="0" w:header="0"/>
        </w:sectPr>
      </w:pPr>
    </w:p>
    <w:bookmarkStart w:id="47" w:name="page48"/>
    <w:bookmarkEnd w:id="47"/>
    <w:p>
      <w:pPr>
        <w:ind w:left="640" w:right="379"/>
        <w:spacing w:after="0" w:line="283" w:lineRule="auto"/>
        <w:rPr>
          <w:sz w:val="20"/>
          <w:szCs w:val="20"/>
          <w:color w:val="auto"/>
        </w:rPr>
      </w:pPr>
      <w:r>
        <w:rPr>
          <w:rFonts w:ascii="Times New Roman" w:cs="Times New Roman" w:eastAsia="Times New Roman" w:hAnsi="Times New Roman"/>
          <w:sz w:val="20"/>
          <w:szCs w:val="20"/>
          <w:color w:val="auto"/>
        </w:rPr>
        <w:t>publication referenced in such clause (3) and even if any Available Tenor of such Benchmark (or such component thereof) continues to be provided on such date</w:t>
      </w:r>
      <w:r>
        <w:rPr>
          <w:rFonts w:ascii="Times New Roman" w:cs="Times New Roman" w:eastAsia="Times New Roman" w:hAnsi="Times New Roman"/>
          <w:sz w:val="20"/>
          <w:szCs w:val="20"/>
          <w:b w:val="1"/>
          <w:bCs w:val="1"/>
          <w:color w:val="FF0000"/>
        </w:rPr>
        <w:t>.</w:t>
      </w:r>
      <w:r>
        <w:rPr>
          <w:rFonts w:ascii="Times New Roman" w:cs="Times New Roman" w:eastAsia="Times New Roman" w:hAnsi="Times New Roman"/>
          <w:sz w:val="20"/>
          <w:szCs w:val="20"/>
          <w:b w:val="1"/>
          <w:bCs w:val="1"/>
          <w:u w:val="single" w:color="auto"/>
          <w:color w:val="0000FF"/>
        </w:rPr>
        <w:t>; or</w:t>
      </w:r>
    </w:p>
    <w:p>
      <w:pPr>
        <w:spacing w:after="0" w:line="250" w:lineRule="exact"/>
        <w:rPr>
          <w:sz w:val="20"/>
          <w:szCs w:val="20"/>
          <w:color w:val="auto"/>
        </w:rPr>
      </w:pPr>
    </w:p>
    <w:p>
      <w:pPr>
        <w:ind w:left="640" w:right="259" w:firstLine="652"/>
        <w:spacing w:after="0" w:line="315" w:lineRule="auto"/>
        <w:tabs>
          <w:tab w:leader="none" w:pos="1816" w:val="left"/>
        </w:tabs>
        <w:numPr>
          <w:ilvl w:val="0"/>
          <w:numId w:val="24"/>
        </w:numPr>
        <w:rPr>
          <w:rFonts w:ascii="Times New Roman" w:cs="Times New Roman" w:eastAsia="Times New Roman" w:hAnsi="Times New Roman"/>
          <w:sz w:val="19"/>
          <w:szCs w:val="19"/>
          <w:b w:val="1"/>
          <w:bCs w:val="1"/>
          <w:color w:val="0000FF"/>
        </w:rPr>
      </w:pPr>
      <w:r>
        <w:rPr>
          <w:rFonts w:ascii="Times New Roman" w:cs="Times New Roman" w:eastAsia="Times New Roman" w:hAnsi="Times New Roman"/>
          <w:sz w:val="19"/>
          <w:szCs w:val="19"/>
          <w:b w:val="1"/>
          <w:bCs w:val="1"/>
          <w:u w:val="single" w:color="auto"/>
          <w:color w:val="0000FF"/>
        </w:rPr>
        <w:t>in the case of a Term CORRA Reelection Event, the date that is thirty (30) days after the date a Term CORRA Notice (if any) is provided to the Lenders and the Compan</w:t>
      </w:r>
      <w:r>
        <w:rPr>
          <w:rFonts w:ascii="Times New Roman" w:cs="Times New Roman" w:eastAsia="Times New Roman" w:hAnsi="Times New Roman"/>
          <w:sz w:val="19"/>
          <w:szCs w:val="19"/>
          <w:b w:val="1"/>
          <w:bCs w:val="1"/>
          <w:color w:val="0000FF"/>
        </w:rPr>
        <w:t xml:space="preserve">y </w:t>
      </w:r>
      <w:r>
        <w:rPr>
          <w:rFonts w:ascii="Times New Roman" w:cs="Times New Roman" w:eastAsia="Times New Roman" w:hAnsi="Times New Roman"/>
          <w:sz w:val="19"/>
          <w:szCs w:val="19"/>
          <w:b w:val="1"/>
          <w:bCs w:val="1"/>
          <w:u w:val="single" w:color="auto"/>
          <w:color w:val="0000FF"/>
        </w:rPr>
        <w:t>pursuan</w:t>
      </w:r>
      <w:r>
        <w:rPr>
          <w:rFonts w:ascii="Times New Roman" w:cs="Times New Roman" w:eastAsia="Times New Roman" w:hAnsi="Times New Roman"/>
          <w:sz w:val="19"/>
          <w:szCs w:val="19"/>
          <w:b w:val="1"/>
          <w:bCs w:val="1"/>
          <w:color w:val="0000FF"/>
        </w:rPr>
        <w:t xml:space="preserve">t </w:t>
      </w:r>
      <w:r>
        <w:rPr>
          <w:rFonts w:ascii="Times New Roman" w:cs="Times New Roman" w:eastAsia="Times New Roman" w:hAnsi="Times New Roman"/>
          <w:sz w:val="19"/>
          <w:szCs w:val="19"/>
          <w:b w:val="1"/>
          <w:bCs w:val="1"/>
          <w:u w:val="single" w:color="auto"/>
          <w:color w:val="0000FF"/>
        </w:rPr>
        <w:t>t</w:t>
      </w:r>
      <w:r>
        <w:rPr>
          <w:rFonts w:ascii="Times New Roman" w:cs="Times New Roman" w:eastAsia="Times New Roman" w:hAnsi="Times New Roman"/>
          <w:sz w:val="19"/>
          <w:szCs w:val="19"/>
          <w:b w:val="1"/>
          <w:bCs w:val="1"/>
          <w:color w:val="0000FF"/>
        </w:rPr>
        <w:t xml:space="preserve">o </w:t>
      </w:r>
      <w:r>
        <w:rPr>
          <w:rFonts w:ascii="Times New Roman" w:cs="Times New Roman" w:eastAsia="Times New Roman" w:hAnsi="Times New Roman"/>
          <w:sz w:val="19"/>
          <w:szCs w:val="19"/>
          <w:b w:val="1"/>
          <w:bCs w:val="1"/>
          <w:u w:val="single" w:color="auto"/>
          <w:color w:val="0000FF"/>
        </w:rPr>
        <w:t>Sectio</w:t>
      </w:r>
      <w:r>
        <w:rPr>
          <w:rFonts w:ascii="Times New Roman" w:cs="Times New Roman" w:eastAsia="Times New Roman" w:hAnsi="Times New Roman"/>
          <w:sz w:val="19"/>
          <w:szCs w:val="19"/>
          <w:b w:val="1"/>
          <w:bCs w:val="1"/>
          <w:color w:val="0000FF"/>
        </w:rPr>
        <w:t>n 2.14(c).</w:t>
      </w:r>
    </w:p>
    <w:p>
      <w:pPr>
        <w:spacing w:after="0" w:line="241" w:lineRule="exact"/>
        <w:rPr>
          <w:sz w:val="20"/>
          <w:szCs w:val="20"/>
          <w:color w:val="auto"/>
        </w:rPr>
      </w:pPr>
    </w:p>
    <w:p>
      <w:pPr>
        <w:jc w:val="both"/>
        <w:ind w:left="640" w:right="239" w:firstLine="648"/>
        <w:spacing w:after="0" w:line="253"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6" w:lineRule="exact"/>
        <w:rPr>
          <w:sz w:val="20"/>
          <w:szCs w:val="20"/>
          <w:color w:val="auto"/>
        </w:rPr>
      </w:pPr>
    </w:p>
    <w:p>
      <w:pPr>
        <w:ind w:right="4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87" w:lineRule="exact"/>
        <w:rPr>
          <w:sz w:val="20"/>
          <w:szCs w:val="20"/>
          <w:color w:val="auto"/>
        </w:rPr>
      </w:pPr>
    </w:p>
    <w:p>
      <w:pPr>
        <w:jc w:val="both"/>
        <w:ind w:left="640" w:right="239" w:firstLine="651"/>
        <w:spacing w:after="0" w:line="253" w:lineRule="auto"/>
        <w:tabs>
          <w:tab w:leader="none" w:pos="181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218" w:lineRule="exact"/>
        <w:rPr>
          <w:rFonts w:ascii="Times New Roman" w:cs="Times New Roman" w:eastAsia="Times New Roman" w:hAnsi="Times New Roman"/>
          <w:sz w:val="20"/>
          <w:szCs w:val="20"/>
          <w:color w:val="auto"/>
        </w:rPr>
      </w:pPr>
    </w:p>
    <w:p>
      <w:pPr>
        <w:jc w:val="both"/>
        <w:ind w:left="640" w:right="239" w:firstLine="651"/>
        <w:spacing w:after="0" w:line="250" w:lineRule="auto"/>
        <w:tabs>
          <w:tab w:leader="none" w:pos="181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at the time of such statement or publication, there is no successor administrator that will continue to provide any Available Tenor of such Benchmark (or such component thereof); or</w:t>
      </w:r>
    </w:p>
    <w:p>
      <w:pPr>
        <w:spacing w:after="0" w:line="223" w:lineRule="exact"/>
        <w:rPr>
          <w:rFonts w:ascii="Times New Roman" w:cs="Times New Roman" w:eastAsia="Times New Roman" w:hAnsi="Times New Roman"/>
          <w:sz w:val="20"/>
          <w:szCs w:val="20"/>
          <w:color w:val="auto"/>
        </w:rPr>
      </w:pPr>
    </w:p>
    <w:p>
      <w:pPr>
        <w:jc w:val="both"/>
        <w:ind w:left="640" w:right="219" w:firstLine="651"/>
        <w:spacing w:after="0" w:line="258" w:lineRule="auto"/>
        <w:tabs>
          <w:tab w:leader="none" w:pos="181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99" w:lineRule="exact"/>
        <w:rPr>
          <w:sz w:val="20"/>
          <w:szCs w:val="20"/>
          <w:color w:val="auto"/>
        </w:rPr>
      </w:pPr>
    </w:p>
    <w:p>
      <w:pPr>
        <w:jc w:val="both"/>
        <w:ind w:left="640" w:right="239" w:firstLine="648"/>
        <w:spacing w:after="0" w:line="258"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3" w:lineRule="exact"/>
        <w:rPr>
          <w:sz w:val="20"/>
          <w:szCs w:val="20"/>
          <w:color w:val="auto"/>
        </w:rPr>
      </w:pPr>
    </w:p>
    <w:p>
      <w:pPr>
        <w:ind w:right="9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w:t>
      </w:r>
    </w:p>
    <w:p>
      <w:pPr>
        <w:spacing w:after="0" w:line="200" w:lineRule="exact"/>
        <w:rPr>
          <w:sz w:val="20"/>
          <w:szCs w:val="20"/>
          <w:color w:val="auto"/>
        </w:rPr>
      </w:pPr>
    </w:p>
    <w:p>
      <w:pPr>
        <w:spacing w:after="0" w:line="2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019"/>
          </w:cols>
          <w:pgMar w:left="440" w:top="1413" w:right="1440" w:bottom="1440" w:gutter="0" w:footer="0" w:header="0"/>
        </w:sectPr>
      </w:pPr>
    </w:p>
    <w:bookmarkStart w:id="48" w:name="page49"/>
    <w:bookmarkEnd w:id="48"/>
    <w:p>
      <w:pPr>
        <w:jc w:val="both"/>
        <w:ind w:right="239"/>
        <w:spacing w:after="0" w:line="258" w:lineRule="auto"/>
        <w:rPr>
          <w:sz w:val="20"/>
          <w:szCs w:val="20"/>
          <w:color w:val="auto"/>
        </w:rPr>
      </w:pPr>
      <w:r>
        <w:rPr>
          <w:rFonts w:ascii="Times New Roman" w:cs="Times New Roman" w:eastAsia="Times New Roman" w:hAnsi="Times New Roman"/>
          <w:sz w:val="20"/>
          <w:szCs w:val="20"/>
          <w:color w:val="auto"/>
        </w:rPr>
        <w:t>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213" w:lineRule="exact"/>
        <w:rPr>
          <w:sz w:val="20"/>
          <w:szCs w:val="20"/>
          <w:color w:val="auto"/>
        </w:rPr>
      </w:pPr>
    </w:p>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56" w:lineRule="exact"/>
        <w:rPr>
          <w:sz w:val="20"/>
          <w:szCs w:val="20"/>
          <w:color w:val="auto"/>
        </w:rPr>
      </w:pPr>
    </w:p>
    <w:p>
      <w:pPr>
        <w:jc w:val="both"/>
        <w:ind w:right="199" w:firstLine="1295"/>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13" w:lineRule="exact"/>
        <w:rPr>
          <w:sz w:val="20"/>
          <w:szCs w:val="20"/>
          <w:color w:val="auto"/>
        </w:rPr>
      </w:pPr>
    </w:p>
    <w:p>
      <w:pPr>
        <w:ind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the Company or any Foreign Subsidiary Borrower.</w:t>
      </w:r>
    </w:p>
    <w:p>
      <w:pPr>
        <w:spacing w:after="0" w:line="256" w:lineRule="exact"/>
        <w:rPr>
          <w:sz w:val="20"/>
          <w:szCs w:val="20"/>
          <w:color w:val="auto"/>
        </w:rPr>
      </w:pPr>
    </w:p>
    <w:p>
      <w:pPr>
        <w:ind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DTTP Filing</w:t>
      </w:r>
      <w:r>
        <w:rPr>
          <w:rFonts w:ascii="Times New Roman" w:cs="Times New Roman" w:eastAsia="Times New Roman" w:hAnsi="Times New Roman"/>
          <w:sz w:val="20"/>
          <w:szCs w:val="20"/>
          <w:color w:val="auto"/>
        </w:rPr>
        <w:t>” means an HM Revenue &amp; Customs’ Form DTTP2 duly completed and filed by the relevant Borrower, which:</w:t>
      </w:r>
    </w:p>
    <w:p>
      <w:pPr>
        <w:spacing w:after="0" w:line="187" w:lineRule="exact"/>
        <w:rPr>
          <w:sz w:val="20"/>
          <w:szCs w:val="20"/>
          <w:color w:val="auto"/>
        </w:rPr>
      </w:pPr>
    </w:p>
    <w:p>
      <w:pPr>
        <w:jc w:val="both"/>
        <w:ind w:right="219" w:firstLine="1292"/>
        <w:spacing w:after="0" w:line="258" w:lineRule="auto"/>
        <w:tabs>
          <w:tab w:leader="none" w:pos="182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is a Lender on the Restatement Effective Date, contains the scheme reference number and jurisdiction of tax residence stated on that Lender’s signature page to this Agreement, and is filed with HM Revenue &amp; Customs within 30 days of the date such Lender becomes a Lender under this Agreement, or within 30 days of the date such Borrower becomes a Borrower under this Agreement (as the case may be); or</w:t>
      </w:r>
    </w:p>
    <w:p>
      <w:pPr>
        <w:spacing w:after="0" w:line="199" w:lineRule="exact"/>
        <w:rPr>
          <w:rFonts w:ascii="Times New Roman" w:cs="Times New Roman" w:eastAsia="Times New Roman" w:hAnsi="Times New Roman"/>
          <w:sz w:val="20"/>
          <w:szCs w:val="20"/>
          <w:color w:val="auto"/>
        </w:rPr>
      </w:pPr>
    </w:p>
    <w:p>
      <w:pPr>
        <w:jc w:val="both"/>
        <w:ind w:right="239" w:firstLine="1292"/>
        <w:spacing w:after="0" w:line="257" w:lineRule="auto"/>
        <w:tabs>
          <w:tab w:leader="none" w:pos="182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is not a Lender on the Restatement Effective Date, contains the scheme reference number and jurisdiction of tax residence stated in respect of that Lender in the documentation which it executes on becoming a Party as a Lender, and is filed with HM Revenue &amp; Customs within 30 days of the date such Lender becomes a Lender under this Agreement, or within 30 days of the date such Borrower becomes a Borrower under this Agreement (as the case may be).</w:t>
      </w:r>
    </w:p>
    <w:p>
      <w:pPr>
        <w:spacing w:after="0" w:line="200" w:lineRule="exact"/>
        <w:rPr>
          <w:sz w:val="20"/>
          <w:szCs w:val="20"/>
          <w:color w:val="auto"/>
        </w:rPr>
      </w:pPr>
    </w:p>
    <w:p>
      <w:pPr>
        <w:ind w:right="19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Revolving Loans of the same Type, made, converted or continued on the same date and, in the case of Term Benchmark Loans, as to which a single Interest Period is in effect.</w:t>
      </w:r>
    </w:p>
    <w:p>
      <w:pPr>
        <w:spacing w:after="0" w:line="187"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any Borrower for a Borrowing in accordance with Section 2.03, which shall be substantially in the form attached hereto as </w:t>
      </w:r>
      <w:r>
        <w:rPr>
          <w:rFonts w:ascii="Times New Roman" w:cs="Times New Roman" w:eastAsia="Times New Roman" w:hAnsi="Times New Roman"/>
          <w:sz w:val="20"/>
          <w:szCs w:val="20"/>
          <w:u w:val="single" w:color="auto"/>
          <w:color w:val="auto"/>
        </w:rPr>
        <w:t>Exhibit H-1</w:t>
      </w:r>
      <w:r>
        <w:rPr>
          <w:rFonts w:ascii="Times New Roman" w:cs="Times New Roman" w:eastAsia="Times New Roman" w:hAnsi="Times New Roman"/>
          <w:sz w:val="20"/>
          <w:szCs w:val="20"/>
          <w:color w:val="auto"/>
        </w:rPr>
        <w:t xml:space="preserve"> or any other form approved by the Administrative Agent.</w:t>
      </w:r>
    </w:p>
    <w:p>
      <w:pPr>
        <w:spacing w:after="0" w:line="2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Subsidiary Agreement</w:t>
      </w:r>
      <w:r>
        <w:rPr>
          <w:rFonts w:ascii="Times New Roman" w:cs="Times New Roman" w:eastAsia="Times New Roman" w:hAnsi="Times New Roman"/>
          <w:sz w:val="19"/>
          <w:szCs w:val="19"/>
          <w:color w:val="auto"/>
        </w:rPr>
        <w:t>” means a Borrowing Subsidiary Agreement substantially in the form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019"/>
          </w:cols>
          <w:pgMar w:left="440" w:top="1413" w:right="1440"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Subsidiary Termination</w:t>
      </w:r>
      <w:r>
        <w:rPr>
          <w:rFonts w:ascii="Times New Roman" w:cs="Times New Roman" w:eastAsia="Times New Roman" w:hAnsi="Times New Roman"/>
          <w:sz w:val="19"/>
          <w:szCs w:val="19"/>
          <w:color w:val="auto"/>
        </w:rPr>
        <w:t>” means a Borrowing Subsidiary Termination substantially in the form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both"/>
        <w:ind w:right="219" w:firstLine="1296"/>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means, any day (other than a Saturday or a Sunday) on which banks are open</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 xml:space="preserve">for business in New York City or Chicago;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 in relation to Loans denominated in Pounds Sterling, any day (other than a Saturday or a Sunday) on which banks are open for business in London, (ii) in relation to Loans denominated in euro and in relation to the calculation or computation of the EURIBO Rate, any day which is a TARGET Day, (iii) </w:t>
      </w:r>
      <w:r>
        <w:rPr>
          <w:rFonts w:ascii="Times New Roman" w:cs="Times New Roman" w:eastAsia="Times New Roman" w:hAnsi="Times New Roman"/>
          <w:sz w:val="20"/>
          <w:szCs w:val="20"/>
          <w:color w:val="auto"/>
        </w:rPr>
        <w:t>in relation to Loans denominated in Japanese Yen and in relation to the</w:t>
      </w:r>
    </w:p>
    <w:p>
      <w:pPr>
        <w:spacing w:after="0" w:line="3" w:lineRule="exact"/>
        <w:rPr>
          <w:sz w:val="20"/>
          <w:szCs w:val="20"/>
          <w:color w:val="auto"/>
        </w:rPr>
      </w:pPr>
    </w:p>
    <w:p>
      <w:pPr>
        <w:jc w:val="both"/>
        <w:ind w:right="219"/>
        <w:spacing w:after="0" w:line="248" w:lineRule="auto"/>
        <w:rPr>
          <w:sz w:val="20"/>
          <w:szCs w:val="20"/>
          <w:color w:val="auto"/>
        </w:rPr>
      </w:pPr>
      <w:r>
        <w:rPr>
          <w:rFonts w:ascii="Times New Roman" w:cs="Times New Roman" w:eastAsia="Times New Roman" w:hAnsi="Times New Roman"/>
          <w:sz w:val="20"/>
          <w:szCs w:val="20"/>
          <w:color w:val="auto"/>
        </w:rPr>
        <w:t>calculation or computation of the TIBO Rate, any day (other than a Saturday or a Sunday) on which banks are open for business in Japan</w:t>
      </w:r>
      <w:r>
        <w:rPr>
          <w:rFonts w:ascii="Cambria" w:cs="Cambria" w:eastAsia="Cambria" w:hAnsi="Cambria"/>
          <w:sz w:val="20"/>
          <w:szCs w:val="20"/>
          <w:b w:val="1"/>
          <w:bCs w:val="1"/>
          <w:color w:val="auto"/>
        </w:rPr>
        <w:t>, (iv) in relation to Loans denominated in Canadian Dollars and in relation to the</w:t>
      </w:r>
    </w:p>
    <w:p>
      <w:pPr>
        <w:spacing w:after="0" w:line="1" w:lineRule="exact"/>
        <w:rPr>
          <w:sz w:val="20"/>
          <w:szCs w:val="20"/>
          <w:color w:val="auto"/>
        </w:rPr>
      </w:pPr>
    </w:p>
    <w:p>
      <w:pPr>
        <w:jc w:val="both"/>
        <w:ind w:right="219"/>
        <w:spacing w:after="0" w:line="238" w:lineRule="auto"/>
        <w:rPr>
          <w:sz w:val="20"/>
          <w:szCs w:val="20"/>
          <w:color w:val="auto"/>
        </w:rPr>
      </w:pPr>
      <w:r>
        <w:rPr>
          <w:rFonts w:ascii="Cambria" w:cs="Cambria" w:eastAsia="Cambria" w:hAnsi="Cambria"/>
          <w:sz w:val="20"/>
          <w:szCs w:val="20"/>
          <w:b w:val="1"/>
          <w:bCs w:val="1"/>
          <w:color w:val="auto"/>
        </w:rPr>
        <w:t xml:space="preserve">calculation or computation of </w:t>
      </w:r>
      <w:r>
        <w:rPr>
          <w:rFonts w:ascii="Cambria" w:cs="Cambria" w:eastAsia="Cambria" w:hAnsi="Cambria"/>
          <w:sz w:val="20"/>
          <w:szCs w:val="20"/>
          <w:b w:val="1"/>
          <w:bCs w:val="1"/>
          <w:color w:val="FF0000"/>
          <w:strike w:val="1"/>
        </w:rPr>
        <w:t>the CDOR Rate</w:t>
      </w:r>
      <w:r>
        <w:rPr>
          <w:rFonts w:ascii="Cambria" w:cs="Cambria" w:eastAsia="Cambria" w:hAnsi="Cambria"/>
          <w:sz w:val="20"/>
          <w:szCs w:val="20"/>
          <w:b w:val="1"/>
          <w:bCs w:val="1"/>
          <w:u w:val="single" w:color="auto"/>
          <w:color w:val="0000FF"/>
        </w:rPr>
        <w:t>CORRA</w:t>
      </w:r>
      <w:r>
        <w:rPr>
          <w:rFonts w:ascii="Cambria" w:cs="Cambria" w:eastAsia="Cambria" w:hAnsi="Cambria"/>
          <w:sz w:val="20"/>
          <w:szCs w:val="20"/>
          <w:b w:val="1"/>
          <w:bCs w:val="1"/>
          <w:color w:val="auto"/>
        </w:rPr>
        <w:t xml:space="preserve"> or the Canadian Prime Rate, any day (other than a Saturday or a Sunday) on which banks are open for business in Toronto and (v) in relation to RFR Loans and any interest rate settings, fundings, disbursements, settlements or payments of any such RFR Loan, or any other dealings in the applicable Agreed Currency of such RFR Loan, any such day that is only an RFR Business Day</w:t>
      </w:r>
      <w:r>
        <w:rPr>
          <w:rFonts w:ascii="Times New Roman" w:cs="Times New Roman" w:eastAsia="Times New Roman" w:hAnsi="Times New Roman"/>
          <w:sz w:val="20"/>
          <w:szCs w:val="20"/>
          <w:color w:val="auto"/>
        </w:rPr>
        <w:t>.</w:t>
      </w:r>
    </w:p>
    <w:p>
      <w:pPr>
        <w:spacing w:after="0" w:line="231" w:lineRule="exact"/>
        <w:rPr>
          <w:sz w:val="20"/>
          <w:szCs w:val="20"/>
          <w:color w:val="auto"/>
        </w:rPr>
      </w:pPr>
    </w:p>
    <w:p>
      <w:pPr>
        <w:jc w:val="both"/>
        <w:ind w:right="21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means any Canadian Subsidiary that becomes a Foreign Subsidiary Borrower pursuant to Section 2.24 and that has not ceased to be a Foreign Subsidiary Borrower pursuant to such Section.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means the lawful currency of Canada.</w:t>
      </w:r>
    </w:p>
    <w:p>
      <w:pPr>
        <w:spacing w:after="0" w:line="256" w:lineRule="exact"/>
        <w:rPr>
          <w:sz w:val="20"/>
          <w:szCs w:val="20"/>
          <w:color w:val="auto"/>
        </w:rPr>
      </w:pPr>
    </w:p>
    <w:p>
      <w:pPr>
        <w:jc w:val="both"/>
        <w:ind w:right="239"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w:t>
      </w:r>
      <w:r>
        <w:rPr>
          <w:rFonts w:ascii="Times New Roman" w:cs="Times New Roman" w:eastAsia="Times New Roman" w:hAnsi="Times New Roman"/>
          <w:sz w:val="20"/>
          <w:szCs w:val="20"/>
          <w:b w:val="1"/>
          <w:bCs w:val="1"/>
          <w:color w:val="FF0000"/>
          <w:strike w:val="1"/>
        </w:rPr>
        <w:t>CDOR Screen</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Rate for</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color w:val="FF0000"/>
          <w:strike w:val="1"/>
        </w:rPr>
        <w:t>thirty (30) day Canadian Dollar bankers’ acceptances</w:t>
      </w:r>
      <w:r>
        <w:rPr>
          <w:rFonts w:ascii="Times New Roman" w:cs="Times New Roman" w:eastAsia="Times New Roman" w:hAnsi="Times New Roman"/>
          <w:sz w:val="20"/>
          <w:szCs w:val="20"/>
          <w:b w:val="1"/>
          <w:bCs w:val="1"/>
          <w:u w:val="single" w:color="auto"/>
          <w:color w:val="0000FF"/>
        </w:rPr>
        <w:t>an interest</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u w:val="single" w:color="auto"/>
          <w:color w:val="0000FF"/>
        </w:rPr>
        <w:t>period of one month in effect on such day</w:t>
      </w:r>
      <w:r>
        <w:rPr>
          <w:rFonts w:ascii="Times New Roman" w:cs="Times New Roman" w:eastAsia="Times New Roman" w:hAnsi="Times New Roman"/>
          <w:sz w:val="20"/>
          <w:szCs w:val="20"/>
          <w:color w:val="000000"/>
        </w:rPr>
        <w:t>, plus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b w:val="1"/>
          <w:bCs w:val="1"/>
          <w:color w:val="FF0000"/>
          <w:strike w:val="1"/>
        </w:rPr>
        <w:t>1</w:t>
      </w:r>
      <w:r>
        <w:rPr>
          <w:rFonts w:ascii="Times New Roman" w:cs="Times New Roman" w:eastAsia="Times New Roman" w:hAnsi="Times New Roman"/>
          <w:sz w:val="20"/>
          <w:szCs w:val="20"/>
          <w:b w:val="1"/>
          <w:bCs w:val="1"/>
          <w:u w:val="single" w:color="auto"/>
          <w:color w:val="0000FF"/>
        </w:rPr>
        <w:t>1.00</w:t>
      </w:r>
      <w:r>
        <w:rPr>
          <w:rFonts w:ascii="Times New Roman" w:cs="Times New Roman" w:eastAsia="Times New Roman" w:hAnsi="Times New Roman"/>
          <w:sz w:val="20"/>
          <w:szCs w:val="20"/>
          <w:color w:val="000000"/>
        </w:rPr>
        <w:t>% per annum;</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if any of the above rates shall be less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 xml:space="preserve">than 1.00%, such rate shall be deemed to be 1.00% for purposes of this Agreement. Any change in the Canadian Prime Rate due to a change in the PRIMCAN Index or the </w:t>
      </w:r>
      <w:r>
        <w:rPr>
          <w:rFonts w:ascii="Times New Roman" w:cs="Times New Roman" w:eastAsia="Times New Roman" w:hAnsi="Times New Roman"/>
          <w:sz w:val="20"/>
          <w:szCs w:val="20"/>
          <w:b w:val="1"/>
          <w:bCs w:val="1"/>
          <w:color w:val="FF0000"/>
          <w:strike w:val="1"/>
        </w:rPr>
        <w:t>CDOR Screen</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color w:val="000000"/>
        </w:rPr>
        <w:t xml:space="preserve"> Rate shall be effective from and including the effective date of such change in the PRIMCAN Index or the </w:t>
      </w:r>
      <w:r>
        <w:rPr>
          <w:rFonts w:ascii="Times New Roman" w:cs="Times New Roman" w:eastAsia="Times New Roman" w:hAnsi="Times New Roman"/>
          <w:sz w:val="20"/>
          <w:szCs w:val="20"/>
          <w:b w:val="1"/>
          <w:bCs w:val="1"/>
          <w:color w:val="FF0000"/>
          <w:strike w:val="1"/>
        </w:rPr>
        <w:t>CDOR Screen</w:t>
      </w:r>
      <w:r>
        <w:rPr>
          <w:rFonts w:ascii="Times New Roman" w:cs="Times New Roman" w:eastAsia="Times New Roman" w:hAnsi="Times New Roman"/>
          <w:sz w:val="20"/>
          <w:szCs w:val="20"/>
          <w:b w:val="1"/>
          <w:bCs w:val="1"/>
          <w:u w:val="single" w:color="auto"/>
          <w:color w:val="0000FF"/>
        </w:rPr>
        <w:t>Adjuste</w:t>
      </w:r>
      <w:r>
        <w:rPr>
          <w:rFonts w:ascii="Times New Roman" w:cs="Times New Roman" w:eastAsia="Times New Roman" w:hAnsi="Times New Roman"/>
          <w:sz w:val="20"/>
          <w:szCs w:val="20"/>
          <w:b w:val="1"/>
          <w:bCs w:val="1"/>
          <w:color w:val="0000FF"/>
        </w:rPr>
        <w:t>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u w:val="single" w:color="auto"/>
          <w:color w:val="0000FF"/>
        </w:rPr>
        <w:t>Ter</w:t>
      </w:r>
      <w:r>
        <w:rPr>
          <w:rFonts w:ascii="Times New Roman" w:cs="Times New Roman" w:eastAsia="Times New Roman" w:hAnsi="Times New Roman"/>
          <w:sz w:val="20"/>
          <w:szCs w:val="20"/>
          <w:b w:val="1"/>
          <w:bCs w:val="1"/>
          <w:color w:val="0000FF"/>
        </w:rPr>
        <w:t>m CORRA</w:t>
      </w:r>
      <w:r>
        <w:rPr>
          <w:rFonts w:ascii="Times New Roman" w:cs="Times New Roman" w:eastAsia="Times New Roman" w:hAnsi="Times New Roman"/>
          <w:sz w:val="20"/>
          <w:szCs w:val="20"/>
          <w:color w:val="000000"/>
        </w:rPr>
        <w:t xml:space="preserve"> Rate, respectively.</w:t>
      </w:r>
    </w:p>
    <w:p>
      <w:pPr>
        <w:spacing w:after="0" w:line="285" w:lineRule="exact"/>
        <w:rPr>
          <w:sz w:val="20"/>
          <w:szCs w:val="20"/>
          <w:color w:val="auto"/>
        </w:rPr>
      </w:pPr>
    </w:p>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Subsidiary</w:t>
      </w:r>
      <w:r>
        <w:rPr>
          <w:rFonts w:ascii="Times New Roman" w:cs="Times New Roman" w:eastAsia="Times New Roman" w:hAnsi="Times New Roman"/>
          <w:sz w:val="20"/>
          <w:szCs w:val="20"/>
          <w:color w:val="auto"/>
        </w:rPr>
        <w:t>” means any Subsidiary that is organized under the laws of Canada or any province or territory thereof.</w:t>
      </w:r>
    </w:p>
    <w:p>
      <w:pPr>
        <w:spacing w:after="0" w:line="187" w:lineRule="exact"/>
        <w:rPr>
          <w:sz w:val="20"/>
          <w:szCs w:val="20"/>
          <w:color w:val="auto"/>
        </w:rPr>
      </w:pPr>
    </w:p>
    <w:p>
      <w:pPr>
        <w:jc w:val="both"/>
        <w:ind w:right="219"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213" w:lineRule="exact"/>
        <w:rPr>
          <w:sz w:val="20"/>
          <w:szCs w:val="20"/>
          <w:color w:val="auto"/>
        </w:rPr>
      </w:pPr>
    </w:p>
    <w:p>
      <w:pPr>
        <w:ind w:right="239" w:firstLine="1295"/>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Captive Insurance Subsidiary</w:t>
      </w:r>
      <w:r>
        <w:rPr>
          <w:rFonts w:ascii="Times New Roman" w:cs="Times New Roman" w:eastAsia="Times New Roman" w:hAnsi="Times New Roman"/>
          <w:sz w:val="20"/>
          <w:szCs w:val="20"/>
          <w:color w:val="auto"/>
        </w:rPr>
        <w:t>” means AMETEK (Bermuda) Ltd., a corporation organized and existing under the laws of Bermuda.</w:t>
      </w:r>
    </w:p>
    <w:p>
      <w:pPr>
        <w:spacing w:after="0" w:line="210" w:lineRule="exact"/>
        <w:rPr>
          <w:sz w:val="20"/>
          <w:szCs w:val="20"/>
          <w:color w:val="auto"/>
        </w:rPr>
      </w:pPr>
    </w:p>
    <w:p>
      <w:pPr>
        <w:ind w:right="259" w:firstLine="1296"/>
        <w:spacing w:after="0" w:line="235"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CBR Loan</w:t>
      </w:r>
      <w:r>
        <w:rPr>
          <w:rFonts w:ascii="Cambria" w:cs="Cambria" w:eastAsia="Cambria" w:hAnsi="Cambria"/>
          <w:sz w:val="20"/>
          <w:szCs w:val="20"/>
          <w:b w:val="1"/>
          <w:bCs w:val="1"/>
          <w:color w:val="auto"/>
        </w:rPr>
        <w:t>” means a Loan that bears interest at a rate determined by reference to the Central Bank Rate.</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019"/>
          </w:cols>
          <w:pgMar w:left="440" w:top="1413" w:right="1440" w:bottom="1440" w:gutter="0" w:footer="0" w:header="0"/>
          <w:type w:val="continuous"/>
        </w:sectPr>
      </w:pPr>
    </w:p>
    <w:bookmarkStart w:id="50" w:name="page51"/>
    <w:bookmarkEnd w:id="50"/>
    <w:p>
      <w:pPr>
        <w:ind w:left="164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CBR Spread</w:t>
      </w:r>
      <w:r>
        <w:rPr>
          <w:rFonts w:ascii="Cambria" w:cs="Cambria" w:eastAsia="Cambria" w:hAnsi="Cambria"/>
          <w:sz w:val="20"/>
          <w:szCs w:val="20"/>
          <w:b w:val="1"/>
          <w:bCs w:val="1"/>
          <w:color w:val="auto"/>
        </w:rPr>
        <w:t>” means the Applicable Rate applicable to such Loan that is replaced by</w:t>
      </w:r>
    </w:p>
    <w:p>
      <w:pPr>
        <w:spacing w:after="0" w:line="9"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a CBR Loan.</w:t>
      </w:r>
    </w:p>
    <w:p>
      <w:pPr>
        <w:spacing w:after="0" w:line="309" w:lineRule="exact"/>
        <w:rPr>
          <w:sz w:val="20"/>
          <w:szCs w:val="20"/>
          <w:color w:val="auto"/>
        </w:rPr>
      </w:pPr>
    </w:p>
    <w:p>
      <w:pPr>
        <w:ind w:right="239" w:firstLine="1296"/>
        <w:spacing w:after="0" w:line="267" w:lineRule="auto"/>
        <w:rPr>
          <w:sz w:val="20"/>
          <w:szCs w:val="20"/>
          <w:color w:val="auto"/>
        </w:rPr>
      </w:pP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b w:val="1"/>
          <w:bCs w:val="1"/>
          <w:u w:val="single" w:color="auto"/>
          <w:color w:val="FF0000"/>
          <w:strike w:val="1"/>
        </w:rPr>
        <w:t>CDOR Rate</w:t>
      </w:r>
      <w:r>
        <w:rPr>
          <w:rFonts w:ascii="Times New Roman" w:cs="Times New Roman" w:eastAsia="Times New Roman" w:hAnsi="Times New Roman"/>
          <w:sz w:val="19"/>
          <w:szCs w:val="19"/>
          <w:b w:val="1"/>
          <w:bCs w:val="1"/>
          <w:color w:val="FF0000"/>
          <w:strike w:val="1"/>
        </w:rPr>
        <w:t>” means, with respect to any Term Benchmark Borrowing denominated in Canadian Dollars and for any Interest Period, the CDOR Screen Rate at approximately 10:15 a.m., Toronto time, on the first</w:t>
      </w:r>
    </w:p>
    <w:p>
      <w:pPr>
        <w:spacing w:after="0" w:line="1" w:lineRule="exact"/>
        <w:rPr>
          <w:sz w:val="20"/>
          <w:szCs w:val="20"/>
          <w:color w:val="auto"/>
        </w:rPr>
      </w:pPr>
    </w:p>
    <w:p>
      <w:pPr>
        <w:ind w:right="239"/>
        <w:spacing w:after="0" w:line="244" w:lineRule="auto"/>
        <w:rPr>
          <w:sz w:val="20"/>
          <w:szCs w:val="20"/>
          <w:color w:val="auto"/>
        </w:rPr>
      </w:pPr>
      <w:r>
        <w:rPr>
          <w:rFonts w:ascii="Times New Roman" w:cs="Times New Roman" w:eastAsia="Times New Roman" w:hAnsi="Times New Roman"/>
          <w:sz w:val="20"/>
          <w:szCs w:val="20"/>
          <w:b w:val="1"/>
          <w:bCs w:val="1"/>
          <w:color w:val="FF0000"/>
          <w:strike w:val="1"/>
        </w:rPr>
        <w:t>day of such Interest Period</w:t>
      </w:r>
      <w:r>
        <w:rPr>
          <w:rFonts w:ascii="Cambria" w:cs="Cambria" w:eastAsia="Cambria" w:hAnsi="Cambria"/>
          <w:sz w:val="20"/>
          <w:szCs w:val="20"/>
          <w:b w:val="1"/>
          <w:bCs w:val="1"/>
          <w:color w:val="FF0000"/>
          <w:strike w:val="1"/>
        </w:rPr>
        <w:t>;</w:t>
      </w:r>
      <w:r>
        <w:rPr>
          <w:rFonts w:ascii="Times New Roman" w:cs="Times New Roman" w:eastAsia="Times New Roman" w:hAnsi="Times New Roman"/>
          <w:sz w:val="20"/>
          <w:szCs w:val="20"/>
          <w:b w:val="1"/>
          <w:bCs w:val="1"/>
          <w:color w:val="FF0000"/>
          <w:strike w:val="1"/>
        </w:rPr>
        <w:t xml:space="preserve"> </w:t>
      </w:r>
      <w:r>
        <w:rPr>
          <w:rFonts w:ascii="Cambria" w:cs="Cambria" w:eastAsia="Cambria" w:hAnsi="Cambria"/>
          <w:sz w:val="20"/>
          <w:szCs w:val="20"/>
          <w:b w:val="1"/>
          <w:bCs w:val="1"/>
          <w:u w:val="single" w:color="auto"/>
          <w:color w:val="FF0000"/>
          <w:strike w:val="1"/>
        </w:rPr>
        <w:t>provided</w:t>
      </w:r>
      <w:r>
        <w:rPr>
          <w:rFonts w:ascii="Times New Roman" w:cs="Times New Roman" w:eastAsia="Times New Roman" w:hAnsi="Times New Roman"/>
          <w:sz w:val="20"/>
          <w:szCs w:val="20"/>
          <w:b w:val="1"/>
          <w:bCs w:val="1"/>
          <w:color w:val="FF0000"/>
          <w:strike w:val="1"/>
        </w:rPr>
        <w:t xml:space="preserve"> </w:t>
      </w:r>
      <w:r>
        <w:rPr>
          <w:rFonts w:ascii="Cambria" w:cs="Cambria" w:eastAsia="Cambria" w:hAnsi="Cambria"/>
          <w:sz w:val="20"/>
          <w:szCs w:val="20"/>
          <w:b w:val="1"/>
          <w:bCs w:val="1"/>
          <w:color w:val="FF0000"/>
          <w:strike w:val="1"/>
        </w:rPr>
        <w:t>that if the CDOR Rate as so determined would be less than the Floor,</w:t>
      </w:r>
      <w:r>
        <w:rPr>
          <w:rFonts w:ascii="Times New Roman" w:cs="Times New Roman" w:eastAsia="Times New Roman" w:hAnsi="Times New Roman"/>
          <w:sz w:val="20"/>
          <w:szCs w:val="20"/>
          <w:b w:val="1"/>
          <w:bCs w:val="1"/>
          <w:color w:val="FF0000"/>
          <w:strike w:val="1"/>
        </w:rPr>
        <w:t xml:space="preserve"> </w:t>
      </w:r>
      <w:r>
        <w:rPr>
          <w:rFonts w:ascii="Cambria" w:cs="Cambria" w:eastAsia="Cambria" w:hAnsi="Cambria"/>
          <w:sz w:val="20"/>
          <w:szCs w:val="20"/>
          <w:b w:val="1"/>
          <w:bCs w:val="1"/>
          <w:color w:val="FF0000"/>
          <w:strike w:val="1"/>
        </w:rPr>
        <w:t>such rate shall be deemed to be equal to the Floor for the purposes of this Agreement</w:t>
      </w:r>
    </w:p>
    <w:p>
      <w:pPr>
        <w:spacing w:after="0" w:line="305" w:lineRule="exact"/>
        <w:rPr>
          <w:sz w:val="20"/>
          <w:szCs w:val="20"/>
          <w:color w:val="auto"/>
        </w:rPr>
      </w:pPr>
    </w:p>
    <w:p>
      <w:pPr>
        <w:jc w:val="both"/>
        <w:ind w:right="199" w:firstLine="1296"/>
        <w:spacing w:after="0" w:line="244" w:lineRule="auto"/>
        <w:rPr>
          <w:sz w:val="20"/>
          <w:szCs w:val="20"/>
          <w:color w:val="auto"/>
        </w:rPr>
      </w:pPr>
      <w:r>
        <w:rPr>
          <w:rFonts w:ascii="Times New Roman" w:cs="Times New Roman" w:eastAsia="Times New Roman" w:hAnsi="Times New Roman"/>
          <w:sz w:val="20"/>
          <w:szCs w:val="20"/>
          <w:b w:val="1"/>
          <w:bCs w:val="1"/>
          <w:color w:val="FF0000"/>
          <w:strike w:val="1"/>
        </w:rPr>
        <w:t>“</w:t>
      </w:r>
      <w:r>
        <w:rPr>
          <w:rFonts w:ascii="Times New Roman" w:cs="Times New Roman" w:eastAsia="Times New Roman" w:hAnsi="Times New Roman"/>
          <w:sz w:val="20"/>
          <w:szCs w:val="20"/>
          <w:b w:val="1"/>
          <w:bCs w:val="1"/>
          <w:u w:val="single" w:color="auto"/>
          <w:color w:val="FF0000"/>
          <w:strike w:val="1"/>
        </w:rPr>
        <w:t>CDOR Screen Rate</w:t>
      </w:r>
      <w:r>
        <w:rPr>
          <w:rFonts w:ascii="Times New Roman" w:cs="Times New Roman" w:eastAsia="Times New Roman" w:hAnsi="Times New Roman"/>
          <w:sz w:val="20"/>
          <w:szCs w:val="20"/>
          <w:b w:val="1"/>
          <w:bCs w:val="1"/>
          <w:color w:val="FF0000"/>
          <w:strike w:val="1"/>
        </w:rPr>
        <w:t>” 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w:t>
      </w:r>
      <w:r>
        <w:rPr>
          <w:rFonts w:ascii="Times New Roman" w:cs="Times New Roman" w:eastAsia="Times New Roman" w:hAnsi="Times New Roman"/>
          <w:sz w:val="25"/>
          <w:szCs w:val="25"/>
          <w:b w:val="1"/>
          <w:bCs w:val="1"/>
          <w:color w:val="FF0000"/>
          <w:strike w:val="1"/>
          <w:vertAlign w:val="superscript"/>
        </w:rPr>
        <w:t>th</w:t>
      </w:r>
      <w:r>
        <w:rPr>
          <w:rFonts w:ascii="Times New Roman" w:cs="Times New Roman" w:eastAsia="Times New Roman" w:hAnsi="Times New Roman"/>
          <w:sz w:val="20"/>
          <w:szCs w:val="20"/>
          <w:b w:val="1"/>
          <w:bCs w:val="1"/>
          <w:color w:val="FF0000"/>
          <w:strike w:val="1"/>
        </w:rPr>
        <w:t xml:space="preserve"> of 1% (with .005% being rounded up), as of 10:15 a.m. Toronto time on the first day of such Interest Period and, if such day is not a Business Day, then on the immediately preceding Business Day (as adjusted by Administrative Agent after 10:15 a.m. Toronto time to reflect any error in the posted rate of interest or in the posted average annual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-535305</wp:posOffset>
            </wp:positionV>
            <wp:extent cx="3243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243580" cy="8255"/>
                    </a:xfrm>
                    <a:prstGeom prst="rect">
                      <a:avLst/>
                    </a:prstGeom>
                    <a:noFill/>
                  </pic:spPr>
                </pic:pic>
              </a:graphicData>
            </a:graphic>
          </wp:anchor>
        </w:drawing>
      </w:r>
    </w:p>
    <w:p>
      <w:pPr>
        <w:spacing w:after="0" w:line="230" w:lineRule="exact"/>
        <w:rPr>
          <w:sz w:val="20"/>
          <w:szCs w:val="20"/>
          <w:color w:val="auto"/>
        </w:rPr>
      </w:pPr>
    </w:p>
    <w:p>
      <w:pPr>
        <w:jc w:val="both"/>
        <w:ind w:right="199" w:firstLine="1296"/>
        <w:spacing w:after="0" w:line="242"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Central Bank Rate</w:t>
      </w:r>
      <w:r>
        <w:rPr>
          <w:rFonts w:ascii="Cambria" w:cs="Cambria" w:eastAsia="Cambria" w:hAnsi="Cambria"/>
          <w:sz w:val="20"/>
          <w:szCs w:val="20"/>
          <w:b w:val="1"/>
          <w:bCs w:val="1"/>
          <w:color w:val="auto"/>
        </w:rPr>
        <w:t>” 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w:t>
      </w:r>
    </w:p>
    <w:p>
      <w:pPr>
        <w:spacing w:after="0" w:line="1" w:lineRule="exact"/>
        <w:rPr>
          <w:sz w:val="20"/>
          <w:szCs w:val="20"/>
          <w:color w:val="auto"/>
        </w:rPr>
      </w:pPr>
    </w:p>
    <w:p>
      <w:pPr>
        <w:jc w:val="both"/>
        <w:ind w:right="199"/>
        <w:spacing w:after="0" w:line="260" w:lineRule="auto"/>
        <w:rPr>
          <w:sz w:val="20"/>
          <w:szCs w:val="20"/>
          <w:color w:val="auto"/>
        </w:rPr>
      </w:pPr>
      <w:r>
        <w:rPr>
          <w:rFonts w:ascii="Cambria" w:cs="Cambria" w:eastAsia="Cambria" w:hAnsi="Cambria"/>
          <w:sz w:val="20"/>
          <w:szCs w:val="20"/>
          <w:b w:val="1"/>
          <w:bCs w:val="1"/>
          <w:color w:val="auto"/>
        </w:rPr>
        <w:t xml:space="preserve">Bank (or any successor thereto) from time to time, (c) </w:t>
      </w:r>
      <w:r>
        <w:rPr>
          <w:rFonts w:ascii="Times New Roman" w:cs="Times New Roman" w:eastAsia="Times New Roman" w:hAnsi="Times New Roman"/>
          <w:sz w:val="20"/>
          <w:szCs w:val="20"/>
          <w:color w:val="auto"/>
        </w:rPr>
        <w:t>Japanese Yen, the “short-term prime rate” as publicly</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color w:val="auto"/>
        </w:rPr>
        <w:t>announced by the Bank of Japan (or any successor thereto) from time to time</w:t>
      </w:r>
      <w:r>
        <w:rPr>
          <w:rFonts w:ascii="Cambria" w:cs="Cambria" w:eastAsia="Cambria" w:hAnsi="Cambria"/>
          <w:sz w:val="20"/>
          <w:szCs w:val="20"/>
          <w:b w:val="1"/>
          <w:bCs w:val="1"/>
          <w:color w:val="auto"/>
        </w:rPr>
        <w:t>, (d) Swiss Francs, the policy rate of the</w:t>
      </w:r>
    </w:p>
    <w:p>
      <w:pPr>
        <w:spacing w:after="0" w:line="2" w:lineRule="exact"/>
        <w:rPr>
          <w:sz w:val="20"/>
          <w:szCs w:val="20"/>
          <w:color w:val="auto"/>
        </w:rPr>
      </w:pPr>
    </w:p>
    <w:p>
      <w:pPr>
        <w:jc w:val="both"/>
        <w:ind w:right="199"/>
        <w:spacing w:after="0" w:line="242" w:lineRule="auto"/>
        <w:rPr>
          <w:sz w:val="20"/>
          <w:szCs w:val="20"/>
          <w:color w:val="auto"/>
        </w:rPr>
      </w:pPr>
      <w:r>
        <w:rPr>
          <w:rFonts w:ascii="Cambria" w:cs="Cambria" w:eastAsia="Cambria" w:hAnsi="Cambria"/>
          <w:sz w:val="20"/>
          <w:szCs w:val="20"/>
          <w:b w:val="1"/>
          <w:bCs w:val="1"/>
          <w:color w:val="auto"/>
        </w:rPr>
        <w:t>Swiss National Bank (or any successor thereto) as published by the Swiss National Bank (or any successor thereto) from time to time and (e) any other Foreign Currency other than Canadian Dollars determined after the Restatement Effective Date, a central bank rate as determined by the Administrative Agent in its reasonable discretion; plus (B) the applicable Central Bank Rate Adjustment and (ii) the Floor.</w:t>
      </w:r>
    </w:p>
    <w:p>
      <w:pPr>
        <w:spacing w:after="0" w:line="251" w:lineRule="exact"/>
        <w:rPr>
          <w:sz w:val="20"/>
          <w:szCs w:val="20"/>
          <w:color w:val="auto"/>
        </w:rPr>
      </w:pPr>
    </w:p>
    <w:p>
      <w:pPr>
        <w:ind w:left="174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Central Bank Rate Adjustment</w:t>
      </w:r>
      <w:r>
        <w:rPr>
          <w:rFonts w:ascii="Cambria" w:cs="Cambria" w:eastAsia="Cambria" w:hAnsi="Cambria"/>
          <w:sz w:val="20"/>
          <w:szCs w:val="20"/>
          <w:b w:val="1"/>
          <w:bCs w:val="1"/>
          <w:color w:val="auto"/>
        </w:rPr>
        <w:t>” means, for any day, for any Loan denominated in:</w:t>
      </w:r>
    </w:p>
    <w:p>
      <w:pPr>
        <w:spacing w:after="0" w:line="256" w:lineRule="exact"/>
        <w:rPr>
          <w:sz w:val="20"/>
          <w:szCs w:val="20"/>
          <w:color w:val="auto"/>
        </w:rPr>
      </w:pPr>
    </w:p>
    <w:p>
      <w:pPr>
        <w:jc w:val="both"/>
        <w:ind w:left="640" w:right="219" w:firstLine="651"/>
        <w:spacing w:after="0" w:line="239" w:lineRule="auto"/>
        <w:tabs>
          <w:tab w:leader="none" w:pos="1845" w:val="left"/>
        </w:tabs>
        <w:numPr>
          <w:ilvl w:val="0"/>
          <w:numId w:val="2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Pounds Sterling, a rate equal to the difference (which may be a positive or negative value or zero) of (i) the average of Adjusted Daily Simple RFR for Pounds Sterling Borrowings for the five most recent RFR Business Days preceding such day for which SONIA was available (excluding, from such averaging, the highest and the lowest such Adjusted Daily Simple RFR applicable during such period of five RFR Business Days) minus (ii) the Central Bank Rate in respect of Pounds Sterling in effect on the last RFR Business Day in such period,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019"/>
          </w:cols>
          <w:pgMar w:left="440" w:top="1432" w:right="1440" w:bottom="1440" w:gutter="0" w:footer="0" w:header="0"/>
        </w:sectPr>
      </w:pPr>
    </w:p>
    <w:bookmarkStart w:id="51" w:name="page52"/>
    <w:bookmarkEnd w:id="51"/>
    <w:p>
      <w:pPr>
        <w:jc w:val="both"/>
        <w:ind w:left="640" w:right="239" w:firstLine="651"/>
        <w:spacing w:after="0"/>
        <w:tabs>
          <w:tab w:leader="none" w:pos="1843" w:val="left"/>
        </w:tabs>
        <w:numPr>
          <w:ilvl w:val="1"/>
          <w:numId w:val="2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minus (ii) the Central Bank Rate in respect of euro in effect on the last Business Day in such period,</w:t>
      </w:r>
    </w:p>
    <w:p>
      <w:pPr>
        <w:spacing w:after="0" w:line="248" w:lineRule="exact"/>
        <w:rPr>
          <w:rFonts w:ascii="Cambria" w:cs="Cambria" w:eastAsia="Cambria" w:hAnsi="Cambria"/>
          <w:sz w:val="20"/>
          <w:szCs w:val="20"/>
          <w:b w:val="1"/>
          <w:bCs w:val="1"/>
          <w:color w:val="auto"/>
        </w:rPr>
      </w:pPr>
    </w:p>
    <w:p>
      <w:pPr>
        <w:ind w:left="1840" w:hanging="549"/>
        <w:spacing w:after="0"/>
        <w:tabs>
          <w:tab w:leader="none" w:pos="1840" w:val="left"/>
        </w:tabs>
        <w:numPr>
          <w:ilvl w:val="1"/>
          <w:numId w:val="28"/>
        </w:numPr>
        <w:rPr>
          <w:rFonts w:ascii="Cambria" w:cs="Cambria" w:eastAsia="Cambria" w:hAnsi="Cambria"/>
          <w:sz w:val="20"/>
          <w:szCs w:val="20"/>
          <w:b w:val="1"/>
          <w:bCs w:val="1"/>
          <w:color w:val="auto"/>
        </w:rPr>
      </w:pPr>
      <w:r>
        <w:rPr>
          <w:rFonts w:ascii="Times New Roman" w:cs="Times New Roman" w:eastAsia="Times New Roman" w:hAnsi="Times New Roman"/>
          <w:sz w:val="20"/>
          <w:szCs w:val="20"/>
          <w:color w:val="auto"/>
        </w:rPr>
        <w:t>Japanese Yen, a rate equal to the difference (which may be a positive or negative value or zero) of</w:t>
      </w:r>
    </w:p>
    <w:p>
      <w:pPr>
        <w:spacing w:after="0" w:line="17" w:lineRule="exact"/>
        <w:rPr>
          <w:rFonts w:ascii="Cambria" w:cs="Cambria" w:eastAsia="Cambria" w:hAnsi="Cambria"/>
          <w:sz w:val="20"/>
          <w:szCs w:val="20"/>
          <w:b w:val="1"/>
          <w:bCs w:val="1"/>
          <w:color w:val="auto"/>
        </w:rPr>
      </w:pPr>
    </w:p>
    <w:p>
      <w:pPr>
        <w:ind w:left="880" w:hanging="236"/>
        <w:spacing w:after="0"/>
        <w:tabs>
          <w:tab w:leader="none" w:pos="8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average of the Adjusted TIBO Rate for the five most recent Business Days preceding such day for which the</w:t>
      </w:r>
    </w:p>
    <w:p>
      <w:pPr>
        <w:spacing w:after="0" w:line="18" w:lineRule="exact"/>
        <w:rPr>
          <w:sz w:val="20"/>
          <w:szCs w:val="20"/>
          <w:color w:val="auto"/>
        </w:rPr>
      </w:pPr>
    </w:p>
    <w:p>
      <w:pPr>
        <w:jc w:val="both"/>
        <w:ind w:left="640" w:right="239"/>
        <w:spacing w:after="0" w:line="250" w:lineRule="auto"/>
        <w:rPr>
          <w:sz w:val="20"/>
          <w:szCs w:val="20"/>
          <w:color w:val="auto"/>
        </w:rPr>
      </w:pPr>
      <w:r>
        <w:rPr>
          <w:rFonts w:ascii="Times New Roman" w:cs="Times New Roman" w:eastAsia="Times New Roman" w:hAnsi="Times New Roman"/>
          <w:sz w:val="20"/>
          <w:szCs w:val="20"/>
          <w:color w:val="auto"/>
        </w:rPr>
        <w:t>TIBO Screen Rate was available (excluding, from such averaging, the highest and the lowest Adjusted TIBO Rate applicable during such period of five Business Days) minus (ii) the Central Bank Rate in respect of Japanese Yen in effect on the last Business Day in such period</w:t>
      </w:r>
      <w:r>
        <w:rPr>
          <w:rFonts w:ascii="Cambria" w:cs="Cambria" w:eastAsia="Cambria" w:hAnsi="Cambria"/>
          <w:sz w:val="20"/>
          <w:szCs w:val="20"/>
          <w:b w:val="1"/>
          <w:bCs w:val="1"/>
          <w:color w:val="auto"/>
        </w:rPr>
        <w:t>,</w:t>
      </w:r>
    </w:p>
    <w:p>
      <w:pPr>
        <w:spacing w:after="0" w:line="230" w:lineRule="exact"/>
        <w:rPr>
          <w:sz w:val="20"/>
          <w:szCs w:val="20"/>
          <w:color w:val="auto"/>
        </w:rPr>
      </w:pPr>
    </w:p>
    <w:p>
      <w:pPr>
        <w:jc w:val="both"/>
        <w:ind w:left="640" w:right="239" w:firstLine="652"/>
        <w:spacing w:after="0" w:line="242" w:lineRule="auto"/>
        <w:tabs>
          <w:tab w:leader="none" w:pos="1844" w:val="left"/>
        </w:tabs>
        <w:numPr>
          <w:ilvl w:val="0"/>
          <w:numId w:val="3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Swiss Francs, a rate equal to the difference (which may be a positive or negative value or zero) of (i) the average of Adjusted Daily Simple RFR for Swiss Franc Borrowings for the five most recent RFR Business Days preceding such day for which SARON was available (excluding, from such averaging, the highest and the lowest such Adjusted Daily Simple RFR applicable during such period of five RFR Business Days) </w:t>
      </w:r>
      <w:r>
        <w:rPr>
          <w:rFonts w:ascii="Cambria" w:cs="Cambria" w:eastAsia="Cambria" w:hAnsi="Cambria"/>
          <w:sz w:val="20"/>
          <w:szCs w:val="20"/>
          <w:b w:val="1"/>
          <w:bCs w:val="1"/>
          <w:u w:val="single" w:color="auto"/>
          <w:color w:val="auto"/>
        </w:rPr>
        <w:t>minus</w:t>
      </w:r>
      <w:r>
        <w:rPr>
          <w:rFonts w:ascii="Cambria" w:cs="Cambria" w:eastAsia="Cambria" w:hAnsi="Cambria"/>
          <w:sz w:val="20"/>
          <w:szCs w:val="20"/>
          <w:b w:val="1"/>
          <w:bCs w:val="1"/>
          <w:color w:val="auto"/>
        </w:rPr>
        <w:t xml:space="preserve"> (ii) the Central Bank Rate in respect of Swiss Francs in effect on the last RFR Business Day in such period, and</w:t>
      </w:r>
    </w:p>
    <w:p>
      <w:pPr>
        <w:spacing w:after="0" w:line="336" w:lineRule="exact"/>
        <w:rPr>
          <w:rFonts w:ascii="Cambria" w:cs="Cambria" w:eastAsia="Cambria" w:hAnsi="Cambria"/>
          <w:sz w:val="20"/>
          <w:szCs w:val="20"/>
          <w:b w:val="1"/>
          <w:bCs w:val="1"/>
          <w:color w:val="auto"/>
        </w:rPr>
      </w:pPr>
    </w:p>
    <w:p>
      <w:pPr>
        <w:jc w:val="both"/>
        <w:ind w:left="640" w:right="239" w:firstLine="652"/>
        <w:spacing w:after="0" w:line="239" w:lineRule="auto"/>
        <w:tabs>
          <w:tab w:leader="none" w:pos="1844" w:val="left"/>
        </w:tabs>
        <w:numPr>
          <w:ilvl w:val="0"/>
          <w:numId w:val="3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any other Foreign Currency other than Canadian Dollars determined after the Restatement Effective Date, an adjustment as determined by the Administrative Agent in its reasonable discretion.</w:t>
      </w:r>
    </w:p>
    <w:p>
      <w:pPr>
        <w:spacing w:after="0" w:line="248" w:lineRule="exact"/>
        <w:rPr>
          <w:sz w:val="20"/>
          <w:szCs w:val="20"/>
          <w:color w:val="auto"/>
        </w:rPr>
      </w:pPr>
    </w:p>
    <w:p>
      <w:pPr>
        <w:ind w:left="1300"/>
        <w:spacing w:after="0"/>
        <w:rPr>
          <w:sz w:val="20"/>
          <w:szCs w:val="20"/>
          <w:color w:val="auto"/>
        </w:rPr>
      </w:pPr>
      <w:r>
        <w:rPr>
          <w:rFonts w:ascii="Cambria" w:cs="Cambria" w:eastAsia="Cambria" w:hAnsi="Cambria"/>
          <w:sz w:val="20"/>
          <w:szCs w:val="20"/>
          <w:b w:val="1"/>
          <w:bCs w:val="1"/>
          <w:color w:val="auto"/>
        </w:rPr>
        <w:t xml:space="preserve">For </w:t>
      </w:r>
      <w:r>
        <w:rPr>
          <w:rFonts w:ascii="Times New Roman" w:cs="Times New Roman" w:eastAsia="Times New Roman" w:hAnsi="Times New Roman"/>
          <w:sz w:val="20"/>
          <w:szCs w:val="20"/>
          <w:color w:val="auto"/>
        </w:rPr>
        <w:t>purposes of this definition, (x) the term Central Bank Rate shall be determined disregarding clause (i)</w:t>
      </w:r>
    </w:p>
    <w:p>
      <w:pPr>
        <w:spacing w:after="0" w:line="17" w:lineRule="exact"/>
        <w:rPr>
          <w:sz w:val="20"/>
          <w:szCs w:val="20"/>
          <w:color w:val="auto"/>
        </w:rPr>
      </w:pPr>
    </w:p>
    <w:p>
      <w:pPr>
        <w:jc w:val="both"/>
        <w:ind w:left="640" w:right="219" w:firstLine="4"/>
        <w:spacing w:after="0" w:line="249" w:lineRule="auto"/>
        <w:tabs>
          <w:tab w:leader="none" w:pos="96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such term and (y) each of the EURIBO Rate and the TIBO Rate on any day shall be based on the EURIBO Screen Rate or the TIBO Screen Rate, as applicable, on such day at approximately the time referred to in the definition of such term for deposits in the applicable Agreed Currency for a maturity of one month</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right="239"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(b) occupation of a majority of the seats (other than vacant seats) on the board of directors of the Company by Persons who were neither (i) nominated by the board of directors of the Company nor (ii) appointed by directors so nominated; (c) the occurrence of a change in control, or other similar provision, as defined in any agreement or instrument evidencing any Material Indebtedness (triggering a default or mandatory prepayment, which default or mandatory prepayment has not been waived in writing); or (d) the Company ceases to own, directly or indirectly, 100% (other than directors’ qualifying shares) of the ordinary voting and economic power of any Foreign Subsidiary Borrower.</w:t>
      </w:r>
    </w:p>
    <w:p>
      <w:pPr>
        <w:spacing w:after="0" w:line="204"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notwithstanding anything herein to the contrary, (i) the Dodd-Frank Wall Street</w:t>
      </w:r>
    </w:p>
    <w:p>
      <w:pPr>
        <w:sectPr>
          <w:pgSz w:w="11900" w:h="16838" w:orient="portrait"/>
          <w:cols w:equalWidth="0" w:num="1">
            <w:col w:w="10019"/>
          </w:cols>
          <w:pgMar w:left="440" w:top="14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019"/>
          </w:cols>
          <w:pgMar w:left="440" w:top="1437" w:right="1440" w:bottom="1440" w:gutter="0" w:footer="0" w:header="0"/>
          <w:type w:val="continuous"/>
        </w:sectPr>
      </w:pPr>
    </w:p>
    <w:bookmarkStart w:id="52" w:name="page53"/>
    <w:bookmarkEnd w:id="52"/>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has the meaning assigned to such term in Section 9.15.</w:t>
      </w:r>
    </w:p>
    <w:p>
      <w:pPr>
        <w:spacing w:after="0" w:line="256" w:lineRule="exact"/>
        <w:rPr>
          <w:sz w:val="20"/>
          <w:szCs w:val="20"/>
          <w:color w:val="auto"/>
        </w:rPr>
      </w:pPr>
    </w:p>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w:t>
      </w:r>
    </w:p>
    <w:p>
      <w:pPr>
        <w:spacing w:after="0" w:line="210" w:lineRule="exact"/>
        <w:rPr>
          <w:sz w:val="20"/>
          <w:szCs w:val="20"/>
          <w:color w:val="auto"/>
        </w:rPr>
      </w:pPr>
    </w:p>
    <w:p>
      <w:pPr>
        <w:jc w:val="both"/>
        <w:ind w:right="239" w:firstLine="1296"/>
        <w:spacing w:after="0" w:line="248"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CME Term SOFR Administrator</w:t>
      </w:r>
      <w:r>
        <w:rPr>
          <w:rFonts w:ascii="Cambria" w:cs="Cambria" w:eastAsia="Cambria" w:hAnsi="Cambria"/>
          <w:sz w:val="20"/>
          <w:szCs w:val="20"/>
          <w:b w:val="1"/>
          <w:bCs w:val="1"/>
          <w:color w:val="auto"/>
        </w:rPr>
        <w:t xml:space="preserve">” means CME Group Benchmark Administration Limited as administrator of </w:t>
      </w:r>
      <w:r>
        <w:rPr>
          <w:rFonts w:ascii="Times New Roman" w:cs="Times New Roman" w:eastAsia="Times New Roman" w:hAnsi="Times New Roman"/>
          <w:sz w:val="20"/>
          <w:szCs w:val="20"/>
          <w:color w:val="auto"/>
        </w:rPr>
        <w:t>the forward-looking term Secured Overnight Financing Rate (SOFR) (or a successor administrator).</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56" w:lineRule="exact"/>
        <w:rPr>
          <w:sz w:val="20"/>
          <w:szCs w:val="20"/>
          <w:color w:val="auto"/>
        </w:rPr>
      </w:pPr>
    </w:p>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COLI Policy</w:t>
      </w:r>
      <w:r>
        <w:rPr>
          <w:rFonts w:ascii="Times New Roman" w:cs="Times New Roman" w:eastAsia="Times New Roman" w:hAnsi="Times New Roman"/>
          <w:sz w:val="20"/>
          <w:szCs w:val="20"/>
          <w:color w:val="auto"/>
        </w:rPr>
        <w:t>” means a corporate-owned life insurance policy held by the Company with respect to certain of its employees.</w:t>
      </w:r>
    </w:p>
    <w:p>
      <w:pPr>
        <w:spacing w:after="0" w:line="187" w:lineRule="exact"/>
        <w:rPr>
          <w:sz w:val="20"/>
          <w:szCs w:val="20"/>
          <w:color w:val="auto"/>
        </w:rPr>
      </w:pPr>
    </w:p>
    <w:p>
      <w:pPr>
        <w:jc w:val="both"/>
        <w:ind w:right="239"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each Lender, the commitment of such Lender to make Revolving Loans and to acquire participations in Letters of Credit hereunder, expressed as an amount representing the maximum aggregate amount of such Lender’s Revolving Credit Exposure hereunder, as such commitment may be (a) reduced or terminated from time to time pursuant to Section 2.09, (b) increased from time to time pursuant to Section 2.21 and (c) reduced or increased from time to time pursuant to assignments by or to such Lender pursuant to Section 9.04. The amount of each Lender’s Commitment as of the Restatement Effective Date is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or in the Assignment and Assumption or other documentation or record (as such term is defined in Section 9-102(a)(70) of the New York Uniform Commercial Code) contemplated hereby pursuant to which such Lender shall have assumed its Commitment, as applicable.</w:t>
      </w:r>
    </w:p>
    <w:p>
      <w:pPr>
        <w:spacing w:after="0" w:line="203" w:lineRule="exact"/>
        <w:rPr>
          <w:sz w:val="20"/>
          <w:szCs w:val="20"/>
          <w:color w:val="auto"/>
        </w:rPr>
      </w:pPr>
    </w:p>
    <w:p>
      <w:pPr>
        <w:jc w:val="both"/>
        <w:ind w:right="21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Section 8.03(c), including through an Approved Electronic Platform.</w:t>
      </w:r>
    </w:p>
    <w:p>
      <w:pPr>
        <w:spacing w:after="0" w:line="3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AMETEK, Inc., a Delaware corporation. “</w:t>
      </w:r>
      <w:r>
        <w:rPr>
          <w:rFonts w:ascii="Times New Roman" w:cs="Times New Roman" w:eastAsia="Times New Roman" w:hAnsi="Times New Roman"/>
          <w:sz w:val="20"/>
          <w:szCs w:val="20"/>
          <w:u w:val="single" w:color="auto"/>
          <w:color w:val="auto"/>
        </w:rPr>
        <w:t>Computation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is defined in Section 2.04.</w:t>
      </w:r>
    </w:p>
    <w:p>
      <w:pPr>
        <w:spacing w:after="0" w:line="108" w:lineRule="exact"/>
        <w:rPr>
          <w:sz w:val="20"/>
          <w:szCs w:val="20"/>
          <w:color w:val="auto"/>
        </w:rPr>
      </w:pPr>
    </w:p>
    <w:p>
      <w:pPr>
        <w:jc w:val="both"/>
        <w:ind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213"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Capital Expenditures</w:t>
      </w:r>
      <w:r>
        <w:rPr>
          <w:rFonts w:ascii="Times New Roman" w:cs="Times New Roman" w:eastAsia="Times New Roman" w:hAnsi="Times New Roman"/>
          <w:sz w:val="20"/>
          <w:szCs w:val="20"/>
          <w:color w:val="auto"/>
        </w:rPr>
        <w:t>” means, without duplication, any expenditures for any purchase or other acquisition of any asset which would be classified as a fixed or capital asset on a consolidated balance sheet of the Company and its Subsidiaries prepared in accordance with GAAP.</w:t>
      </w:r>
    </w:p>
    <w:p>
      <w:pPr>
        <w:spacing w:after="0" w:line="204" w:lineRule="exact"/>
        <w:rPr>
          <w:sz w:val="20"/>
          <w:szCs w:val="20"/>
          <w:color w:val="auto"/>
        </w:rPr>
      </w:pPr>
    </w:p>
    <w:p>
      <w:pPr>
        <w:jc w:val="both"/>
        <w:ind w:right="259"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Consolidated Net Income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to the extent deducted from revenues in determining Consolidated Net Income, (i) Consolidated Interest Expense, (ii) expense</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019"/>
          </w:cols>
          <w:pgMar w:left="440" w:top="1413" w:right="1440" w:bottom="1440" w:gutter="0" w:footer="0" w:header="0"/>
          <w:type w:val="continuous"/>
        </w:sectPr>
      </w:pPr>
    </w:p>
    <w:bookmarkStart w:id="53" w:name="page54"/>
    <w:bookmarkEnd w:id="53"/>
    <w:p>
      <w:pPr>
        <w:jc w:val="both"/>
        <w:ind w:left="4" w:right="199"/>
        <w:spacing w:after="0" w:line="249" w:lineRule="auto"/>
        <w:rPr>
          <w:sz w:val="20"/>
          <w:szCs w:val="20"/>
          <w:color w:val="auto"/>
        </w:rPr>
      </w:pPr>
      <w:r>
        <w:rPr>
          <w:rFonts w:ascii="Times New Roman" w:cs="Times New Roman" w:eastAsia="Times New Roman" w:hAnsi="Times New Roman"/>
          <w:sz w:val="20"/>
          <w:szCs w:val="20"/>
          <w:color w:val="auto"/>
        </w:rPr>
        <w:t xml:space="preserve">for income taxes paid or accrued, (iii) depreciation, (iv) amortization, (v) the amount of any increase in the Company’s LIFO reserve (exclusive of any portion thereof attributable to sales of assets) during such period (and minus any decrease in the Company’s LIFO reserve (exclusive of any portion thereof attributable to sales of assets) during such period), (vi) non-cash expenses related to stock based compensation, (vii) other non-cash charges, without in any case giving effect to the amount for such period of gains or losses on sales of assets outside of the ordinary course of business and (viii) other extraordinary or nonrecurring losses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to the extent included in Consolidated Net Income, other extraordinary or nonrecurring gains, all calculated for the Company and its Subsidiaries on a consolidated basis. For the purposes of calculating Consolidated EBITDA for any period of four consecutive fiscal quarters (each such period, a “</w:t>
      </w:r>
      <w:r>
        <w:rPr>
          <w:rFonts w:ascii="Times New Roman" w:cs="Times New Roman" w:eastAsia="Times New Roman" w:hAnsi="Times New Roman"/>
          <w:sz w:val="20"/>
          <w:szCs w:val="20"/>
          <w:u w:val="single" w:color="auto"/>
          <w:color w:val="auto"/>
        </w:rPr>
        <w:t>Reference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if at any time during such Reference Period the Company or any Subsidiary shall have made a Disposition or Acquisition, Consolidated EBITDA for such Reference Period shall be calculated after giving effect thereto on a Pro Forma Basis as if such Disposition or Acquisition occurred on the first day of such Reference Period. As used in this definition, “</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acquisition of property or series of related acquisitions of property that constitutes (i) assets comprising all or substantially all or any significant portion of a business or operating unit of a business, or (ii) all or substantially all of the common stock or other Equity Interests of a Person; and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any disposition of property or series of related dispositions of property that constitutes (i) assets comprising all or substantially all of a business or operating unit of a business, or</w:t>
      </w:r>
    </w:p>
    <w:p>
      <w:pPr>
        <w:spacing w:after="0" w:line="5" w:lineRule="exact"/>
        <w:rPr>
          <w:sz w:val="20"/>
          <w:szCs w:val="20"/>
          <w:color w:val="auto"/>
        </w:rPr>
      </w:pPr>
    </w:p>
    <w:p>
      <w:pPr>
        <w:ind w:left="544" w:hanging="544"/>
        <w:spacing w:after="0"/>
        <w:tabs>
          <w:tab w:leader="none" w:pos="5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substantially all or any significant portion of the common stock or other Equity Interests of a Person.</w:t>
      </w:r>
    </w:p>
    <w:p>
      <w:pPr>
        <w:spacing w:after="0" w:line="241" w:lineRule="exact"/>
        <w:rPr>
          <w:sz w:val="20"/>
          <w:szCs w:val="20"/>
          <w:color w:val="auto"/>
        </w:rPr>
      </w:pPr>
    </w:p>
    <w:p>
      <w:pPr>
        <w:jc w:val="both"/>
        <w:ind w:left="4" w:right="239"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reference to any period, the interest expense (including without limitation interest expense under Capital Lease Obligations that is treated as interest in accordance with GAAP) of the Company and its Subsidiaries calculated on a consolidated basis for such period with respect to (a)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and (b) the interest component of all Attributable Receivable Indebtedness of the Company and its Subsidiaries for such period, but excluding, however, amortization of deferred financing costs to the extent included in total interest expense, all as determined on a consolidated basis, in each case net of the total interest income (excluding non-cash interest income on investments issued with original issue discount) of the Company and its Subsidiaries for such period, determined on a consolidated basis.</w:t>
      </w:r>
    </w:p>
    <w:p>
      <w:pPr>
        <w:spacing w:after="0" w:line="227" w:lineRule="exact"/>
        <w:rPr>
          <w:sz w:val="20"/>
          <w:szCs w:val="20"/>
          <w:color w:val="auto"/>
        </w:rPr>
      </w:pPr>
    </w:p>
    <w:p>
      <w:pPr>
        <w:jc w:val="both"/>
        <w:ind w:left="4"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with reference to any period, the net income (or loss) of the Company and its Subsidiaries calculated in accordance with GAAP on a consolidated basis (without duplication) for such period.</w:t>
      </w:r>
    </w:p>
    <w:p>
      <w:pPr>
        <w:spacing w:after="0" w:line="213" w:lineRule="exact"/>
        <w:rPr>
          <w:sz w:val="20"/>
          <w:szCs w:val="20"/>
          <w:color w:val="auto"/>
        </w:rPr>
      </w:pPr>
    </w:p>
    <w:p>
      <w:pPr>
        <w:jc w:val="both"/>
        <w:ind w:left="4"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Tangible Assets</w:t>
      </w:r>
      <w:r>
        <w:rPr>
          <w:rFonts w:ascii="Times New Roman" w:cs="Times New Roman" w:eastAsia="Times New Roman" w:hAnsi="Times New Roman"/>
          <w:sz w:val="20"/>
          <w:szCs w:val="20"/>
          <w:color w:val="auto"/>
        </w:rPr>
        <w:t>” means, at any time, Consolidated Total Assets at such time minus all amounts that would be shown on a consolidated balance sheet of the Company prepared as of such date as goodwill or other intangible assets.</w:t>
      </w:r>
    </w:p>
    <w:p>
      <w:pPr>
        <w:spacing w:after="0" w:line="208" w:lineRule="exact"/>
        <w:rPr>
          <w:sz w:val="20"/>
          <w:szCs w:val="20"/>
          <w:color w:val="auto"/>
        </w:rPr>
      </w:pPr>
    </w:p>
    <w:p>
      <w:pPr>
        <w:jc w:val="both"/>
        <w:ind w:left="4"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the Company and its Subsidiaries calculated in accordance with GAAP on a consolidated basis as of such date.</w:t>
      </w:r>
    </w:p>
    <w:p>
      <w:pPr>
        <w:spacing w:after="0" w:line="187" w:lineRule="exact"/>
        <w:rPr>
          <w:sz w:val="20"/>
          <w:szCs w:val="20"/>
          <w:color w:val="auto"/>
        </w:rPr>
      </w:pPr>
    </w:p>
    <w:p>
      <w:pPr>
        <w:jc w:val="both"/>
        <w:ind w:left="4" w:right="25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at any time the aggregate Indebtedness of the Company and its Subsidiaries calculated on a consolidated basis as of such time in accordance with GAAP.</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023"/>
          </w:cols>
          <w:pgMar w:left="436" w:top="1413" w:right="1440" w:bottom="1440" w:gutter="0" w:footer="0" w:header="0"/>
        </w:sectPr>
      </w:pPr>
    </w:p>
    <w:bookmarkStart w:id="54" w:name="page55"/>
    <w:bookmarkEnd w:id="54"/>
    <w:p>
      <w:pPr>
        <w:jc w:val="both"/>
        <w:ind w:right="21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204" w:lineRule="exact"/>
        <w:rPr>
          <w:sz w:val="20"/>
          <w:szCs w:val="20"/>
          <w:color w:val="auto"/>
        </w:rPr>
      </w:pPr>
    </w:p>
    <w:p>
      <w:pPr>
        <w:jc w:val="both"/>
        <w:ind w:right="259" w:firstLine="1295"/>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0000FF"/>
        </w:rPr>
        <w:t>“CORRA” means the Canadian Overnight Repo Rate Average administered and published by the Bank of Canada (or any successor administrator).</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u w:val="single" w:color="auto"/>
          <w:color w:val="0000FF"/>
        </w:rPr>
        <w:t>“CORRA Administrator” means the Bank of Canada (or any successor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administrator).</w:t>
      </w: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u w:val="single" w:color="auto"/>
          <w:color w:val="0000FF"/>
        </w:rPr>
        <w:t>“CORRA Determination Date” has the meaning specified in the definition of “Daily Simple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CORRA”.</w:t>
      </w:r>
    </w:p>
    <w:p>
      <w:pPr>
        <w:spacing w:after="0" w:line="30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u w:val="single" w:color="auto"/>
          <w:color w:val="0000FF"/>
        </w:rPr>
        <w:t>“CORRA Rate Day” has the meaning specified in the definition of “Daily Simple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CORRA”.</w:t>
      </w:r>
    </w:p>
    <w:p>
      <w:pPr>
        <w:spacing w:after="0" w:line="308" w:lineRule="exact"/>
        <w:rPr>
          <w:sz w:val="20"/>
          <w:szCs w:val="20"/>
          <w:color w:val="auto"/>
        </w:rPr>
      </w:pPr>
    </w:p>
    <w:p>
      <w:pPr>
        <w:jc w:val="both"/>
        <w:ind w:right="259"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02"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w:t>
      </w:r>
      <w:r>
        <w:rPr>
          <w:rFonts w:ascii="Times New Roman" w:cs="Times New Roman" w:eastAsia="Times New Roman" w:hAnsi="Times New Roman"/>
          <w:sz w:val="20"/>
          <w:szCs w:val="20"/>
          <w:color w:val="auto"/>
        </w:rPr>
        <w:t>” means each of U.S. Bank National Association, BNP Paribas, National Westminster Bank Plc and Commerzbank AG, New York Branch in its capacity as co-documentation agent for the credit facility evidenced by this Agreement.</w:t>
      </w:r>
    </w:p>
    <w:p>
      <w:pPr>
        <w:spacing w:after="0" w:line="208" w:lineRule="exact"/>
        <w:rPr>
          <w:sz w:val="20"/>
          <w:szCs w:val="20"/>
          <w:color w:val="auto"/>
        </w:rPr>
      </w:pPr>
    </w:p>
    <w:p>
      <w:pPr>
        <w:jc w:val="both"/>
        <w:ind w:right="239"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Co-Syndication Agent</w:t>
      </w:r>
      <w:r>
        <w:rPr>
          <w:rFonts w:ascii="Times New Roman" w:cs="Times New Roman" w:eastAsia="Times New Roman" w:hAnsi="Times New Roman"/>
          <w:sz w:val="20"/>
          <w:szCs w:val="20"/>
          <w:color w:val="auto"/>
        </w:rPr>
        <w:t>” means each of Bank of America, N.A., PNC Bank, National Association, Truist Bank and Wells Fargo Bank, National Association in its capacity as co-syndication agent for the credit facility evidenced by this Agreement.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56" w:lineRule="exact"/>
        <w:rPr>
          <w:sz w:val="20"/>
          <w:szCs w:val="20"/>
          <w:color w:val="auto"/>
        </w:rPr>
      </w:pPr>
    </w:p>
    <w:p>
      <w:pPr>
        <w:ind w:left="1820" w:hanging="528"/>
        <w:spacing w:after="0"/>
        <w:tabs>
          <w:tab w:leader="none" w:pos="18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w:t>
      </w:r>
    </w:p>
    <w:p>
      <w:pPr>
        <w:spacing w:after="0" w:line="28"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252.82(b);</w:t>
      </w:r>
    </w:p>
    <w:p>
      <w:pPr>
        <w:spacing w:after="0" w:line="227" w:lineRule="exact"/>
        <w:rPr>
          <w:rFonts w:ascii="Times New Roman" w:cs="Times New Roman" w:eastAsia="Times New Roman" w:hAnsi="Times New Roman"/>
          <w:sz w:val="20"/>
          <w:szCs w:val="20"/>
          <w:color w:val="auto"/>
        </w:rPr>
      </w:pPr>
    </w:p>
    <w:p>
      <w:pPr>
        <w:ind w:left="1840" w:hanging="548"/>
        <w:spacing w:after="0"/>
        <w:tabs>
          <w:tab w:leader="none" w:pos="18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 47.3(b);</w:t>
      </w:r>
    </w:p>
    <w:p>
      <w:pPr>
        <w:spacing w:after="0" w:line="39"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w:t>
      </w:r>
    </w:p>
    <w:p>
      <w:pPr>
        <w:spacing w:after="0" w:line="240" w:lineRule="exact"/>
        <w:rPr>
          <w:rFonts w:ascii="Times New Roman" w:cs="Times New Roman" w:eastAsia="Times New Roman" w:hAnsi="Times New Roman"/>
          <w:sz w:val="19"/>
          <w:szCs w:val="19"/>
          <w:color w:val="auto"/>
        </w:rPr>
      </w:pPr>
    </w:p>
    <w:p>
      <w:pPr>
        <w:ind w:left="1940" w:hanging="649"/>
        <w:spacing w:after="0"/>
        <w:tabs>
          <w:tab w:leader="none" w:pos="19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C.F.R. § 382.2(b).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it in Section 9.19.</w:t>
      </w:r>
    </w:p>
    <w:p>
      <w:pPr>
        <w:spacing w:after="0" w:line="256" w:lineRule="exact"/>
        <w:rPr>
          <w:sz w:val="20"/>
          <w:szCs w:val="20"/>
          <w:color w:val="auto"/>
        </w:rPr>
      </w:pPr>
    </w:p>
    <w:p>
      <w:pPr>
        <w:ind w:right="19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CPS</w:t>
      </w:r>
      <w:r>
        <w:rPr>
          <w:rFonts w:ascii="Times New Roman" w:cs="Times New Roman" w:eastAsia="Times New Roman" w:hAnsi="Times New Roman"/>
          <w:sz w:val="20"/>
          <w:szCs w:val="20"/>
          <w:color w:val="auto"/>
        </w:rPr>
        <w:t>” means the Crown Prosecution Service of the United Kingdom (or any successor or replacement body from time to time).</w:t>
      </w:r>
    </w:p>
    <w:p>
      <w:pPr>
        <w:spacing w:after="0" w:line="187" w:lineRule="exact"/>
        <w:rPr>
          <w:sz w:val="20"/>
          <w:szCs w:val="20"/>
          <w:color w:val="auto"/>
        </w:rPr>
      </w:pPr>
    </w:p>
    <w:p>
      <w:pPr>
        <w:ind w:right="4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a Borrowing, the issuance, amendment, renewal or extension of a Letter of Credit, an LC Disbursement or any of the foregoing.</w:t>
      </w:r>
    </w:p>
    <w:p>
      <w:pPr>
        <w:spacing w:after="0" w:line="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any Issuing Bank or any other Lender. “</w:t>
      </w:r>
      <w:r>
        <w:rPr>
          <w:rFonts w:ascii="Times New Roman" w:cs="Times New Roman" w:eastAsia="Times New Roman" w:hAnsi="Times New Roman"/>
          <w:sz w:val="20"/>
          <w:szCs w:val="20"/>
          <w:u w:val="single" w:color="auto"/>
          <w:color w:val="auto"/>
        </w:rPr>
        <w:t>Criminal Pension</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Power</w:t>
      </w:r>
      <w:r>
        <w:rPr>
          <w:rFonts w:ascii="Times New Roman" w:cs="Times New Roman" w:eastAsia="Times New Roman" w:hAnsi="Times New Roman"/>
          <w:sz w:val="20"/>
          <w:szCs w:val="20"/>
          <w:color w:val="auto"/>
        </w:rPr>
        <w:t>” means any action taken under, pursuant to or in connection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section 58A, section 58B, section 58C or section 58D of the United Kingdom Pensions Act 2004.</w:t>
      </w:r>
    </w:p>
    <w:p>
      <w:pPr>
        <w:sectPr>
          <w:pgSz w:w="11900" w:h="16838" w:orient="portrait"/>
          <w:cols w:equalWidth="0" w:num="1">
            <w:col w:w="10019"/>
          </w:cols>
          <w:pgMar w:left="440" w:top="1413" w:right="1440" w:bottom="1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019"/>
          </w:cols>
          <w:pgMar w:left="440" w:top="1413" w:right="1440" w:bottom="1117" w:gutter="0" w:footer="0" w:header="0"/>
          <w:type w:val="continuous"/>
        </w:sectPr>
      </w:pPr>
    </w:p>
    <w:bookmarkStart w:id="55" w:name="page56"/>
    <w:bookmarkEnd w:id="55"/>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CTA</w:t>
      </w:r>
      <w:r>
        <w:rPr>
          <w:rFonts w:ascii="Times New Roman" w:cs="Times New Roman" w:eastAsia="Times New Roman" w:hAnsi="Times New Roman"/>
          <w:sz w:val="20"/>
          <w:szCs w:val="20"/>
          <w:color w:val="auto"/>
        </w:rPr>
        <w:t>” means the United Kingdom Corporation Tax Act 2009.</w:t>
      </w:r>
    </w:p>
    <w:p>
      <w:pPr>
        <w:spacing w:after="0" w:line="252" w:lineRule="exact"/>
        <w:rPr>
          <w:sz w:val="20"/>
          <w:szCs w:val="20"/>
          <w:color w:val="auto"/>
        </w:rPr>
      </w:pPr>
    </w:p>
    <w:p>
      <w:pPr>
        <w:jc w:val="both"/>
        <w:ind w:right="219" w:firstLine="1296"/>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0000FF"/>
        </w:rPr>
        <w:t>“Daily Simple CORRA” means, for any day (a “CORRA Rate Day”), a rate per annum equal to CORRA for the day (such day, the “CORRA Determination Date”)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Company.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RFR Business Days prior to such CORRA Determination Date.</w:t>
      </w:r>
    </w:p>
    <w:p>
      <w:pPr>
        <w:spacing w:after="0" w:line="248" w:lineRule="exact"/>
        <w:rPr>
          <w:sz w:val="20"/>
          <w:szCs w:val="20"/>
          <w:color w:val="auto"/>
        </w:rPr>
      </w:pPr>
    </w:p>
    <w:p>
      <w:pPr>
        <w:jc w:val="both"/>
        <w:ind w:right="239" w:firstLine="1296"/>
        <w:spacing w:after="0" w:line="24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Daily Simple RFR</w:t>
      </w:r>
      <w:r>
        <w:rPr>
          <w:rFonts w:ascii="Cambria" w:cs="Cambria" w:eastAsia="Cambria" w:hAnsi="Cambria"/>
          <w:sz w:val="20"/>
          <w:szCs w:val="20"/>
          <w:b w:val="1"/>
          <w:bCs w:val="1"/>
          <w:color w:val="auto"/>
        </w:rPr>
        <w:t>” means, for any day (an “</w:t>
      </w:r>
      <w:r>
        <w:rPr>
          <w:rFonts w:ascii="Cambria" w:cs="Cambria" w:eastAsia="Cambria" w:hAnsi="Cambria"/>
          <w:sz w:val="20"/>
          <w:szCs w:val="20"/>
          <w:b w:val="1"/>
          <w:bCs w:val="1"/>
          <w:u w:val="single" w:color="auto"/>
          <w:color w:val="auto"/>
        </w:rPr>
        <w:t>RFR Interest Day</w:t>
      </w:r>
      <w:r>
        <w:rPr>
          <w:rFonts w:ascii="Cambria" w:cs="Cambria" w:eastAsia="Cambria" w:hAnsi="Cambria"/>
          <w:sz w:val="20"/>
          <w:szCs w:val="20"/>
          <w:b w:val="1"/>
          <w:bCs w:val="1"/>
          <w:color w:val="auto"/>
        </w:rPr>
        <w:t>”), an interest rate per annum equal to, for any RFR Loan denominated in (i) Pounds Sterling, SONIA for the day that is five</w:t>
      </w:r>
    </w:p>
    <w:p>
      <w:pPr>
        <w:spacing w:after="0" w:line="2" w:lineRule="exact"/>
        <w:rPr>
          <w:sz w:val="20"/>
          <w:szCs w:val="20"/>
          <w:color w:val="auto"/>
        </w:rPr>
      </w:pPr>
    </w:p>
    <w:p>
      <w:pPr>
        <w:jc w:val="both"/>
        <w:ind w:right="239" w:firstLine="36"/>
        <w:spacing w:after="0" w:line="245" w:lineRule="auto"/>
        <w:tabs>
          <w:tab w:leader="none" w:pos="372" w:val="left"/>
        </w:tabs>
        <w:numPr>
          <w:ilvl w:val="0"/>
          <w:numId w:val="3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RFR Business Days prior to (A) if such RFR Interest Day is an RFR Business Day, such RFR Interest Day or (B) if such RFR Interest Day is not an RFR Business Day, the RFR Business Day immediately preceding such RFR Interest Day, (ii) Swiss Francs, SARON for the day that is five (5) RFR Business Days prior to (A) if such RFR Interest Day is an RFR Business Day, such RFR Interest Day or (B) if such RFR Interest Day is not an RFR Business Day, the RFR Business Day immediately preceding such RFR Interest Day, </w:t>
      </w:r>
      <w:r>
        <w:rPr>
          <w:rFonts w:ascii="Cambria" w:cs="Cambria" w:eastAsia="Cambria" w:hAnsi="Cambria"/>
          <w:sz w:val="20"/>
          <w:szCs w:val="20"/>
          <w:b w:val="1"/>
          <w:bCs w:val="1"/>
          <w:color w:val="FF0000"/>
          <w:strike w:val="1"/>
        </w:rPr>
        <w:t>and</w:t>
      </w:r>
      <w:r>
        <w:rPr>
          <w:rFonts w:ascii="Cambria" w:cs="Cambria" w:eastAsia="Cambria" w:hAnsi="Cambria"/>
          <w:sz w:val="20"/>
          <w:szCs w:val="20"/>
          <w:b w:val="1"/>
          <w:bCs w:val="1"/>
          <w:color w:val="auto"/>
        </w:rPr>
        <w:t xml:space="preserve"> (iii) Dollars, Daily Simple SOFR</w:t>
      </w:r>
      <w:r>
        <w:rPr>
          <w:rFonts w:ascii="Cambria" w:cs="Cambria" w:eastAsia="Cambria" w:hAnsi="Cambria"/>
          <w:sz w:val="20"/>
          <w:szCs w:val="20"/>
          <w:b w:val="1"/>
          <w:bCs w:val="1"/>
          <w:color w:val="FF0000"/>
        </w:rPr>
        <w:t>.</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0000FF"/>
        </w:rPr>
        <w:t>(</w:t>
      </w:r>
      <w:r>
        <w:rPr>
          <w:rFonts w:ascii="Times New Roman" w:cs="Times New Roman" w:eastAsia="Times New Roman" w:hAnsi="Times New Roman"/>
          <w:sz w:val="20"/>
          <w:szCs w:val="20"/>
          <w:b w:val="1"/>
          <w:bCs w:val="1"/>
          <w:u w:val="single" w:color="auto"/>
          <w:color w:val="0000FF"/>
        </w:rPr>
        <w:t>following a Benchmark Transition Event and a Benchmark Replacement Date with</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respect to the Term SOFR Rate)</w:t>
      </w:r>
      <w:r>
        <w:rPr>
          <w:rFonts w:ascii="Cambria" w:cs="Cambria" w:eastAsia="Cambria" w:hAnsi="Cambria"/>
          <w:sz w:val="20"/>
          <w:szCs w:val="20"/>
          <w:b w:val="1"/>
          <w:bCs w:val="1"/>
          <w:u w:val="single" w:color="auto"/>
          <w:color w:val="0000FF"/>
        </w:rPr>
        <w:t>, and (iv)</w:t>
      </w:r>
      <w:r>
        <w:rPr>
          <w:rFonts w:ascii="Times New Roman" w:cs="Times New Roman" w:eastAsia="Times New Roman" w:hAnsi="Times New Roman"/>
          <w:sz w:val="20"/>
          <w:szCs w:val="20"/>
          <w:b w:val="1"/>
          <w:bCs w:val="1"/>
          <w:u w:val="single" w:color="auto"/>
          <w:color w:val="0000FF"/>
        </w:rPr>
        <w:t xml:space="preserve"> for any RFR Loan denominated in Canadian Dollars, Daily Simple CORRA (following a Benchmar</w:t>
      </w:r>
      <w:r>
        <w:rPr>
          <w:rFonts w:ascii="Times New Roman" w:cs="Times New Roman" w:eastAsia="Times New Roman" w:hAnsi="Times New Roman"/>
          <w:sz w:val="20"/>
          <w:szCs w:val="20"/>
          <w:b w:val="1"/>
          <w:bCs w:val="1"/>
          <w:color w:val="0000FF"/>
        </w:rPr>
        <w:t xml:space="preserve">k </w:t>
      </w:r>
      <w:r>
        <w:rPr>
          <w:rFonts w:ascii="Times New Roman" w:cs="Times New Roman" w:eastAsia="Times New Roman" w:hAnsi="Times New Roman"/>
          <w:sz w:val="20"/>
          <w:szCs w:val="20"/>
          <w:b w:val="1"/>
          <w:bCs w:val="1"/>
          <w:u w:val="single" w:color="auto"/>
          <w:color w:val="0000FF"/>
        </w:rPr>
        <w:t>Transitio</w:t>
      </w:r>
      <w:r>
        <w:rPr>
          <w:rFonts w:ascii="Times New Roman" w:cs="Times New Roman" w:eastAsia="Times New Roman" w:hAnsi="Times New Roman"/>
          <w:sz w:val="20"/>
          <w:szCs w:val="20"/>
          <w:b w:val="1"/>
          <w:bCs w:val="1"/>
          <w:color w:val="0000FF"/>
        </w:rPr>
        <w:t xml:space="preserve">n </w:t>
      </w:r>
      <w:r>
        <w:rPr>
          <w:rFonts w:ascii="Times New Roman" w:cs="Times New Roman" w:eastAsia="Times New Roman" w:hAnsi="Times New Roman"/>
          <w:sz w:val="20"/>
          <w:szCs w:val="20"/>
          <w:b w:val="1"/>
          <w:bCs w:val="1"/>
          <w:u w:val="single" w:color="auto"/>
          <w:color w:val="0000FF"/>
        </w:rPr>
        <w:t>Even</w:t>
      </w:r>
      <w:r>
        <w:rPr>
          <w:rFonts w:ascii="Times New Roman" w:cs="Times New Roman" w:eastAsia="Times New Roman" w:hAnsi="Times New Roman"/>
          <w:sz w:val="20"/>
          <w:szCs w:val="20"/>
          <w:b w:val="1"/>
          <w:bCs w:val="1"/>
          <w:color w:val="0000FF"/>
        </w:rPr>
        <w:t xml:space="preserve">t </w:t>
      </w:r>
      <w:r>
        <w:rPr>
          <w:rFonts w:ascii="Times New Roman" w:cs="Times New Roman" w:eastAsia="Times New Roman" w:hAnsi="Times New Roman"/>
          <w:sz w:val="20"/>
          <w:szCs w:val="20"/>
          <w:b w:val="1"/>
          <w:bCs w:val="1"/>
          <w:u w:val="single" w:color="auto"/>
          <w:color w:val="0000FF"/>
        </w:rPr>
        <w:t>an</w:t>
      </w:r>
      <w:r>
        <w:rPr>
          <w:rFonts w:ascii="Times New Roman" w:cs="Times New Roman" w:eastAsia="Times New Roman" w:hAnsi="Times New Roman"/>
          <w:sz w:val="20"/>
          <w:szCs w:val="20"/>
          <w:b w:val="1"/>
          <w:bCs w:val="1"/>
          <w:color w:val="0000FF"/>
        </w:rPr>
        <w:t xml:space="preserve">d a </w:t>
      </w:r>
      <w:r>
        <w:rPr>
          <w:rFonts w:ascii="Times New Roman" w:cs="Times New Roman" w:eastAsia="Times New Roman" w:hAnsi="Times New Roman"/>
          <w:sz w:val="20"/>
          <w:szCs w:val="20"/>
          <w:b w:val="1"/>
          <w:bCs w:val="1"/>
          <w:u w:val="single" w:color="auto"/>
          <w:color w:val="0000FF"/>
        </w:rPr>
        <w:t>Benchmar</w:t>
      </w:r>
      <w:r>
        <w:rPr>
          <w:rFonts w:ascii="Times New Roman" w:cs="Times New Roman" w:eastAsia="Times New Roman" w:hAnsi="Times New Roman"/>
          <w:sz w:val="20"/>
          <w:szCs w:val="20"/>
          <w:b w:val="1"/>
          <w:bCs w:val="1"/>
          <w:color w:val="0000FF"/>
        </w:rPr>
        <w:t xml:space="preserve">k </w:t>
      </w:r>
      <w:r>
        <w:rPr>
          <w:rFonts w:ascii="Times New Roman" w:cs="Times New Roman" w:eastAsia="Times New Roman" w:hAnsi="Times New Roman"/>
          <w:sz w:val="20"/>
          <w:szCs w:val="20"/>
          <w:b w:val="1"/>
          <w:bCs w:val="1"/>
          <w:u w:val="single" w:color="auto"/>
          <w:color w:val="0000FF"/>
        </w:rPr>
        <w:t>Replacemen</w:t>
      </w:r>
      <w:r>
        <w:rPr>
          <w:rFonts w:ascii="Times New Roman" w:cs="Times New Roman" w:eastAsia="Times New Roman" w:hAnsi="Times New Roman"/>
          <w:sz w:val="20"/>
          <w:szCs w:val="20"/>
          <w:b w:val="1"/>
          <w:bCs w:val="1"/>
          <w:color w:val="0000FF"/>
        </w:rPr>
        <w:t xml:space="preserve">t </w:t>
      </w:r>
      <w:r>
        <w:rPr>
          <w:rFonts w:ascii="Times New Roman" w:cs="Times New Roman" w:eastAsia="Times New Roman" w:hAnsi="Times New Roman"/>
          <w:sz w:val="20"/>
          <w:szCs w:val="20"/>
          <w:b w:val="1"/>
          <w:bCs w:val="1"/>
          <w:u w:val="single" w:color="auto"/>
          <w:color w:val="0000FF"/>
        </w:rPr>
        <w:t>Dat</w:t>
      </w:r>
      <w:r>
        <w:rPr>
          <w:rFonts w:ascii="Times New Roman" w:cs="Times New Roman" w:eastAsia="Times New Roman" w:hAnsi="Times New Roman"/>
          <w:sz w:val="20"/>
          <w:szCs w:val="20"/>
          <w:b w:val="1"/>
          <w:bCs w:val="1"/>
          <w:color w:val="0000FF"/>
        </w:rPr>
        <w:t xml:space="preserve">e </w:t>
      </w:r>
      <w:r>
        <w:rPr>
          <w:rFonts w:ascii="Times New Roman" w:cs="Times New Roman" w:eastAsia="Times New Roman" w:hAnsi="Times New Roman"/>
          <w:sz w:val="20"/>
          <w:szCs w:val="20"/>
          <w:b w:val="1"/>
          <w:bCs w:val="1"/>
          <w:u w:val="single" w:color="auto"/>
          <w:color w:val="0000FF"/>
        </w:rPr>
        <w:t>wit</w:t>
      </w:r>
      <w:r>
        <w:rPr>
          <w:rFonts w:ascii="Times New Roman" w:cs="Times New Roman" w:eastAsia="Times New Roman" w:hAnsi="Times New Roman"/>
          <w:sz w:val="20"/>
          <w:szCs w:val="20"/>
          <w:b w:val="1"/>
          <w:bCs w:val="1"/>
          <w:color w:val="0000FF"/>
        </w:rPr>
        <w:t xml:space="preserve">h </w:t>
      </w:r>
      <w:r>
        <w:rPr>
          <w:rFonts w:ascii="Times New Roman" w:cs="Times New Roman" w:eastAsia="Times New Roman" w:hAnsi="Times New Roman"/>
          <w:sz w:val="20"/>
          <w:szCs w:val="20"/>
          <w:b w:val="1"/>
          <w:bCs w:val="1"/>
          <w:u w:val="single" w:color="auto"/>
          <w:color w:val="0000FF"/>
        </w:rPr>
        <w:t>respec</w:t>
      </w:r>
      <w:r>
        <w:rPr>
          <w:rFonts w:ascii="Times New Roman" w:cs="Times New Roman" w:eastAsia="Times New Roman" w:hAnsi="Times New Roman"/>
          <w:sz w:val="20"/>
          <w:szCs w:val="20"/>
          <w:b w:val="1"/>
          <w:bCs w:val="1"/>
          <w:color w:val="0000FF"/>
        </w:rPr>
        <w:t xml:space="preserve">t </w:t>
      </w:r>
      <w:r>
        <w:rPr>
          <w:rFonts w:ascii="Times New Roman" w:cs="Times New Roman" w:eastAsia="Times New Roman" w:hAnsi="Times New Roman"/>
          <w:sz w:val="20"/>
          <w:szCs w:val="20"/>
          <w:b w:val="1"/>
          <w:bCs w:val="1"/>
          <w:u w:val="single" w:color="auto"/>
          <w:color w:val="0000FF"/>
        </w:rPr>
        <w:t>t</w:t>
      </w:r>
      <w:r>
        <w:rPr>
          <w:rFonts w:ascii="Times New Roman" w:cs="Times New Roman" w:eastAsia="Times New Roman" w:hAnsi="Times New Roman"/>
          <w:sz w:val="20"/>
          <w:szCs w:val="20"/>
          <w:b w:val="1"/>
          <w:bCs w:val="1"/>
          <w:color w:val="0000FF"/>
        </w:rPr>
        <w:t xml:space="preserve">o </w:t>
      </w:r>
      <w:r>
        <w:rPr>
          <w:rFonts w:ascii="Times New Roman" w:cs="Times New Roman" w:eastAsia="Times New Roman" w:hAnsi="Times New Roman"/>
          <w:sz w:val="20"/>
          <w:szCs w:val="20"/>
          <w:b w:val="1"/>
          <w:bCs w:val="1"/>
          <w:u w:val="single" w:color="auto"/>
          <w:color w:val="0000FF"/>
        </w:rPr>
        <w:t>Ter</w:t>
      </w:r>
      <w:r>
        <w:rPr>
          <w:rFonts w:ascii="Times New Roman" w:cs="Times New Roman" w:eastAsia="Times New Roman" w:hAnsi="Times New Roman"/>
          <w:sz w:val="20"/>
          <w:szCs w:val="20"/>
          <w:b w:val="1"/>
          <w:bCs w:val="1"/>
          <w:color w:val="0000FF"/>
        </w:rPr>
        <w:t>m CORRA)</w:t>
      </w:r>
      <w:r>
        <w:rPr>
          <w:rFonts w:ascii="Cambria" w:cs="Cambria" w:eastAsia="Cambria" w:hAnsi="Cambria"/>
          <w:sz w:val="20"/>
          <w:szCs w:val="20"/>
          <w:b w:val="1"/>
          <w:bCs w:val="1"/>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-1279525</wp:posOffset>
            </wp:positionV>
            <wp:extent cx="25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77"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219" w:lineRule="exact"/>
        <w:rPr>
          <w:sz w:val="20"/>
          <w:szCs w:val="20"/>
          <w:color w:val="auto"/>
        </w:rPr>
      </w:pPr>
    </w:p>
    <w:p>
      <w:pPr>
        <w:jc w:val="both"/>
        <w:ind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213" w:lineRule="exact"/>
        <w:rPr>
          <w:sz w:val="20"/>
          <w:szCs w:val="20"/>
          <w:color w:val="auto"/>
        </w:rPr>
      </w:pPr>
    </w:p>
    <w:p>
      <w:pPr>
        <w:jc w:val="both"/>
        <w:ind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200" w:lineRule="exact"/>
        <w:rPr>
          <w:sz w:val="20"/>
          <w:szCs w:val="20"/>
          <w:color w:val="auto"/>
        </w:rPr>
      </w:pPr>
    </w:p>
    <w:p>
      <w:pPr>
        <w:jc w:val="both"/>
        <w:ind w:right="199"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019"/>
          </w:cols>
          <w:pgMar w:left="440" w:top="1413" w:right="1440" w:bottom="1440" w:gutter="0" w:footer="0" w:header="0"/>
          <w:type w:val="continuous"/>
        </w:sectPr>
      </w:pPr>
    </w:p>
    <w:bookmarkStart w:id="56" w:name="page57"/>
    <w:bookmarkEnd w:id="56"/>
    <w:p>
      <w:pPr>
        <w:jc w:val="both"/>
        <w:ind w:left="4" w:right="199"/>
        <w:spacing w:after="0" w:line="263" w:lineRule="auto"/>
        <w:rPr>
          <w:sz w:val="20"/>
          <w:szCs w:val="20"/>
          <w:color w:val="auto"/>
        </w:rPr>
      </w:pPr>
      <w:r>
        <w:rPr>
          <w:rFonts w:ascii="Times New Roman" w:cs="Times New Roman" w:eastAsia="Times New Roman" w:hAnsi="Times New Roman"/>
          <w:sz w:val="19"/>
          <w:szCs w:val="19"/>
          <w:color w:val="auto"/>
        </w:rPr>
        <w:t>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w:t>
      </w:r>
    </w:p>
    <w:p>
      <w:pPr>
        <w:ind w:left="244" w:hanging="244"/>
        <w:spacing w:after="0"/>
        <w:tabs>
          <w:tab w:leader="none" w:pos="2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Bankruptcy Event or</w:t>
      </w:r>
    </w:p>
    <w:p>
      <w:pPr>
        <w:spacing w:after="0" w:line="6" w:lineRule="exact"/>
        <w:rPr>
          <w:rFonts w:ascii="Times New Roman" w:cs="Times New Roman" w:eastAsia="Times New Roman" w:hAnsi="Times New Roman"/>
          <w:sz w:val="20"/>
          <w:szCs w:val="20"/>
          <w:color w:val="auto"/>
        </w:rPr>
      </w:pPr>
    </w:p>
    <w:p>
      <w:pPr>
        <w:ind w:left="284" w:hanging="284"/>
        <w:spacing w:after="0"/>
        <w:tabs>
          <w:tab w:leader="none" w:pos="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Bail-In Action.</w:t>
      </w:r>
    </w:p>
    <w:p>
      <w:pPr>
        <w:spacing w:after="0" w:line="106" w:lineRule="exact"/>
        <w:rPr>
          <w:sz w:val="20"/>
          <w:szCs w:val="20"/>
          <w:color w:val="auto"/>
        </w:rPr>
      </w:pPr>
    </w:p>
    <w:p>
      <w:pPr>
        <w:ind w:left="4"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Departing Lender</w:t>
      </w:r>
      <w:r>
        <w:rPr>
          <w:rFonts w:ascii="Times New Roman" w:cs="Times New Roman" w:eastAsia="Times New Roman" w:hAnsi="Times New Roman"/>
          <w:sz w:val="20"/>
          <w:szCs w:val="20"/>
          <w:color w:val="auto"/>
        </w:rPr>
        <w:t>” means each lender under the Existing Credit Agreement that executes and delivers to the Administrative Agent a Departing Lender Signature Page.</w:t>
      </w:r>
    </w:p>
    <w:p>
      <w:pPr>
        <w:spacing w:after="0" w:line="65" w:lineRule="exact"/>
        <w:rPr>
          <w:sz w:val="20"/>
          <w:szCs w:val="20"/>
          <w:color w:val="auto"/>
        </w:rPr>
      </w:pPr>
    </w:p>
    <w:p>
      <w:pPr>
        <w:jc w:val="both"/>
        <w:ind w:left="4" w:right="21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Departing Lender Signature Page</w:t>
      </w:r>
      <w:r>
        <w:rPr>
          <w:rFonts w:ascii="Times New Roman" w:cs="Times New Roman" w:eastAsia="Times New Roman" w:hAnsi="Times New Roman"/>
          <w:sz w:val="20"/>
          <w:szCs w:val="20"/>
          <w:color w:val="auto"/>
        </w:rPr>
        <w:t>” means the signature page to this Agreement on which it is indicated that the Departing Lender executing the same shall cease to be a party to the Existing Credit Agreement on the Restatement Effective Date.</w:t>
      </w:r>
    </w:p>
    <w:p>
      <w:pPr>
        <w:spacing w:after="0" w:line="208"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w:t>
      </w:r>
    </w:p>
    <w:p>
      <w:pPr>
        <w:spacing w:after="0" w:line="283"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division of the assets, liabilities and/or obligations of a Person (the</w:t>
      </w:r>
    </w:p>
    <w:p>
      <w:pPr>
        <w:spacing w:after="0" w:line="243" w:lineRule="exact"/>
        <w:rPr>
          <w:sz w:val="20"/>
          <w:szCs w:val="20"/>
          <w:color w:val="auto"/>
        </w:rPr>
      </w:pPr>
    </w:p>
    <w:p>
      <w:pPr>
        <w:jc w:val="both"/>
        <w:ind w:left="4" w:right="259"/>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52" w:lineRule="exact"/>
        <w:rPr>
          <w:sz w:val="20"/>
          <w:szCs w:val="20"/>
          <w:color w:val="auto"/>
        </w:rPr>
      </w:pPr>
    </w:p>
    <w:p>
      <w:pPr>
        <w:jc w:val="both"/>
        <w:ind w:left="4" w:right="239"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Amount</w:t>
      </w:r>
      <w:r>
        <w:rPr>
          <w:rFonts w:ascii="Times New Roman" w:cs="Times New Roman" w:eastAsia="Times New Roman" w:hAnsi="Times New Roman"/>
          <w:sz w:val="20"/>
          <w:szCs w:val="20"/>
          <w:color w:val="auto"/>
        </w:rPr>
        <w: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93"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108" w:lineRule="exact"/>
        <w:rPr>
          <w:sz w:val="20"/>
          <w:szCs w:val="20"/>
          <w:color w:val="auto"/>
        </w:rPr>
      </w:pPr>
    </w:p>
    <w:p>
      <w:pPr>
        <w:jc w:val="both"/>
        <w:ind w:left="4" w:right="239" w:firstLine="1295"/>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a jurisdiction located in the United States of America.</w:t>
      </w:r>
    </w:p>
    <w:p>
      <w:pPr>
        <w:spacing w:after="0" w:line="38" w:lineRule="exact"/>
        <w:rPr>
          <w:sz w:val="20"/>
          <w:szCs w:val="20"/>
          <w:color w:val="auto"/>
        </w:rPr>
      </w:pPr>
    </w:p>
    <w:p>
      <w:pPr>
        <w:jc w:val="both"/>
        <w:ind w:left="4"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023"/>
          </w:cols>
          <w:pgMar w:left="436" w:top="1413" w:right="1440" w:bottom="1440" w:gutter="0" w:footer="0" w:header="0"/>
        </w:sectPr>
      </w:pPr>
    </w:p>
    <w:bookmarkStart w:id="57" w:name="page58"/>
    <w:bookmarkEnd w:id="57"/>
    <w:p>
      <w:pPr>
        <w:ind w:right="1259"/>
        <w:spacing w:after="0" w:line="283" w:lineRule="auto"/>
        <w:rPr>
          <w:sz w:val="20"/>
          <w:szCs w:val="20"/>
          <w:color w:val="auto"/>
        </w:rPr>
      </w:pPr>
      <w:r>
        <w:rPr>
          <w:rFonts w:ascii="Times New Roman" w:cs="Times New Roman" w:eastAsia="Times New Roman" w:hAnsi="Times New Roman"/>
          <w:sz w:val="20"/>
          <w:szCs w:val="20"/>
          <w:color w:val="auto"/>
        </w:rPr>
        <w:t>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Norway.</w:t>
      </w:r>
    </w:p>
    <w:p>
      <w:pPr>
        <w:spacing w:after="0" w:line="248" w:lineRule="exact"/>
        <w:rPr>
          <w:sz w:val="20"/>
          <w:szCs w:val="20"/>
          <w:color w:val="auto"/>
        </w:rPr>
      </w:pPr>
    </w:p>
    <w:p>
      <w:pPr>
        <w:jc w:val="both"/>
        <w:ind w:right="25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8" w:lineRule="exact"/>
        <w:rPr>
          <w:sz w:val="20"/>
          <w:szCs w:val="20"/>
          <w:color w:val="auto"/>
        </w:rPr>
      </w:pPr>
    </w:p>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87" w:lineRule="exact"/>
        <w:rPr>
          <w:sz w:val="20"/>
          <w:szCs w:val="20"/>
          <w:color w:val="auto"/>
        </w:rPr>
      </w:pPr>
    </w:p>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Foreign Subsidiary</w:t>
      </w:r>
      <w:r>
        <w:rPr>
          <w:rFonts w:ascii="Times New Roman" w:cs="Times New Roman" w:eastAsia="Times New Roman" w:hAnsi="Times New Roman"/>
          <w:sz w:val="20"/>
          <w:szCs w:val="20"/>
          <w:color w:val="auto"/>
        </w:rPr>
        <w:t>” means any Foreign Subsidiary that is approved from time to time by the Administrative Agent and each of the Lenders.</w:t>
      </w:r>
    </w:p>
    <w:p>
      <w:pPr>
        <w:spacing w:after="0" w:line="187" w:lineRule="exact"/>
        <w:rPr>
          <w:sz w:val="20"/>
          <w:szCs w:val="20"/>
          <w:color w:val="auto"/>
        </w:rPr>
      </w:pPr>
    </w:p>
    <w:p>
      <w:pPr>
        <w:jc w:val="both"/>
        <w:ind w:right="19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w:t>
      </w:r>
    </w:p>
    <w:p>
      <w:pPr>
        <w:spacing w:after="0" w:line="213" w:lineRule="exact"/>
        <w:rPr>
          <w:sz w:val="20"/>
          <w:szCs w:val="20"/>
          <w:color w:val="auto"/>
        </w:rPr>
      </w:pPr>
    </w:p>
    <w:p>
      <w:pPr>
        <w:jc w:val="both"/>
        <w:ind w:right="19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19" w:lineRule="exact"/>
        <w:rPr>
          <w:sz w:val="20"/>
          <w:szCs w:val="20"/>
          <w:color w:val="auto"/>
        </w:rPr>
      </w:pPr>
    </w:p>
    <w:p>
      <w:pPr>
        <w:jc w:val="both"/>
        <w:ind w:right="239" w:firstLine="1295"/>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56" w:lineRule="exact"/>
        <w:rPr>
          <w:sz w:val="20"/>
          <w:szCs w:val="20"/>
          <w:color w:val="auto"/>
        </w:rPr>
      </w:pPr>
    </w:p>
    <w:p>
      <w:pPr>
        <w:jc w:val="both"/>
        <w:ind w:right="239"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202"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019"/>
          </w:cols>
          <w:pgMar w:left="440" w:top="1413" w:right="1440" w:bottom="1440" w:gutter="0" w:footer="0" w:header="0"/>
        </w:sectPr>
      </w:pPr>
    </w:p>
    <w:bookmarkStart w:id="58" w:name="page59"/>
    <w:bookmarkEnd w:id="58"/>
    <w:p>
      <w:pPr>
        <w:ind w:left="5"/>
        <w:spacing w:after="0"/>
        <w:rPr>
          <w:sz w:val="20"/>
          <w:szCs w:val="20"/>
          <w:color w:val="auto"/>
        </w:rPr>
      </w:pPr>
      <w:r>
        <w:rPr>
          <w:rFonts w:ascii="Times New Roman" w:cs="Times New Roman" w:eastAsia="Times New Roman" w:hAnsi="Times New Roman"/>
          <w:sz w:val="20"/>
          <w:szCs w:val="20"/>
          <w:color w:val="auto"/>
        </w:rPr>
        <w:t>relating to an intention to terminate any Plan or Plans or to appoint a trustee to administer any Plan;</w:t>
      </w:r>
    </w:p>
    <w:p>
      <w:pPr>
        <w:spacing w:after="0" w:line="121" w:lineRule="exact"/>
        <w:rPr>
          <w:sz w:val="20"/>
          <w:szCs w:val="20"/>
          <w:color w:val="auto"/>
        </w:rPr>
      </w:pPr>
    </w:p>
    <w:p>
      <w:pPr>
        <w:jc w:val="both"/>
        <w:ind w:left="5" w:right="239" w:hanging="5"/>
        <w:spacing w:after="0" w:line="253" w:lineRule="auto"/>
        <w:tabs>
          <w:tab w:leader="none" w:pos="5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71" w:lineRule="exact"/>
        <w:rPr>
          <w:sz w:val="20"/>
          <w:szCs w:val="20"/>
          <w:color w:val="auto"/>
        </w:rPr>
      </w:pPr>
    </w:p>
    <w:p>
      <w:pPr>
        <w:ind w:left="5"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Establishment</w:t>
      </w:r>
      <w:r>
        <w:rPr>
          <w:rFonts w:ascii="Times New Roman" w:cs="Times New Roman" w:eastAsia="Times New Roman" w:hAnsi="Times New Roman"/>
          <w:sz w:val="20"/>
          <w:szCs w:val="20"/>
          <w:color w:val="auto"/>
        </w:rPr>
        <w:t>” means, in respect of any Person, any place of operations where such Person carries out a non-transitory economic activity with human means and goods, assets or services.</w:t>
      </w:r>
    </w:p>
    <w:p>
      <w:pPr>
        <w:spacing w:after="0" w:line="38"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w:t>
      </w:r>
      <w:r>
        <w:rPr>
          <w:rFonts w:ascii="Times New Roman" w:cs="Times New Roman" w:eastAsia="Times New Roman" w:hAnsi="Times New Roman"/>
          <w:sz w:val="20"/>
          <w:szCs w:val="20"/>
          <w:color w:val="auto"/>
        </w:rPr>
        <w:t>” means the European Union.</w:t>
      </w:r>
    </w:p>
    <w:p>
      <w:pPr>
        <w:spacing w:after="0" w:line="121" w:lineRule="exact"/>
        <w:rPr>
          <w:sz w:val="20"/>
          <w:szCs w:val="20"/>
          <w:color w:val="auto"/>
        </w:rPr>
      </w:pPr>
    </w:p>
    <w:p>
      <w:pPr>
        <w:ind w:left="5" w:right="239" w:firstLine="1295"/>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38" w:lineRule="exact"/>
        <w:rPr>
          <w:sz w:val="20"/>
          <w:szCs w:val="20"/>
          <w:color w:val="auto"/>
        </w:rPr>
      </w:pPr>
    </w:p>
    <w:p>
      <w:pPr>
        <w:jc w:val="both"/>
        <w:ind w:left="5" w:right="219"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 Rate</w:t>
      </w:r>
      <w:r>
        <w:rPr>
          <w:rFonts w:ascii="Times New Roman" w:cs="Times New Roman" w:eastAsia="Times New Roman" w:hAnsi="Times New Roman"/>
          <w:sz w:val="19"/>
          <w:szCs w:val="19"/>
          <w:color w:val="auto"/>
        </w:rPr>
        <w:t>” means, with respect to any Term Benchmark Borrowing denominated in euro and for any Interest Period, the EURIBO Screen Rate, two (2) TARGET Days prior to the commencement of such Interest Period.</w:t>
      </w:r>
    </w:p>
    <w:p>
      <w:pPr>
        <w:spacing w:after="0" w:line="30"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 Screen Rate</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means the euro interbank offered rate administered by the European</w:t>
      </w:r>
    </w:p>
    <w:p>
      <w:pPr>
        <w:spacing w:after="0" w:line="32" w:lineRule="exact"/>
        <w:rPr>
          <w:sz w:val="20"/>
          <w:szCs w:val="20"/>
          <w:color w:val="auto"/>
        </w:rPr>
      </w:pPr>
    </w:p>
    <w:p>
      <w:pPr>
        <w:jc w:val="both"/>
        <w:ind w:left="5" w:right="219"/>
        <w:spacing w:after="0" w:line="244" w:lineRule="auto"/>
        <w:rPr>
          <w:sz w:val="20"/>
          <w:szCs w:val="20"/>
          <w:color w:val="auto"/>
        </w:rPr>
      </w:pPr>
      <w:r>
        <w:rPr>
          <w:rFonts w:ascii="Cambria" w:cs="Cambria" w:eastAsia="Cambria" w:hAnsi="Cambria"/>
          <w:sz w:val="20"/>
          <w:szCs w:val="20"/>
          <w:b w:val="1"/>
          <w:bCs w:val="1"/>
          <w:color w:val="auto"/>
        </w:rPr>
        <w:t>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Company</w:t>
      </w:r>
      <w:r>
        <w:rPr>
          <w:rFonts w:ascii="Times New Roman" w:cs="Times New Roman" w:eastAsia="Times New Roman" w:hAnsi="Times New Roman"/>
          <w:sz w:val="20"/>
          <w:szCs w:val="20"/>
          <w:color w:val="auto"/>
        </w:rPr>
        <w:t>.</w:t>
      </w:r>
    </w:p>
    <w:p>
      <w:pPr>
        <w:spacing w:after="0" w:line="94"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means the single currency of the Participating Member States.</w:t>
      </w:r>
    </w:p>
    <w:p>
      <w:pPr>
        <w:spacing w:after="0" w:line="94" w:lineRule="exact"/>
        <w:rPr>
          <w:sz w:val="20"/>
          <w:szCs w:val="20"/>
          <w:color w:val="auto"/>
        </w:rPr>
      </w:pPr>
    </w:p>
    <w:p>
      <w:pPr>
        <w:ind w:left="126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Holdings</w:t>
      </w:r>
      <w:r>
        <w:rPr>
          <w:rFonts w:ascii="Times New Roman" w:cs="Times New Roman" w:eastAsia="Times New Roman" w:hAnsi="Times New Roman"/>
          <w:sz w:val="20"/>
          <w:szCs w:val="20"/>
          <w:color w:val="auto"/>
        </w:rPr>
        <w:t>” has the meaning assigned to such term in the definition of Foreign Subsidiary Borrower.</w:t>
      </w:r>
    </w:p>
    <w:p>
      <w:pPr>
        <w:spacing w:after="0" w:line="94"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Article VII.</w:t>
      </w:r>
    </w:p>
    <w:p>
      <w:pPr>
        <w:spacing w:after="0" w:line="121" w:lineRule="exact"/>
        <w:rPr>
          <w:sz w:val="20"/>
          <w:szCs w:val="20"/>
          <w:color w:val="auto"/>
        </w:rPr>
      </w:pPr>
    </w:p>
    <w:p>
      <w:pPr>
        <w:jc w:val="both"/>
        <w:ind w:left="5"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60" w:lineRule="exact"/>
        <w:rPr>
          <w:sz w:val="20"/>
          <w:szCs w:val="20"/>
          <w:color w:val="auto"/>
        </w:rPr>
      </w:pPr>
    </w:p>
    <w:p>
      <w:pPr>
        <w:jc w:val="both"/>
        <w:ind w:left="5" w:right="239" w:hanging="5"/>
        <w:spacing w:after="0" w:line="268" w:lineRule="auto"/>
        <w:tabs>
          <w:tab w:leader="none" w:pos="54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w:t>
      </w:r>
    </w:p>
    <w:p>
      <w:pPr>
        <w:spacing w:after="0" w:line="53" w:lineRule="exact"/>
        <w:rPr>
          <w:sz w:val="20"/>
          <w:szCs w:val="20"/>
          <w:color w:val="auto"/>
        </w:rPr>
      </w:pPr>
    </w:p>
    <w:p>
      <w:pPr>
        <w:jc w:val="both"/>
        <w:ind w:left="5" w:right="239"/>
        <w:spacing w:after="0" w:line="253" w:lineRule="auto"/>
        <w:rPr>
          <w:sz w:val="20"/>
          <w:szCs w:val="20"/>
          <w:color w:val="auto"/>
        </w:rPr>
      </w:pPr>
      <w:r>
        <w:rPr>
          <w:rFonts w:ascii="Times New Roman" w:cs="Times New Roman" w:eastAsia="Times New Roman" w:hAnsi="Times New Roman"/>
          <w:sz w:val="20"/>
          <w:szCs w:val="20"/>
          <w:color w:val="auto"/>
        </w:rPr>
        <w:t>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2.20(b))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024"/>
          </w:cols>
          <w:pgMar w:left="435" w:top="1413" w:right="1440" w:bottom="1440" w:gutter="0" w:footer="0" w:header="0"/>
        </w:sectPr>
      </w:pPr>
    </w:p>
    <w:bookmarkStart w:id="59" w:name="page60"/>
    <w:bookmarkEnd w:id="59"/>
    <w:p>
      <w:pPr>
        <w:jc w:val="both"/>
        <w:ind w:right="199"/>
        <w:spacing w:after="0" w:line="250" w:lineRule="auto"/>
        <w:rPr>
          <w:sz w:val="20"/>
          <w:szCs w:val="20"/>
          <w:color w:val="auto"/>
        </w:rPr>
      </w:pPr>
      <w:r>
        <w:rPr>
          <w:rFonts w:ascii="Times New Roman" w:cs="Times New Roman" w:eastAsia="Times New Roman" w:hAnsi="Times New Roman"/>
          <w:sz w:val="20"/>
          <w:szCs w:val="20"/>
          <w:color w:val="auto"/>
        </w:rPr>
        <w:t>before it changed its lending office, (c) Taxes attributable to such Recipient’s failure to comply with Section 2.17(f), (d) any withholding Taxes imposed under FATCA and (e) any Taxes payable under Part XIII of the Tax Act that are imposed on a payment (or deemed payment) by or on account of any obligation of a Loan Party hereunder or under any other Loan Document by reason of a Recipient (i) not dealing at arm’s length (within the meaning of the Tax Act) with the applicable Loan Party at the time of such payment or (ii) being a “specified shareholder” (as defined in subsection 18(5) of the Tax Act) of any Loan Party or not dealing at arm’s length (within the meaning of the Tax Act) with a “specified shareholder” (as defined in subsection 18(5) of the Tax Act) of any Loan Party, except where the non-arm’s length relationship arises or where the Recipient is a “specified shareholder” or does not deal at arm’s length with a “specified shareholder”, solely as a result of such Recipient having become a party to, received or perfected a security interest under, or received or enforced any rights under, this Agreement or any other Loan Document.</w:t>
      </w:r>
    </w:p>
    <w:p>
      <w:pPr>
        <w:spacing w:after="0" w:line="19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such term in the recitals hereto.</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is defined in Section 2.06(a).</w:t>
      </w:r>
    </w:p>
    <w:p>
      <w:pPr>
        <w:spacing w:after="0" w:line="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Loans</w:t>
      </w:r>
      <w:r>
        <w:rPr>
          <w:rFonts w:ascii="Times New Roman" w:cs="Times New Roman" w:eastAsia="Times New Roman" w:hAnsi="Times New Roman"/>
          <w:sz w:val="20"/>
          <w:szCs w:val="20"/>
          <w:color w:val="auto"/>
        </w:rPr>
        <w:t>” has the meaning assigned to such term in Section 2.01.</w:t>
      </w:r>
    </w:p>
    <w:p>
      <w:pPr>
        <w:spacing w:after="0" w:line="108" w:lineRule="exact"/>
        <w:rPr>
          <w:sz w:val="20"/>
          <w:szCs w:val="20"/>
          <w:color w:val="auto"/>
        </w:rPr>
      </w:pPr>
    </w:p>
    <w:p>
      <w:pPr>
        <w:jc w:val="both"/>
        <w:ind w:left="120"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84" w:lineRule="exact"/>
        <w:rPr>
          <w:sz w:val="20"/>
          <w:szCs w:val="20"/>
          <w:color w:val="auto"/>
        </w:rPr>
      </w:pPr>
    </w:p>
    <w:p>
      <w:pPr>
        <w:jc w:val="both"/>
        <w:ind w:left="120" w:right="21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principal accounting officer, treasurer or controller of</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w:t>
      </w:r>
    </w:p>
    <w:p>
      <w:pPr>
        <w:spacing w:after="0" w:line="99" w:lineRule="exact"/>
        <w:rPr>
          <w:sz w:val="20"/>
          <w:szCs w:val="20"/>
          <w:color w:val="auto"/>
        </w:rPr>
      </w:pPr>
    </w:p>
    <w:p>
      <w:pPr>
        <w:jc w:val="both"/>
        <w:ind w:left="120" w:right="21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Financials</w:t>
      </w:r>
      <w:r>
        <w:rPr>
          <w:rFonts w:ascii="Times New Roman" w:cs="Times New Roman" w:eastAsia="Times New Roman" w:hAnsi="Times New Roman"/>
          <w:sz w:val="20"/>
          <w:szCs w:val="20"/>
          <w:color w:val="auto"/>
        </w:rPr>
        <w:t>” means the annual or quarterly financial statements, and accompanying certificates and other documents, of the Company and its Subsidiaries required to be delivered pursuant to Section 5.01(a) or 5.01(b).</w:t>
      </w:r>
    </w:p>
    <w:p>
      <w:pPr>
        <w:spacing w:after="0" w:line="65" w:lineRule="exact"/>
        <w:rPr>
          <w:sz w:val="20"/>
          <w:szCs w:val="20"/>
          <w:color w:val="auto"/>
        </w:rPr>
      </w:pPr>
    </w:p>
    <w:p>
      <w:pPr>
        <w:jc w:val="both"/>
        <w:ind w:left="120" w:right="239"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xml:space="preserve">” means the benchmark rate floor, if any, provided in this Agreement initially (as of the execution of this Agreement, the modification, amendment or renewal of this Agreement or otherwise) with respect to the Adjusted Term SOFR Rate, the Adjusted EURIBO Rate, the Adjusted TIBO Rate, the </w:t>
      </w:r>
      <w:r>
        <w:rPr>
          <w:rFonts w:ascii="Times New Roman" w:cs="Times New Roman" w:eastAsia="Times New Roman" w:hAnsi="Times New Roman"/>
          <w:sz w:val="20"/>
          <w:szCs w:val="20"/>
          <w:b w:val="1"/>
          <w:bCs w:val="1"/>
          <w:color w:val="FF0000"/>
          <w:strike w:val="1"/>
        </w:rPr>
        <w:t>CDOR</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color w:val="auto"/>
        </w:rPr>
        <w:t xml:space="preserve"> Rate, each Adjusted Daily Simple RFR or the Central Bank Rate, as applicable. </w:t>
      </w:r>
      <w:r>
        <w:rPr>
          <w:rFonts w:ascii="Cambria" w:cs="Cambria" w:eastAsia="Cambria" w:hAnsi="Cambria"/>
          <w:sz w:val="20"/>
          <w:szCs w:val="20"/>
          <w:b w:val="1"/>
          <w:bCs w:val="1"/>
          <w:color w:val="auto"/>
        </w:rPr>
        <w:t>For the avoidance of doubt, the initial Floor</w:t>
      </w:r>
    </w:p>
    <w:p>
      <w:pPr>
        <w:spacing w:after="0" w:line="2" w:lineRule="exact"/>
        <w:rPr>
          <w:sz w:val="20"/>
          <w:szCs w:val="20"/>
          <w:color w:val="auto"/>
        </w:rPr>
      </w:pPr>
    </w:p>
    <w:p>
      <w:pPr>
        <w:jc w:val="both"/>
        <w:ind w:left="120" w:right="259"/>
        <w:spacing w:after="0" w:line="235" w:lineRule="auto"/>
        <w:rPr>
          <w:sz w:val="20"/>
          <w:szCs w:val="20"/>
          <w:color w:val="auto"/>
        </w:rPr>
      </w:pPr>
      <w:r>
        <w:rPr>
          <w:rFonts w:ascii="Cambria" w:cs="Cambria" w:eastAsia="Cambria" w:hAnsi="Cambria"/>
          <w:sz w:val="20"/>
          <w:szCs w:val="20"/>
          <w:b w:val="1"/>
          <w:bCs w:val="1"/>
          <w:color w:val="auto"/>
        </w:rPr>
        <w:t xml:space="preserve">for each of the Adjusted Term SOFR Rate, the Adjusted EURIBO Rate, the Adjusted TIBO Rate, the </w:t>
      </w:r>
      <w:r>
        <w:rPr>
          <w:rFonts w:ascii="Cambria" w:cs="Cambria" w:eastAsia="Cambria" w:hAnsi="Cambria"/>
          <w:sz w:val="20"/>
          <w:szCs w:val="20"/>
          <w:b w:val="1"/>
          <w:bCs w:val="1"/>
          <w:color w:val="FF0000"/>
          <w:strike w:val="1"/>
        </w:rPr>
        <w:t>CDOR</w:t>
      </w:r>
      <w:r>
        <w:rPr>
          <w:rFonts w:ascii="Cambria" w:cs="Cambria" w:eastAsia="Cambria" w:hAnsi="Cambria"/>
          <w:sz w:val="20"/>
          <w:szCs w:val="20"/>
          <w:b w:val="1"/>
          <w:bCs w:val="1"/>
          <w:u w:val="single" w:color="auto"/>
          <w:color w:val="0000FF"/>
        </w:rPr>
        <w:t>Adjusted Term CORRA</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Rate, each Adjusted Daily Simple RFR or the Central Bank Rate shall be zero.</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Currencies</w:t>
      </w:r>
      <w:r>
        <w:rPr>
          <w:rFonts w:ascii="Times New Roman" w:cs="Times New Roman" w:eastAsia="Times New Roman" w:hAnsi="Times New Roman"/>
          <w:sz w:val="20"/>
          <w:szCs w:val="20"/>
          <w:color w:val="auto"/>
        </w:rPr>
        <w:t>” means Agreed Currencies other than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139"/>
          </w:cols>
          <w:pgMar w:left="320" w:top="1413" w:right="1440" w:bottom="1440" w:gutter="0" w:footer="0" w:header="0"/>
        </w:sectPr>
      </w:pPr>
    </w:p>
    <w:bookmarkStart w:id="60" w:name="page61"/>
    <w:bookmarkEnd w:id="60"/>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LC Exposure</w:t>
      </w:r>
      <w:r>
        <w:rPr>
          <w:rFonts w:ascii="Times New Roman" w:cs="Times New Roman" w:eastAsia="Times New Roman" w:hAnsi="Times New Roman"/>
          <w:sz w:val="20"/>
          <w:szCs w:val="20"/>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Letter of Credit</w:t>
      </w:r>
      <w:r>
        <w:rPr>
          <w:rFonts w:ascii="Times New Roman" w:cs="Times New Roman" w:eastAsia="Times New Roman" w:hAnsi="Times New Roman"/>
          <w:sz w:val="20"/>
          <w:szCs w:val="20"/>
          <w:color w:val="auto"/>
        </w:rPr>
        <w:t>” means a Letter of Credit denominated in a Foreign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Currency.</w:t>
      </w:r>
    </w:p>
    <w:p>
      <w:pPr>
        <w:spacing w:after="0" w:line="121" w:lineRule="exact"/>
        <w:rPr>
          <w:sz w:val="20"/>
          <w:szCs w:val="20"/>
          <w:color w:val="auto"/>
        </w:rPr>
      </w:pPr>
    </w:p>
    <w:p>
      <w:pPr>
        <w:jc w:val="both"/>
        <w:ind w:right="21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Payment Office</w:t>
      </w:r>
      <w:r>
        <w:rPr>
          <w:rFonts w:ascii="Times New Roman" w:cs="Times New Roman" w:eastAsia="Times New Roman" w:hAnsi="Times New Roman"/>
          <w:sz w:val="20"/>
          <w:szCs w:val="20"/>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Sublimit</w:t>
      </w:r>
      <w:r>
        <w:rPr>
          <w:rFonts w:ascii="Times New Roman" w:cs="Times New Roman" w:eastAsia="Times New Roman" w:hAnsi="Times New Roman"/>
          <w:sz w:val="20"/>
          <w:szCs w:val="20"/>
          <w:color w:val="auto"/>
        </w:rPr>
        <w:t>” means $1,250,000,000.</w:t>
      </w:r>
    </w:p>
    <w:p>
      <w:pPr>
        <w:spacing w:after="0" w:line="121"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 “</w:t>
      </w:r>
      <w:r>
        <w:rPr>
          <w:rFonts w:ascii="Times New Roman" w:cs="Times New Roman" w:eastAsia="Times New Roman" w:hAnsi="Times New Roman"/>
          <w:sz w:val="20"/>
          <w:szCs w:val="20"/>
          <w:u w:val="single" w:color="auto"/>
          <w:color w:val="auto"/>
        </w:rPr>
        <w:t>Foreign Subsidiary</w:t>
      </w:r>
    </w:p>
    <w:p>
      <w:pPr>
        <w:spacing w:after="0" w:line="2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(i) Ametek European Holdings Limited, an entity</w:t>
      </w:r>
    </w:p>
    <w:p>
      <w:pPr>
        <w:spacing w:after="0" w:line="243" w:lineRule="exact"/>
        <w:rPr>
          <w:sz w:val="20"/>
          <w:szCs w:val="20"/>
          <w:color w:val="auto"/>
        </w:rPr>
      </w:pPr>
    </w:p>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organized under the laws of England and Wales (“</w:t>
      </w:r>
      <w:r>
        <w:rPr>
          <w:rFonts w:ascii="Times New Roman" w:cs="Times New Roman" w:eastAsia="Times New Roman" w:hAnsi="Times New Roman"/>
          <w:sz w:val="20"/>
          <w:szCs w:val="20"/>
          <w:u w:val="single" w:color="auto"/>
          <w:color w:val="auto"/>
        </w:rPr>
        <w:t>Euro Holdings</w:t>
      </w:r>
      <w:r>
        <w:rPr>
          <w:rFonts w:ascii="Times New Roman" w:cs="Times New Roman" w:eastAsia="Times New Roman" w:hAnsi="Times New Roman"/>
          <w:sz w:val="20"/>
          <w:szCs w:val="20"/>
          <w:color w:val="auto"/>
        </w:rPr>
        <w:t>”), (ii) AMETEK Canada Limited Partnership, a limited partnership formed under the laws of the Province of Alberta (“</w:t>
      </w:r>
      <w:r>
        <w:rPr>
          <w:rFonts w:ascii="Times New Roman" w:cs="Times New Roman" w:eastAsia="Times New Roman" w:hAnsi="Times New Roman"/>
          <w:sz w:val="20"/>
          <w:szCs w:val="20"/>
          <w:u w:val="single" w:color="auto"/>
          <w:color w:val="auto"/>
        </w:rPr>
        <w:t>AMETEK Canada</w:t>
      </w:r>
      <w:r>
        <w:rPr>
          <w:rFonts w:ascii="Times New Roman" w:cs="Times New Roman" w:eastAsia="Times New Roman" w:hAnsi="Times New Roman"/>
          <w:sz w:val="20"/>
          <w:szCs w:val="20"/>
          <w:color w:val="auto"/>
        </w:rPr>
        <w:t xml:space="preserve">”), (iii) AMETEK Material Analysis Holdings GmbH, a limited liability company </w:t>
      </w:r>
      <w:r>
        <w:rPr>
          <w:rFonts w:ascii="Times New Roman" w:cs="Times New Roman" w:eastAsia="Times New Roman" w:hAnsi="Times New Roman"/>
          <w:sz w:val="20"/>
          <w:szCs w:val="20"/>
          <w:i w:val="1"/>
          <w:iCs w:val="1"/>
          <w:color w:val="auto"/>
        </w:rPr>
        <w:t>(Gesellschaft mit beschränkter Haftung)</w:t>
      </w:r>
      <w:r>
        <w:rPr>
          <w:rFonts w:ascii="Times New Roman" w:cs="Times New Roman" w:eastAsia="Times New Roman" w:hAnsi="Times New Roman"/>
          <w:sz w:val="20"/>
          <w:szCs w:val="20"/>
          <w:color w:val="auto"/>
        </w:rPr>
        <w:t xml:space="preserve"> incorporated under the laws of Germany (“</w:t>
      </w:r>
      <w:r>
        <w:rPr>
          <w:rFonts w:ascii="Times New Roman" w:cs="Times New Roman" w:eastAsia="Times New Roman" w:hAnsi="Times New Roman"/>
          <w:sz w:val="20"/>
          <w:szCs w:val="20"/>
          <w:u w:val="single" w:color="auto"/>
          <w:color w:val="auto"/>
        </w:rPr>
        <w:t>AMETEK Germany</w:t>
      </w:r>
      <w:r>
        <w:rPr>
          <w:rFonts w:ascii="Times New Roman" w:cs="Times New Roman" w:eastAsia="Times New Roman" w:hAnsi="Times New Roman"/>
          <w:sz w:val="20"/>
          <w:szCs w:val="20"/>
          <w:color w:val="auto"/>
        </w:rPr>
        <w:t>” and, together with Euro Holdings and AMETEK Canada, the “</w:t>
      </w:r>
      <w:r>
        <w:rPr>
          <w:rFonts w:ascii="Times New Roman" w:cs="Times New Roman" w:eastAsia="Times New Roman" w:hAnsi="Times New Roman"/>
          <w:sz w:val="20"/>
          <w:szCs w:val="20"/>
          <w:u w:val="single" w:color="auto"/>
          <w:color w:val="auto"/>
        </w:rPr>
        <w:t>Initial Foreign Subsidiary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(iv) any other Eligible Foreign Subsidiary that becomes a Foreign Subsidiary Borrower pursuant to Section 2.24, in each case, provided that such Foreign Subsidiary Borrower has not ceased to be a Foreign Subsidiary Borrower pursuant to Section 2.24.</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America.</w:t>
      </w:r>
    </w:p>
    <w:p>
      <w:pPr>
        <w:spacing w:after="0" w:line="121"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Borrower</w:t>
      </w:r>
      <w:r>
        <w:rPr>
          <w:rFonts w:ascii="Times New Roman" w:cs="Times New Roman" w:eastAsia="Times New Roman" w:hAnsi="Times New Roman"/>
          <w:sz w:val="20"/>
          <w:szCs w:val="20"/>
          <w:color w:val="auto"/>
        </w:rPr>
        <w:t>” means any Foreign Subsidiary Borrower that qualifies as a resident party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(including its directors, managers, officers, agents and employees).</w:t>
      </w:r>
    </w:p>
    <w:p>
      <w:pPr>
        <w:spacing w:after="0" w:line="73" w:lineRule="exact"/>
        <w:rPr>
          <w:sz w:val="20"/>
          <w:szCs w:val="20"/>
          <w:color w:val="auto"/>
        </w:rPr>
      </w:pPr>
    </w:p>
    <w:p>
      <w:pPr>
        <w:jc w:val="both"/>
        <w:ind w:right="239" w:firstLine="1295"/>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73"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019"/>
          </w:cols>
          <w:pgMar w:left="440" w:top="1413" w:right="1440" w:bottom="1440" w:gutter="0" w:footer="0" w:header="0"/>
        </w:sectPr>
      </w:pPr>
    </w:p>
    <w:bookmarkStart w:id="61" w:name="page62"/>
    <w:bookmarkEnd w:id="61"/>
    <w:p>
      <w:pPr>
        <w:jc w:val="both"/>
        <w:ind w:right="239"/>
        <w:spacing w:after="0" w:line="251" w:lineRule="auto"/>
        <w:rPr>
          <w:sz w:val="20"/>
          <w:szCs w:val="20"/>
          <w:color w:val="auto"/>
        </w:rPr>
      </w:pPr>
      <w:r>
        <w:rPr>
          <w:rFonts w:ascii="Times New Roman" w:cs="Times New Roman" w:eastAsia="Times New Roman" w:hAnsi="Times New Roman"/>
          <w:sz w:val="20"/>
          <w:szCs w:val="20"/>
          <w:color w:val="auto"/>
        </w:rPr>
        <w:t xml:space="preserve">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 “Guarantee” shall not include endorsements for collection or deposit in the ordinary course of business.</w:t>
      </w:r>
    </w:p>
    <w:p>
      <w:pPr>
        <w:spacing w:after="0" w:line="222" w:lineRule="exact"/>
        <w:rPr>
          <w:sz w:val="20"/>
          <w:szCs w:val="20"/>
          <w:color w:val="auto"/>
        </w:rPr>
      </w:pPr>
    </w:p>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3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has the meaning assigned to such term in Section 2.21. “</w:t>
      </w:r>
      <w:r>
        <w:rPr>
          <w:rFonts w:ascii="Times New Roman" w:cs="Times New Roman" w:eastAsia="Times New Roman" w:hAnsi="Times New Roman"/>
          <w:sz w:val="20"/>
          <w:szCs w:val="20"/>
          <w:u w:val="single" w:color="auto"/>
          <w:color w:val="auto"/>
        </w:rPr>
        <w:t>Incremental Term</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has the meaning assigned to such term in Section 2.21.</w:t>
      </w:r>
    </w:p>
    <w:p>
      <w:pPr>
        <w:spacing w:after="0" w:line="10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Amendment</w:t>
      </w:r>
      <w:r>
        <w:rPr>
          <w:rFonts w:ascii="Times New Roman" w:cs="Times New Roman" w:eastAsia="Times New Roman" w:hAnsi="Times New Roman"/>
          <w:sz w:val="20"/>
          <w:szCs w:val="20"/>
          <w:color w:val="auto"/>
        </w:rPr>
        <w:t>” has the meaning assigned to such term in</w:t>
      </w:r>
    </w:p>
    <w:p>
      <w:pPr>
        <w:spacing w:after="0" w:line="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Section 2.21.</w:t>
      </w:r>
    </w:p>
    <w:p>
      <w:pPr>
        <w:spacing w:after="0" w:line="3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money, (b) all obligations of such Person evidenced by bonds, debentures, notes or similar instruments, (c) all obligations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such Person under conditional sale or other title retention agreements relating to property acquired by such Person, (d)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obligations of such Person in respect of the deferred purchase price of property or services which in accordance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would be shown on the liability side of the balance sheet of such Person, (e) all Indebtedness of others secured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for which the holder of such Indebtedness has an existing right, contingent or otherwise, to be secured by) any Lien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owned or acquired by such Person, whether or not the Indebtedness secured thereby has been assumed, (f) all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Guarantees by such Person of Indebtedness of others, (g) all Capital Lease Obligations of such Person, (h) all obligations,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contingent or otherwise, of such Person as an account party in respect of letters of credit and bank guarantees, (i) all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contingent or otherwise, of such Person in respect of bankers’ acceptances, (j) all Attributable Receivables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of such Person, (k) all obligations of such Person under Sale and Leaseback Transactions and (l) all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of such Person to pay a specified purchase price for goods or services whether or not delivered or accepted,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i.e. take-or-pay and similar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shall not include trade payables and accrued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arising in the ordinary course of business. For all purposes of this Agreement, the Indebtedness of any Person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include all Indebtedness of any partnership or joint venture or limited liability company in which such Person is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partner or a joint venturer or a member, but in any such case, only to the extent any such Indebtedness is recourse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such Person.</w:t>
      </w:r>
    </w:p>
    <w:p>
      <w:pPr>
        <w:spacing w:after="0" w:line="234" w:lineRule="exact"/>
        <w:rPr>
          <w:sz w:val="20"/>
          <w:szCs w:val="20"/>
          <w:color w:val="auto"/>
        </w:rPr>
      </w:pPr>
    </w:p>
    <w:p>
      <w:pPr>
        <w:jc w:val="both"/>
        <w:ind w:right="259" w:firstLine="1295"/>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such term in Section 9.03(b).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019"/>
          </w:cols>
          <w:pgMar w:left="440" w:top="1413" w:right="1440" w:bottom="1440" w:gutter="0" w:footer="0" w:header="0"/>
        </w:sectPr>
      </w:pPr>
    </w:p>
    <w:bookmarkStart w:id="62" w:name="page63"/>
    <w:bookmarkEnd w:id="62"/>
    <w:p>
      <w:pPr>
        <w:ind w:left="4"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Index Debt</w:t>
      </w:r>
      <w:r>
        <w:rPr>
          <w:rFonts w:ascii="Times New Roman" w:cs="Times New Roman" w:eastAsia="Times New Roman" w:hAnsi="Times New Roman"/>
          <w:sz w:val="20"/>
          <w:szCs w:val="20"/>
          <w:color w:val="auto"/>
        </w:rPr>
        <w:t>” means senior, unsecured, long-term indebtedness for borrowed money of the Company that is not guaranteed by any other person or entity or subject to any other credit enhancement.</w:t>
      </w:r>
    </w:p>
    <w:p>
      <w:pPr>
        <w:spacing w:after="0" w:line="29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has the meaning assigned to such term in Section 9.12.</w:t>
      </w:r>
    </w:p>
    <w:p>
      <w:pPr>
        <w:spacing w:after="0" w:line="108" w:lineRule="exact"/>
        <w:rPr>
          <w:sz w:val="20"/>
          <w:szCs w:val="20"/>
          <w:color w:val="auto"/>
        </w:rPr>
      </w:pPr>
    </w:p>
    <w:p>
      <w:pPr>
        <w:ind w:left="4"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means the Confidential Information Memorandum dated April 2022 relating to the Company and the Transactions.</w:t>
      </w:r>
    </w:p>
    <w:p>
      <w:pPr>
        <w:spacing w:after="0" w:line="187" w:lineRule="exact"/>
        <w:rPr>
          <w:sz w:val="20"/>
          <w:szCs w:val="20"/>
          <w:color w:val="auto"/>
        </w:rPr>
      </w:pPr>
    </w:p>
    <w:p>
      <w:pPr>
        <w:ind w:left="4"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Foreign Subsidiary Borrower</w:t>
      </w:r>
      <w:r>
        <w:rPr>
          <w:rFonts w:ascii="Times New Roman" w:cs="Times New Roman" w:eastAsia="Times New Roman" w:hAnsi="Times New Roman"/>
          <w:sz w:val="20"/>
          <w:szCs w:val="20"/>
          <w:color w:val="auto"/>
        </w:rPr>
        <w:t>” has the meaning assigned to such term in the definition of Foreign Subsidiary Borrower.</w:t>
      </w:r>
    </w:p>
    <w:p>
      <w:pPr>
        <w:spacing w:after="0" w:line="187" w:lineRule="exact"/>
        <w:rPr>
          <w:sz w:val="20"/>
          <w:szCs w:val="20"/>
          <w:color w:val="auto"/>
        </w:rPr>
      </w:pPr>
    </w:p>
    <w:p>
      <w:pPr>
        <w:jc w:val="both"/>
        <w:ind w:left="4" w:right="21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Loans</w:t>
      </w:r>
      <w:r>
        <w:rPr>
          <w:rFonts w:ascii="Times New Roman" w:cs="Times New Roman" w:eastAsia="Times New Roman" w:hAnsi="Times New Roman"/>
          <w:sz w:val="20"/>
          <w:szCs w:val="20"/>
          <w:color w:val="auto"/>
        </w:rPr>
        <w:t>” means intercompany loans and advances from (a) the Company to its Subsidiaries (other than to the Captive Insurance Subsidiary unless required by applicable law or required to fund its insurance operations), and (b) any Subsidiary to any other Subsidiary (other than the Captive Insurance Subsidiary unless required by applicable law or required to fund its insurance operations) or to the Company.</w:t>
      </w:r>
    </w:p>
    <w:p>
      <w:pPr>
        <w:spacing w:after="0" w:line="213" w:lineRule="exact"/>
        <w:rPr>
          <w:sz w:val="20"/>
          <w:szCs w:val="20"/>
          <w:color w:val="auto"/>
        </w:rPr>
      </w:pPr>
    </w:p>
    <w:p>
      <w:pPr>
        <w:jc w:val="both"/>
        <w:ind w:left="4"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applicable Borrower to convert or continue a Borrowing in accordance with Section 2.08, which shall be substantially in the form attached hereto as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xml:space="preserve"> or any other form approved by the Administrative Agent.</w:t>
      </w:r>
    </w:p>
    <w:p>
      <w:pPr>
        <w:spacing w:after="0" w:line="222" w:lineRule="exact"/>
        <w:rPr>
          <w:sz w:val="20"/>
          <w:szCs w:val="20"/>
          <w:color w:val="auto"/>
        </w:rPr>
      </w:pPr>
    </w:p>
    <w:p>
      <w:pPr>
        <w:jc w:val="both"/>
        <w:ind w:left="4" w:right="219"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and any Loan that bears interest at the Canadian Prime Rate, the last day of each March, June, September and December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209" w:lineRule="exact"/>
        <w:rPr>
          <w:sz w:val="20"/>
          <w:szCs w:val="20"/>
          <w:color w:val="auto"/>
        </w:rPr>
      </w:pPr>
    </w:p>
    <w:p>
      <w:pPr>
        <w:jc w:val="both"/>
        <w:ind w:left="4" w:right="199"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Benchmark Borrowing, the period commencing on the date of such Borrowing and ending on the numerically corresponding day in the calendar month that is one, three or, other than with respect to a </w:t>
      </w:r>
      <w:r>
        <w:rPr>
          <w:rFonts w:ascii="Times New Roman" w:cs="Times New Roman" w:eastAsia="Times New Roman" w:hAnsi="Times New Roman"/>
          <w:sz w:val="20"/>
          <w:szCs w:val="20"/>
          <w:b w:val="1"/>
          <w:bCs w:val="1"/>
          <w:color w:val="FF0000"/>
          <w:strike w:val="1"/>
        </w:rPr>
        <w:t>CDOR Rate</w:t>
      </w:r>
      <w:r>
        <w:rPr>
          <w:rFonts w:ascii="Times New Roman" w:cs="Times New Roman" w:eastAsia="Times New Roman" w:hAnsi="Times New Roman"/>
          <w:sz w:val="20"/>
          <w:szCs w:val="20"/>
          <w:b w:val="1"/>
          <w:bCs w:val="1"/>
          <w:u w:val="single" w:color="auto"/>
          <w:color w:val="0000FF"/>
        </w:rPr>
        <w:t>Term Benchmark</w:t>
      </w:r>
      <w:r>
        <w:rPr>
          <w:rFonts w:ascii="Times New Roman" w:cs="Times New Roman" w:eastAsia="Times New Roman" w:hAnsi="Times New Roman"/>
          <w:sz w:val="20"/>
          <w:szCs w:val="20"/>
          <w:color w:val="auto"/>
        </w:rPr>
        <w:t xml:space="preserve"> Borrowing </w:t>
      </w:r>
      <w:r>
        <w:rPr>
          <w:rFonts w:ascii="Times New Roman" w:cs="Times New Roman" w:eastAsia="Times New Roman" w:hAnsi="Times New Roman"/>
          <w:sz w:val="20"/>
          <w:szCs w:val="20"/>
          <w:b w:val="1"/>
          <w:bCs w:val="1"/>
          <w:u w:val="single" w:color="auto"/>
          <w:color w:val="0000FF"/>
        </w:rPr>
        <w:t>denominated in Canadian Dollars</w:t>
      </w:r>
      <w:r>
        <w:rPr>
          <w:rFonts w:ascii="Times New Roman" w:cs="Times New Roman" w:eastAsia="Times New Roman" w:hAnsi="Times New Roman"/>
          <w:sz w:val="20"/>
          <w:szCs w:val="20"/>
          <w:color w:val="auto"/>
        </w:rPr>
        <w:t xml:space="preserve">, six months thereafter (in each case, subject to the availability for the Benchmark applicable to the relevant Loan or Commitment for any Agreed Currency), as the applicable Borrower (or the Company on behalf of the applicable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2" w:lineRule="exact"/>
        <w:rPr>
          <w:sz w:val="20"/>
          <w:szCs w:val="20"/>
          <w:color w:val="auto"/>
        </w:rPr>
      </w:pPr>
    </w:p>
    <w:p>
      <w:pPr>
        <w:jc w:val="both"/>
        <w:ind w:left="4" w:right="239" w:hanging="4"/>
        <w:spacing w:after="0" w:line="253" w:lineRule="auto"/>
        <w:tabs>
          <w:tab w:leader="none" w:pos="54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023"/>
          </w:cols>
          <w:pgMar w:left="436" w:top="1413" w:right="1440" w:bottom="1440" w:gutter="0" w:footer="0" w:header="0"/>
        </w:sectPr>
      </w:pPr>
    </w:p>
    <w:bookmarkStart w:id="63" w:name="page64"/>
    <w:bookmarkEnd w:id="63"/>
    <w:p>
      <w:pPr>
        <w:ind w:right="379"/>
        <w:spacing w:after="0" w:line="283" w:lineRule="auto"/>
        <w:rPr>
          <w:sz w:val="20"/>
          <w:szCs w:val="20"/>
          <w:color w:val="auto"/>
        </w:rPr>
      </w:pPr>
      <w:r>
        <w:rPr>
          <w:rFonts w:ascii="Times New Roman" w:cs="Times New Roman" w:eastAsia="Times New Roman" w:hAnsi="Times New Roman"/>
          <w:sz w:val="20"/>
          <w:szCs w:val="20"/>
          <w:color w:val="auto"/>
        </w:rPr>
        <w:t>shall be the date on which such Borrowing is made and thereafter shall be the effective date of the most recent conversion or continuation of such Borrowing.</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121" w:lineRule="exact"/>
        <w:rPr>
          <w:sz w:val="20"/>
          <w:szCs w:val="20"/>
          <w:color w:val="auto"/>
        </w:rPr>
      </w:pPr>
    </w:p>
    <w:p>
      <w:pPr>
        <w:jc w:val="both"/>
        <w:ind w:right="239"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JPMorgan Chase Bank, N.A., Bank of America, N.A., PNC Bank, National Association, Truist Bank, Wells Fargo Bank, National Association and each other Lender designated by the Company as an “Issuing Bank” hereunder that has agreed to such designation, each in its capacity as the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w:t>
      </w:r>
      <w:r>
        <w:rPr>
          <w:rFonts w:ascii="Times New Roman" w:cs="Times New Roman" w:eastAsia="Times New Roman" w:hAnsi="Times New Roman"/>
          <w:sz w:val="20"/>
          <w:szCs w:val="20"/>
          <w:color w:val="auto"/>
        </w:rPr>
        <w:t>” means the United Kingdom Income Tax Act 2007. “</w:t>
      </w:r>
      <w:r>
        <w:rPr>
          <w:rFonts w:ascii="Times New Roman" w:cs="Times New Roman" w:eastAsia="Times New Roman" w:hAnsi="Times New Roman"/>
          <w:sz w:val="20"/>
          <w:szCs w:val="20"/>
          <w:u w:val="single" w:color="auto"/>
          <w:color w:val="auto"/>
        </w:rPr>
        <w:t>Japanese Yen</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lawful currency of Japan.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w:t>
      </w:r>
    </w:p>
    <w:p>
      <w:pPr>
        <w:spacing w:after="0" w:line="121" w:lineRule="exact"/>
        <w:rPr>
          <w:sz w:val="20"/>
          <w:szCs w:val="20"/>
          <w:color w:val="auto"/>
        </w:rPr>
      </w:pPr>
    </w:p>
    <w:p>
      <w:pPr>
        <w:ind w:right="239"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relevant Issuing Bank and the Lenders shall have no further obligations to make any payments or disbursements under any circumstances with respect to any Letter of Credit.</w:t>
      </w:r>
    </w:p>
    <w:p>
      <w:pPr>
        <w:spacing w:after="0" w:line="72" w:lineRule="exact"/>
        <w:rPr>
          <w:sz w:val="20"/>
          <w:szCs w:val="20"/>
          <w:color w:val="auto"/>
        </w:rPr>
      </w:pPr>
    </w:p>
    <w:p>
      <w:pPr>
        <w:ind w:right="6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38" w:lineRule="exact"/>
        <w:rPr>
          <w:sz w:val="20"/>
          <w:szCs w:val="20"/>
          <w:color w:val="auto"/>
        </w:rPr>
      </w:pPr>
    </w:p>
    <w:p>
      <w:pPr>
        <w:ind w:right="21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means the Administrative Agent, any Arranger, any Co-Syndication Agent, any Co-Documentation Agent, any Issuing Bank and any Lender, and any Related Party of any of the foregoing Persons.</w:t>
      </w:r>
    </w:p>
    <w:p>
      <w:pPr>
        <w:spacing w:after="0" w:line="52" w:lineRule="exact"/>
        <w:rPr>
          <w:sz w:val="20"/>
          <w:szCs w:val="20"/>
          <w:color w:val="auto"/>
        </w:rPr>
      </w:pPr>
    </w:p>
    <w:p>
      <w:pPr>
        <w:jc w:val="both"/>
        <w:ind w:right="25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and any other Person that shall have become a Lender hereunder pursuant to Section 2.21 or pursuant to an Assignment and Assumption or otherwise, other than any such Person that ceases to be a party hereto pursuant to an Assignment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019"/>
          </w:cols>
          <w:pgMar w:left="440" w:top="1413" w:right="1440" w:bottom="1440" w:gutter="0" w:footer="0" w:header="0"/>
        </w:sectPr>
      </w:pPr>
    </w:p>
    <w:bookmarkStart w:id="64" w:name="page65"/>
    <w:bookmarkEnd w:id="64"/>
    <w:p>
      <w:pPr>
        <w:ind w:left="120" w:right="259"/>
        <w:spacing w:after="0" w:line="283" w:lineRule="auto"/>
        <w:rPr>
          <w:sz w:val="20"/>
          <w:szCs w:val="20"/>
          <w:color w:val="auto"/>
        </w:rPr>
      </w:pPr>
      <w:r>
        <w:rPr>
          <w:rFonts w:ascii="Times New Roman" w:cs="Times New Roman" w:eastAsia="Times New Roman" w:hAnsi="Times New Roman"/>
          <w:sz w:val="20"/>
          <w:szCs w:val="20"/>
          <w:color w:val="auto"/>
        </w:rPr>
        <w:t>Assumption or otherwise. Unless the context otherwise requires, the term “Lenders” includes the Issuing Banks. For the avoidance of doubt, the term “Lenders” excludes the Departing Lenders.</w:t>
      </w:r>
    </w:p>
    <w:p>
      <w:pPr>
        <w:spacing w:after="0" w:line="1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pursuant to this Agreement.</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has the meaning assigned to such term in Section 2.06(b).</w:t>
      </w:r>
    </w:p>
    <w:p>
      <w:pPr>
        <w:spacing w:after="0" w:line="1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means, with respect to each Issuing Bank, the commitment of such Issuing</w:t>
      </w:r>
    </w:p>
    <w:p>
      <w:pPr>
        <w:ind w:right="239"/>
        <w:spacing w:after="0" w:line="204" w:lineRule="auto"/>
        <w:rPr>
          <w:sz w:val="20"/>
          <w:szCs w:val="20"/>
          <w:color w:val="auto"/>
        </w:rPr>
      </w:pPr>
      <w:r>
        <w:rPr>
          <w:rFonts w:ascii="Times New Roman" w:cs="Times New Roman" w:eastAsia="Times New Roman" w:hAnsi="Times New Roman"/>
          <w:sz w:val="20"/>
          <w:szCs w:val="20"/>
          <w:color w:val="auto"/>
        </w:rPr>
        <w:t xml:space="preserve">Bank to issue Letters of Credit hereunder. The initial amount of each Issuing Bank’s Letter of Credit Commitment is set forth on </w:t>
      </w:r>
      <w:r>
        <w:rPr>
          <w:rFonts w:ascii="Times New Roman" w:cs="Times New Roman" w:eastAsia="Times New Roman" w:hAnsi="Times New Roman"/>
          <w:sz w:val="20"/>
          <w:szCs w:val="20"/>
          <w:u w:val="single" w:color="auto"/>
          <w:color w:val="auto"/>
        </w:rPr>
        <w:t>Schedule 2.01B</w:t>
      </w:r>
      <w:r>
        <w:rPr>
          <w:rFonts w:ascii="Times New Roman" w:cs="Times New Roman" w:eastAsia="Times New Roman" w:hAnsi="Times New Roman"/>
          <w:sz w:val="20"/>
          <w:szCs w:val="20"/>
          <w:color w:val="auto"/>
        </w:rPr>
        <w:t>, or if an Issuing Bank has entered into an Assignment and Assumption, the amount set forth for</w:t>
      </w:r>
    </w:p>
    <w:p>
      <w:pPr>
        <w:spacing w:after="0" w:line="223" w:lineRule="auto"/>
        <w:rPr>
          <w:sz w:val="20"/>
          <w:szCs w:val="20"/>
          <w:color w:val="auto"/>
        </w:rPr>
      </w:pPr>
      <w:r>
        <w:rPr>
          <w:rFonts w:ascii="Times New Roman" w:cs="Times New Roman" w:eastAsia="Times New Roman" w:hAnsi="Times New Roman"/>
          <w:sz w:val="19"/>
          <w:szCs w:val="19"/>
          <w:color w:val="auto"/>
        </w:rPr>
        <w:t>such Issuing Bank as its Letter of Credit Commitment in the Register maintained by the Administrative Agent. The Letter of</w:t>
      </w:r>
    </w:p>
    <w:p>
      <w:pPr>
        <w:ind w:right="259"/>
        <w:spacing w:after="0" w:line="221" w:lineRule="auto"/>
        <w:rPr>
          <w:sz w:val="20"/>
          <w:szCs w:val="20"/>
          <w:color w:val="auto"/>
        </w:rPr>
      </w:pPr>
      <w:r>
        <w:rPr>
          <w:rFonts w:ascii="Times New Roman" w:cs="Times New Roman" w:eastAsia="Times New Roman" w:hAnsi="Times New Roman"/>
          <w:sz w:val="20"/>
          <w:szCs w:val="20"/>
          <w:color w:val="auto"/>
        </w:rPr>
        <w:t>Credit Commitment of an Issuing Bank may be modified from time to time by agreement between such Issuing Bank and the Company, and notified to the Administrative Agent.</w:t>
      </w:r>
    </w:p>
    <w:p>
      <w:pPr>
        <w:spacing w:after="0" w:line="67"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kind.</w:t>
      </w:r>
    </w:p>
    <w:p>
      <w:pPr>
        <w:spacing w:after="0" w:line="241" w:lineRule="exact"/>
        <w:rPr>
          <w:sz w:val="20"/>
          <w:szCs w:val="20"/>
          <w:color w:val="auto"/>
        </w:rPr>
      </w:pPr>
    </w:p>
    <w:p>
      <w:pPr>
        <w:jc w:val="both"/>
        <w:ind w:left="120" w:right="19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as of any date of determination, the lesser of (x) $1,250,000,000 and</w:t>
      </w:r>
    </w:p>
    <w:p>
      <w:pPr>
        <w:spacing w:after="0" w:line="22" w:lineRule="exact"/>
        <w:rPr>
          <w:sz w:val="20"/>
          <w:szCs w:val="20"/>
          <w:color w:val="auto"/>
        </w:rPr>
      </w:pPr>
    </w:p>
    <w:p>
      <w:pPr>
        <w:ind w:left="120" w:right="939" w:hanging="5"/>
        <w:spacing w:after="0" w:line="260" w:lineRule="auto"/>
        <w:tabs>
          <w:tab w:leader="none" w:pos="64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unrestricted and unencumbered (subject to Permitted Encumbrances) cash and cash equivalents maintained by the Company and its Subsidiaries as of such date.</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LLC</w:t>
      </w:r>
      <w:r>
        <w:rPr>
          <w:rFonts w:ascii="Times New Roman" w:cs="Times New Roman" w:eastAsia="Times New Roman" w:hAnsi="Times New Roman"/>
          <w:sz w:val="19"/>
          <w:szCs w:val="19"/>
          <w:color w:val="auto"/>
        </w:rPr>
        <w:t>” means any Person that is a limited liability company under the laws of its jurisdiction of formation.</w:t>
      </w:r>
    </w:p>
    <w:p>
      <w:pPr>
        <w:spacing w:after="0" w:line="281" w:lineRule="exact"/>
        <w:rPr>
          <w:sz w:val="20"/>
          <w:szCs w:val="20"/>
          <w:color w:val="auto"/>
        </w:rPr>
      </w:pPr>
    </w:p>
    <w:p>
      <w:pPr>
        <w:jc w:val="both"/>
        <w:ind w:left="120" w:right="239"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any promissory notes issued pursuant to Section 2.10(e) of this Agreement and any Letter of Credit applications, any Letter of Credit Agreement, and any agreements between the Company and an Issuing Bank regarding such Issuing Bank’s Letter of Credit Commitment or the respective rights and obligations between the Company and such Issuing Bank in connection with the issuance of Letters of Credit.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Borrowers.</w:t>
      </w: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made by the Lenders to the Borrowers pursuant to this</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Agreement.</w:t>
      </w:r>
    </w:p>
    <w:p>
      <w:pPr>
        <w:spacing w:after="0" w:line="322" w:lineRule="exact"/>
        <w:rPr>
          <w:sz w:val="20"/>
          <w:szCs w:val="20"/>
          <w:color w:val="auto"/>
        </w:rPr>
      </w:pPr>
    </w:p>
    <w:p>
      <w:pPr>
        <w:jc w:val="both"/>
        <w:ind w:left="120" w:right="239" w:firstLine="1295"/>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Local Time</w:t>
      </w:r>
      <w:r>
        <w:rPr>
          <w:rFonts w:ascii="Times New Roman" w:cs="Times New Roman" w:eastAsia="Times New Roman" w:hAnsi="Times New Roman"/>
          <w:sz w:val="20"/>
          <w:szCs w:val="20"/>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(a) London, England time with respect to any Foreign Currency (other than euro and Canadian Dollars),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139"/>
          </w:cols>
          <w:pgMar w:left="320" w:top="1413" w:right="1440" w:bottom="1440" w:gutter="0" w:footer="0" w:header="0"/>
        </w:sectPr>
      </w:pPr>
    </w:p>
    <w:bookmarkStart w:id="65" w:name="page66"/>
    <w:bookmarkEnd w:id="65"/>
    <w:p>
      <w:pPr>
        <w:jc w:val="both"/>
        <w:ind w:right="239"/>
        <w:spacing w:after="0" w:line="283" w:lineRule="auto"/>
        <w:rPr>
          <w:sz w:val="20"/>
          <w:szCs w:val="20"/>
          <w:color w:val="auto"/>
        </w:rPr>
      </w:pPr>
      <w:r>
        <w:rPr>
          <w:rFonts w:ascii="Times New Roman" w:cs="Times New Roman" w:eastAsia="Times New Roman" w:hAnsi="Times New Roman"/>
          <w:sz w:val="20"/>
          <w:szCs w:val="20"/>
          <w:color w:val="auto"/>
        </w:rPr>
        <w:t>Brussels, Belgium time with respect to euro and (c) Toronto, Canada time with respect to Canadian Dollars, in each case of the foregoing clauses (a), (b) and (c) unless otherwise notified by the Administrative Agent).</w:t>
      </w:r>
    </w:p>
    <w:p>
      <w:pPr>
        <w:spacing w:after="0" w:line="187"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or financial condition of the Company and the Subsidiaries taken as a whole, (b) a material impairment of the ability of the Company and its Subsidiaries to perform under any material Loan Document or (c) a material adverse effect upon the legality, validity, binding effect or enforceability against the Company or any Subsidiary of any material Loan Document.</w:t>
      </w:r>
    </w:p>
    <w:p>
      <w:pPr>
        <w:spacing w:after="0" w:line="219" w:lineRule="exact"/>
        <w:rPr>
          <w:sz w:val="20"/>
          <w:szCs w:val="20"/>
          <w:color w:val="auto"/>
        </w:rPr>
      </w:pPr>
    </w:p>
    <w:p>
      <w:pPr>
        <w:jc w:val="both"/>
        <w:ind w:right="19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Letters of Credit), or obligations in respect of one or more Swap Agreements, of any one or more of the Company and its Subsidiaries in an aggregate principal amount exceeding $100,000,000.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206" w:lineRule="exact"/>
        <w:rPr>
          <w:sz w:val="20"/>
          <w:szCs w:val="20"/>
          <w:color w:val="auto"/>
        </w:rPr>
      </w:pPr>
    </w:p>
    <w:p>
      <w:pPr>
        <w:ind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May 12, 2027;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such date is not a Business Day, the Maturity Date shall be the next preceding Business Day.</w:t>
      </w:r>
    </w:p>
    <w:p>
      <w:pPr>
        <w:spacing w:after="0" w:line="2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such term in Section 9.15. “</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Moody’s Investors Service, Inc.</w:t>
      </w:r>
    </w:p>
    <w:p>
      <w:pPr>
        <w:spacing w:after="0" w:line="12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ERISA.</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9.02(d).</w:t>
      </w:r>
    </w:p>
    <w:p>
      <w:pPr>
        <w:spacing w:after="0" w:line="256" w:lineRule="exact"/>
        <w:rPr>
          <w:sz w:val="20"/>
          <w:szCs w:val="20"/>
          <w:color w:val="auto"/>
        </w:rPr>
      </w:pPr>
    </w:p>
    <w:p>
      <w:pPr>
        <w:jc w:val="both"/>
        <w:ind w:right="219"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Non-U.S. Pension Plan</w:t>
      </w:r>
      <w:r>
        <w:rPr>
          <w:rFonts w:ascii="Times New Roman" w:cs="Times New Roman" w:eastAsia="Times New Roman" w:hAnsi="Times New Roman"/>
          <w:sz w:val="19"/>
          <w:szCs w:val="19"/>
          <w:color w:val="auto"/>
        </w:rPr>
        <w:t>” means any plan, scheme, fund (including any superannuation fund) or other similar program established, sponsored or maintained outside the United States by the Company or any one or more of its Subsidiaries primarily for the benefit of employees of the Company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 For the avoidance of doubt, each UK DB Plan shall be a Non-U.S. Pension Plan for the purposes of this Agreement.</w:t>
      </w:r>
    </w:p>
    <w:p>
      <w:pPr>
        <w:spacing w:after="0" w:line="205" w:lineRule="exact"/>
        <w:rPr>
          <w:sz w:val="20"/>
          <w:szCs w:val="20"/>
          <w:color w:val="auto"/>
        </w:rPr>
      </w:pPr>
    </w:p>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Notifiable Event</w:t>
      </w:r>
      <w:r>
        <w:rPr>
          <w:rFonts w:ascii="Times New Roman" w:cs="Times New Roman" w:eastAsia="Times New Roman" w:hAnsi="Times New Roman"/>
          <w:sz w:val="20"/>
          <w:szCs w:val="20"/>
          <w:color w:val="auto"/>
        </w:rPr>
        <w:t>” means an event that is notifiable to the Pensions Regulator under section 69 or section 69A of the United Kingdom Pensions Act 2004 and associated regulations.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56"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of the</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019"/>
          </w:cols>
          <w:pgMar w:left="440" w:top="1413" w:right="1440" w:bottom="1440" w:gutter="0" w:footer="0" w:header="0"/>
          <w:type w:val="continuous"/>
        </w:sectPr>
      </w:pPr>
    </w:p>
    <w:bookmarkStart w:id="66" w:name="page67"/>
    <w:bookmarkEnd w:id="66"/>
    <w:p>
      <w:pPr>
        <w:ind w:right="1039"/>
        <w:spacing w:after="0" w:line="283" w:lineRule="auto"/>
        <w:rPr>
          <w:sz w:val="20"/>
          <w:szCs w:val="20"/>
          <w:color w:val="auto"/>
        </w:rPr>
      </w:pPr>
      <w:r>
        <w:rPr>
          <w:rFonts w:ascii="Times New Roman" w:cs="Times New Roman" w:eastAsia="Times New Roman" w:hAnsi="Times New Roman"/>
          <w:sz w:val="20"/>
          <w:szCs w:val="20"/>
          <w:color w:val="auto"/>
        </w:rPr>
        <w:t>aforesaid rates as so determined would be less than zero, such rate shall be deemed to be zero for purposes of this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w:t>
      </w:r>
    </w:p>
    <w:p>
      <w:pPr>
        <w:spacing w:after="0" w:line="248" w:lineRule="exact"/>
        <w:rPr>
          <w:sz w:val="20"/>
          <w:szCs w:val="20"/>
          <w:color w:val="auto"/>
        </w:rPr>
      </w:pPr>
    </w:p>
    <w:p>
      <w:pPr>
        <w:jc w:val="both"/>
        <w:ind w:right="239"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Original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w:t>
      </w:r>
    </w:p>
    <w:p>
      <w:pPr>
        <w:spacing w:after="0" w:line="2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Treasury.</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Effective Date</w:t>
      </w:r>
      <w:r>
        <w:rPr>
          <w:rFonts w:ascii="Times New Roman" w:cs="Times New Roman" w:eastAsia="Times New Roman" w:hAnsi="Times New Roman"/>
          <w:sz w:val="20"/>
          <w:szCs w:val="20"/>
          <w:color w:val="auto"/>
        </w:rPr>
        <w:t>” means September 22, 2011.</w:t>
      </w:r>
    </w:p>
    <w:p>
      <w:pPr>
        <w:spacing w:after="0" w:line="256" w:lineRule="exact"/>
        <w:rPr>
          <w:sz w:val="20"/>
          <w:szCs w:val="20"/>
          <w:color w:val="auto"/>
        </w:rPr>
      </w:pPr>
    </w:p>
    <w:p>
      <w:pPr>
        <w:jc w:val="both"/>
        <w:ind w:right="239" w:firstLine="1295"/>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Letter of Credit or Loan Document).</w:t>
      </w:r>
    </w:p>
    <w:p>
      <w:pPr>
        <w:spacing w:after="0" w:line="200" w:lineRule="exact"/>
        <w:rPr>
          <w:sz w:val="20"/>
          <w:szCs w:val="20"/>
          <w:color w:val="auto"/>
        </w:rPr>
      </w:pPr>
    </w:p>
    <w:p>
      <w:pPr>
        <w:jc w:val="both"/>
        <w:ind w:right="239"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any present or future stamp, court, documentary, intangible, recording, filing, excise or property, or other similar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2.20(b)).</w:t>
      </w:r>
    </w:p>
    <w:p>
      <w:pPr>
        <w:spacing w:after="0" w:line="200" w:lineRule="exact"/>
        <w:rPr>
          <w:sz w:val="20"/>
          <w:szCs w:val="20"/>
          <w:color w:val="auto"/>
        </w:rPr>
      </w:pPr>
    </w:p>
    <w:p>
      <w:pPr>
        <w:jc w:val="both"/>
        <w:ind w:right="19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226" w:lineRule="exact"/>
        <w:rPr>
          <w:sz w:val="20"/>
          <w:szCs w:val="20"/>
          <w:color w:val="auto"/>
        </w:rPr>
      </w:pPr>
    </w:p>
    <w:p>
      <w:pPr>
        <w:jc w:val="both"/>
        <w:ind w:right="239"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means, for any day, (a) with respect to any amount denominated in Dollars,</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the NYFRB Rate and (b) with respect to any amount denominated in a Foreign Currency, an overnight rate determined by the Administrative Agent or the relevant Issuing Bank, as the case may be, in accordance with banking industry rules on interbank compensation</w:t>
      </w:r>
      <w:r>
        <w:rPr>
          <w:rFonts w:ascii="Times New Roman" w:cs="Times New Roman" w:eastAsia="Times New Roman" w:hAnsi="Times New Roman"/>
          <w:sz w:val="20"/>
          <w:szCs w:val="20"/>
          <w:color w:val="auto"/>
        </w:rPr>
        <w:t>.</w:t>
      </w:r>
    </w:p>
    <w:p>
      <w:pPr>
        <w:spacing w:after="0" w:line="311" w:lineRule="exact"/>
        <w:rPr>
          <w:sz w:val="20"/>
          <w:szCs w:val="20"/>
          <w:color w:val="auto"/>
        </w:rPr>
      </w:pPr>
    </w:p>
    <w:p>
      <w:pPr>
        <w:ind w:left="1300" w:right="979"/>
        <w:spacing w:after="0" w:line="50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0019"/>
          </w:cols>
          <w:pgMar w:left="440" w:top="1413" w:right="1440" w:bottom="1440" w:gutter="0" w:footer="0" w:header="0"/>
          <w:type w:val="continuous"/>
        </w:sectPr>
      </w:pPr>
    </w:p>
    <w:bookmarkStart w:id="67" w:name="page68"/>
    <w:bookmarkEnd w:id="67"/>
    <w:p>
      <w:pPr>
        <w:jc w:val="both"/>
        <w:ind w:right="19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3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has the meaning assigned to such term in Section 9.13.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meaning assigned to such term in Section 8.06(c).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assigned to such term in Section 8.06(c).</w:t>
      </w:r>
    </w:p>
    <w:p>
      <w:pPr>
        <w:spacing w:after="0" w:line="108" w:lineRule="exact"/>
        <w:rPr>
          <w:sz w:val="20"/>
          <w:szCs w:val="20"/>
          <w:color w:val="auto"/>
        </w:rPr>
      </w:pPr>
    </w:p>
    <w:p>
      <w:pPr>
        <w:ind w:right="7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87" w:lineRule="exact"/>
        <w:rPr>
          <w:sz w:val="20"/>
          <w:szCs w:val="20"/>
          <w:color w:val="auto"/>
        </w:rPr>
      </w:pPr>
    </w:p>
    <w:p>
      <w:pPr>
        <w:ind w:right="859" w:firstLine="1295"/>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Pensions Regulator</w:t>
      </w:r>
      <w:r>
        <w:rPr>
          <w:rFonts w:ascii="Times New Roman" w:cs="Times New Roman" w:eastAsia="Times New Roman" w:hAnsi="Times New Roman"/>
          <w:sz w:val="20"/>
          <w:szCs w:val="20"/>
          <w:color w:val="auto"/>
        </w:rPr>
        <w:t>” means the body corporate established under section 1 of the United Kingdom Pensions Act 2004 (or any replacement or successor body from time to time).</w:t>
      </w:r>
    </w:p>
    <w:p>
      <w:pPr>
        <w:spacing w:after="0" w:line="209" w:lineRule="exact"/>
        <w:rPr>
          <w:sz w:val="20"/>
          <w:szCs w:val="20"/>
          <w:color w:val="auto"/>
        </w:rPr>
      </w:pPr>
    </w:p>
    <w:p>
      <w:pPr>
        <w:ind w:right="1059" w:firstLine="1296"/>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0000FF"/>
        </w:rPr>
        <w:t>“Periodic Term CORRA Determination Day” has the meaning assigned to such term in the definition of “Term CORRA.</w:t>
      </w:r>
      <w:r>
        <w:rPr>
          <w:rFonts w:ascii="Times New Roman" w:cs="Times New Roman" w:eastAsia="Times New Roman" w:hAnsi="Times New Roman"/>
          <w:sz w:val="20"/>
          <w:szCs w:val="20"/>
          <w:b w:val="1"/>
          <w:bCs w:val="1"/>
          <w:color w:val="0000FF"/>
        </w:rPr>
        <w:t>”</w:t>
      </w:r>
    </w:p>
    <w:p>
      <w:pPr>
        <w:spacing w:after="0" w:line="277"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Earn-Out Indebtedness</w:t>
      </w:r>
      <w:r>
        <w:rPr>
          <w:rFonts w:ascii="Times New Roman" w:cs="Times New Roman" w:eastAsia="Times New Roman" w:hAnsi="Times New Roman"/>
          <w:sz w:val="20"/>
          <w:szCs w:val="20"/>
          <w:color w:val="auto"/>
        </w:rPr>
        <w:t xml:space="preserve">” means Indebtedness of the Company or any Subsidiary incurred in connection with any acquisition, which Indebtedness is not secured by any assets of the Company or any Subsidiary (including, without limitation, the assets so acquired) and is only payable by the Company and its Subsidiaries in the event certain future performance goals are achieved with respect to the assets acquired;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shall only constitute Permitted Earn-Out Indebtedness to the extent the terms of such Indebtedness expressly limit the maximum potential liability of the Company and its Subsidiaries with respect thereto.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70" w:lineRule="exact"/>
        <w:rPr>
          <w:sz w:val="20"/>
          <w:szCs w:val="20"/>
          <w:color w:val="auto"/>
        </w:rPr>
      </w:pPr>
    </w:p>
    <w:p>
      <w:pPr>
        <w:ind w:left="1820" w:hanging="529"/>
        <w:spacing w:after="0"/>
        <w:tabs>
          <w:tab w:leader="none" w:pos="18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that are not yet due or are being contested in compliance 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5.04;</w:t>
      </w:r>
    </w:p>
    <w:p>
      <w:pPr>
        <w:spacing w:after="0" w:line="248" w:lineRule="exact"/>
        <w:rPr>
          <w:sz w:val="20"/>
          <w:szCs w:val="20"/>
          <w:color w:val="auto"/>
        </w:rPr>
      </w:pPr>
    </w:p>
    <w:p>
      <w:pPr>
        <w:jc w:val="both"/>
        <w:ind w:right="259" w:firstLine="1291"/>
        <w:spacing w:after="0" w:line="261" w:lineRule="auto"/>
        <w:tabs>
          <w:tab w:leader="none" w:pos="182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208" w:lineRule="exact"/>
        <w:rPr>
          <w:rFonts w:ascii="Times New Roman" w:cs="Times New Roman" w:eastAsia="Times New Roman" w:hAnsi="Times New Roman"/>
          <w:sz w:val="20"/>
          <w:szCs w:val="20"/>
          <w:color w:val="auto"/>
        </w:rPr>
      </w:pPr>
    </w:p>
    <w:p>
      <w:pPr>
        <w:ind w:right="259" w:firstLine="1291"/>
        <w:spacing w:after="0" w:line="283" w:lineRule="auto"/>
        <w:tabs>
          <w:tab w:leader="none" w:pos="182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86" w:lineRule="exact"/>
        <w:rPr>
          <w:rFonts w:ascii="Times New Roman" w:cs="Times New Roman" w:eastAsia="Times New Roman" w:hAnsi="Times New Roman"/>
          <w:sz w:val="20"/>
          <w:szCs w:val="20"/>
          <w:color w:val="auto"/>
        </w:rPr>
      </w:pPr>
    </w:p>
    <w:p>
      <w:pPr>
        <w:ind w:right="239" w:firstLine="1291"/>
        <w:spacing w:after="0" w:line="283" w:lineRule="auto"/>
        <w:tabs>
          <w:tab w:leader="none" w:pos="182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86" w:lineRule="exact"/>
        <w:rPr>
          <w:rFonts w:ascii="Times New Roman" w:cs="Times New Roman" w:eastAsia="Times New Roman" w:hAnsi="Times New Roman"/>
          <w:sz w:val="20"/>
          <w:szCs w:val="20"/>
          <w:color w:val="auto"/>
        </w:rPr>
      </w:pPr>
    </w:p>
    <w:p>
      <w:pPr>
        <w:ind w:left="1820" w:hanging="529"/>
        <w:spacing w:after="0"/>
        <w:tabs>
          <w:tab w:leader="none" w:pos="18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 under clause (k)</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Article VII;</w:t>
      </w:r>
    </w:p>
    <w:p>
      <w:pPr>
        <w:spacing w:after="0" w:line="247" w:lineRule="exact"/>
        <w:rPr>
          <w:rFonts w:ascii="Times New Roman" w:cs="Times New Roman" w:eastAsia="Times New Roman" w:hAnsi="Times New Roman"/>
          <w:sz w:val="20"/>
          <w:szCs w:val="20"/>
          <w:color w:val="auto"/>
        </w:rPr>
      </w:pPr>
    </w:p>
    <w:p>
      <w:pPr>
        <w:jc w:val="both"/>
        <w:ind w:right="239" w:firstLine="1291"/>
        <w:spacing w:after="0" w:line="258" w:lineRule="auto"/>
        <w:tabs>
          <w:tab w:leader="none" w:pos="183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0019"/>
          </w:cols>
          <w:pgMar w:left="440" w:top="1413" w:right="1440" w:bottom="1440" w:gutter="0" w:footer="0" w:header="0"/>
          <w:type w:val="continuous"/>
        </w:sectPr>
      </w:pPr>
    </w:p>
    <w:bookmarkStart w:id="68" w:name="page69"/>
    <w:bookmarkEnd w:id="68"/>
    <w:p>
      <w:pPr>
        <w:ind w:left="5" w:right="239" w:firstLine="1291"/>
        <w:spacing w:after="0" w:line="283" w:lineRule="auto"/>
        <w:tabs>
          <w:tab w:leader="none" w:pos="182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granted to third Persons not interfering with the ordinary course of business of the Company or any Subsidiary;</w:t>
      </w:r>
    </w:p>
    <w:p>
      <w:pPr>
        <w:spacing w:after="0" w:line="210" w:lineRule="exact"/>
        <w:rPr>
          <w:rFonts w:ascii="Times New Roman" w:cs="Times New Roman" w:eastAsia="Times New Roman" w:hAnsi="Times New Roman"/>
          <w:sz w:val="20"/>
          <w:szCs w:val="20"/>
          <w:color w:val="auto"/>
        </w:rPr>
      </w:pPr>
    </w:p>
    <w:p>
      <w:pPr>
        <w:jc w:val="both"/>
        <w:ind w:left="5" w:right="239" w:firstLine="1291"/>
        <w:spacing w:after="0" w:line="241" w:lineRule="auto"/>
        <w:tabs>
          <w:tab w:leader="none" w:pos="1827" w:val="left"/>
        </w:tabs>
        <w:numPr>
          <w:ilvl w:val="0"/>
          <w:numId w:val="4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r>
        <w:rPr>
          <w:rFonts w:ascii="Times New Roman" w:cs="Times New Roman" w:eastAsia="Times New Roman" w:hAnsi="Times New Roman"/>
          <w:sz w:val="20"/>
          <w:szCs w:val="20"/>
          <w:color w:val="auto"/>
        </w:rPr>
        <w:t>;</w:t>
      </w:r>
    </w:p>
    <w:p>
      <w:pPr>
        <w:spacing w:after="0" w:line="253" w:lineRule="exact"/>
        <w:rPr>
          <w:rFonts w:ascii="Times New Roman" w:cs="Times New Roman" w:eastAsia="Times New Roman" w:hAnsi="Times New Roman"/>
          <w:sz w:val="20"/>
          <w:szCs w:val="20"/>
          <w:color w:val="auto"/>
        </w:rPr>
      </w:pPr>
    </w:p>
    <w:p>
      <w:pPr>
        <w:jc w:val="both"/>
        <w:ind w:left="5" w:right="219" w:firstLine="1292"/>
        <w:spacing w:after="0" w:line="244" w:lineRule="auto"/>
        <w:tabs>
          <w:tab w:leader="none" w:pos="1839" w:val="left"/>
        </w:tabs>
        <w:numPr>
          <w:ilvl w:val="0"/>
          <w:numId w:val="4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r>
        <w:rPr>
          <w:rFonts w:ascii="Times New Roman" w:cs="Times New Roman" w:eastAsia="Times New Roman" w:hAnsi="Times New Roman"/>
          <w:sz w:val="20"/>
          <w:szCs w:val="20"/>
          <w:color w:val="auto"/>
        </w:rPr>
        <w:t>;</w:t>
      </w:r>
    </w:p>
    <w:p>
      <w:pPr>
        <w:spacing w:after="0" w:line="247" w:lineRule="exact"/>
        <w:rPr>
          <w:rFonts w:ascii="Times New Roman" w:cs="Times New Roman" w:eastAsia="Times New Roman" w:hAnsi="Times New Roman"/>
          <w:sz w:val="20"/>
          <w:szCs w:val="20"/>
          <w:color w:val="auto"/>
        </w:rPr>
      </w:pPr>
    </w:p>
    <w:p>
      <w:pPr>
        <w:jc w:val="both"/>
        <w:ind w:left="5" w:right="239" w:firstLine="1292"/>
        <w:spacing w:after="0" w:line="255" w:lineRule="auto"/>
        <w:tabs>
          <w:tab w:leader="none" w:pos="1839" w:val="left"/>
        </w:tabs>
        <w:numPr>
          <w:ilvl w:val="0"/>
          <w:numId w:val="4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Liens in favor of customs and revenue authorities arising as a matter of law to secure payment of customs duties in connection with the importation of goods in the ordinary course of business so long as such Liens only cover the related goods</w:t>
      </w:r>
      <w:r>
        <w:rPr>
          <w:rFonts w:ascii="Times New Roman" w:cs="Times New Roman" w:eastAsia="Times New Roman" w:hAnsi="Times New Roman"/>
          <w:sz w:val="20"/>
          <w:szCs w:val="20"/>
          <w:color w:val="auto"/>
        </w:rPr>
        <w:t>; and</w:t>
      </w:r>
    </w:p>
    <w:p>
      <w:pPr>
        <w:spacing w:after="0" w:line="224" w:lineRule="exact"/>
        <w:rPr>
          <w:rFonts w:ascii="Times New Roman" w:cs="Times New Roman" w:eastAsia="Times New Roman" w:hAnsi="Times New Roman"/>
          <w:sz w:val="20"/>
          <w:szCs w:val="20"/>
          <w:color w:val="auto"/>
        </w:rPr>
      </w:pPr>
    </w:p>
    <w:p>
      <w:pPr>
        <w:jc w:val="both"/>
        <w:ind w:left="5" w:right="239" w:firstLine="1292"/>
        <w:spacing w:after="0" w:line="255" w:lineRule="auto"/>
        <w:tabs>
          <w:tab w:leader="none" w:pos="1829" w:val="left"/>
        </w:tabs>
        <w:numPr>
          <w:ilvl w:val="0"/>
          <w:numId w:val="4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Liens encumbering reasonable customary initial deposits and margin deposits and similar Liens attaching to commodity trading accounts or other brokerage accounts incurred in the ordinary course of business and not for speculative purposes</w:t>
      </w:r>
      <w:r>
        <w:rPr>
          <w:rFonts w:ascii="Times New Roman" w:cs="Times New Roman" w:eastAsia="Times New Roman" w:hAnsi="Times New Roman"/>
          <w:sz w:val="20"/>
          <w:szCs w:val="20"/>
          <w:color w:val="auto"/>
        </w:rPr>
        <w:t>;</w:t>
      </w:r>
    </w:p>
    <w:p>
      <w:pPr>
        <w:spacing w:after="0" w:line="1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“Permitted Encumbrances” shall not include any Lien securing Indebtedness. “</w:t>
      </w:r>
      <w:r>
        <w:rPr>
          <w:rFonts w:ascii="Times New Roman" w:cs="Times New Roman" w:eastAsia="Times New Roman" w:hAnsi="Times New Roman"/>
          <w:sz w:val="19"/>
          <w:szCs w:val="19"/>
          <w:u w:val="single" w:color="auto"/>
          <w:color w:val="auto"/>
        </w:rPr>
        <w:t>Permitted Qualifying</w:t>
      </w:r>
    </w:p>
    <w:p>
      <w:pPr>
        <w:spacing w:after="0" w:line="227"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unsecured Indebtedness of the Company</w:t>
      </w:r>
    </w:p>
    <w:p>
      <w:pPr>
        <w:spacing w:after="0" w:line="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(including unsecured Subordinated Indebtedness to the extent subordinated to the Obligations on terms</w:t>
      </w:r>
    </w:p>
    <w:p>
      <w:pPr>
        <w:ind w:left="5" w:right="239"/>
        <w:spacing w:after="0" w:line="259" w:lineRule="auto"/>
        <w:rPr>
          <w:sz w:val="20"/>
          <w:szCs w:val="20"/>
          <w:color w:val="auto"/>
        </w:rPr>
      </w:pPr>
      <w:r>
        <w:rPr>
          <w:rFonts w:ascii="Times New Roman" w:cs="Times New Roman" w:eastAsia="Times New Roman" w:hAnsi="Times New Roman"/>
          <w:sz w:val="19"/>
          <w:szCs w:val="19"/>
          <w:color w:val="auto"/>
        </w:rPr>
        <w:t xml:space="preserve">reasonably acceptable to the Administrative Agent), to the extent not otherwise permitted under Section 6.01, and any Indebtedness of the Company constituting refinancings, renewals or replacements of any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 w:lineRule="exact"/>
        <w:rPr>
          <w:sz w:val="20"/>
          <w:szCs w:val="20"/>
          <w:color w:val="auto"/>
        </w:rPr>
      </w:pPr>
    </w:p>
    <w:p>
      <w:pPr>
        <w:ind w:left="5" w:right="239" w:hanging="5"/>
        <w:spacing w:after="0" w:line="250" w:lineRule="auto"/>
        <w:tabs>
          <w:tab w:leader="none" w:pos="25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immediately prior to and after giving effect (including giving effect on a Pro Forma Basis) thereto, no Default or Event of Default shall exist or would result therefrom,</w:t>
      </w:r>
    </w:p>
    <w:p>
      <w:pPr>
        <w:jc w:val="both"/>
        <w:ind w:left="5" w:right="199" w:hanging="5"/>
        <w:spacing w:after="0" w:line="249" w:lineRule="auto"/>
        <w:tabs>
          <w:tab w:leader="none" w:pos="5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not guaranteed by any Subsidiary of the Company other than the Subsidiary Guarantors (which guarantees, if such Indebtedness is subordinated, shall be expressly subordinated to the Obligations on terms not less favorable to the Lenders than the subordination terms of such Subordinated Indebtedness) and (iii) the financial covenants applicable to such Indebtedness are not more onerous or more restrictive than the financial covenant set forth in Section 6.07 of this Agreement.</w:t>
      </w:r>
    </w:p>
    <w:p>
      <w:pPr>
        <w:spacing w:after="0" w:line="223" w:lineRule="exact"/>
        <w:rPr>
          <w:sz w:val="20"/>
          <w:szCs w:val="20"/>
          <w:color w:val="auto"/>
        </w:rPr>
      </w:pPr>
    </w:p>
    <w:p>
      <w:pPr>
        <w:jc w:val="both"/>
        <w:ind w:left="5" w:right="21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w:t>
      </w:r>
      <w:r>
        <w:rPr>
          <w:rFonts w:ascii="Times New Roman" w:cs="Times New Roman" w:eastAsia="Times New Roman" w:hAnsi="Times New Roman"/>
          <w:sz w:val="20"/>
          <w:szCs w:val="20"/>
          <w:color w:val="auto"/>
        </w:rPr>
        <w:t>y” shall mean the receivables facility or facilities providing for the sale or grant of a security interest by the Company and/or one or more of its Subsidiaries of Permitted Receivables Facility Assets or an undivided interest therein.</w:t>
      </w:r>
    </w:p>
    <w:p>
      <w:pPr>
        <w:spacing w:after="0" w:line="208" w:lineRule="exact"/>
        <w:rPr>
          <w:sz w:val="20"/>
          <w:szCs w:val="20"/>
          <w:color w:val="auto"/>
        </w:rPr>
      </w:pPr>
    </w:p>
    <w:p>
      <w:pPr>
        <w:jc w:val="both"/>
        <w:ind w:left="5" w:right="239" w:firstLine="1295"/>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Assets</w:t>
      </w:r>
      <w:r>
        <w:rPr>
          <w:rFonts w:ascii="Times New Roman" w:cs="Times New Roman" w:eastAsia="Times New Roman" w:hAnsi="Times New Roman"/>
          <w:sz w:val="20"/>
          <w:szCs w:val="20"/>
          <w:color w:val="auto"/>
        </w:rPr>
        <w:t>” shall mean (i) Receivables (whether now existing or arising in the future) of the Company and its Subsidiaries and all proceeds thereof, (ii) collections on Receivables, related assets in respect of Receivables and supporting documentation in respect of Receivables and (iii) lockboxes, lockbox accounts and collection accounts in respect of Receivables.</w:t>
      </w:r>
    </w:p>
    <w:p>
      <w:pPr>
        <w:spacing w:after="0" w:line="213" w:lineRule="exact"/>
        <w:rPr>
          <w:sz w:val="20"/>
          <w:szCs w:val="20"/>
          <w:color w:val="auto"/>
        </w:rPr>
      </w:pPr>
    </w:p>
    <w:p>
      <w:pPr>
        <w:jc w:val="both"/>
        <w:ind w:left="5"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Related Assets</w:t>
      </w:r>
      <w:r>
        <w:rPr>
          <w:rFonts w:ascii="Times New Roman" w:cs="Times New Roman" w:eastAsia="Times New Roman" w:hAnsi="Times New Roman"/>
          <w:sz w:val="20"/>
          <w:szCs w:val="20"/>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ectPr>
          <w:pgSz w:w="11900" w:h="16838" w:orient="portrait"/>
          <w:cols w:equalWidth="0" w:num="1">
            <w:col w:w="10024"/>
          </w:cols>
          <w:pgMar w:left="435"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0024"/>
          </w:cols>
          <w:pgMar w:left="435" w:top="1413" w:right="1440" w:bottom="1440" w:gutter="0" w:footer="0" w:header="0"/>
          <w:type w:val="continuous"/>
        </w:sectPr>
      </w:pPr>
    </w:p>
    <w:bookmarkStart w:id="69" w:name="page70"/>
    <w:bookmarkEnd w:id="69"/>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87" w:lineRule="exact"/>
        <w:rPr>
          <w:sz w:val="20"/>
          <w:szCs w:val="20"/>
          <w:color w:val="auto"/>
        </w:rPr>
      </w:pPr>
    </w:p>
    <w:p>
      <w:pPr>
        <w:jc w:val="both"/>
        <w:ind w:right="259" w:firstLine="1295"/>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209" w:lineRule="exact"/>
        <w:rPr>
          <w:sz w:val="20"/>
          <w:szCs w:val="20"/>
          <w:color w:val="auto"/>
        </w:rPr>
      </w:pPr>
    </w:p>
    <w:p>
      <w:pPr>
        <w:jc w:val="both"/>
        <w:ind w:right="259"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means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 time to time.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Pounds Sterling</w:t>
      </w:r>
      <w:r>
        <w:rPr>
          <w:rFonts w:ascii="Times New Roman" w:cs="Times New Roman" w:eastAsia="Times New Roman" w:hAnsi="Times New Roman"/>
          <w:sz w:val="20"/>
          <w:szCs w:val="20"/>
          <w:color w:val="auto"/>
        </w:rPr>
        <w:t>” means the lawful currency of the United Kingdom.</w:t>
      </w:r>
    </w:p>
    <w:p>
      <w:pPr>
        <w:spacing w:after="0" w:line="256"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219" w:lineRule="exact"/>
        <w:rPr>
          <w:sz w:val="20"/>
          <w:szCs w:val="20"/>
          <w:color w:val="auto"/>
        </w:rPr>
      </w:pPr>
    </w:p>
    <w:p>
      <w:pPr>
        <w:jc w:val="both"/>
        <w:ind w:right="21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xml:space="preserve">” means, with respect to any event, that the Company is in compliance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with the applicable covenant, calculation or requirement herein recomputed as if the event with respect to which compliance on a Pro Forma Basis is being tested had occurred on the first day of the four fiscal quarter period most recently ended on or prior to such date for which financial statements have been delivered pursuant to Section 5.01.</w:t>
      </w:r>
    </w:p>
    <w:p>
      <w:pPr>
        <w:spacing w:after="0" w:line="213"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Protected Party</w:t>
      </w:r>
      <w:r>
        <w:rPr>
          <w:rFonts w:ascii="Times New Roman" w:cs="Times New Roman" w:eastAsia="Times New Roman" w:hAnsi="Times New Roman"/>
          <w:sz w:val="20"/>
          <w:szCs w:val="20"/>
          <w:color w:val="auto"/>
        </w:rPr>
        <w:t>” means any Credit Party that is or will be subject to any liability or required to make any payment for or on account of UK Tax, in relation to a sum received or receivable (or any sum deemed for the purposes of UK Tax to be received or receivable) under any Loan Document.</w:t>
      </w:r>
    </w:p>
    <w:p>
      <w:pPr>
        <w:spacing w:after="0" w:line="208" w:lineRule="exact"/>
        <w:rPr>
          <w:sz w:val="20"/>
          <w:szCs w:val="20"/>
          <w:color w:val="auto"/>
        </w:rPr>
      </w:pPr>
    </w:p>
    <w:p>
      <w:pPr>
        <w:jc w:val="both"/>
        <w:ind w:right="259" w:firstLine="1295"/>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87" w:lineRule="exact"/>
        <w:rPr>
          <w:sz w:val="20"/>
          <w:szCs w:val="20"/>
          <w:color w:val="auto"/>
        </w:rPr>
      </w:pPr>
    </w:p>
    <w:p>
      <w:pPr>
        <w:ind w:right="47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2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it in Section 9.19. “</w:t>
      </w:r>
      <w:r>
        <w:rPr>
          <w:rFonts w:ascii="Times New Roman" w:cs="Times New Roman" w:eastAsia="Times New Roman" w:hAnsi="Times New Roman"/>
          <w:sz w:val="20"/>
          <w:szCs w:val="20"/>
          <w:u w:val="single" w:color="auto"/>
          <w:color w:val="auto"/>
        </w:rPr>
        <w:t>Qualifying</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w:t>
      </w:r>
    </w:p>
    <w:p>
      <w:pPr>
        <w:spacing w:after="0" w:line="108" w:lineRule="exact"/>
        <w:rPr>
          <w:sz w:val="20"/>
          <w:szCs w:val="20"/>
          <w:color w:val="auto"/>
        </w:rPr>
      </w:pPr>
    </w:p>
    <w:p>
      <w:pPr>
        <w:ind w:right="299" w:firstLine="643"/>
        <w:spacing w:after="0" w:line="283" w:lineRule="auto"/>
        <w:tabs>
          <w:tab w:leader="none" w:pos="118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(other than a Lender within clause (ii) below) that is beneficially entitled to interest payable to that Lender in respect of an advance under a Loan Document and is:</w:t>
      </w:r>
    </w:p>
    <w:p>
      <w:pPr>
        <w:spacing w:after="0" w:line="187" w:lineRule="exact"/>
        <w:rPr>
          <w:sz w:val="20"/>
          <w:szCs w:val="20"/>
          <w:color w:val="auto"/>
        </w:rPr>
      </w:pPr>
    </w:p>
    <w:p>
      <w:pPr>
        <w:ind w:left="1280" w:hanging="638"/>
        <w:spacing w:after="0"/>
        <w:tabs>
          <w:tab w:leader="none" w:pos="12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w:t>
      </w:r>
    </w:p>
    <w:p>
      <w:pPr>
        <w:spacing w:after="0" w:line="256" w:lineRule="exact"/>
        <w:rPr>
          <w:rFonts w:ascii="Times New Roman" w:cs="Times New Roman" w:eastAsia="Times New Roman" w:hAnsi="Times New Roman"/>
          <w:sz w:val="20"/>
          <w:szCs w:val="20"/>
          <w:color w:val="auto"/>
        </w:rPr>
      </w:pPr>
    </w:p>
    <w:p>
      <w:pPr>
        <w:ind w:left="1940" w:right="359" w:hanging="649"/>
        <w:spacing w:after="0" w:line="283" w:lineRule="auto"/>
        <w:tabs>
          <w:tab w:leader="none" w:pos="1927"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bank (as defined for the purpose of section 879 of the ITA) making an advance under a Loan Document; 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0019"/>
          </w:cols>
          <w:pgMar w:left="440" w:top="1413" w:right="1440" w:bottom="1440" w:gutter="0" w:footer="0" w:header="0"/>
        </w:sectPr>
      </w:pPr>
    </w:p>
    <w:bookmarkStart w:id="70" w:name="page71"/>
    <w:bookmarkEnd w:id="70"/>
    <w:p>
      <w:pPr>
        <w:ind w:left="1944" w:right="239" w:hanging="648"/>
        <w:spacing w:after="0" w:line="283"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 advance made under a Loan Document by a person that was a bank (as defined for the purpose of section 879 of the ITA) at the time that that advance was made,</w:t>
      </w:r>
    </w:p>
    <w:p>
      <w:pPr>
        <w:spacing w:after="0" w:line="187" w:lineRule="exact"/>
        <w:rPr>
          <w:sz w:val="20"/>
          <w:szCs w:val="20"/>
          <w:color w:val="auto"/>
        </w:rPr>
      </w:pPr>
    </w:p>
    <w:p>
      <w:pPr>
        <w:jc w:val="both"/>
        <w:ind w:left="1304" w:right="239"/>
        <w:spacing w:after="0" w:line="261" w:lineRule="auto"/>
        <w:rPr>
          <w:sz w:val="20"/>
          <w:szCs w:val="20"/>
          <w:color w:val="auto"/>
        </w:rPr>
      </w:pPr>
      <w:r>
        <w:rPr>
          <w:rFonts w:ascii="Times New Roman" w:cs="Times New Roman" w:eastAsia="Times New Roman" w:hAnsi="Times New Roman"/>
          <w:sz w:val="20"/>
          <w:szCs w:val="20"/>
          <w:color w:val="auto"/>
        </w:rPr>
        <w:t>and which is within the charge to United Kingdom corporation tax as respects any payments of interest made in respect of that advance or would be within such charge as respects such payment apart from Section 18A of the CTA; or</w:t>
      </w:r>
    </w:p>
    <w:p>
      <w:pPr>
        <w:spacing w:after="0" w:line="208" w:lineRule="exact"/>
        <w:rPr>
          <w:sz w:val="20"/>
          <w:szCs w:val="20"/>
          <w:color w:val="auto"/>
        </w:rPr>
      </w:pPr>
    </w:p>
    <w:p>
      <w:pPr>
        <w:ind w:left="1284" w:hanging="638"/>
        <w:spacing w:after="0"/>
        <w:tabs>
          <w:tab w:leader="none" w:pos="12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w:t>
      </w:r>
    </w:p>
    <w:p>
      <w:pPr>
        <w:spacing w:after="0" w:line="269" w:lineRule="exact"/>
        <w:rPr>
          <w:rFonts w:ascii="Times New Roman" w:cs="Times New Roman" w:eastAsia="Times New Roman" w:hAnsi="Times New Roman"/>
          <w:sz w:val="20"/>
          <w:szCs w:val="20"/>
          <w:color w:val="auto"/>
        </w:rPr>
      </w:pPr>
    </w:p>
    <w:p>
      <w:pPr>
        <w:ind w:left="1924" w:hanging="630"/>
        <w:spacing w:after="0"/>
        <w:tabs>
          <w:tab w:leader="none" w:pos="192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 or</w:t>
      </w:r>
    </w:p>
    <w:p>
      <w:pPr>
        <w:spacing w:after="0" w:line="256" w:lineRule="exact"/>
        <w:rPr>
          <w:rFonts w:ascii="Times New Roman" w:cs="Times New Roman" w:eastAsia="Times New Roman" w:hAnsi="Times New Roman"/>
          <w:sz w:val="20"/>
          <w:szCs w:val="20"/>
          <w:color w:val="auto"/>
        </w:rPr>
      </w:pPr>
    </w:p>
    <w:p>
      <w:pPr>
        <w:ind w:left="1924" w:hanging="630"/>
        <w:spacing w:after="0"/>
        <w:tabs>
          <w:tab w:leader="none" w:pos="192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56" w:lineRule="exact"/>
        <w:rPr>
          <w:rFonts w:ascii="Times New Roman" w:cs="Times New Roman" w:eastAsia="Times New Roman" w:hAnsi="Times New Roman"/>
          <w:sz w:val="20"/>
          <w:szCs w:val="20"/>
          <w:color w:val="auto"/>
        </w:rPr>
      </w:pPr>
    </w:p>
    <w:p>
      <w:pPr>
        <w:ind w:left="2364" w:hanging="420"/>
        <w:spacing w:after="0"/>
        <w:tabs>
          <w:tab w:leader="none" w:pos="2364" w:val="left"/>
        </w:tabs>
        <w:numPr>
          <w:ilvl w:val="3"/>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or</w:t>
      </w:r>
    </w:p>
    <w:p>
      <w:pPr>
        <w:spacing w:after="0" w:line="256" w:lineRule="exact"/>
        <w:rPr>
          <w:rFonts w:ascii="Times New Roman" w:cs="Times New Roman" w:eastAsia="Times New Roman" w:hAnsi="Times New Roman"/>
          <w:sz w:val="20"/>
          <w:szCs w:val="20"/>
          <w:color w:val="auto"/>
        </w:rPr>
      </w:pPr>
    </w:p>
    <w:p>
      <w:pPr>
        <w:ind w:left="2584" w:right="239" w:hanging="640"/>
        <w:spacing w:after="0" w:line="257" w:lineRule="auto"/>
        <w:tabs>
          <w:tab w:leader="none" w:pos="2243" w:val="left"/>
        </w:tabs>
        <w:numPr>
          <w:ilvl w:val="3"/>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(for the purposes of section 19 of the CTA) the whole of any share of interest payable in respect of that advance that falls to it by reason of Part 17 of the CTA; or</w:t>
      </w:r>
    </w:p>
    <w:p>
      <w:pPr>
        <w:spacing w:after="0" w:line="213" w:lineRule="exact"/>
        <w:rPr>
          <w:rFonts w:ascii="Times New Roman" w:cs="Times New Roman" w:eastAsia="Times New Roman" w:hAnsi="Times New Roman"/>
          <w:sz w:val="20"/>
          <w:szCs w:val="20"/>
          <w:color w:val="auto"/>
        </w:rPr>
      </w:pPr>
    </w:p>
    <w:p>
      <w:pPr>
        <w:jc w:val="both"/>
        <w:ind w:left="1944" w:right="239" w:hanging="648"/>
        <w:spacing w:after="0" w:line="258" w:lineRule="auto"/>
        <w:tabs>
          <w:tab w:leader="none" w:pos="193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its chargeable profits (within the meaning given by section 19 of the CTA); or</w:t>
      </w:r>
    </w:p>
    <w:p>
      <w:pPr>
        <w:spacing w:after="0" w:line="212" w:lineRule="exact"/>
        <w:rPr>
          <w:rFonts w:ascii="Times New Roman" w:cs="Times New Roman" w:eastAsia="Times New Roman" w:hAnsi="Times New Roman"/>
          <w:sz w:val="20"/>
          <w:szCs w:val="20"/>
          <w:color w:val="auto"/>
        </w:rPr>
      </w:pPr>
    </w:p>
    <w:p>
      <w:pPr>
        <w:ind w:left="1284" w:hanging="638"/>
        <w:spacing w:after="0"/>
        <w:tabs>
          <w:tab w:leader="none" w:pos="12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or</w:t>
      </w:r>
    </w:p>
    <w:p>
      <w:pPr>
        <w:spacing w:after="0" w:line="256" w:lineRule="exact"/>
        <w:rPr>
          <w:rFonts w:ascii="Times New Roman" w:cs="Times New Roman" w:eastAsia="Times New Roman" w:hAnsi="Times New Roman"/>
          <w:sz w:val="20"/>
          <w:szCs w:val="20"/>
          <w:color w:val="auto"/>
        </w:rPr>
      </w:pPr>
    </w:p>
    <w:p>
      <w:pPr>
        <w:ind w:left="4" w:right="399" w:firstLine="1291"/>
        <w:spacing w:after="0" w:line="283" w:lineRule="auto"/>
        <w:tabs>
          <w:tab w:leader="none" w:pos="1838"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a building society (as defined for the purpose of section 880 of the ITA) making an advance under a Loan Document.</w:t>
      </w:r>
    </w:p>
    <w:p>
      <w:pPr>
        <w:spacing w:after="0" w:line="187" w:lineRule="exact"/>
        <w:rPr>
          <w:sz w:val="20"/>
          <w:szCs w:val="20"/>
          <w:color w:val="auto"/>
        </w:rPr>
      </w:pPr>
    </w:p>
    <w:p>
      <w:pPr>
        <w:jc w:val="both"/>
        <w:ind w:left="4"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Material Acquisition</w:t>
      </w:r>
      <w:r>
        <w:rPr>
          <w:rFonts w:ascii="Times New Roman" w:cs="Times New Roman" w:eastAsia="Times New Roman" w:hAnsi="Times New Roman"/>
          <w:sz w:val="20"/>
          <w:szCs w:val="20"/>
          <w:color w:val="auto"/>
        </w:rPr>
        <w:t>” means any acquisition, or the last to occur of a series of acquisitions consummated within a period of six consecutive months, if the aggregate consideration paid or to be paid in respect of such acquisition (or, if applicable, acquisitions) exceeds $150,000,000 and the Company has designated such acquisition (or, if applicable, acquisitions) as a “Qualifying Material Acquisition” by written notice to the Administrative Agent. For the avoidance of doubt, once any acquisition has been so designated as (or as a part of) a Qualifying Material Acquisition, it may not be designated as (or as a part of) any other Qualifying Material Acquisition.</w:t>
      </w:r>
    </w:p>
    <w:p>
      <w:pPr>
        <w:spacing w:after="0" w:line="219" w:lineRule="exact"/>
        <w:rPr>
          <w:sz w:val="20"/>
          <w:szCs w:val="20"/>
          <w:color w:val="auto"/>
        </w:rPr>
      </w:pPr>
    </w:p>
    <w:p>
      <w:pPr>
        <w:jc w:val="both"/>
        <w:ind w:left="4" w:right="21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shall mean all accounts receivable (including, without limitation, all rights to payment created by or arising from sales of goods, leases of goods or the rendition of services rendered no matter how evidenced whether or not earned by performance).</w:t>
      </w:r>
    </w:p>
    <w:p>
      <w:pPr>
        <w:spacing w:after="0" w:line="208"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(b) any Lender and (c) any Issuing Bank.</w:t>
      </w:r>
    </w:p>
    <w:p>
      <w:pPr>
        <w:spacing w:after="0" w:line="283"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with respect to any setting of the then-current Benchmark means</w:t>
      </w:r>
    </w:p>
    <w:p>
      <w:pPr>
        <w:spacing w:after="0" w:line="19" w:lineRule="exact"/>
        <w:rPr>
          <w:sz w:val="20"/>
          <w:szCs w:val="20"/>
          <w:color w:val="auto"/>
        </w:rPr>
      </w:pPr>
    </w:p>
    <w:p>
      <w:pPr>
        <w:ind w:left="4" w:right="459" w:hanging="4"/>
        <w:spacing w:after="0" w:line="244" w:lineRule="auto"/>
        <w:tabs>
          <w:tab w:leader="none" w:pos="278" w:val="left"/>
        </w:tabs>
        <w:numPr>
          <w:ilvl w:val="0"/>
          <w:numId w:val="4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if such Benchmark is the Term SOFR Rate, 5:00 a.m., Chicago time, on the day that is two (2) Business Days preceding the date of such setting, (ii) if such Benchmark is the EURIBO Rate, 11:00</w:t>
      </w:r>
    </w:p>
    <w:p>
      <w:pPr>
        <w:sectPr>
          <w:pgSz w:w="11900" w:h="16838" w:orient="portrait"/>
          <w:cols w:equalWidth="0" w:num="1">
            <w:col w:w="10023"/>
          </w:cols>
          <w:pgMar w:left="436"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0023"/>
          </w:cols>
          <w:pgMar w:left="436" w:top="1413" w:right="1440" w:bottom="1440" w:gutter="0" w:footer="0" w:header="0"/>
          <w:type w:val="continuous"/>
        </w:sectPr>
      </w:pPr>
    </w:p>
    <w:bookmarkStart w:id="71" w:name="page72"/>
    <w:bookmarkEnd w:id="71"/>
    <w:p>
      <w:pPr>
        <w:jc w:val="both"/>
        <w:ind w:left="5" w:right="199"/>
        <w:spacing w:after="0" w:line="254" w:lineRule="auto"/>
        <w:rPr>
          <w:sz w:val="20"/>
          <w:szCs w:val="20"/>
          <w:color w:val="auto"/>
        </w:rPr>
      </w:pPr>
      <w:r>
        <w:rPr>
          <w:rFonts w:ascii="Cambria" w:cs="Cambria" w:eastAsia="Cambria" w:hAnsi="Cambria"/>
          <w:sz w:val="20"/>
          <w:szCs w:val="20"/>
          <w:b w:val="1"/>
          <w:bCs w:val="1"/>
          <w:color w:val="auto"/>
        </w:rPr>
        <w:t xml:space="preserve">a.m., Brussels time two (2) TARGET Days preceding the date of such setting, (iii) </w:t>
      </w:r>
      <w:r>
        <w:rPr>
          <w:rFonts w:ascii="Times New Roman" w:cs="Times New Roman" w:eastAsia="Times New Roman" w:hAnsi="Times New Roman"/>
          <w:sz w:val="20"/>
          <w:szCs w:val="20"/>
          <w:color w:val="auto"/>
        </w:rPr>
        <w:t>if such Benchmark is the</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color w:val="auto"/>
        </w:rPr>
        <w:t>TIBO Rate, 11:00 a.m. Japan time two (2) Business Days preceding the date of such setting</w:t>
      </w:r>
      <w:r>
        <w:rPr>
          <w:rFonts w:ascii="Cambria" w:cs="Cambria" w:eastAsia="Cambria" w:hAnsi="Cambria"/>
          <w:sz w:val="20"/>
          <w:szCs w:val="20"/>
          <w:b w:val="1"/>
          <w:bCs w:val="1"/>
          <w:color w:val="auto"/>
        </w:rPr>
        <w:t>, (iv) if the RFR for such</w:t>
      </w:r>
    </w:p>
    <w:p>
      <w:pPr>
        <w:jc w:val="both"/>
        <w:ind w:left="5" w:right="199"/>
        <w:spacing w:after="0" w:line="249" w:lineRule="auto"/>
        <w:rPr>
          <w:sz w:val="20"/>
          <w:szCs w:val="20"/>
          <w:color w:val="auto"/>
        </w:rPr>
      </w:pPr>
      <w:r>
        <w:rPr>
          <w:rFonts w:ascii="Cambria" w:cs="Cambria" w:eastAsia="Cambria" w:hAnsi="Cambria"/>
          <w:sz w:val="20"/>
          <w:szCs w:val="20"/>
          <w:b w:val="1"/>
          <w:bCs w:val="1"/>
          <w:color w:val="auto"/>
        </w:rPr>
        <w:t>Benchmark is SONIA, then four (4) Business Days prior to such setting, (v) if the RFR for such Benchmark is SARON, then five (5) Business Days prior to such setting, (vi) if</w:t>
      </w:r>
      <w:r>
        <w:rPr>
          <w:rFonts w:ascii="Cambria" w:cs="Cambria" w:eastAsia="Cambria" w:hAnsi="Cambria"/>
          <w:sz w:val="20"/>
          <w:szCs w:val="20"/>
          <w:b w:val="1"/>
          <w:bCs w:val="1"/>
          <w:color w:val="0000FF"/>
        </w:rPr>
        <w:t>,</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following a Benchmark Transition Event</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and Benchmark Replacement Date with respect to the Term SOFR Rate,</w:t>
      </w:r>
      <w:r>
        <w:rPr>
          <w:rFonts w:ascii="Times New Roman" w:cs="Times New Roman" w:eastAsia="Times New Roman" w:hAnsi="Times New Roman"/>
          <w:sz w:val="20"/>
          <w:szCs w:val="20"/>
          <w:b w:val="1"/>
          <w:bCs w:val="1"/>
          <w:color w:val="0000FF"/>
        </w:rPr>
        <w:t xml:space="preserve"> </w:t>
      </w:r>
      <w:r>
        <w:rPr>
          <w:rFonts w:ascii="Cambria" w:cs="Cambria" w:eastAsia="Cambria" w:hAnsi="Cambria"/>
          <w:sz w:val="20"/>
          <w:szCs w:val="20"/>
          <w:b w:val="1"/>
          <w:bCs w:val="1"/>
          <w:color w:val="000000"/>
        </w:rPr>
        <w:t>the RFR for such Benchmark is Daily</w:t>
      </w:r>
      <w:r>
        <w:rPr>
          <w:rFonts w:ascii="Times New Roman" w:cs="Times New Roman" w:eastAsia="Times New Roman" w:hAnsi="Times New Roman"/>
          <w:sz w:val="20"/>
          <w:szCs w:val="20"/>
          <w:b w:val="1"/>
          <w:bCs w:val="1"/>
          <w:color w:val="0000FF"/>
        </w:rPr>
        <w:t xml:space="preserve"> </w:t>
      </w:r>
      <w:r>
        <w:rPr>
          <w:rFonts w:ascii="Cambria" w:cs="Cambria" w:eastAsia="Cambria" w:hAnsi="Cambria"/>
          <w:sz w:val="20"/>
          <w:szCs w:val="20"/>
          <w:b w:val="1"/>
          <w:bCs w:val="1"/>
          <w:color w:val="000000"/>
        </w:rPr>
        <w:t xml:space="preserve">Simple SOFR, then four (4) Business Days prior to such setting </w:t>
      </w:r>
      <w:r>
        <w:rPr>
          <w:rFonts w:ascii="Cambria" w:cs="Cambria" w:eastAsia="Cambria" w:hAnsi="Cambria"/>
          <w:sz w:val="20"/>
          <w:szCs w:val="20"/>
          <w:b w:val="1"/>
          <w:bCs w:val="1"/>
          <w:color w:val="FF0000"/>
        </w:rPr>
        <w:t>or</w:t>
      </w:r>
      <w:r>
        <w:rPr>
          <w:rFonts w:ascii="Cambria" w:cs="Cambria" w:eastAsia="Cambria" w:hAnsi="Cambria"/>
          <w:sz w:val="20"/>
          <w:szCs w:val="20"/>
          <w:b w:val="1"/>
          <w:bCs w:val="1"/>
          <w:color w:val="0000FF"/>
        </w:rPr>
        <w:t>,</w:t>
      </w:r>
      <w:r>
        <w:rPr>
          <w:rFonts w:ascii="Cambria" w:cs="Cambria" w:eastAsia="Cambria" w:hAnsi="Cambria"/>
          <w:sz w:val="20"/>
          <w:szCs w:val="20"/>
          <w:b w:val="1"/>
          <w:bCs w:val="1"/>
          <w:color w:val="000000"/>
        </w:rPr>
        <w:t xml:space="preserve"> (vii</w:t>
      </w:r>
      <w:r>
        <w:rPr>
          <w:rFonts w:ascii="Cambria" w:cs="Cambria" w:eastAsia="Cambria" w:hAnsi="Cambria"/>
          <w:sz w:val="20"/>
          <w:szCs w:val="20"/>
          <w:b w:val="1"/>
          <w:bCs w:val="1"/>
          <w:u w:val="single" w:color="auto"/>
          <w:color w:val="0000FF"/>
        </w:rPr>
        <w:t>)</w:t>
      </w:r>
      <w:r>
        <w:rPr>
          <w:rFonts w:ascii="Cambria" w:cs="Cambria" w:eastAsia="Cambria" w:hAnsi="Cambria"/>
          <w:sz w:val="20"/>
          <w:szCs w:val="20"/>
          <w:b w:val="1"/>
          <w:bCs w:val="1"/>
          <w:color w:val="000000"/>
        </w:rPr>
        <w:t xml:space="preserve"> </w:t>
      </w:r>
      <w:r>
        <w:rPr>
          <w:rFonts w:ascii="Times New Roman" w:cs="Times New Roman" w:eastAsia="Times New Roman" w:hAnsi="Times New Roman"/>
          <w:sz w:val="20"/>
          <w:szCs w:val="20"/>
          <w:b w:val="1"/>
          <w:bCs w:val="1"/>
          <w:u w:val="single" w:color="auto"/>
          <w:color w:val="0000FF"/>
        </w:rPr>
        <w:t>if such Benchmark is Term CORRA,</w:t>
      </w:r>
      <w:r>
        <w:rPr>
          <w:rFonts w:ascii="Cambria" w:cs="Cambria" w:eastAsia="Cambria" w:hAnsi="Cambria"/>
          <w:sz w:val="20"/>
          <w:szCs w:val="20"/>
          <w:b w:val="1"/>
          <w:bCs w:val="1"/>
          <w:color w:val="000000"/>
        </w:rPr>
        <w:t xml:space="preserve"> </w:t>
      </w:r>
      <w:r>
        <w:rPr>
          <w:rFonts w:ascii="Times New Roman" w:cs="Times New Roman" w:eastAsia="Times New Roman" w:hAnsi="Times New Roman"/>
          <w:sz w:val="20"/>
          <w:szCs w:val="20"/>
          <w:b w:val="1"/>
          <w:bCs w:val="1"/>
          <w:u w:val="single" w:color="auto"/>
          <w:color w:val="0000FF"/>
        </w:rPr>
        <w:t>1:00 p.m. Toronto local time on the day that is two Business Days preceding the date of such setting</w:t>
      </w:r>
      <w:r>
        <w:rPr>
          <w:rFonts w:ascii="Cambria" w:cs="Cambria" w:eastAsia="Cambria" w:hAnsi="Cambria"/>
          <w:sz w:val="20"/>
          <w:szCs w:val="20"/>
          <w:b w:val="1"/>
          <w:bCs w:val="1"/>
          <w:u w:val="single" w:color="auto"/>
          <w:color w:val="0000FF"/>
        </w:rPr>
        <w:t>, (viii)</w:t>
      </w:r>
      <w:r>
        <w:rPr>
          <w:rFonts w:ascii="Times New Roman" w:cs="Times New Roman" w:eastAsia="Times New Roman" w:hAnsi="Times New Roman"/>
          <w:sz w:val="20"/>
          <w:szCs w:val="20"/>
          <w:b w:val="1"/>
          <w:bCs w:val="1"/>
          <w:u w:val="single" w:color="auto"/>
          <w:color w:val="0000FF"/>
        </w:rPr>
        <w:t xml:space="preserve"> if, following a Benchmark Transition Event and Benchmark Replacement Date with respect to Term CORRA, the RFR for such Benchmark is Daily Simple CORRA, then four RFR Business Days prior to such setting</w:t>
      </w:r>
      <w:r>
        <w:rPr>
          <w:rFonts w:ascii="Times New Roman" w:cs="Times New Roman" w:eastAsia="Times New Roman" w:hAnsi="Times New Roman"/>
          <w:sz w:val="20"/>
          <w:szCs w:val="20"/>
          <w:b w:val="1"/>
          <w:bCs w:val="1"/>
          <w:color w:val="0000FF"/>
        </w:rPr>
        <w:t xml:space="preserve"> </w:t>
      </w:r>
      <w:r>
        <w:rPr>
          <w:rFonts w:ascii="Cambria" w:cs="Cambria" w:eastAsia="Cambria" w:hAnsi="Cambria"/>
          <w:sz w:val="20"/>
          <w:szCs w:val="20"/>
          <w:b w:val="1"/>
          <w:bCs w:val="1"/>
          <w:u w:val="single" w:color="auto"/>
          <w:color w:val="0000FF"/>
        </w:rPr>
        <w:t>or (ix</w:t>
      </w:r>
      <w:r>
        <w:rPr>
          <w:rFonts w:ascii="Cambria" w:cs="Cambria" w:eastAsia="Cambria" w:hAnsi="Cambria"/>
          <w:sz w:val="20"/>
          <w:szCs w:val="20"/>
          <w:b w:val="1"/>
          <w:bCs w:val="1"/>
          <w:color w:val="000000"/>
        </w:rPr>
        <w:t>) if such</w:t>
      </w:r>
      <w:r>
        <w:rPr>
          <w:rFonts w:ascii="Times New Roman" w:cs="Times New Roman" w:eastAsia="Times New Roman" w:hAnsi="Times New Roman"/>
          <w:sz w:val="20"/>
          <w:szCs w:val="20"/>
          <w:b w:val="1"/>
          <w:bCs w:val="1"/>
          <w:color w:val="0000FF"/>
        </w:rPr>
        <w:t xml:space="preserve"> </w:t>
      </w:r>
      <w:r>
        <w:rPr>
          <w:rFonts w:ascii="Cambria" w:cs="Cambria" w:eastAsia="Cambria" w:hAnsi="Cambria"/>
          <w:sz w:val="20"/>
          <w:szCs w:val="20"/>
          <w:b w:val="1"/>
          <w:bCs w:val="1"/>
          <w:color w:val="000000"/>
        </w:rPr>
        <w:t xml:space="preserve">Benchmark is none of the Term SOFR Rate, Daily Simple SOFR, the EURIBO Rate, the TIBO Rate, SONIA </w:t>
      </w:r>
      <w:r>
        <w:rPr>
          <w:rFonts w:ascii="Cambria" w:cs="Cambria" w:eastAsia="Cambria" w:hAnsi="Cambria"/>
          <w:sz w:val="20"/>
          <w:szCs w:val="20"/>
          <w:b w:val="1"/>
          <w:bCs w:val="1"/>
          <w:color w:val="FF0000"/>
        </w:rPr>
        <w:t>or</w:t>
      </w:r>
      <w:r>
        <w:rPr>
          <w:rFonts w:ascii="Cambria" w:cs="Cambria" w:eastAsia="Cambria" w:hAnsi="Cambria"/>
          <w:sz w:val="20"/>
          <w:szCs w:val="20"/>
          <w:b w:val="1"/>
          <w:bCs w:val="1"/>
          <w:color w:val="0000FF"/>
        </w:rPr>
        <w:t>,</w:t>
      </w:r>
      <w:r>
        <w:rPr>
          <w:rFonts w:ascii="Cambria" w:cs="Cambria" w:eastAsia="Cambria" w:hAnsi="Cambria"/>
          <w:sz w:val="20"/>
          <w:szCs w:val="20"/>
          <w:b w:val="1"/>
          <w:bCs w:val="1"/>
          <w:color w:val="000000"/>
        </w:rPr>
        <w:t xml:space="preserve"> SARON, </w:t>
      </w:r>
      <w:r>
        <w:rPr>
          <w:rFonts w:ascii="Cambria" w:cs="Cambria" w:eastAsia="Cambria" w:hAnsi="Cambria"/>
          <w:sz w:val="20"/>
          <w:szCs w:val="20"/>
          <w:b w:val="1"/>
          <w:bCs w:val="1"/>
          <w:u w:val="single" w:color="auto"/>
          <w:color w:val="0000FF"/>
        </w:rPr>
        <w:t>Ter</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0000FF"/>
        </w:rPr>
        <w:t>m</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CORR</w:t>
      </w:r>
      <w:r>
        <w:rPr>
          <w:rFonts w:ascii="Cambria" w:cs="Cambria" w:eastAsia="Cambria" w:hAnsi="Cambria"/>
          <w:sz w:val="20"/>
          <w:szCs w:val="20"/>
          <w:b w:val="1"/>
          <w:bCs w:val="1"/>
          <w:color w:val="0000FF"/>
        </w:rPr>
        <w:t>A</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o</w:t>
      </w:r>
      <w:r>
        <w:rPr>
          <w:rFonts w:ascii="Cambria" w:cs="Cambria" w:eastAsia="Cambria" w:hAnsi="Cambria"/>
          <w:sz w:val="20"/>
          <w:szCs w:val="20"/>
          <w:b w:val="1"/>
          <w:bCs w:val="1"/>
          <w:color w:val="0000FF"/>
        </w:rPr>
        <w:t>r</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Dail</w:t>
      </w:r>
      <w:r>
        <w:rPr>
          <w:rFonts w:ascii="Cambria" w:cs="Cambria" w:eastAsia="Cambria" w:hAnsi="Cambria"/>
          <w:sz w:val="20"/>
          <w:szCs w:val="20"/>
          <w:b w:val="1"/>
          <w:bCs w:val="1"/>
          <w:color w:val="0000FF"/>
        </w:rPr>
        <w:t>y</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Simpl</w:t>
      </w:r>
      <w:r>
        <w:rPr>
          <w:rFonts w:ascii="Cambria" w:cs="Cambria" w:eastAsia="Cambria" w:hAnsi="Cambria"/>
          <w:sz w:val="20"/>
          <w:szCs w:val="20"/>
          <w:b w:val="1"/>
          <w:bCs w:val="1"/>
          <w:color w:val="0000FF"/>
        </w:rPr>
        <w:t>e</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CORRA</w:t>
      </w:r>
      <w:r>
        <w:rPr>
          <w:rFonts w:ascii="Cambria" w:cs="Cambria" w:eastAsia="Cambria" w:hAnsi="Cambria"/>
          <w:sz w:val="20"/>
          <w:szCs w:val="20"/>
          <w:b w:val="1"/>
          <w:bCs w:val="1"/>
          <w:color w:val="0000FF"/>
        </w:rPr>
        <w:t>,</w:t>
      </w:r>
      <w:r>
        <w:rPr>
          <w:rFonts w:ascii="Cambria" w:cs="Cambria" w:eastAsia="Cambria" w:hAnsi="Cambria"/>
          <w:sz w:val="20"/>
          <w:szCs w:val="20"/>
          <w:b w:val="1"/>
          <w:bCs w:val="1"/>
          <w:color w:val="000000"/>
        </w:rPr>
        <w:t xml:space="preserve"> the time determined by the Administrative Agent in its reasonable discretion</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-1001395</wp:posOffset>
            </wp:positionV>
            <wp:extent cx="1606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60655" cy="8255"/>
                    </a:xfrm>
                    <a:prstGeom prst="rect">
                      <a:avLst/>
                    </a:prstGeom>
                    <a:noFill/>
                  </pic:spPr>
                </pic:pic>
              </a:graphicData>
            </a:graphic>
          </wp:anchor>
        </w:drawing>
        <w:drawing>
          <wp:anchor simplePos="0" relativeHeight="251657728" behindDoc="1" locked="0" layoutInCell="0" allowOverlap="1">
            <wp:simplePos x="0" y="0"/>
            <wp:positionH relativeFrom="column">
              <wp:posOffset>6039485</wp:posOffset>
            </wp:positionH>
            <wp:positionV relativeFrom="paragraph">
              <wp:posOffset>-384175</wp:posOffset>
            </wp:positionV>
            <wp:extent cx="169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69545" cy="8890"/>
                    </a:xfrm>
                    <a:prstGeom prst="rect">
                      <a:avLst/>
                    </a:prstGeom>
                    <a:noFill/>
                  </pic:spPr>
                </pic:pic>
              </a:graphicData>
            </a:graphic>
          </wp:anchor>
        </w:drawing>
      </w:r>
    </w:p>
    <w:p>
      <w:pPr>
        <w:spacing w:after="0" w:line="161"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set forth in Section 9.04.</w:t>
      </w:r>
    </w:p>
    <w:p>
      <w:pPr>
        <w:spacing w:after="0" w:line="256" w:lineRule="exact"/>
        <w:rPr>
          <w:sz w:val="20"/>
          <w:szCs w:val="20"/>
          <w:color w:val="auto"/>
        </w:rPr>
      </w:pPr>
    </w:p>
    <w:p>
      <w:pPr>
        <w:jc w:val="both"/>
        <w:ind w:left="5" w:right="259" w:firstLine="1295"/>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w:t>
      </w:r>
      <w:r>
        <w:rPr>
          <w:rFonts w:ascii="Times New Roman" w:cs="Times New Roman" w:eastAsia="Times New Roman" w:hAnsi="Times New Roman"/>
          <w:sz w:val="20"/>
          <w:szCs w:val="20"/>
          <w:color w:val="auto"/>
        </w:rPr>
        <w:t>” means Regulation (EU) 2015/848 of the European Parliament and of the Council of 20 May 2015 on insolvency proceedings (recast).</w:t>
      </w:r>
    </w:p>
    <w:p>
      <w:pPr>
        <w:spacing w:after="0" w:line="187" w:lineRule="exact"/>
        <w:rPr>
          <w:sz w:val="20"/>
          <w:szCs w:val="20"/>
          <w:color w:val="auto"/>
        </w:rPr>
      </w:pPr>
    </w:p>
    <w:p>
      <w:pPr>
        <w:jc w:val="both"/>
        <w:ind w:left="5" w:right="25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and advisors of such Person and such Person’s Affiliates.</w:t>
      </w:r>
    </w:p>
    <w:p>
      <w:pPr>
        <w:spacing w:after="0" w:line="308" w:lineRule="exact"/>
        <w:rPr>
          <w:sz w:val="20"/>
          <w:szCs w:val="20"/>
          <w:color w:val="auto"/>
        </w:rPr>
      </w:pPr>
    </w:p>
    <w:p>
      <w:pPr>
        <w:jc w:val="both"/>
        <w:ind w:left="5" w:right="239"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means (i) with respect to a Benchmark Replacement in respect</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 xml:space="preserve">of Loans denominated in Dollars, the Board, the NYFRB and/or the CME Term SOFR Administrator, as applicable,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t>
      </w:r>
      <w:r>
        <w:rPr>
          <w:rFonts w:ascii="Times New Roman" w:cs="Times New Roman" w:eastAsia="Times New Roman" w:hAnsi="Times New Roman"/>
          <w:sz w:val="20"/>
          <w:szCs w:val="20"/>
          <w:color w:val="auto"/>
        </w:rPr>
        <w:t>with respect to a Benchmark Replacement in respect of Loans denominated in Japanese Yen, the Bank of Japan, or a committee officially endorsed or convened by the Bank of Japan or, in each case, any successor thereto</w:t>
      </w:r>
      <w:r>
        <w:rPr>
          <w:rFonts w:ascii="Cambria" w:cs="Cambria" w:eastAsia="Cambria" w:hAnsi="Cambria"/>
          <w:sz w:val="20"/>
          <w:szCs w:val="20"/>
          <w:b w:val="1"/>
          <w:bCs w:val="1"/>
          <w:color w:val="auto"/>
        </w:rPr>
        <w:t>, (v) with respect</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to a Benchmark Replacement in respect of Loans denominated in Swiss Francs, the Swiss National Bank, or a committee officially endorsed or convened by the Swiss National Bank or, in each case, any successor thereto and (vi) with respect to a Benchmark Replacement in respect of Loans denominated in any other currency,</w:t>
      </w:r>
    </w:p>
    <w:p>
      <w:pPr>
        <w:spacing w:after="0" w:line="220" w:lineRule="exact"/>
        <w:rPr>
          <w:sz w:val="20"/>
          <w:szCs w:val="20"/>
          <w:color w:val="auto"/>
        </w:rPr>
      </w:pPr>
    </w:p>
    <w:p>
      <w:pPr>
        <w:ind w:left="5" w:right="239" w:hanging="5"/>
        <w:spacing w:after="0" w:line="239" w:lineRule="auto"/>
        <w:tabs>
          <w:tab w:leader="none" w:pos="323" w:val="left"/>
        </w:tabs>
        <w:numPr>
          <w:ilvl w:val="0"/>
          <w:numId w:val="4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5" w:right="239" w:firstLine="1295"/>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xml:space="preserve">” means (i) with respect to any Term Benchmark Borrowing denominated in Dollars, the </w:t>
      </w:r>
      <w:r>
        <w:rPr>
          <w:rFonts w:ascii="Times New Roman" w:cs="Times New Roman" w:eastAsia="Times New Roman" w:hAnsi="Times New Roman"/>
          <w:sz w:val="20"/>
          <w:szCs w:val="20"/>
          <w:b w:val="1"/>
          <w:bCs w:val="1"/>
          <w:color w:val="FF0000"/>
          <w:strike w:val="1"/>
        </w:rPr>
        <w:t>Adjusted</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Term SOFR Rate, (ii) with respect to any Term Benchmark Borrowing denominated in euro, the</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color w:val="FF0000"/>
          <w:strike w:val="1"/>
        </w:rPr>
        <w:t>Adjusted</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 xml:space="preserve">EURIBO Rate, (iii) with respect to any Term Benchmark Borrowing denominated in Japanese Yen, the </w:t>
      </w:r>
      <w:r>
        <w:rPr>
          <w:rFonts w:ascii="Times New Roman" w:cs="Times New Roman" w:eastAsia="Times New Roman" w:hAnsi="Times New Roman"/>
          <w:sz w:val="20"/>
          <w:szCs w:val="20"/>
          <w:b w:val="1"/>
          <w:bCs w:val="1"/>
          <w:color w:val="FF0000"/>
          <w:strike w:val="1"/>
        </w:rPr>
        <w:t>Adjusted</w:t>
      </w:r>
      <w:r>
        <w:rPr>
          <w:rFonts w:ascii="Times New Roman" w:cs="Times New Roman" w:eastAsia="Times New Roman" w:hAnsi="Times New Roman"/>
          <w:sz w:val="20"/>
          <w:szCs w:val="20"/>
          <w:color w:val="000000"/>
        </w:rPr>
        <w:t xml:space="preserve"> TIBO Rate, (iv) with respect to any Term Benchmark</w:t>
      </w:r>
    </w:p>
    <w:p>
      <w:pPr>
        <w:sectPr>
          <w:pgSz w:w="11900" w:h="16838" w:orient="portrait"/>
          <w:cols w:equalWidth="0" w:num="1">
            <w:col w:w="10024"/>
          </w:cols>
          <w:pgMar w:left="435"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0024"/>
          </w:cols>
          <w:pgMar w:left="435" w:top="1440" w:right="1440" w:bottom="1440" w:gutter="0" w:footer="0" w:header="0"/>
          <w:type w:val="continuous"/>
        </w:sectPr>
      </w:pPr>
    </w:p>
    <w:bookmarkStart w:id="72" w:name="page73"/>
    <w:bookmarkEnd w:id="72"/>
    <w:p>
      <w:pPr>
        <w:jc w:val="both"/>
        <w:ind w:right="239"/>
        <w:spacing w:after="0" w:line="263" w:lineRule="auto"/>
        <w:rPr>
          <w:sz w:val="20"/>
          <w:szCs w:val="20"/>
          <w:color w:val="auto"/>
        </w:rPr>
      </w:pPr>
      <w:r>
        <w:rPr>
          <w:rFonts w:ascii="Times New Roman" w:cs="Times New Roman" w:eastAsia="Times New Roman" w:hAnsi="Times New Roman"/>
          <w:sz w:val="20"/>
          <w:szCs w:val="20"/>
          <w:color w:val="auto"/>
        </w:rPr>
        <w:t xml:space="preserve">Borrowing denominated in Canadian Dollars, </w:t>
      </w:r>
      <w:r>
        <w:rPr>
          <w:rFonts w:ascii="Times New Roman" w:cs="Times New Roman" w:eastAsia="Times New Roman" w:hAnsi="Times New Roman"/>
          <w:sz w:val="20"/>
          <w:szCs w:val="20"/>
          <w:b w:val="1"/>
          <w:bCs w:val="1"/>
          <w:color w:val="FF0000"/>
          <w:strike w:val="1"/>
        </w:rPr>
        <w:t>the CDOR Rate</w:t>
      </w:r>
      <w:r>
        <w:rPr>
          <w:rFonts w:ascii="Times New Roman" w:cs="Times New Roman" w:eastAsia="Times New Roman" w:hAnsi="Times New Roman"/>
          <w:sz w:val="20"/>
          <w:szCs w:val="20"/>
          <w:b w:val="1"/>
          <w:bCs w:val="1"/>
          <w:u w:val="single" w:color="auto"/>
          <w:color w:val="0000FF"/>
        </w:rPr>
        <w:t>Term CORRA</w:t>
      </w:r>
      <w:r>
        <w:rPr>
          <w:rFonts w:ascii="Times New Roman" w:cs="Times New Roman" w:eastAsia="Times New Roman" w:hAnsi="Times New Roman"/>
          <w:sz w:val="20"/>
          <w:szCs w:val="20"/>
          <w:color w:val="auto"/>
        </w:rPr>
        <w:t xml:space="preserve"> or (v) with respect to any RFR Borrowing denominated in Pounds Sterling, Swiss Francs </w:t>
      </w:r>
      <w:r>
        <w:rPr>
          <w:rFonts w:ascii="Times New Roman" w:cs="Times New Roman" w:eastAsia="Times New Roman" w:hAnsi="Times New Roman"/>
          <w:sz w:val="20"/>
          <w:szCs w:val="20"/>
          <w:b w:val="1"/>
          <w:bCs w:val="1"/>
          <w:color w:val="FF0000"/>
        </w:rPr>
        <w:t>or</w:t>
      </w:r>
      <w:r>
        <w:rPr>
          <w:rFonts w:ascii="Times New Roman" w:cs="Times New Roman" w:eastAsia="Times New Roman" w:hAnsi="Times New Roman"/>
          <w:sz w:val="20"/>
          <w:szCs w:val="20"/>
          <w:b w:val="1"/>
          <w:bCs w:val="1"/>
          <w:u w:val="single" w:color="auto"/>
          <w:color w:val="0000FF"/>
        </w:rPr>
        <w:t>, Dollars or Canadian</w:t>
      </w:r>
      <w:r>
        <w:rPr>
          <w:rFonts w:ascii="Times New Roman" w:cs="Times New Roman" w:eastAsia="Times New Roman" w:hAnsi="Times New Roman"/>
          <w:sz w:val="20"/>
          <w:szCs w:val="20"/>
          <w:color w:val="auto"/>
        </w:rPr>
        <w:t xml:space="preserve"> Dollars, the applicable Adjusted Daily Simple RFR,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-239395</wp:posOffset>
            </wp:positionV>
            <wp:extent cx="1587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186" w:lineRule="exact"/>
        <w:rPr>
          <w:sz w:val="20"/>
          <w:szCs w:val="20"/>
          <w:color w:val="auto"/>
        </w:rPr>
      </w:pPr>
    </w:p>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xml:space="preserve">” means (i) with respect to any Term Benchmark Borrowing denominated in Dollars, the Term SOFR Reference Rate, (ii) with respect to any Term Benchmark Borrowing denominated in euro, the EURIBO Screen Rate, (iii) with respect to any Term Benchmark Borrowing denominated in Japanese Yen, the TIBO Screen Rate or (iv) </w:t>
      </w:r>
      <w:r>
        <w:rPr>
          <w:rFonts w:ascii="Cambria" w:cs="Cambria" w:eastAsia="Cambria" w:hAnsi="Cambria"/>
          <w:sz w:val="20"/>
          <w:szCs w:val="20"/>
          <w:b w:val="1"/>
          <w:bCs w:val="1"/>
          <w:color w:val="auto"/>
        </w:rPr>
        <w:t>with respect to any Term Benchmark Borrowing denominated in Canadian Dollars,</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FF0000"/>
          <w:strike w:val="1"/>
        </w:rPr>
        <w:t>the</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FF0000"/>
          <w:strike w:val="1"/>
        </w:rPr>
        <w:t>CDOR Screen Rate</w:t>
      </w:r>
      <w:r>
        <w:rPr>
          <w:rFonts w:ascii="Cambria" w:cs="Cambria" w:eastAsia="Cambria" w:hAnsi="Cambria"/>
          <w:sz w:val="20"/>
          <w:szCs w:val="20"/>
          <w:b w:val="1"/>
          <w:bCs w:val="1"/>
          <w:u w:val="single" w:color="auto"/>
          <w:color w:val="0000FF"/>
        </w:rPr>
        <w:t>Term CORRA</w:t>
      </w:r>
      <w:r>
        <w:rPr>
          <w:rFonts w:ascii="Times New Roman" w:cs="Times New Roman" w:eastAsia="Times New Roman" w:hAnsi="Times New Roman"/>
          <w:sz w:val="20"/>
          <w:szCs w:val="20"/>
          <w:color w:val="000000"/>
        </w:rPr>
        <w:t>, as applicable.</w:t>
      </w:r>
    </w:p>
    <w:p>
      <w:pPr>
        <w:spacing w:after="0" w:line="199"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subject to Section 2.25, at any time, Lenders having Revolving Credit Exposures and unused Commitments representing more than 50% of the sum of the Total Revolving Credit Exposure and unused Commitments at such time.</w:t>
      </w:r>
    </w:p>
    <w:p>
      <w:pPr>
        <w:spacing w:after="0" w:line="208" w:lineRule="exact"/>
        <w:rPr>
          <w:sz w:val="20"/>
          <w:szCs w:val="20"/>
          <w:color w:val="auto"/>
        </w:rPr>
      </w:pPr>
    </w:p>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87" w:lineRule="exact"/>
        <w:rPr>
          <w:sz w:val="20"/>
          <w:szCs w:val="20"/>
          <w:color w:val="auto"/>
        </w:rPr>
      </w:pPr>
    </w:p>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Effective Date</w:t>
      </w:r>
      <w:r>
        <w:rPr>
          <w:rFonts w:ascii="Times New Roman" w:cs="Times New Roman" w:eastAsia="Times New Roman" w:hAnsi="Times New Roman"/>
          <w:sz w:val="20"/>
          <w:szCs w:val="20"/>
          <w:color w:val="auto"/>
        </w:rPr>
        <w:t>” means the date on which the conditions specified in Section 4.01 are satisfied (or waived in accordance with Section 9.02).</w:t>
      </w:r>
    </w:p>
    <w:p>
      <w:pPr>
        <w:spacing w:after="0" w:line="187" w:lineRule="exact"/>
        <w:rPr>
          <w:sz w:val="20"/>
          <w:szCs w:val="20"/>
          <w:color w:val="auto"/>
        </w:rPr>
      </w:pPr>
    </w:p>
    <w:p>
      <w:pPr>
        <w:jc w:val="both"/>
        <w:ind w:right="219"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w:t>
      </w:r>
    </w:p>
    <w:p>
      <w:pPr>
        <w:spacing w:after="0" w:line="2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Reuters</w:t>
      </w:r>
      <w:r>
        <w:rPr>
          <w:rFonts w:ascii="Times New Roman" w:cs="Times New Roman" w:eastAsia="Times New Roman" w:hAnsi="Times New Roman"/>
          <w:sz w:val="20"/>
          <w:szCs w:val="20"/>
          <w:color w:val="auto"/>
        </w:rPr>
        <w:t>” means, as applicable, Thomson Reuters Corp., Refinitiv, or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322" w:lineRule="exact"/>
        <w:rPr>
          <w:sz w:val="20"/>
          <w:szCs w:val="20"/>
          <w:color w:val="auto"/>
        </w:rPr>
      </w:pPr>
    </w:p>
    <w:p>
      <w:pPr>
        <w:jc w:val="both"/>
        <w:ind w:right="25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with respect to any Lender at any time, the sum of the outstanding principal amount of such Lender’s Revolving Loans and its LC Exposure at such time.</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Loan made pursuant to Section 2.01.</w:t>
      </w:r>
    </w:p>
    <w:p>
      <w:pPr>
        <w:spacing w:after="0" w:line="293" w:lineRule="exact"/>
        <w:rPr>
          <w:sz w:val="20"/>
          <w:szCs w:val="20"/>
          <w:color w:val="auto"/>
        </w:rPr>
      </w:pPr>
    </w:p>
    <w:p>
      <w:pPr>
        <w:jc w:val="both"/>
        <w:ind w:right="239" w:firstLine="1336"/>
        <w:spacing w:after="0" w:line="24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RFR</w:t>
      </w:r>
      <w:r>
        <w:rPr>
          <w:rFonts w:ascii="Cambria" w:cs="Cambria" w:eastAsia="Cambria" w:hAnsi="Cambria"/>
          <w:sz w:val="20"/>
          <w:szCs w:val="20"/>
          <w:b w:val="1"/>
          <w:bCs w:val="1"/>
          <w:color w:val="auto"/>
        </w:rPr>
        <w:t xml:space="preserve">” means, for any RFR Loan denominated in (a) Pounds Sterling, SONIA, (b) Swiss Francs, SARON </w:t>
      </w:r>
      <w:r>
        <w:rPr>
          <w:rFonts w:ascii="Cambria" w:cs="Cambria" w:eastAsia="Cambria" w:hAnsi="Cambria"/>
          <w:sz w:val="20"/>
          <w:szCs w:val="20"/>
          <w:b w:val="1"/>
          <w:bCs w:val="1"/>
          <w:color w:val="FF0000"/>
          <w:strike w:val="1"/>
        </w:rPr>
        <w:t>and</w:t>
      </w:r>
      <w:r>
        <w:rPr>
          <w:rFonts w:ascii="Cambria" w:cs="Cambria" w:eastAsia="Cambria" w:hAnsi="Cambria"/>
          <w:sz w:val="20"/>
          <w:szCs w:val="20"/>
          <w:b w:val="1"/>
          <w:bCs w:val="1"/>
          <w:color w:val="0000FF"/>
        </w:rPr>
        <w:t>,</w:t>
      </w:r>
      <w:r>
        <w:rPr>
          <w:rFonts w:ascii="Cambria" w:cs="Cambria" w:eastAsia="Cambria" w:hAnsi="Cambria"/>
          <w:sz w:val="20"/>
          <w:szCs w:val="20"/>
          <w:b w:val="1"/>
          <w:bCs w:val="1"/>
          <w:color w:val="auto"/>
        </w:rPr>
        <w:t xml:space="preserve"> (c) Dollars </w:t>
      </w:r>
      <w:r>
        <w:rPr>
          <w:rFonts w:ascii="Times New Roman" w:cs="Times New Roman" w:eastAsia="Times New Roman" w:hAnsi="Times New Roman"/>
          <w:sz w:val="20"/>
          <w:szCs w:val="20"/>
          <w:b w:val="1"/>
          <w:bCs w:val="1"/>
          <w:u w:val="single" w:color="auto"/>
          <w:color w:val="0000FF"/>
        </w:rPr>
        <w:t>(solely following a Benchmark Transition Event and a Benchmark Replacement</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Date with respect to the Term SOFR Rate)</w:t>
      </w:r>
      <w:r>
        <w:rPr>
          <w:rFonts w:ascii="Cambria" w:cs="Cambria" w:eastAsia="Cambria" w:hAnsi="Cambria"/>
          <w:sz w:val="20"/>
          <w:szCs w:val="20"/>
          <w:b w:val="1"/>
          <w:bCs w:val="1"/>
          <w:color w:val="000000"/>
        </w:rPr>
        <w:t>, Daily Simple SOFR</w:t>
      </w:r>
      <w:r>
        <w:rPr>
          <w:rFonts w:ascii="Times New Roman" w:cs="Times New Roman" w:eastAsia="Times New Roman" w:hAnsi="Times New Roman"/>
          <w:sz w:val="20"/>
          <w:szCs w:val="20"/>
          <w:b w:val="1"/>
          <w:bCs w:val="1"/>
          <w:color w:val="0000FF"/>
        </w:rPr>
        <w:t xml:space="preserve"> </w:t>
      </w:r>
      <w:r>
        <w:rPr>
          <w:rFonts w:ascii="Cambria" w:cs="Cambria" w:eastAsia="Cambria" w:hAnsi="Cambria"/>
          <w:sz w:val="20"/>
          <w:szCs w:val="20"/>
          <w:b w:val="1"/>
          <w:bCs w:val="1"/>
          <w:u w:val="single" w:color="auto"/>
          <w:color w:val="0000FF"/>
        </w:rPr>
        <w:t>and (d)</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b w:val="1"/>
          <w:bCs w:val="1"/>
          <w:u w:val="single" w:color="auto"/>
          <w:color w:val="0000FF"/>
        </w:rPr>
        <w:t>Canadian Dollars (solely following a</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b w:val="1"/>
          <w:bCs w:val="1"/>
          <w:u w:val="single" w:color="auto"/>
          <w:color w:val="0000FF"/>
        </w:rPr>
        <w:t>Benchmark Transition Event and a Benchmark Replacement Date with respect to Term CORRA), Daily Simple CORRA</w:t>
      </w:r>
      <w:r>
        <w:rPr>
          <w:rFonts w:ascii="Cambria" w:cs="Cambria" w:eastAsia="Cambria" w:hAnsi="Cambria"/>
          <w:sz w:val="20"/>
          <w:szCs w:val="20"/>
          <w:b w:val="1"/>
          <w:bCs w:val="1"/>
          <w:u w:val="single" w:color="auto"/>
          <w:color w:val="0000FF"/>
        </w:rPr>
        <w:t>,</w:t>
      </w:r>
      <w:r>
        <w:rPr>
          <w:rFonts w:ascii="Times New Roman" w:cs="Times New Roman" w:eastAsia="Times New Roman" w:hAnsi="Times New Roman"/>
          <w:sz w:val="20"/>
          <w:szCs w:val="20"/>
          <w:b w:val="1"/>
          <w:bCs w:val="1"/>
          <w:color w:val="0000FF"/>
        </w:rPr>
        <w:t xml:space="preserve"> </w:t>
      </w:r>
      <w:r>
        <w:rPr>
          <w:rFonts w:ascii="Cambria" w:cs="Cambria" w:eastAsia="Cambria" w:hAnsi="Cambria"/>
          <w:sz w:val="20"/>
          <w:szCs w:val="20"/>
          <w:b w:val="1"/>
          <w:bCs w:val="1"/>
          <w:color w:val="000000"/>
        </w:rPr>
        <w:t>and</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when used in reference to any Loan or Borrowing, means that such Loan, or the Loans comprising such</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Borrowing, bears interest at a rate determined by reference to the applicable Adjusted Daily Simple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-836295</wp:posOffset>
            </wp:positionV>
            <wp:extent cx="26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24" w:lineRule="exact"/>
        <w:rPr>
          <w:sz w:val="20"/>
          <w:szCs w:val="20"/>
          <w:color w:val="auto"/>
        </w:rPr>
      </w:pPr>
    </w:p>
    <w:p>
      <w:pPr>
        <w:ind w:left="130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RFR Borrowing</w:t>
      </w:r>
      <w:r>
        <w:rPr>
          <w:rFonts w:ascii="Cambria" w:cs="Cambria" w:eastAsia="Cambria" w:hAnsi="Cambria"/>
          <w:sz w:val="20"/>
          <w:szCs w:val="20"/>
          <w:b w:val="1"/>
          <w:bCs w:val="1"/>
          <w:color w:val="auto"/>
        </w:rPr>
        <w:t>” means, as to any Borrowing, the RFR Loans comprising such</w:t>
      </w:r>
    </w:p>
    <w:p>
      <w:pPr>
        <w:spacing w:after="0" w:line="235" w:lineRule="auto"/>
        <w:rPr>
          <w:sz w:val="20"/>
          <w:szCs w:val="20"/>
          <w:color w:val="auto"/>
        </w:rPr>
      </w:pPr>
      <w:r>
        <w:rPr>
          <w:rFonts w:ascii="Cambria" w:cs="Cambria" w:eastAsia="Cambria" w:hAnsi="Cambria"/>
          <w:sz w:val="20"/>
          <w:szCs w:val="20"/>
          <w:b w:val="1"/>
          <w:bCs w:val="1"/>
          <w:color w:val="auto"/>
        </w:rPr>
        <w:t>Borrowing.</w:t>
      </w:r>
    </w:p>
    <w:p>
      <w:pPr>
        <w:spacing w:after="0" w:line="252" w:lineRule="exact"/>
        <w:rPr>
          <w:sz w:val="20"/>
          <w:szCs w:val="20"/>
          <w:color w:val="auto"/>
        </w:rPr>
      </w:pPr>
    </w:p>
    <w:p>
      <w:pPr>
        <w:ind w:left="17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RFR Business Day</w:t>
      </w:r>
      <w:r>
        <w:rPr>
          <w:rFonts w:ascii="Cambria" w:cs="Cambria" w:eastAsia="Cambria" w:hAnsi="Cambria"/>
          <w:sz w:val="20"/>
          <w:szCs w:val="20"/>
          <w:b w:val="1"/>
          <w:bCs w:val="1"/>
          <w:color w:val="auto"/>
        </w:rPr>
        <w:t>” means, for any Loan denominated in (a) Pounds Sterling, any</w:t>
      </w:r>
    </w:p>
    <w:p>
      <w:pPr>
        <w:spacing w:after="0" w:line="8" w:lineRule="exact"/>
        <w:rPr>
          <w:sz w:val="20"/>
          <w:szCs w:val="20"/>
          <w:color w:val="auto"/>
        </w:rPr>
      </w:pPr>
    </w:p>
    <w:p>
      <w:pPr>
        <w:ind w:left="40"/>
        <w:spacing w:after="0"/>
        <w:rPr>
          <w:sz w:val="20"/>
          <w:szCs w:val="20"/>
          <w:color w:val="auto"/>
        </w:rPr>
      </w:pPr>
      <w:r>
        <w:rPr>
          <w:rFonts w:ascii="Cambria" w:cs="Cambria" w:eastAsia="Cambria" w:hAnsi="Cambria"/>
          <w:sz w:val="20"/>
          <w:szCs w:val="20"/>
          <w:b w:val="1"/>
          <w:bCs w:val="1"/>
          <w:color w:val="auto"/>
        </w:rPr>
        <w:t>day except for (i) a Saturday, (ii) a Sunday or (iii) a day on which banks are closed for general business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25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rPr>
          <w:sz w:val="20"/>
          <w:szCs w:val="20"/>
          <w:color w:val="auto"/>
        </w:rPr>
      </w:pPr>
      <w:r>
        <w:rPr>
          <w:rFonts w:ascii="Cambria" w:cs="Cambria" w:eastAsia="Cambria" w:hAnsi="Cambria"/>
          <w:sz w:val="19"/>
          <w:szCs w:val="19"/>
          <w:b w:val="1"/>
          <w:bCs w:val="1"/>
          <w:color w:val="auto"/>
        </w:rPr>
        <w:t xml:space="preserve">London, (b) Swiss Francs, any day except for </w:t>
      </w:r>
      <w:r>
        <w:rPr>
          <w:rFonts w:ascii="Times New Roman" w:cs="Times New Roman" w:eastAsia="Times New Roman" w:hAnsi="Times New Roman"/>
          <w:sz w:val="19"/>
          <w:szCs w:val="19"/>
          <w:color w:val="auto"/>
        </w:rPr>
        <w:t>(i) a Saturday, (ii) a Sunday or (iii) a day on which banks are closed for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settlement of payments and foreign exchange transactions in Zurich </w:t>
      </w:r>
      <w:r>
        <w:rPr>
          <w:rFonts w:ascii="Cambria" w:cs="Cambria" w:eastAsia="Cambria" w:hAnsi="Cambria"/>
          <w:sz w:val="20"/>
          <w:szCs w:val="20"/>
          <w:b w:val="1"/>
          <w:bCs w:val="1"/>
          <w:color w:val="FF0000"/>
          <w:strike w:val="1"/>
        </w:rPr>
        <w:t>and</w:t>
      </w:r>
      <w:r>
        <w:rPr>
          <w:rFonts w:ascii="Cambria" w:cs="Cambria" w:eastAsia="Cambria" w:hAnsi="Cambria"/>
          <w:sz w:val="20"/>
          <w:szCs w:val="20"/>
          <w:b w:val="1"/>
          <w:bCs w:val="1"/>
          <w:color w:val="0000FF"/>
        </w:rPr>
        <w:t>,</w:t>
      </w:r>
    </w:p>
    <w:p>
      <w:pPr>
        <w:sectPr>
          <w:pgSz w:w="11900" w:h="16838" w:orient="portrait"/>
          <w:cols w:equalWidth="0" w:num="1">
            <w:col w:w="10019"/>
          </w:cols>
          <w:pgMar w:left="440" w:top="1409"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0019"/>
          </w:cols>
          <w:pgMar w:left="440" w:top="1409" w:right="1440" w:bottom="1440" w:gutter="0" w:footer="0" w:header="0"/>
          <w:type w:val="continuous"/>
        </w:sectPr>
      </w:pPr>
    </w:p>
    <w:bookmarkStart w:id="73" w:name="page74"/>
    <w:bookmarkEnd w:id="73"/>
    <w:p>
      <w:pPr>
        <w:jc w:val="both"/>
        <w:ind w:left="4" w:right="219" w:hanging="4"/>
        <w:spacing w:after="0" w:line="256" w:lineRule="auto"/>
        <w:tabs>
          <w:tab w:leader="none" w:pos="561" w:val="left"/>
        </w:tabs>
        <w:numPr>
          <w:ilvl w:val="0"/>
          <w:numId w:val="5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Dollars, a U.S. Government Securities Business Day </w:t>
      </w:r>
      <w:r>
        <w:rPr>
          <w:rFonts w:ascii="Cambria" w:cs="Cambria" w:eastAsia="Cambria" w:hAnsi="Cambria"/>
          <w:sz w:val="20"/>
          <w:szCs w:val="20"/>
          <w:b w:val="1"/>
          <w:bCs w:val="1"/>
          <w:u w:val="single" w:color="auto"/>
          <w:color w:val="0000FF"/>
        </w:rPr>
        <w:t>and (d)</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Canadian Dollars, any day except for (i) a</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Saturday, (ii) a Sunday or (iii) a day on which commercial banks in Toronto are authorized o</w:t>
      </w:r>
      <w:r>
        <w:rPr>
          <w:rFonts w:ascii="Times New Roman" w:cs="Times New Roman" w:eastAsia="Times New Roman" w:hAnsi="Times New Roman"/>
          <w:sz w:val="20"/>
          <w:szCs w:val="20"/>
          <w:b w:val="1"/>
          <w:bCs w:val="1"/>
          <w:color w:val="0000FF"/>
        </w:rPr>
        <w:t xml:space="preserve">r </w:t>
      </w:r>
      <w:r>
        <w:rPr>
          <w:rFonts w:ascii="Times New Roman" w:cs="Times New Roman" w:eastAsia="Times New Roman" w:hAnsi="Times New Roman"/>
          <w:sz w:val="20"/>
          <w:szCs w:val="20"/>
          <w:b w:val="1"/>
          <w:bCs w:val="1"/>
          <w:u w:val="single" w:color="auto"/>
          <w:color w:val="0000FF"/>
        </w:rPr>
        <w:t>require</w:t>
      </w:r>
      <w:r>
        <w:rPr>
          <w:rFonts w:ascii="Times New Roman" w:cs="Times New Roman" w:eastAsia="Times New Roman" w:hAnsi="Times New Roman"/>
          <w:sz w:val="20"/>
          <w:szCs w:val="20"/>
          <w:b w:val="1"/>
          <w:bCs w:val="1"/>
          <w:color w:val="0000FF"/>
        </w:rPr>
        <w:t xml:space="preserve">d </w:t>
      </w:r>
      <w:r>
        <w:rPr>
          <w:rFonts w:ascii="Times New Roman" w:cs="Times New Roman" w:eastAsia="Times New Roman" w:hAnsi="Times New Roman"/>
          <w:sz w:val="20"/>
          <w:szCs w:val="20"/>
          <w:b w:val="1"/>
          <w:bCs w:val="1"/>
          <w:u w:val="single" w:color="auto"/>
          <w:color w:val="0000FF"/>
        </w:rPr>
        <w:t>t</w:t>
      </w:r>
      <w:r>
        <w:rPr>
          <w:rFonts w:ascii="Times New Roman" w:cs="Times New Roman" w:eastAsia="Times New Roman" w:hAnsi="Times New Roman"/>
          <w:sz w:val="20"/>
          <w:szCs w:val="20"/>
          <w:b w:val="1"/>
          <w:bCs w:val="1"/>
          <w:color w:val="0000FF"/>
        </w:rPr>
        <w:t xml:space="preserve">o </w:t>
      </w:r>
      <w:r>
        <w:rPr>
          <w:rFonts w:ascii="Times New Roman" w:cs="Times New Roman" w:eastAsia="Times New Roman" w:hAnsi="Times New Roman"/>
          <w:sz w:val="20"/>
          <w:szCs w:val="20"/>
          <w:b w:val="1"/>
          <w:bCs w:val="1"/>
          <w:u w:val="single" w:color="auto"/>
          <w:color w:val="0000FF"/>
        </w:rPr>
        <w:t>remai</w:t>
      </w:r>
      <w:r>
        <w:rPr>
          <w:rFonts w:ascii="Times New Roman" w:cs="Times New Roman" w:eastAsia="Times New Roman" w:hAnsi="Times New Roman"/>
          <w:sz w:val="20"/>
          <w:szCs w:val="20"/>
          <w:b w:val="1"/>
          <w:bCs w:val="1"/>
          <w:color w:val="0000FF"/>
        </w:rPr>
        <w:t>n closed</w:t>
      </w:r>
      <w:r>
        <w:rPr>
          <w:rFonts w:ascii="Cambria" w:cs="Cambria" w:eastAsia="Cambria" w:hAnsi="Cambria"/>
          <w:sz w:val="20"/>
          <w:szCs w:val="20"/>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-338455</wp:posOffset>
            </wp:positionV>
            <wp:extent cx="368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22" w:lineRule="exact"/>
        <w:rPr>
          <w:sz w:val="20"/>
          <w:szCs w:val="20"/>
          <w:color w:val="auto"/>
        </w:rPr>
      </w:pPr>
    </w:p>
    <w:p>
      <w:pPr>
        <w:ind w:left="1304" w:right="479"/>
        <w:spacing w:after="0" w:line="386"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RFR Interest Day</w:t>
      </w:r>
      <w:r>
        <w:rPr>
          <w:rFonts w:ascii="Cambria" w:cs="Cambria" w:eastAsia="Cambria" w:hAnsi="Cambria"/>
          <w:sz w:val="20"/>
          <w:szCs w:val="20"/>
          <w:b w:val="1"/>
          <w:bCs w:val="1"/>
          <w:color w:val="auto"/>
        </w:rPr>
        <w:t>” has the meaning specified in the definition of “Daily Simple RFR”. “</w:t>
      </w:r>
      <w:r>
        <w:rPr>
          <w:rFonts w:ascii="Cambria" w:cs="Cambria" w:eastAsia="Cambria" w:hAnsi="Cambria"/>
          <w:sz w:val="20"/>
          <w:szCs w:val="20"/>
          <w:b w:val="1"/>
          <w:bCs w:val="1"/>
          <w:u w:val="single" w:color="auto"/>
          <w:color w:val="auto"/>
        </w:rPr>
        <w:t>RFR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Loan</w:t>
      </w:r>
      <w:r>
        <w:rPr>
          <w:rFonts w:ascii="Cambria" w:cs="Cambria" w:eastAsia="Cambria" w:hAnsi="Cambria"/>
          <w:sz w:val="20"/>
          <w:szCs w:val="20"/>
          <w:b w:val="1"/>
          <w:bCs w:val="1"/>
          <w:color w:val="auto"/>
        </w:rPr>
        <w:t>” means a Loan that bears interest at a rate based on the Adjusted Daily</w:t>
      </w:r>
    </w:p>
    <w:p>
      <w:pPr>
        <w:ind w:left="4"/>
        <w:spacing w:after="0" w:line="237" w:lineRule="auto"/>
        <w:rPr>
          <w:sz w:val="20"/>
          <w:szCs w:val="20"/>
          <w:color w:val="auto"/>
        </w:rPr>
      </w:pPr>
      <w:r>
        <w:rPr>
          <w:rFonts w:ascii="Cambria" w:cs="Cambria" w:eastAsia="Cambria" w:hAnsi="Cambria"/>
          <w:sz w:val="20"/>
          <w:szCs w:val="20"/>
          <w:b w:val="1"/>
          <w:bCs w:val="1"/>
          <w:color w:val="auto"/>
        </w:rPr>
        <w:t>Simple RFR.</w:t>
      </w:r>
    </w:p>
    <w:p>
      <w:pPr>
        <w:spacing w:after="0" w:line="20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Services, a Standard &amp; Poor’s Financial Services LLC business.</w:t>
      </w:r>
    </w:p>
    <w:p>
      <w:pPr>
        <w:spacing w:after="0" w:line="256" w:lineRule="exact"/>
        <w:rPr>
          <w:sz w:val="20"/>
          <w:szCs w:val="20"/>
          <w:color w:val="auto"/>
        </w:rPr>
      </w:pPr>
    </w:p>
    <w:p>
      <w:pPr>
        <w:ind w:left="4" w:right="239"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Sale and Leaseback Transaction</w:t>
      </w:r>
      <w:r>
        <w:rPr>
          <w:rFonts w:ascii="Times New Roman" w:cs="Times New Roman" w:eastAsia="Times New Roman" w:hAnsi="Times New Roman"/>
          <w:sz w:val="19"/>
          <w:szCs w:val="19"/>
          <w:color w:val="auto"/>
        </w:rPr>
        <w:t>” means any sale or other transfer of any real property by any Person with the intent to lease such real property as lessee which is considered a sale leaseback transaction in accordance with GAAP.</w:t>
      </w:r>
    </w:p>
    <w:p>
      <w:pPr>
        <w:spacing w:after="0" w:line="165" w:lineRule="exact"/>
        <w:rPr>
          <w:sz w:val="20"/>
          <w:szCs w:val="20"/>
          <w:color w:val="auto"/>
        </w:rPr>
      </w:pPr>
    </w:p>
    <w:p>
      <w:pPr>
        <w:jc w:val="both"/>
        <w:ind w:left="4" w:right="21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spacing w:after="0" w:line="208" w:lineRule="exact"/>
        <w:rPr>
          <w:sz w:val="20"/>
          <w:szCs w:val="20"/>
          <w:color w:val="auto"/>
        </w:rPr>
      </w:pPr>
    </w:p>
    <w:p>
      <w:pPr>
        <w:jc w:val="both"/>
        <w:ind w:left="4" w:right="259"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means, at any time, (a) any Person listed in any Sanctions-related list of designated Persons that is published publicly and maintained by OFAC, the U.S. Department of State, the United Nations Security Council, the EU, Her Majesty’s Treasury of the United Kingdom or any other relevant sanctions authority of a jurisdiction in which a Borrower is organized or where there are Borrowings, (b) any Person operating, organized or resident in a Sanctioned Country, (c) any Person owned or controlled by any such Person or Persons described in the foregoing clauses</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 or (b), or (d) any Person otherwise the subject of any Sanctions.</w:t>
      </w:r>
    </w:p>
    <w:p>
      <w:pPr>
        <w:spacing w:after="0" w:line="241" w:lineRule="exact"/>
        <w:rPr>
          <w:sz w:val="20"/>
          <w:szCs w:val="20"/>
          <w:color w:val="auto"/>
        </w:rPr>
      </w:pPr>
    </w:p>
    <w:p>
      <w:pPr>
        <w:jc w:val="both"/>
        <w:ind w:left="4" w:right="239"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or trade embargoes imposed, administered or enforced from time to time by (a) the U.S. government, including those administered by OFAC or the U.S. Department of State or (b) the United Nations Security Council, the EU, Her Majesty’s Treasury of the United Kingdom or any other relevant sanctions authority of a jurisdiction in which a Borrower is organized or where there are Borrowings.</w:t>
      </w:r>
    </w:p>
    <w:p>
      <w:pPr>
        <w:spacing w:after="0" w:line="228" w:lineRule="exact"/>
        <w:rPr>
          <w:sz w:val="20"/>
          <w:szCs w:val="20"/>
          <w:color w:val="auto"/>
        </w:rPr>
      </w:pPr>
    </w:p>
    <w:p>
      <w:pPr>
        <w:jc w:val="both"/>
        <w:ind w:left="4"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SARON</w:t>
      </w:r>
      <w:r>
        <w:rPr>
          <w:rFonts w:ascii="Times New Roman" w:cs="Times New Roman" w:eastAsia="Times New Roman" w:hAnsi="Times New Roman"/>
          <w:sz w:val="20"/>
          <w:szCs w:val="20"/>
          <w:color w:val="auto"/>
        </w:rPr>
        <w:t>” means, with respect to any Business Day, a rate per annum equal to the Swiss Average Rate Overnight for such Business Day published by the SARON Administrator on the SARON Administrator’s Website.</w:t>
      </w:r>
    </w:p>
    <w:p>
      <w:pPr>
        <w:spacing w:after="0" w:line="213" w:lineRule="exact"/>
        <w:rPr>
          <w:sz w:val="20"/>
          <w:szCs w:val="20"/>
          <w:color w:val="auto"/>
        </w:rPr>
      </w:pPr>
    </w:p>
    <w:p>
      <w:pPr>
        <w:jc w:val="both"/>
        <w:ind w:left="4"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SARON Administrator</w:t>
      </w:r>
      <w:r>
        <w:rPr>
          <w:rFonts w:ascii="Times New Roman" w:cs="Times New Roman" w:eastAsia="Times New Roman" w:hAnsi="Times New Roman"/>
          <w:sz w:val="20"/>
          <w:szCs w:val="20"/>
          <w:color w:val="auto"/>
        </w:rPr>
        <w:t>” means the SIX Swiss Exchange AG (or any successor administrator of the Swiss Average Rate Overnight).</w:t>
      </w:r>
    </w:p>
    <w:p>
      <w:pPr>
        <w:spacing w:after="0" w:line="200" w:lineRule="exact"/>
        <w:rPr>
          <w:sz w:val="20"/>
          <w:szCs w:val="20"/>
          <w:color w:val="auto"/>
        </w:rPr>
      </w:pPr>
    </w:p>
    <w:p>
      <w:pPr>
        <w:jc w:val="both"/>
        <w:ind w:left="4" w:right="259"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SARON Administrator’s Website</w:t>
      </w:r>
      <w:r>
        <w:rPr>
          <w:rFonts w:ascii="Times New Roman" w:cs="Times New Roman" w:eastAsia="Times New Roman" w:hAnsi="Times New Roman"/>
          <w:sz w:val="20"/>
          <w:szCs w:val="20"/>
          <w:color w:val="auto"/>
        </w:rPr>
        <w:t>” means SIX Swiss Exchange AG’s website, currently at https://www.six-group.com, or any successor source for the Swiss Average Rate Overnight identified as such by the SARON Administrator from time to time.</w:t>
      </w:r>
    </w:p>
    <w:p>
      <w:pPr>
        <w:spacing w:after="0" w:line="20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56" w:lineRule="exact"/>
        <w:rPr>
          <w:sz w:val="20"/>
          <w:szCs w:val="20"/>
          <w:color w:val="auto"/>
        </w:rPr>
      </w:pPr>
    </w:p>
    <w:p>
      <w:pPr>
        <w:jc w:val="both"/>
        <w:ind w:left="4"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(i) each Foreign Subsidiary Borrower and (ii) each other Subsidiary which, as of the most recent fiscal quarter of the Company, for the period of four consecutive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0023"/>
          </w:cols>
          <w:pgMar w:left="436" w:top="1436" w:right="1440" w:bottom="1440" w:gutter="0" w:footer="0" w:header="0"/>
        </w:sectPr>
      </w:pPr>
    </w:p>
    <w:bookmarkStart w:id="74" w:name="page75"/>
    <w:bookmarkEnd w:id="74"/>
    <w:p>
      <w:pPr>
        <w:ind w:right="299"/>
        <w:spacing w:after="0" w:line="283" w:lineRule="auto"/>
        <w:rPr>
          <w:sz w:val="20"/>
          <w:szCs w:val="20"/>
          <w:color w:val="auto"/>
        </w:rPr>
      </w:pPr>
      <w:r>
        <w:rPr>
          <w:rFonts w:ascii="Times New Roman" w:cs="Times New Roman" w:eastAsia="Times New Roman" w:hAnsi="Times New Roman"/>
          <w:sz w:val="20"/>
          <w:szCs w:val="20"/>
          <w:color w:val="auto"/>
        </w:rPr>
        <w:t>fiscal quarters then ended, for which financial statements have been delivered pursuant to Section 5.01, contributed greater than ten percent (10%) of Consolidated Total Assets as of such date.</w:t>
      </w:r>
    </w:p>
    <w:p>
      <w:pPr>
        <w:spacing w:after="0" w:line="18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Administrator.</w:t>
      </w:r>
    </w:p>
    <w:p>
      <w:pPr>
        <w:spacing w:after="0" w:line="2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NYFRB (or a successor administrator of the secured overnight financing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w:t>
      </w:r>
    </w:p>
    <w:p>
      <w:pPr>
        <w:spacing w:after="0" w:line="248"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20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80" w:lineRule="exact"/>
        <w:rPr>
          <w:sz w:val="20"/>
          <w:szCs w:val="20"/>
          <w:color w:val="auto"/>
        </w:rPr>
      </w:pPr>
    </w:p>
    <w:p>
      <w:pPr>
        <w:jc w:val="both"/>
        <w:ind w:right="239" w:firstLine="1296"/>
        <w:spacing w:after="0" w:line="248"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SONIA</w:t>
      </w:r>
      <w:r>
        <w:rPr>
          <w:rFonts w:ascii="Cambria" w:cs="Cambria" w:eastAsia="Cambria" w:hAnsi="Cambria"/>
          <w:sz w:val="20"/>
          <w:szCs w:val="20"/>
          <w:b w:val="1"/>
          <w:bCs w:val="1"/>
          <w:color w:val="auto"/>
        </w:rPr>
        <w:t xml:space="preserve">” means, with respect to any Business Day, a rate per annum equal to the Sterling Overnight Index Average for such Business Day published by the SONIA Administrator on the SONIA Administrator’s Website </w:t>
      </w:r>
      <w:r>
        <w:rPr>
          <w:rFonts w:ascii="Times New Roman" w:cs="Times New Roman" w:eastAsia="Times New Roman" w:hAnsi="Times New Roman"/>
          <w:sz w:val="20"/>
          <w:szCs w:val="20"/>
          <w:color w:val="auto"/>
        </w:rPr>
        <w:t>on the immediately succeeding Business Day</w:t>
      </w:r>
      <w:r>
        <w:rPr>
          <w:rFonts w:ascii="Cambria" w:cs="Cambria" w:eastAsia="Cambria" w:hAnsi="Cambria"/>
          <w:sz w:val="20"/>
          <w:szCs w:val="20"/>
          <w:b w:val="1"/>
          <w:bCs w:val="1"/>
          <w:color w:val="auto"/>
        </w:rPr>
        <w:t>.</w:t>
      </w:r>
    </w:p>
    <w:p>
      <w:pPr>
        <w:spacing w:after="0" w:line="245" w:lineRule="exact"/>
        <w:rPr>
          <w:sz w:val="20"/>
          <w:szCs w:val="20"/>
          <w:color w:val="auto"/>
        </w:rPr>
      </w:pPr>
    </w:p>
    <w:p>
      <w:pPr>
        <w:jc w:val="both"/>
        <w:ind w:right="239" w:firstLine="1296"/>
        <w:spacing w:after="0" w:line="24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SONIA Administrator</w:t>
      </w:r>
      <w:r>
        <w:rPr>
          <w:rFonts w:ascii="Cambria" w:cs="Cambria" w:eastAsia="Cambria" w:hAnsi="Cambria"/>
          <w:sz w:val="20"/>
          <w:szCs w:val="20"/>
          <w:b w:val="1"/>
          <w:bCs w:val="1"/>
          <w:color w:val="auto"/>
        </w:rPr>
        <w:t>” means the Bank of England (or any successor administrator of the Sterling Overnight Index Average).</w:t>
      </w:r>
    </w:p>
    <w:p>
      <w:pPr>
        <w:spacing w:after="0" w:line="252" w:lineRule="exact"/>
        <w:rPr>
          <w:sz w:val="20"/>
          <w:szCs w:val="20"/>
          <w:color w:val="auto"/>
        </w:rPr>
      </w:pPr>
    </w:p>
    <w:p>
      <w:pPr>
        <w:jc w:val="both"/>
        <w:ind w:right="239" w:firstLine="1296"/>
        <w:spacing w:after="0" w:line="239"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SONIA Administrator’s Website</w:t>
      </w:r>
      <w:r>
        <w:rPr>
          <w:rFonts w:ascii="Cambria" w:cs="Cambria" w:eastAsia="Cambria" w:hAnsi="Cambria"/>
          <w:sz w:val="20"/>
          <w:szCs w:val="20"/>
          <w:b w:val="1"/>
          <w:bCs w:val="1"/>
          <w:color w:val="auto"/>
        </w:rPr>
        <w:t>” means the Bank of England’s website, currently at http://www.bankofengland.co.uk, or any successor source for the Sterling Overnight Index Average identified as such by the SONIA Administrator from time to time.</w:t>
      </w:r>
    </w:p>
    <w:p>
      <w:pPr>
        <w:spacing w:after="0" w:line="234" w:lineRule="exact"/>
        <w:rPr>
          <w:sz w:val="20"/>
          <w:szCs w:val="20"/>
          <w:color w:val="auto"/>
        </w:rPr>
      </w:pPr>
    </w:p>
    <w:p>
      <w:pPr>
        <w:jc w:val="both"/>
        <w:ind w:right="219"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Statutory Reserve Rate</w:t>
      </w:r>
      <w:r>
        <w:rPr>
          <w:rFonts w:ascii="Times New Roman" w:cs="Times New Roman" w:eastAsia="Times New Roman" w:hAnsi="Times New Roman"/>
          <w:sz w:val="19"/>
          <w:szCs w:val="19"/>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or the Adjusted TIBO Rate, as applicable,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195" w:lineRule="exact"/>
        <w:rPr>
          <w:sz w:val="20"/>
          <w:szCs w:val="20"/>
          <w:color w:val="auto"/>
        </w:rPr>
      </w:pPr>
    </w:p>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the Company or any Subsidiary the payment of which is subordinated to payment of the obligations under the Loan Documents.</w:t>
      </w:r>
    </w:p>
    <w:p>
      <w:pPr>
        <w:spacing w:after="0" w:line="187"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0019"/>
          </w:cols>
          <w:pgMar w:left="440" w:top="1413" w:right="1440" w:bottom="1440" w:gutter="0" w:footer="0" w:header="0"/>
          <w:type w:val="continuous"/>
        </w:sectPr>
      </w:pPr>
    </w:p>
    <w:bookmarkStart w:id="75" w:name="page76"/>
    <w:bookmarkEnd w:id="75"/>
    <w:p>
      <w:pPr>
        <w:jc w:val="both"/>
        <w:ind w:right="239"/>
        <w:spacing w:after="0" w:line="283" w:lineRule="auto"/>
        <w:rPr>
          <w:sz w:val="20"/>
          <w:szCs w:val="20"/>
          <w:color w:val="auto"/>
        </w:rPr>
      </w:pPr>
      <w:r>
        <w:rPr>
          <w:rFonts w:ascii="Times New Roman" w:cs="Times New Roman" w:eastAsia="Times New Roman" w:hAnsi="Times New Roman"/>
          <w:sz w:val="20"/>
          <w:szCs w:val="20"/>
          <w:color w:val="auto"/>
        </w:rPr>
        <w:t>such date, owned, Controlled or held, or (b) that is, as of such date, otherwise Controlled, by the parent or one or more subsidiaries of the parent or by the parent and one or more subsidiaries of the parent.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the Company.</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it in Section 9.19.</w:t>
      </w:r>
    </w:p>
    <w:p>
      <w:pPr>
        <w:spacing w:after="0" w:line="256"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Francs</w:t>
      </w:r>
      <w:r>
        <w:rPr>
          <w:rFonts w:ascii="Times New Roman" w:cs="Times New Roman" w:eastAsia="Times New Roman" w:hAnsi="Times New Roman"/>
          <w:sz w:val="20"/>
          <w:szCs w:val="20"/>
          <w:color w:val="auto"/>
        </w:rPr>
        <w:t>” means the lawful currency of Switzerland.</w:t>
      </w:r>
    </w:p>
    <w:p>
      <w:pPr>
        <w:spacing w:after="0" w:line="256" w:lineRule="exact"/>
        <w:rPr>
          <w:sz w:val="20"/>
          <w:szCs w:val="20"/>
          <w:color w:val="auto"/>
        </w:rPr>
      </w:pPr>
    </w:p>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w:t>
      </w:r>
      <w:r>
        <w:rPr>
          <w:rFonts w:ascii="Times New Roman" w:cs="Times New Roman" w:eastAsia="Times New Roman" w:hAnsi="Times New Roman"/>
          <w:sz w:val="20"/>
          <w:szCs w:val="20"/>
          <w:color w:val="auto"/>
        </w:rPr>
        <w:t>” means the Trans-European Automated Real-time Gross Settlement Express Transfer payment system which utilizes a single shared platform and which was launched on November 19, 2007.</w:t>
      </w:r>
    </w:p>
    <w:p>
      <w:pPr>
        <w:spacing w:after="0" w:line="187" w:lineRule="exact"/>
        <w:rPr>
          <w:sz w:val="20"/>
          <w:szCs w:val="20"/>
          <w:color w:val="auto"/>
        </w:rPr>
      </w:pPr>
    </w:p>
    <w:p>
      <w:pPr>
        <w:jc w:val="both"/>
        <w:ind w:right="21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TARGET2 (or, if such payment system ceases to be operative, such other payment system, if any, reasonably determined by the Administrative Agent to be a suitable replacement) is open for the settlement of payments in euro.</w:t>
      </w: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Act</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w:t>
      </w:r>
    </w:p>
    <w:p>
      <w:pPr>
        <w:spacing w:after="0" w:line="260" w:lineRule="exact"/>
        <w:rPr>
          <w:sz w:val="20"/>
          <w:szCs w:val="20"/>
          <w:color w:val="auto"/>
        </w:rPr>
      </w:pPr>
    </w:p>
    <w:p>
      <w:pPr>
        <w:ind w:right="25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a Loan Document is either:</w:t>
      </w:r>
    </w:p>
    <w:p>
      <w:pPr>
        <w:spacing w:after="0" w:line="213" w:lineRule="exact"/>
        <w:rPr>
          <w:sz w:val="20"/>
          <w:szCs w:val="20"/>
          <w:color w:val="auto"/>
        </w:rPr>
      </w:pPr>
    </w:p>
    <w:p>
      <w:pPr>
        <w:ind w:left="1920" w:hanging="630"/>
        <w:spacing w:after="0"/>
        <w:tabs>
          <w:tab w:leader="none" w:pos="19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 or</w:t>
      </w:r>
    </w:p>
    <w:p>
      <w:pPr>
        <w:spacing w:after="0" w:line="256" w:lineRule="exact"/>
        <w:rPr>
          <w:rFonts w:ascii="Times New Roman" w:cs="Times New Roman" w:eastAsia="Times New Roman" w:hAnsi="Times New Roman"/>
          <w:sz w:val="20"/>
          <w:szCs w:val="20"/>
          <w:color w:val="auto"/>
        </w:rPr>
      </w:pPr>
    </w:p>
    <w:p>
      <w:pPr>
        <w:ind w:left="1920" w:hanging="630"/>
        <w:spacing w:after="0"/>
        <w:tabs>
          <w:tab w:leader="none" w:pos="19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56" w:lineRule="exact"/>
        <w:rPr>
          <w:rFonts w:ascii="Times New Roman" w:cs="Times New Roman" w:eastAsia="Times New Roman" w:hAnsi="Times New Roman"/>
          <w:sz w:val="20"/>
          <w:szCs w:val="20"/>
          <w:color w:val="auto"/>
        </w:rPr>
      </w:pPr>
    </w:p>
    <w:p>
      <w:pPr>
        <w:ind w:left="2580" w:hanging="642"/>
        <w:spacing w:after="0"/>
        <w:tabs>
          <w:tab w:leader="none" w:pos="258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or</w:t>
      </w:r>
    </w:p>
    <w:p>
      <w:pPr>
        <w:spacing w:after="0" w:line="269" w:lineRule="exact"/>
        <w:rPr>
          <w:rFonts w:ascii="Times New Roman" w:cs="Times New Roman" w:eastAsia="Times New Roman" w:hAnsi="Times New Roman"/>
          <w:sz w:val="20"/>
          <w:szCs w:val="20"/>
          <w:color w:val="auto"/>
        </w:rPr>
      </w:pPr>
    </w:p>
    <w:p>
      <w:pPr>
        <w:jc w:val="both"/>
        <w:ind w:left="1300" w:right="239" w:firstLine="639"/>
        <w:spacing w:after="0" w:line="254" w:lineRule="auto"/>
        <w:tabs>
          <w:tab w:leader="none" w:pos="247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(for the purposes of section 19 of the CTA) the whole of any share of interest payable in respect of that advance that falls to it by reason of Part 17 of the CTA; or</w:t>
      </w:r>
    </w:p>
    <w:p>
      <w:pPr>
        <w:spacing w:after="0" w:line="227" w:lineRule="exact"/>
        <w:rPr>
          <w:rFonts w:ascii="Times New Roman" w:cs="Times New Roman" w:eastAsia="Times New Roman" w:hAnsi="Times New Roman"/>
          <w:sz w:val="20"/>
          <w:szCs w:val="20"/>
          <w:color w:val="auto"/>
        </w:rPr>
      </w:pPr>
    </w:p>
    <w:p>
      <w:pPr>
        <w:jc w:val="both"/>
        <w:ind w:left="640" w:right="239" w:firstLine="651"/>
        <w:spacing w:after="0" w:line="261" w:lineRule="auto"/>
        <w:tabs>
          <w:tab w:leader="none" w:pos="18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its chargeable profits (within the meaning given by section 19 of the CTA).</w:t>
      </w:r>
    </w:p>
    <w:p>
      <w:pPr>
        <w:spacing w:after="0" w:line="1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 Credit</w:t>
      </w:r>
      <w:r>
        <w:rPr>
          <w:rFonts w:ascii="Times New Roman" w:cs="Times New Roman" w:eastAsia="Times New Roman" w:hAnsi="Times New Roman"/>
          <w:sz w:val="19"/>
          <w:szCs w:val="19"/>
          <w:color w:val="auto"/>
        </w:rPr>
        <w:t>” means a credit against, relief of remission for or repayment of any UK Tax. “</w:t>
      </w:r>
      <w:r>
        <w:rPr>
          <w:rFonts w:ascii="Times New Roman" w:cs="Times New Roman" w:eastAsia="Times New Roman" w:hAnsi="Times New Roman"/>
          <w:sz w:val="19"/>
          <w:szCs w:val="19"/>
          <w:u w:val="single" w:color="auto"/>
          <w:color w:val="auto"/>
        </w:rPr>
        <w:t>Tax Deduction</w:t>
      </w:r>
      <w:r>
        <w:rPr>
          <w:rFonts w:ascii="Times New Roman" w:cs="Times New Roman" w:eastAsia="Times New Roman" w:hAnsi="Times New Roman"/>
          <w:sz w:val="19"/>
          <w:szCs w:val="19"/>
          <w:color w:val="auto"/>
        </w:rPr>
        <w:t>”</w:t>
      </w:r>
    </w:p>
    <w:p>
      <w:pPr>
        <w:spacing w:after="0" w:line="295" w:lineRule="exact"/>
        <w:rPr>
          <w:sz w:val="20"/>
          <w:szCs w:val="20"/>
          <w:color w:val="auto"/>
        </w:rPr>
      </w:pPr>
    </w:p>
    <w:p>
      <w:pPr>
        <w:ind w:right="3159" w:firstLine="1296"/>
        <w:spacing w:after="0" w:line="424" w:lineRule="auto"/>
        <w:rPr>
          <w:sz w:val="20"/>
          <w:szCs w:val="20"/>
          <w:color w:val="auto"/>
        </w:rPr>
      </w:pPr>
      <w:r>
        <w:rPr>
          <w:rFonts w:ascii="Times New Roman" w:cs="Times New Roman" w:eastAsia="Times New Roman" w:hAnsi="Times New Roman"/>
          <w:sz w:val="20"/>
          <w:szCs w:val="20"/>
          <w:color w:val="auto"/>
        </w:rPr>
        <w:t>means a deduction or withholding for or on account of UK Tax from a payment under any Loan Document.</w:t>
      </w:r>
    </w:p>
    <w:p>
      <w:pPr>
        <w:sectPr>
          <w:pgSz w:w="11900" w:h="16838" w:orient="portrait"/>
          <w:cols w:equalWidth="0" w:num="1">
            <w:col w:w="10019"/>
          </w:cols>
          <w:pgMar w:left="440" w:top="1413" w:right="1440" w:bottom="1440" w:gutter="0" w:footer="0" w:header="0"/>
        </w:sectPr>
      </w:pPr>
    </w:p>
    <w:p>
      <w:pPr>
        <w:spacing w:after="0" w:line="3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0019"/>
          </w:cols>
          <w:pgMar w:left="440" w:top="1413" w:right="1440" w:bottom="1440" w:gutter="0" w:footer="0" w:header="0"/>
          <w:type w:val="continuous"/>
        </w:sectPr>
      </w:pPr>
    </w:p>
    <w:bookmarkStart w:id="76" w:name="page77"/>
    <w:bookmarkEnd w:id="76"/>
    <w:p>
      <w:pPr>
        <w:jc w:val="both"/>
        <w:ind w:left="4" w:right="259" w:firstLine="1215"/>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Payment</w:t>
      </w:r>
      <w:r>
        <w:rPr>
          <w:rFonts w:ascii="Times New Roman" w:cs="Times New Roman" w:eastAsia="Times New Roman" w:hAnsi="Times New Roman"/>
          <w:sz w:val="20"/>
          <w:szCs w:val="20"/>
          <w:color w:val="auto"/>
        </w:rPr>
        <w:t>” means either an increased payment made by a Borrower to a Lender under Section 2.18(d) or a payment under Section 2.18(k).</w:t>
      </w:r>
    </w:p>
    <w:p>
      <w:pPr>
        <w:spacing w:after="0" w:line="187" w:lineRule="exact"/>
        <w:rPr>
          <w:sz w:val="20"/>
          <w:szCs w:val="20"/>
          <w:color w:val="auto"/>
        </w:rPr>
      </w:pPr>
    </w:p>
    <w:p>
      <w:pPr>
        <w:jc w:val="both"/>
        <w:ind w:left="4"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but excluding UK Tax.</w:t>
      </w:r>
    </w:p>
    <w:p>
      <w:pPr>
        <w:spacing w:after="0" w:line="213" w:lineRule="exact"/>
        <w:rPr>
          <w:sz w:val="20"/>
          <w:szCs w:val="20"/>
          <w:color w:val="auto"/>
        </w:rPr>
      </w:pPr>
    </w:p>
    <w:p>
      <w:pPr>
        <w:jc w:val="both"/>
        <w:ind w:left="4"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xml:space="preserve">”, when used in reference to any Loan or Borrowing, means that such Loan, or the Loans comprising such Borrowing, bears interest at a rate determined by reference to the Adjusted Term SOFR Rate, the Adjusted EURIBO Rate, the Adjusted TIBO Rate or the </w:t>
      </w:r>
      <w:r>
        <w:rPr>
          <w:rFonts w:ascii="Times New Roman" w:cs="Times New Roman" w:eastAsia="Times New Roman" w:hAnsi="Times New Roman"/>
          <w:sz w:val="20"/>
          <w:szCs w:val="20"/>
          <w:b w:val="1"/>
          <w:bCs w:val="1"/>
          <w:color w:val="FF0000"/>
          <w:strike w:val="1"/>
        </w:rPr>
        <w:t>CDOR</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color w:val="auto"/>
        </w:rPr>
        <w:t xml:space="preserve"> Rate.</w:t>
      </w:r>
    </w:p>
    <w:p>
      <w:pPr>
        <w:spacing w:after="0" w:line="285" w:lineRule="exact"/>
        <w:rPr>
          <w:sz w:val="20"/>
          <w:szCs w:val="20"/>
          <w:color w:val="auto"/>
        </w:rPr>
      </w:pPr>
    </w:p>
    <w:p>
      <w:pPr>
        <w:jc w:val="both"/>
        <w:ind w:left="4" w:right="199" w:firstLine="1296"/>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0000FF"/>
        </w:rPr>
        <w:t xml:space="preserve">“Term CORRA” means, for any calculation with respect to any Term Benchmark Borrowing denominated in Canadian Dollars,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w:t>
      </w:r>
      <w:r>
        <w:rPr>
          <w:rFonts w:ascii="Times New Roman" w:cs="Times New Roman" w:eastAsia="Times New Roman" w:hAnsi="Times New Roman"/>
          <w:sz w:val="20"/>
          <w:szCs w:val="20"/>
          <w:b w:val="1"/>
          <w:bCs w:val="1"/>
          <w:i w:val="1"/>
          <w:iCs w:val="1"/>
          <w:u w:val="single" w:color="auto"/>
          <w:color w:val="0000FF"/>
        </w:rPr>
        <w:t>provided</w:t>
      </w:r>
      <w:r>
        <w:rPr>
          <w:rFonts w:ascii="Times New Roman" w:cs="Times New Roman" w:eastAsia="Times New Roman" w:hAnsi="Times New Roman"/>
          <w:sz w:val="20"/>
          <w:szCs w:val="20"/>
          <w:b w:val="1"/>
          <w:bCs w:val="1"/>
          <w:u w:val="single" w:color="auto"/>
          <w:color w:val="0000FF"/>
        </w:rPr>
        <w:t>,</w:t>
      </w:r>
      <w:r>
        <w:rPr>
          <w:rFonts w:ascii="Times New Roman" w:cs="Times New Roman" w:eastAsia="Times New Roman" w:hAnsi="Times New Roman"/>
          <w:sz w:val="20"/>
          <w:szCs w:val="20"/>
          <w:b w:val="1"/>
          <w:bCs w:val="1"/>
          <w:i w:val="1"/>
          <w:iCs w:val="1"/>
          <w:u w:val="single" w:color="auto"/>
          <w:color w:val="0000FF"/>
        </w:rPr>
        <w:t xml:space="preserve"> however</w:t>
      </w:r>
      <w:r>
        <w:rPr>
          <w:rFonts w:ascii="Times New Roman" w:cs="Times New Roman" w:eastAsia="Times New Roman" w:hAnsi="Times New Roman"/>
          <w:sz w:val="20"/>
          <w:szCs w:val="20"/>
          <w:b w:val="1"/>
          <w:bCs w:val="1"/>
          <w:u w:val="single" w:color="auto"/>
          <w:color w:val="0000FF"/>
        </w:rPr>
        <w:t>, that if as of 1:00 p.m. (Toronto time) on any Periodic Term CORRA Determination Day the Term</w:t>
      </w:r>
      <w:r>
        <w:rPr>
          <w:rFonts w:ascii="Times New Roman" w:cs="Times New Roman" w:eastAsia="Times New Roman" w:hAnsi="Times New Roman"/>
          <w:sz w:val="20"/>
          <w:szCs w:val="20"/>
          <w:b w:val="1"/>
          <w:bCs w:val="1"/>
          <w:i w:val="1"/>
          <w:iCs w:val="1"/>
          <w:u w:val="single" w:color="auto"/>
          <w:color w:val="0000FF"/>
        </w:rPr>
        <w:t xml:space="preserve"> </w:t>
      </w:r>
      <w:r>
        <w:rPr>
          <w:rFonts w:ascii="Times New Roman" w:cs="Times New Roman" w:eastAsia="Times New Roman" w:hAnsi="Times New Roman"/>
          <w:sz w:val="20"/>
          <w:szCs w:val="20"/>
          <w:b w:val="1"/>
          <w:bCs w:val="1"/>
          <w:u w:val="single" w:color="auto"/>
          <w:color w:val="0000FF"/>
        </w:rPr>
        <w:t>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297" w:lineRule="exact"/>
        <w:rPr>
          <w:sz w:val="20"/>
          <w:szCs w:val="20"/>
          <w:color w:val="auto"/>
        </w:rPr>
      </w:pPr>
    </w:p>
    <w:p>
      <w:pPr>
        <w:ind w:left="4" w:right="279" w:firstLine="1296"/>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0000FF"/>
        </w:rPr>
        <w:t>“Term CORRA Administrator” means Candeal Benchmark Administration Services Inc., TSX Inc., or any successor administrator.</w:t>
      </w:r>
    </w:p>
    <w:p>
      <w:pPr>
        <w:spacing w:after="0" w:line="273" w:lineRule="exact"/>
        <w:rPr>
          <w:sz w:val="20"/>
          <w:szCs w:val="20"/>
          <w:color w:val="auto"/>
        </w:rPr>
      </w:pPr>
    </w:p>
    <w:p>
      <w:pPr>
        <w:ind w:left="4" w:right="559" w:firstLine="1296"/>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0000FF"/>
        </w:rPr>
        <w:t>“Term CORRA Notice” means a notification by the Administrative Agent to the Lenders and the Company of the occurrence of a Term CORRA Reelection Event.</w:t>
      </w:r>
    </w:p>
    <w:p>
      <w:pPr>
        <w:spacing w:after="0" w:line="273" w:lineRule="exact"/>
        <w:rPr>
          <w:sz w:val="20"/>
          <w:szCs w:val="20"/>
          <w:color w:val="auto"/>
        </w:rPr>
      </w:pPr>
    </w:p>
    <w:p>
      <w:pPr>
        <w:ind w:left="4" w:right="239" w:firstLine="1296"/>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0000FF"/>
        </w:rPr>
        <w:t>“Term CORRA Reelection Event” means the determination by the Administrative Agent that (a) Term CORRA has been recommended for use by the Relevant Governmental Body,</w:t>
      </w:r>
    </w:p>
    <w:p>
      <w:pPr>
        <w:jc w:val="both"/>
        <w:ind w:left="4" w:right="239" w:hanging="4"/>
        <w:spacing w:after="0" w:line="249" w:lineRule="auto"/>
        <w:tabs>
          <w:tab w:leader="none" w:pos="543" w:val="left"/>
        </w:tabs>
        <w:numPr>
          <w:ilvl w:val="0"/>
          <w:numId w:val="52"/>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the administration of Term CORRA is administratively feasible for the Administrative Agent and (c) a Benchmark Transition Event has previously occurred resulting in a Benchmark Replacement in accordance with Section 2.14(b) that is not Term CORRA.</w:t>
      </w:r>
    </w:p>
    <w:p>
      <w:pPr>
        <w:spacing w:after="0" w:line="298" w:lineRule="exact"/>
        <w:rPr>
          <w:sz w:val="20"/>
          <w:szCs w:val="20"/>
          <w:color w:val="auto"/>
        </w:rPr>
      </w:pPr>
    </w:p>
    <w:p>
      <w:pPr>
        <w:ind w:left="2144"/>
        <w:spacing w:after="0"/>
        <w:rPr>
          <w:sz w:val="20"/>
          <w:szCs w:val="20"/>
          <w:color w:val="auto"/>
        </w:rPr>
      </w:pPr>
      <w:r>
        <w:rPr>
          <w:rFonts w:ascii="Times New Roman" w:cs="Times New Roman" w:eastAsia="Times New Roman" w:hAnsi="Times New Roman"/>
          <w:sz w:val="20"/>
          <w:szCs w:val="20"/>
          <w:b w:val="1"/>
          <w:bCs w:val="1"/>
          <w:u w:val="single" w:color="auto"/>
          <w:color w:val="0000FF"/>
        </w:rPr>
        <w:t>“Term CORRA Reference Rate” means the forward-looking term rate based on</w:t>
      </w:r>
    </w:p>
    <w:p>
      <w:pPr>
        <w:spacing w:after="0" w:line="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u w:val="single" w:color="auto"/>
          <w:color w:val="0000FF"/>
        </w:rPr>
        <w:t>CORRA.</w:t>
      </w:r>
    </w:p>
    <w:p>
      <w:pPr>
        <w:spacing w:after="0" w:line="308"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Reference Rate.</w:t>
      </w:r>
    </w:p>
    <w:p>
      <w:pPr>
        <w:spacing w:after="0" w:line="241" w:lineRule="exact"/>
        <w:rPr>
          <w:sz w:val="20"/>
          <w:szCs w:val="20"/>
          <w:color w:val="auto"/>
        </w:rPr>
      </w:pPr>
    </w:p>
    <w:p>
      <w:pPr>
        <w:jc w:val="both"/>
        <w:ind w:left="4" w:right="19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ectPr>
          <w:pgSz w:w="11900" w:h="16838" w:orient="portrait"/>
          <w:cols w:equalWidth="0" w:num="1">
            <w:col w:w="10023"/>
          </w:cols>
          <w:pgMar w:left="436"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0023"/>
          </w:cols>
          <w:pgMar w:left="436" w:top="1413" w:right="1440" w:bottom="1440" w:gutter="0" w:footer="0" w:header="0"/>
          <w:type w:val="continuous"/>
        </w:sectPr>
      </w:pPr>
    </w:p>
    <w:bookmarkStart w:id="77" w:name="page78"/>
    <w:bookmarkEnd w:id="77"/>
    <w:p>
      <w:pPr>
        <w:jc w:val="both"/>
        <w:ind w:left="5" w:right="239"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Day</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223" w:lineRule="exact"/>
        <w:rPr>
          <w:sz w:val="20"/>
          <w:szCs w:val="20"/>
          <w:color w:val="auto"/>
        </w:rPr>
      </w:pPr>
    </w:p>
    <w:p>
      <w:pPr>
        <w:jc w:val="both"/>
        <w:ind w:left="5"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 Rate</w:t>
      </w:r>
      <w:r>
        <w:rPr>
          <w:rFonts w:ascii="Times New Roman" w:cs="Times New Roman" w:eastAsia="Times New Roman" w:hAnsi="Times New Roman"/>
          <w:sz w:val="20"/>
          <w:szCs w:val="20"/>
          <w:color w:val="auto"/>
        </w:rPr>
        <w:t>” means, with respect to any Term Benchmark Borrowing denominated in Japanese Yen and for any Interest Period, the TIBO Screen Rate two (2) Business Days prior to the commencement of such Interest Period.</w:t>
      </w:r>
    </w:p>
    <w:p>
      <w:pPr>
        <w:spacing w:after="0" w:line="187" w:lineRule="exact"/>
        <w:rPr>
          <w:sz w:val="20"/>
          <w:szCs w:val="20"/>
          <w:color w:val="auto"/>
        </w:rPr>
      </w:pPr>
    </w:p>
    <w:p>
      <w:pPr>
        <w:jc w:val="both"/>
        <w:ind w:left="5" w:right="199"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 Screen Rate</w:t>
      </w:r>
      <w:r>
        <w:rPr>
          <w:rFonts w:ascii="Times New Roman" w:cs="Times New Roman" w:eastAsia="Times New Roman" w:hAnsi="Times New Roman"/>
          <w:sz w:val="20"/>
          <w:szCs w:val="20"/>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(2) Business Days prior to the commencement of such Interest Period.</w:t>
      </w:r>
    </w:p>
    <w:p>
      <w:pPr>
        <w:spacing w:after="0" w:line="220"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means, as of the last day of any fiscal quarter of the Company, the ratio of (a)</w:t>
      </w:r>
    </w:p>
    <w:p>
      <w:pPr>
        <w:spacing w:after="0" w:line="28" w:lineRule="exact"/>
        <w:rPr>
          <w:sz w:val="20"/>
          <w:szCs w:val="20"/>
          <w:color w:val="auto"/>
        </w:rPr>
      </w:pPr>
    </w:p>
    <w:p>
      <w:pPr>
        <w:jc w:val="both"/>
        <w:ind w:left="5" w:right="239" w:hanging="5"/>
        <w:spacing w:after="0" w:line="253" w:lineRule="auto"/>
        <w:tabs>
          <w:tab w:leader="none" w:pos="25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Total Indebtedness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Liquidity as of such date to (b) Consolidated EBITDA for the period of four (4) consecutive fiscal quarters ending with the end of such fiscal quarter, all calculated for the Company and its Subsidiaries on a consolidated basis.</w:t>
      </w:r>
    </w:p>
    <w:p>
      <w:pPr>
        <w:spacing w:after="0" w:line="202" w:lineRule="exact"/>
        <w:rPr>
          <w:sz w:val="20"/>
          <w:szCs w:val="20"/>
          <w:color w:val="auto"/>
        </w:rPr>
      </w:pPr>
    </w:p>
    <w:p>
      <w:pPr>
        <w:ind w:left="5" w:right="25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Exposure</w:t>
      </w:r>
      <w:r>
        <w:rPr>
          <w:rFonts w:ascii="Times New Roman" w:cs="Times New Roman" w:eastAsia="Times New Roman" w:hAnsi="Times New Roman"/>
          <w:sz w:val="20"/>
          <w:szCs w:val="20"/>
          <w:color w:val="auto"/>
        </w:rPr>
        <w:t>” means, at any time, the sum of the outstanding principal amount of all Lenders’ Revolving Loans and their LC Exposure at such time.</w:t>
      </w:r>
    </w:p>
    <w:p>
      <w:pPr>
        <w:spacing w:after="0" w:line="187" w:lineRule="exact"/>
        <w:rPr>
          <w:sz w:val="20"/>
          <w:szCs w:val="20"/>
          <w:color w:val="auto"/>
        </w:rPr>
      </w:pPr>
    </w:p>
    <w:p>
      <w:pPr>
        <w:jc w:val="both"/>
        <w:ind w:left="5" w:right="19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222"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Lender</w:t>
      </w:r>
      <w:r>
        <w:rPr>
          <w:rFonts w:ascii="Times New Roman" w:cs="Times New Roman" w:eastAsia="Times New Roman" w:hAnsi="Times New Roman"/>
          <w:sz w:val="20"/>
          <w:szCs w:val="20"/>
          <w:color w:val="auto"/>
        </w:rPr>
        <w:t>” means a Lender which:</w:t>
      </w:r>
    </w:p>
    <w:p>
      <w:pPr>
        <w:spacing w:after="0" w:line="256" w:lineRule="exact"/>
        <w:rPr>
          <w:sz w:val="20"/>
          <w:szCs w:val="20"/>
          <w:color w:val="auto"/>
        </w:rPr>
      </w:pPr>
    </w:p>
    <w:p>
      <w:pPr>
        <w:ind w:left="1525" w:hanging="229"/>
        <w:spacing w:after="0"/>
        <w:tabs>
          <w:tab w:leader="none" w:pos="15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treated as a resident of a Treaty State for the purposes of a Treaty;</w:t>
      </w:r>
    </w:p>
    <w:p>
      <w:pPr>
        <w:spacing w:after="0" w:line="256" w:lineRule="exact"/>
        <w:rPr>
          <w:rFonts w:ascii="Times New Roman" w:cs="Times New Roman" w:eastAsia="Times New Roman" w:hAnsi="Times New Roman"/>
          <w:sz w:val="20"/>
          <w:szCs w:val="20"/>
          <w:color w:val="auto"/>
        </w:rPr>
      </w:pPr>
    </w:p>
    <w:p>
      <w:pPr>
        <w:ind w:left="5" w:right="239" w:firstLine="1292"/>
        <w:spacing w:after="0" w:line="283" w:lineRule="auto"/>
        <w:tabs>
          <w:tab w:leader="none" w:pos="18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carry on a business in the United Kingdom through a permanent establishment with which that Lender’s participation in the Loan is effectively connected; and</w:t>
      </w:r>
    </w:p>
    <w:p>
      <w:pPr>
        <w:spacing w:after="0" w:line="186" w:lineRule="exact"/>
        <w:rPr>
          <w:rFonts w:ascii="Times New Roman" w:cs="Times New Roman" w:eastAsia="Times New Roman" w:hAnsi="Times New Roman"/>
          <w:sz w:val="20"/>
          <w:szCs w:val="20"/>
          <w:color w:val="auto"/>
        </w:rPr>
      </w:pPr>
    </w:p>
    <w:p>
      <w:pPr>
        <w:ind w:left="5" w:right="259" w:firstLine="1292"/>
        <w:spacing w:after="0" w:line="283" w:lineRule="auto"/>
        <w:tabs>
          <w:tab w:leader="none" w:pos="184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satisfies all other conditions under the Treaty (subject to completion of procedural formalities) for a payment of interest made by a Borrower under any Loan Document to be exempt from UK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0024"/>
          </w:cols>
          <w:pgMar w:left="435" w:top="1413" w:right="1440" w:bottom="1440" w:gutter="0" w:footer="0" w:header="0"/>
        </w:sectPr>
      </w:pPr>
    </w:p>
    <w:bookmarkStart w:id="78" w:name="page79"/>
    <w:bookmarkEnd w:id="78"/>
    <w:p>
      <w:pPr>
        <w:ind w:right="239" w:firstLine="1377"/>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State</w:t>
      </w:r>
      <w:r>
        <w:rPr>
          <w:rFonts w:ascii="Times New Roman" w:cs="Times New Roman" w:eastAsia="Times New Roman" w:hAnsi="Times New Roman"/>
          <w:sz w:val="20"/>
          <w:szCs w:val="20"/>
          <w:color w:val="auto"/>
        </w:rPr>
        <w:t>” means a jurisdiction having a double taxation agreement (a “</w:t>
      </w:r>
      <w:r>
        <w:rPr>
          <w:rFonts w:ascii="Times New Roman" w:cs="Times New Roman" w:eastAsia="Times New Roman" w:hAnsi="Times New Roman"/>
          <w:sz w:val="20"/>
          <w:szCs w:val="20"/>
          <w:u w:val="single" w:color="auto"/>
          <w:color w:val="auto"/>
        </w:rPr>
        <w:t>Treaty</w:t>
      </w:r>
      <w:r>
        <w:rPr>
          <w:rFonts w:ascii="Times New Roman" w:cs="Times New Roman" w:eastAsia="Times New Roman" w:hAnsi="Times New Roman"/>
          <w:sz w:val="20"/>
          <w:szCs w:val="20"/>
          <w:color w:val="auto"/>
        </w:rPr>
        <w:t>”) with the United Kingdom which makes provision for full exemption from tax imposed by the United Kingdom on Interest.</w:t>
      </w:r>
    </w:p>
    <w:p>
      <w:pPr>
        <w:spacing w:after="0" w:line="215" w:lineRule="exact"/>
        <w:rPr>
          <w:sz w:val="20"/>
          <w:szCs w:val="20"/>
          <w:color w:val="auto"/>
        </w:rPr>
      </w:pPr>
    </w:p>
    <w:p>
      <w:pPr>
        <w:jc w:val="both"/>
        <w:ind w:left="120" w:right="239"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xml:space="preserve">”, when used in reference to any Loan or Borrowing, refers to whether the rate of interest on such Loan, or on the Loans comprising such Borrowing, is determined by reference to the Adjusted Term SOFR Rate, the Adjusted EURIBO Rate, the Adjusted TIBO Rate, the </w:t>
      </w:r>
      <w:r>
        <w:rPr>
          <w:rFonts w:ascii="Times New Roman" w:cs="Times New Roman" w:eastAsia="Times New Roman" w:hAnsi="Times New Roman"/>
          <w:sz w:val="20"/>
          <w:szCs w:val="20"/>
          <w:b w:val="1"/>
          <w:bCs w:val="1"/>
          <w:color w:val="FF0000"/>
          <w:strike w:val="1"/>
        </w:rPr>
        <w:t>CDOR</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color w:val="auto"/>
        </w:rPr>
        <w:t xml:space="preserve"> Rate, the Adjusted Daily Simple RFR or the Alternate Base Rate.</w:t>
      </w:r>
    </w:p>
    <w:p>
      <w:pPr>
        <w:spacing w:after="0" w:line="2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w:t>
      </w:r>
    </w:p>
    <w:p>
      <w:pPr>
        <w:spacing w:after="0" w:line="256" w:lineRule="exact"/>
        <w:rPr>
          <w:sz w:val="20"/>
          <w:szCs w:val="20"/>
          <w:color w:val="auto"/>
        </w:rPr>
      </w:pPr>
    </w:p>
    <w:p>
      <w:pPr>
        <w:jc w:val="both"/>
        <w:ind w:left="120" w:right="219" w:firstLine="1295"/>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DB Plans</w:t>
      </w:r>
      <w:r>
        <w:rPr>
          <w:rFonts w:ascii="Times New Roman" w:cs="Times New Roman" w:eastAsia="Times New Roman" w:hAnsi="Times New Roman"/>
          <w:sz w:val="20"/>
          <w:szCs w:val="20"/>
          <w:color w:val="auto"/>
        </w:rPr>
        <w:t>” means, collectively, (i) the Airtechnology Group Pension Plan, which is currently governed by a trust deed and rules dated May 18, 2011, (ii) the Taylor Hobson Limited Pension, which is currently governed by a trust deed and rules dated March 1, 2011, (iii) the Fine Tubes Limited Retirement Benefits Scheme, which is currently governed by a trust deed and rules dated June 11, 1975, and (iv) the Land Instruments International Limited Pension and Life Assurance Scheme, which is currently governed by a trust deed and rules dated February 8, 2016, and each a “</w:t>
      </w:r>
      <w:r>
        <w:rPr>
          <w:rFonts w:ascii="Times New Roman" w:cs="Times New Roman" w:eastAsia="Times New Roman" w:hAnsi="Times New Roman"/>
          <w:sz w:val="20"/>
          <w:szCs w:val="20"/>
          <w:u w:val="single" w:color="auto"/>
          <w:color w:val="auto"/>
        </w:rPr>
        <w:t>UK DB Plan</w:t>
      </w:r>
      <w:r>
        <w:rPr>
          <w:rFonts w:ascii="Times New Roman" w:cs="Times New Roman" w:eastAsia="Times New Roman" w:hAnsi="Times New Roman"/>
          <w:sz w:val="20"/>
          <w:szCs w:val="20"/>
          <w:color w:val="auto"/>
        </w:rPr>
        <w:t>” and each of which shall constitute a Non-U.S. Pension Plan for the purposes of this Agreement.</w:t>
      </w:r>
    </w:p>
    <w:p>
      <w:pPr>
        <w:spacing w:after="0" w:line="219" w:lineRule="exact"/>
        <w:rPr>
          <w:sz w:val="20"/>
          <w:szCs w:val="20"/>
          <w:color w:val="auto"/>
        </w:rPr>
      </w:pPr>
    </w:p>
    <w:p>
      <w:pPr>
        <w:jc w:val="both"/>
        <w:ind w:left="120" w:right="239"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Insolvency Event</w:t>
      </w:r>
      <w:r>
        <w:rPr>
          <w:rFonts w:ascii="Times New Roman" w:cs="Times New Roman" w:eastAsia="Times New Roman" w:hAnsi="Times New Roman"/>
          <w:sz w:val="20"/>
          <w:szCs w:val="20"/>
          <w:color w:val="auto"/>
        </w:rPr>
        <w:t>” means:</w:t>
      </w:r>
    </w:p>
    <w:p>
      <w:pPr>
        <w:spacing w:after="0" w:line="256" w:lineRule="exact"/>
        <w:rPr>
          <w:sz w:val="20"/>
          <w:szCs w:val="20"/>
          <w:color w:val="auto"/>
        </w:rPr>
      </w:pPr>
    </w:p>
    <w:p>
      <w:pPr>
        <w:jc w:val="both"/>
        <w:ind w:left="120" w:right="199" w:firstLine="1291"/>
        <w:spacing w:after="0" w:line="258" w:lineRule="auto"/>
        <w:tabs>
          <w:tab w:leader="none" w:pos="19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Relevant Entity is unable or admits inability to pay its debts as they fall due or is deemed to or declared to be unable to pay its debts under applicable law, suspends or threatens to suspend making payments on any of its debts or, by reason of actual or anticipated financial difficulties, commences negotiations with one or more of its creditors with a view to rescheduling any of its indebtedness;</w:t>
      </w:r>
    </w:p>
    <w:p>
      <w:pPr>
        <w:spacing w:after="0" w:line="212" w:lineRule="exact"/>
        <w:rPr>
          <w:rFonts w:ascii="Times New Roman" w:cs="Times New Roman" w:eastAsia="Times New Roman" w:hAnsi="Times New Roman"/>
          <w:sz w:val="20"/>
          <w:szCs w:val="20"/>
          <w:color w:val="auto"/>
        </w:rPr>
      </w:pPr>
    </w:p>
    <w:p>
      <w:pPr>
        <w:ind w:left="120" w:right="259" w:firstLine="1292"/>
        <w:spacing w:after="0" w:line="283" w:lineRule="auto"/>
        <w:tabs>
          <w:tab w:leader="none" w:pos="19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the assets of any UK Relevant Entity, is less than its liabilities (taking into account contingent and prospective liabilities);</w:t>
      </w:r>
    </w:p>
    <w:p>
      <w:pPr>
        <w:spacing w:after="0" w:line="186" w:lineRule="exact"/>
        <w:rPr>
          <w:rFonts w:ascii="Times New Roman" w:cs="Times New Roman" w:eastAsia="Times New Roman" w:hAnsi="Times New Roman"/>
          <w:sz w:val="20"/>
          <w:szCs w:val="20"/>
          <w:color w:val="auto"/>
        </w:rPr>
      </w:pPr>
    </w:p>
    <w:p>
      <w:pPr>
        <w:ind w:left="120" w:right="239" w:firstLine="1292"/>
        <w:spacing w:after="0" w:line="283" w:lineRule="auto"/>
        <w:tabs>
          <w:tab w:leader="none" w:pos="194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moratorium is declared in respect of any indebtedness of any UK Relevant Entity; provided that if a moratorium occurs, the ending of the moratorium will not remedy any Event of Default caused by such moratorium;</w:t>
      </w:r>
    </w:p>
    <w:p>
      <w:pPr>
        <w:sectPr>
          <w:pgSz w:w="11900" w:h="16838" w:orient="portrait"/>
          <w:cols w:equalWidth="0" w:num="1">
            <w:col w:w="10139"/>
          </w:cols>
          <w:pgMar w:left="320" w:top="1332" w:right="1440" w:bottom="1440" w:gutter="0" w:footer="0" w:header="0"/>
        </w:sect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2019" w:hanging="3141"/>
        <w:spacing w:after="0" w:line="283" w:lineRule="auto"/>
        <w:rPr>
          <w:sz w:val="20"/>
          <w:szCs w:val="20"/>
          <w:color w:val="auto"/>
        </w:rPr>
      </w:pPr>
      <w:r>
        <w:rPr>
          <w:rFonts w:ascii="Times New Roman" w:cs="Times New Roman" w:eastAsia="Times New Roman" w:hAnsi="Times New Roman"/>
          <w:sz w:val="20"/>
          <w:szCs w:val="20"/>
          <w:color w:val="auto"/>
        </w:rPr>
        <w:t>any corporate action, legal proceedings or other procedure or step is taken in relation to:</w:t>
      </w:r>
    </w:p>
    <w:p>
      <w:pPr>
        <w:spacing w:after="0" w:line="200" w:lineRule="exact"/>
        <w:rPr>
          <w:sz w:val="20"/>
          <w:szCs w:val="20"/>
          <w:color w:val="auto"/>
        </w:rPr>
      </w:pPr>
    </w:p>
    <w:p>
      <w:pPr>
        <w:sectPr>
          <w:pgSz w:w="11900" w:h="16838" w:orient="portrait"/>
          <w:cols w:equalWidth="0" w:num="2">
            <w:col w:w="4480" w:space="720"/>
            <w:col w:w="4939"/>
          </w:cols>
          <w:pgMar w:left="320" w:top="1332" w:right="1440" w:bottom="1440" w:gutter="0" w:footer="0" w:header="0"/>
          <w:type w:val="continuous"/>
        </w:sectPr>
      </w:pPr>
    </w:p>
    <w:p>
      <w:pPr>
        <w:spacing w:after="0" w:line="68" w:lineRule="exact"/>
        <w:rPr>
          <w:sz w:val="20"/>
          <w:szCs w:val="20"/>
          <w:color w:val="auto"/>
        </w:rPr>
      </w:pPr>
    </w:p>
    <w:p>
      <w:pPr>
        <w:jc w:val="both"/>
        <w:ind w:left="120" w:right="239" w:firstLine="1292"/>
        <w:spacing w:after="0" w:line="261" w:lineRule="auto"/>
        <w:tabs>
          <w:tab w:leader="none" w:pos="195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suspension of payments, a moratorium of any indebtedness, winding-up, dissolution, administration or reorganization (by way of voluntary arrangement, scheme of arrangement or otherwise) of any UK Relevant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0139"/>
          </w:cols>
          <w:pgMar w:left="320" w:top="1332" w:right="1440" w:bottom="1440" w:gutter="0" w:footer="0" w:header="0"/>
          <w:type w:val="continuous"/>
        </w:sectPr>
      </w:pPr>
    </w:p>
    <w:bookmarkStart w:id="79" w:name="page80"/>
    <w:bookmarkEnd w:id="79"/>
    <w:p>
      <w:pPr>
        <w:ind w:left="5" w:right="239" w:firstLine="1291"/>
        <w:spacing w:after="0" w:line="258" w:lineRule="auto"/>
        <w:tabs>
          <w:tab w:leader="none" w:pos="183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composition, compromise, assignment or arrangement with any creditor of any UK Relevant Entity (including but without limitation to a restructuring plan under Part 26A of the Companies Act 2006);</w:t>
      </w:r>
    </w:p>
    <w:p>
      <w:pPr>
        <w:ind w:left="5" w:right="259" w:firstLine="1291"/>
        <w:spacing w:after="0" w:line="260" w:lineRule="auto"/>
        <w:tabs>
          <w:tab w:leader="none" w:pos="184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liquidator, receiver, administrative receiver, administrator, compulsory manager or other similar officer in respect of any UK Relevant Entity, or any of its assets; or</w:t>
      </w:r>
    </w:p>
    <w:p>
      <w:pPr>
        <w:spacing w:after="0" w:line="208" w:lineRule="exact"/>
        <w:rPr>
          <w:rFonts w:ascii="Times New Roman" w:cs="Times New Roman" w:eastAsia="Times New Roman" w:hAnsi="Times New Roman"/>
          <w:sz w:val="20"/>
          <w:szCs w:val="20"/>
          <w:color w:val="auto"/>
        </w:rPr>
      </w:pPr>
    </w:p>
    <w:p>
      <w:pPr>
        <w:ind w:left="1925" w:hanging="629"/>
        <w:spacing w:after="0"/>
        <w:tabs>
          <w:tab w:leader="none" w:pos="192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enforcement of any Lien over any assets of any UK Relevant Entity,</w:t>
      </w:r>
    </w:p>
    <w:p>
      <w:pPr>
        <w:spacing w:after="0" w:line="256"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or any analogous procedure or step is taken in any jurisdiction, save that this paragraph</w:t>
      </w:r>
    </w:p>
    <w:p>
      <w:pPr>
        <w:spacing w:after="0" w:line="28" w:lineRule="exact"/>
        <w:rPr>
          <w:sz w:val="20"/>
          <w:szCs w:val="20"/>
          <w:color w:val="auto"/>
        </w:rPr>
      </w:pPr>
    </w:p>
    <w:p>
      <w:pPr>
        <w:ind w:left="5" w:right="239" w:hanging="5"/>
        <w:spacing w:after="0" w:line="267" w:lineRule="auto"/>
        <w:tabs>
          <w:tab w:leader="none" w:pos="53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apply to any winding-up petition which is frivolous or vexatious and is discharged, stayed or dismissed within 14 days of commencement; or</w:t>
      </w:r>
    </w:p>
    <w:p>
      <w:pPr>
        <w:spacing w:after="0" w:line="201" w:lineRule="exact"/>
        <w:rPr>
          <w:rFonts w:ascii="Times New Roman" w:cs="Times New Roman" w:eastAsia="Times New Roman" w:hAnsi="Times New Roman"/>
          <w:sz w:val="20"/>
          <w:szCs w:val="20"/>
          <w:color w:val="auto"/>
        </w:rPr>
      </w:pPr>
    </w:p>
    <w:p>
      <w:pPr>
        <w:ind w:left="5" w:right="239" w:firstLine="1291"/>
        <w:spacing w:after="0" w:line="269" w:lineRule="auto"/>
        <w:tabs>
          <w:tab w:leader="none" w:pos="1831"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expropriation, attachment, sequestration, distress or execution or any analogous process in any jurisdiction affects any asset or assets of a UK Relevant Entity.</w:t>
      </w:r>
    </w:p>
    <w:p>
      <w:pPr>
        <w:spacing w:after="0" w:line="213" w:lineRule="exact"/>
        <w:rPr>
          <w:sz w:val="20"/>
          <w:szCs w:val="20"/>
          <w:color w:val="auto"/>
        </w:rPr>
      </w:pPr>
    </w:p>
    <w:p>
      <w:pPr>
        <w:jc w:val="both"/>
        <w:ind w:left="5" w:right="25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Non-Bank Lender</w:t>
      </w:r>
      <w:r>
        <w:rPr>
          <w:rFonts w:ascii="Times New Roman" w:cs="Times New Roman" w:eastAsia="Times New Roman" w:hAnsi="Times New Roman"/>
          <w:sz w:val="20"/>
          <w:szCs w:val="20"/>
          <w:color w:val="auto"/>
        </w:rPr>
        <w:t>” means a Lender which gives a Tax Confirmation in the Assignment and Assumption which it executes on becoming a party to this Agreement.</w:t>
      </w:r>
    </w:p>
    <w:p>
      <w:pPr>
        <w:spacing w:after="0" w:line="213" w:lineRule="exact"/>
        <w:rPr>
          <w:sz w:val="20"/>
          <w:szCs w:val="20"/>
          <w:color w:val="auto"/>
        </w:rPr>
      </w:pPr>
    </w:p>
    <w:p>
      <w:pPr>
        <w:jc w:val="both"/>
        <w:ind w:left="5" w:right="2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Relevant Entity</w:t>
      </w:r>
      <w:r>
        <w:rPr>
          <w:rFonts w:ascii="Times New Roman" w:cs="Times New Roman" w:eastAsia="Times New Roman" w:hAnsi="Times New Roman"/>
          <w:sz w:val="20"/>
          <w:szCs w:val="20"/>
          <w:color w:val="auto"/>
        </w:rPr>
        <w:t>” means any Loan Party capable of becoming subject of an order for winding-up or administration under the Insolvency Act 1986 of the United Kingdom.</w:t>
      </w:r>
    </w:p>
    <w:p>
      <w:pPr>
        <w:spacing w:after="0" w:line="200" w:lineRule="exact"/>
        <w:rPr>
          <w:sz w:val="20"/>
          <w:szCs w:val="20"/>
          <w:color w:val="auto"/>
        </w:rPr>
      </w:pPr>
    </w:p>
    <w:p>
      <w:pPr>
        <w:jc w:val="both"/>
        <w:ind w:left="5"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87" w:lineRule="exact"/>
        <w:rPr>
          <w:sz w:val="20"/>
          <w:szCs w:val="20"/>
          <w:color w:val="auto"/>
        </w:rPr>
      </w:pPr>
    </w:p>
    <w:p>
      <w:pPr>
        <w:jc w:val="both"/>
        <w:ind w:left="5" w:right="239"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w:t>
      </w:r>
      <w:r>
        <w:rPr>
          <w:rFonts w:ascii="Times New Roman" w:cs="Times New Roman" w:eastAsia="Times New Roman" w:hAnsi="Times New Roman"/>
          <w:sz w:val="20"/>
          <w:szCs w:val="20"/>
          <w:color w:val="auto"/>
        </w:rPr>
        <w:t>” means any tax, levy, impost, duty or other charge or withholding of a similar nature (including any penalty or interest payable in connection with any failure to pay or any delay in paying any of the same) imposed by the government of the United Kingdom or any political subdivision thereof and any agency, authority, instrumentality, regulatory body, court, central bank or other entity exercising executive, legislative, judicial, taxing, regulatory or administrative powers or functions of or pertaining to government of the United Kingdom.</w:t>
      </w:r>
    </w:p>
    <w:p>
      <w:pPr>
        <w:spacing w:after="0" w:line="200" w:lineRule="exact"/>
        <w:rPr>
          <w:sz w:val="20"/>
          <w:szCs w:val="20"/>
          <w:color w:val="auto"/>
        </w:rPr>
      </w:pPr>
    </w:p>
    <w:p>
      <w:pPr>
        <w:jc w:val="both"/>
        <w:ind w:left="5"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206" w:lineRule="exact"/>
        <w:rPr>
          <w:sz w:val="20"/>
          <w:szCs w:val="20"/>
          <w:color w:val="auto"/>
        </w:rPr>
      </w:pPr>
    </w:p>
    <w:p>
      <w:pPr>
        <w:ind w:left="1305"/>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U.S. Government Securities Business Day</w:t>
      </w:r>
      <w:r>
        <w:rPr>
          <w:rFonts w:ascii="Cambria" w:cs="Cambria" w:eastAsia="Cambria" w:hAnsi="Cambria"/>
          <w:sz w:val="20"/>
          <w:szCs w:val="20"/>
          <w:b w:val="1"/>
          <w:bCs w:val="1"/>
          <w:color w:val="auto"/>
        </w:rPr>
        <w:t>” means any day except for (i) a Saturday,</w:t>
      </w:r>
    </w:p>
    <w:p>
      <w:pPr>
        <w:spacing w:after="0" w:line="13" w:lineRule="exact"/>
        <w:rPr>
          <w:sz w:val="20"/>
          <w:szCs w:val="20"/>
          <w:color w:val="auto"/>
        </w:rPr>
      </w:pPr>
    </w:p>
    <w:p>
      <w:pPr>
        <w:jc w:val="both"/>
        <w:ind w:left="5" w:right="239" w:hanging="5"/>
        <w:spacing w:after="0" w:line="239" w:lineRule="auto"/>
        <w:tabs>
          <w:tab w:leader="none" w:pos="568" w:val="left"/>
        </w:tabs>
        <w:numPr>
          <w:ilvl w:val="0"/>
          <w:numId w:val="5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Sunday or (iii) a day on which the Securities Industry and Financial Markets Association recommends that the fixed income departments of its members be closed for the entire day for purposes of trading in United States government securities.</w:t>
      </w:r>
    </w:p>
    <w:p>
      <w:pPr>
        <w:spacing w:after="0" w:line="315" w:lineRule="exact"/>
        <w:rPr>
          <w:sz w:val="20"/>
          <w:szCs w:val="20"/>
          <w:color w:val="auto"/>
        </w:rPr>
      </w:pPr>
    </w:p>
    <w:p>
      <w:pPr>
        <w:jc w:val="center"/>
        <w:ind w:right="-98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within the meaning of Section 7701(a)(30)</w:t>
      </w:r>
    </w:p>
    <w:p>
      <w:pPr>
        <w:spacing w:after="0" w:line="28" w:lineRule="exact"/>
        <w:rPr>
          <w:sz w:val="20"/>
          <w:szCs w:val="20"/>
          <w:color w:val="auto"/>
        </w:rPr>
      </w:pPr>
    </w:p>
    <w:p>
      <w:pPr>
        <w:jc w:val="center"/>
        <w:ind w:right="-1005"/>
        <w:spacing w:after="0"/>
        <w:rPr>
          <w:sz w:val="20"/>
          <w:szCs w:val="20"/>
          <w:color w:val="auto"/>
        </w:rPr>
      </w:pPr>
      <w:r>
        <w:rPr>
          <w:rFonts w:ascii="Times New Roman" w:cs="Times New Roman" w:eastAsia="Times New Roman" w:hAnsi="Times New Roman"/>
          <w:sz w:val="20"/>
          <w:szCs w:val="20"/>
          <w:color w:val="auto"/>
        </w:rPr>
        <w:t>of the Code.</w:t>
      </w:r>
    </w:p>
    <w:p>
      <w:pPr>
        <w:spacing w:after="0" w:line="308"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it in Section 9.19.</w:t>
      </w:r>
    </w:p>
    <w:p>
      <w:pPr>
        <w:spacing w:after="0" w:line="270"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2.17(f)(ii)(B)</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(3).</w:t>
      </w:r>
    </w:p>
    <w:p>
      <w:pPr>
        <w:spacing w:after="0" w:line="248" w:lineRule="exact"/>
        <w:rPr>
          <w:sz w:val="20"/>
          <w:szCs w:val="20"/>
          <w:color w:val="auto"/>
        </w:rPr>
      </w:pPr>
    </w:p>
    <w:p>
      <w:pPr>
        <w:ind w:left="5" w:right="739"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means value added tax as provided for in the United Kingdom Value Added Tax Act 1994 (as amended) and any other tax of a similar nature, wherever imposed.</w:t>
      </w:r>
    </w:p>
    <w:p>
      <w:pPr>
        <w:sectPr>
          <w:pgSz w:w="11900" w:h="16838" w:orient="portrait"/>
          <w:cols w:equalWidth="0" w:num="1">
            <w:col w:w="10024"/>
          </w:cols>
          <w:pgMar w:left="435"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0024"/>
          </w:cols>
          <w:pgMar w:left="435" w:top="1413" w:right="1440" w:bottom="1440" w:gutter="0" w:footer="0" w:header="0"/>
          <w:type w:val="continuous"/>
        </w:sectPr>
      </w:pPr>
    </w:p>
    <w:bookmarkStart w:id="80" w:name="page81"/>
    <w:bookmarkEnd w:id="80"/>
    <w:p>
      <w:pPr>
        <w:ind w:right="239"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34" w:lineRule="exact"/>
        <w:rPr>
          <w:sz w:val="20"/>
          <w:szCs w:val="20"/>
          <w:color w:val="auto"/>
        </w:rPr>
      </w:pPr>
    </w:p>
    <w:p>
      <w:pPr>
        <w:jc w:val="both"/>
        <w:ind w:right="199"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16" w:lineRule="exact"/>
        <w:rPr>
          <w:sz w:val="20"/>
          <w:szCs w:val="20"/>
          <w:color w:val="auto"/>
        </w:rPr>
      </w:pPr>
    </w:p>
    <w:p>
      <w:pPr>
        <w:jc w:val="both"/>
        <w:ind w:right="239" w:firstLine="1295"/>
        <w:spacing w:after="0" w:line="253" w:lineRule="auto"/>
        <w:rPr>
          <w:sz w:val="20"/>
          <w:szCs w:val="20"/>
          <w:color w:val="auto"/>
        </w:rPr>
      </w:pPr>
      <w:r>
        <w:rPr>
          <w:rFonts w:ascii="Times New Roman" w:cs="Times New Roman" w:eastAsia="Times New Roman" w:hAnsi="Times New Roman"/>
          <w:sz w:val="20"/>
          <w:szCs w:val="20"/>
          <w:color w:val="010000"/>
        </w:rPr>
        <w:t xml:space="preserve">SECTION 1.02. </w:t>
      </w:r>
      <w:r>
        <w:rPr>
          <w:rFonts w:ascii="Times New Roman" w:cs="Times New Roman" w:eastAsia="Times New Roman" w:hAnsi="Times New Roman"/>
          <w:sz w:val="20"/>
          <w:szCs w:val="20"/>
          <w:u w:val="single" w:color="auto"/>
          <w:color w:val="000000"/>
        </w:rPr>
        <w:t>Classification of Loans and Borrowings</w:t>
      </w:r>
      <w:r>
        <w:rPr>
          <w:rFonts w:ascii="Times New Roman" w:cs="Times New Roman" w:eastAsia="Times New Roman" w:hAnsi="Times New Roman"/>
          <w:sz w:val="20"/>
          <w:szCs w:val="20"/>
          <w:color w:val="000000"/>
        </w:rPr>
        <w:t>. For purposes of this Agreement, Loans may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classified and referred to by Class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Revolving Loan</w:t>
      </w:r>
      <w:r>
        <w:rPr>
          <w:rFonts w:ascii="Times New Roman" w:cs="Times New Roman" w:eastAsia="Times New Roman" w:hAnsi="Times New Roman"/>
          <w:sz w:val="20"/>
          <w:szCs w:val="20"/>
          <w:color w:val="000000"/>
        </w:rPr>
        <w:t>”) or by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Term Benchmark Loan</w:t>
      </w:r>
      <w:r>
        <w:rPr>
          <w:rFonts w:ascii="Times New Roman" w:cs="Times New Roman" w:eastAsia="Times New Roman" w:hAnsi="Times New Roman"/>
          <w:sz w:val="20"/>
          <w:szCs w:val="20"/>
          <w:color w:val="000000"/>
        </w:rPr>
        <w:t>” or an “</w:t>
      </w:r>
      <w:r>
        <w:rPr>
          <w:rFonts w:ascii="Times New Roman" w:cs="Times New Roman" w:eastAsia="Times New Roman" w:hAnsi="Times New Roman"/>
          <w:sz w:val="20"/>
          <w:szCs w:val="20"/>
          <w:u w:val="single" w:color="auto"/>
          <w:color w:val="000000"/>
        </w:rPr>
        <w:t>RFR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Loan</w:t>
      </w:r>
      <w:r>
        <w:rPr>
          <w:rFonts w:ascii="Times New Roman" w:cs="Times New Roman" w:eastAsia="Times New Roman" w:hAnsi="Times New Roman"/>
          <w:sz w:val="20"/>
          <w:szCs w:val="20"/>
          <w:color w:val="000000"/>
        </w:rPr>
        <w:t>”) or by Class and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Term Benchmark Revolving Loan</w:t>
      </w:r>
      <w:r>
        <w:rPr>
          <w:rFonts w:ascii="Times New Roman" w:cs="Times New Roman" w:eastAsia="Times New Roman" w:hAnsi="Times New Roman"/>
          <w:sz w:val="20"/>
          <w:szCs w:val="20"/>
          <w:color w:val="000000"/>
        </w:rPr>
        <w:t>” or an “</w:t>
      </w:r>
      <w:r>
        <w:rPr>
          <w:rFonts w:ascii="Times New Roman" w:cs="Times New Roman" w:eastAsia="Times New Roman" w:hAnsi="Times New Roman"/>
          <w:sz w:val="20"/>
          <w:szCs w:val="20"/>
          <w:u w:val="single" w:color="auto"/>
          <w:color w:val="000000"/>
        </w:rPr>
        <w:t>RFR Revolving Loan</w:t>
      </w:r>
      <w:r>
        <w:rPr>
          <w:rFonts w:ascii="Times New Roman" w:cs="Times New Roman" w:eastAsia="Times New Roman" w:hAnsi="Times New Roman"/>
          <w:sz w:val="20"/>
          <w:szCs w:val="20"/>
          <w:color w:val="000000"/>
        </w:rPr>
        <w:t>”). Borrowings also may be classified and referred to by Class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Revolving Borrowing</w:t>
      </w:r>
      <w:r>
        <w:rPr>
          <w:rFonts w:ascii="Times New Roman" w:cs="Times New Roman" w:eastAsia="Times New Roman" w:hAnsi="Times New Roman"/>
          <w:sz w:val="20"/>
          <w:szCs w:val="20"/>
          <w:color w:val="000000"/>
        </w:rPr>
        <w:t>”) or by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Term Benchmark</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Borrowing</w:t>
      </w:r>
      <w:r>
        <w:rPr>
          <w:rFonts w:ascii="Times New Roman" w:cs="Times New Roman" w:eastAsia="Times New Roman" w:hAnsi="Times New Roman"/>
          <w:sz w:val="20"/>
          <w:szCs w:val="20"/>
          <w:color w:val="000000"/>
        </w:rPr>
        <w:t>” or an “</w:t>
      </w:r>
      <w:r>
        <w:rPr>
          <w:rFonts w:ascii="Times New Roman" w:cs="Times New Roman" w:eastAsia="Times New Roman" w:hAnsi="Times New Roman"/>
          <w:sz w:val="20"/>
          <w:szCs w:val="20"/>
          <w:u w:val="single" w:color="auto"/>
          <w:color w:val="000000"/>
        </w:rPr>
        <w:t>RFR Borrowing</w:t>
      </w:r>
      <w:r>
        <w:rPr>
          <w:rFonts w:ascii="Times New Roman" w:cs="Times New Roman" w:eastAsia="Times New Roman" w:hAnsi="Times New Roman"/>
          <w:sz w:val="20"/>
          <w:szCs w:val="20"/>
          <w:color w:val="000000"/>
        </w:rPr>
        <w:t>”) or by Class and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Term Benchmark Revolving Borrowing</w:t>
      </w:r>
      <w:r>
        <w:rPr>
          <w:rFonts w:ascii="Times New Roman" w:cs="Times New Roman" w:eastAsia="Times New Roman" w:hAnsi="Times New Roman"/>
          <w:sz w:val="20"/>
          <w:szCs w:val="20"/>
          <w:color w:val="000000"/>
        </w:rPr>
        <w:t>” or an “</w:t>
      </w:r>
      <w:r>
        <w:rPr>
          <w:rFonts w:ascii="Times New Roman" w:cs="Times New Roman" w:eastAsia="Times New Roman" w:hAnsi="Times New Roman"/>
          <w:sz w:val="20"/>
          <w:szCs w:val="20"/>
          <w:u w:val="single" w:color="auto"/>
          <w:color w:val="000000"/>
        </w:rPr>
        <w:t>RFR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Revolving Borrowing</w:t>
      </w:r>
      <w:r>
        <w:rPr>
          <w:rFonts w:ascii="Times New Roman" w:cs="Times New Roman" w:eastAsia="Times New Roman" w:hAnsi="Times New Roman"/>
          <w:sz w:val="20"/>
          <w:szCs w:val="20"/>
          <w:color w:val="000000"/>
        </w:rPr>
        <w:t>”).</w:t>
      </w:r>
    </w:p>
    <w:p>
      <w:pPr>
        <w:spacing w:after="0" w:line="206" w:lineRule="exact"/>
        <w:rPr>
          <w:sz w:val="20"/>
          <w:szCs w:val="20"/>
          <w:color w:val="auto"/>
        </w:rPr>
      </w:pPr>
    </w:p>
    <w:p>
      <w:pPr>
        <w:jc w:val="both"/>
        <w:ind w:right="199"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1.03. </w:t>
      </w:r>
      <w:r>
        <w:rPr>
          <w:rFonts w:ascii="Times New Roman" w:cs="Times New Roman" w:eastAsia="Times New Roman" w:hAnsi="Times New Roman"/>
          <w:sz w:val="20"/>
          <w:szCs w:val="20"/>
          <w:u w:val="single" w:color="auto"/>
          <w:color w:val="000000"/>
        </w:rPr>
        <w:t>Terms Generally</w:t>
      </w:r>
      <w:r>
        <w:rPr>
          <w:rFonts w:ascii="Times New Roman" w:cs="Times New Roman" w:eastAsia="Times New Roman" w:hAnsi="Times New Roman"/>
          <w:sz w:val="20"/>
          <w:szCs w:val="20"/>
          <w:color w:val="000000"/>
        </w:rPr>
        <w:t>. The definitions of terms herein shall apply equally to the singular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law,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to any law, rule or regulation herein shall, unless otherwise specified, refer to such law, rule or regulation as amended, modified or supplemented from time to time, (g) the words “asset” and “property” shall be construed to have the same meaning and effect and to refer to any and all tangible and intangible assets and properties, including cash, securities, accounts and contract rights and (h) any reference herein to a merger, transfer, consolidation, amalgamation, consolidation, assignment, sale, disposition or transfer, or similar term, shall be deemed to apply to a</w:t>
      </w:r>
    </w:p>
    <w:p>
      <w:pPr>
        <w:spacing w:after="0" w:line="200" w:lineRule="exact"/>
        <w:rPr>
          <w:sz w:val="20"/>
          <w:szCs w:val="20"/>
          <w:color w:val="auto"/>
        </w:rPr>
      </w:pP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0019"/>
          </w:cols>
          <w:pgMar w:left="440" w:top="1413" w:right="1440" w:bottom="1440" w:gutter="0" w:footer="0" w:header="0"/>
        </w:sectPr>
      </w:pPr>
    </w:p>
    <w:bookmarkStart w:id="81" w:name="page82"/>
    <w:bookmarkEnd w:id="81"/>
    <w:p>
      <w:pPr>
        <w:jc w:val="both"/>
        <w:ind w:left="4" w:right="199"/>
        <w:spacing w:after="0" w:line="253" w:lineRule="auto"/>
        <w:rPr>
          <w:sz w:val="20"/>
          <w:szCs w:val="20"/>
          <w:color w:val="auto"/>
        </w:rPr>
      </w:pPr>
      <w:r>
        <w:rPr>
          <w:rFonts w:ascii="Times New Roman" w:cs="Times New Roman" w:eastAsia="Times New Roman" w:hAnsi="Times New Roman"/>
          <w:sz w:val="20"/>
          <w:szCs w:val="20"/>
          <w:color w:val="auto"/>
        </w:rPr>
        <w:t>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32" w:lineRule="exact"/>
        <w:rPr>
          <w:sz w:val="20"/>
          <w:szCs w:val="20"/>
          <w:color w:val="auto"/>
        </w:rPr>
      </w:pPr>
    </w:p>
    <w:p>
      <w:pPr>
        <w:ind w:left="4" w:right="199" w:firstLine="1296"/>
        <w:spacing w:after="0" w:line="262" w:lineRule="auto"/>
        <w:rPr>
          <w:sz w:val="20"/>
          <w:szCs w:val="20"/>
          <w:color w:val="auto"/>
        </w:rPr>
      </w:pPr>
      <w:r>
        <w:rPr>
          <w:rFonts w:ascii="Times New Roman" w:cs="Times New Roman" w:eastAsia="Times New Roman" w:hAnsi="Times New Roman"/>
          <w:sz w:val="19"/>
          <w:szCs w:val="19"/>
          <w:color w:val="010000"/>
        </w:rPr>
        <w:t xml:space="preserve">SECTION 1.04. </w:t>
      </w:r>
      <w:r>
        <w:rPr>
          <w:rFonts w:ascii="Times New Roman" w:cs="Times New Roman" w:eastAsia="Times New Roman" w:hAnsi="Times New Roman"/>
          <w:sz w:val="19"/>
          <w:szCs w:val="19"/>
          <w:u w:val="single" w:color="auto"/>
          <w:color w:val="000000"/>
        </w:rPr>
        <w:t>Accounting Terms; GAAP</w:t>
      </w:r>
      <w:r>
        <w:rPr>
          <w:rFonts w:ascii="Times New Roman" w:cs="Times New Roman" w:eastAsia="Times New Roman" w:hAnsi="Times New Roman"/>
          <w:sz w:val="19"/>
          <w:szCs w:val="19"/>
          <w:color w:val="000000"/>
        </w:rPr>
        <w:t>. Except as otherwise expressly provided herein, all terms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an accounting or financial nature shall be construed in accordance with GAAP, as in effect from time to time;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w:t>
      </w:r>
    </w:p>
    <w:p>
      <w:pPr>
        <w:spacing w:after="0" w:line="6" w:lineRule="exact"/>
        <w:rPr>
          <w:sz w:val="20"/>
          <w:szCs w:val="20"/>
          <w:color w:val="auto"/>
        </w:rPr>
      </w:pPr>
    </w:p>
    <w:p>
      <w:pPr>
        <w:ind w:left="4" w:right="239" w:hanging="4"/>
        <w:spacing w:after="0" w:line="248" w:lineRule="auto"/>
        <w:tabs>
          <w:tab w:leader="none" w:pos="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giving effect to any election under Accounting Standards Codification 825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Section 1.04 or in the definition of “Capital Lease Obligations,”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81" w:lineRule="exact"/>
        <w:rPr>
          <w:sz w:val="20"/>
          <w:szCs w:val="20"/>
          <w:color w:val="auto"/>
        </w:rPr>
      </w:pPr>
    </w:p>
    <w:p>
      <w:pPr>
        <w:jc w:val="both"/>
        <w:ind w:left="4" w:right="21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1.05. </w:t>
      </w:r>
      <w:r>
        <w:rPr>
          <w:rFonts w:ascii="Times New Roman" w:cs="Times New Roman" w:eastAsia="Times New Roman" w:hAnsi="Times New Roman"/>
          <w:sz w:val="20"/>
          <w:szCs w:val="20"/>
          <w:u w:val="single" w:color="auto"/>
          <w:color w:val="000000"/>
        </w:rPr>
        <w:t>Interest Rates; Benchmark Notification</w:t>
      </w:r>
      <w:r>
        <w:rPr>
          <w:rFonts w:ascii="Times New Roman" w:cs="Times New Roman" w:eastAsia="Times New Roman" w:hAnsi="Times New Roman"/>
          <w:sz w:val="20"/>
          <w:szCs w:val="20"/>
          <w:color w:val="000000"/>
        </w:rPr>
        <w:t>. The interest rate on a Loan denominated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Dollars or a Foreign Currency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20"/>
          <w:szCs w:val="20"/>
          <w:b w:val="1"/>
          <w:bCs w:val="1"/>
          <w:u w:val="single" w:color="auto"/>
          <w:color w:val="0000FF"/>
        </w:rPr>
        <w:t>or a Term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u w:val="single" w:color="auto"/>
          <w:color w:val="0000FF"/>
        </w:rPr>
        <w:t>CORRA Reelection Event</w:t>
      </w:r>
      <w:r>
        <w:rPr>
          <w:rFonts w:ascii="Times New Roman" w:cs="Times New Roman" w:eastAsia="Times New Roman" w:hAnsi="Times New Roman"/>
          <w:sz w:val="20"/>
          <w:szCs w:val="20"/>
          <w:color w:val="000000"/>
        </w:rPr>
        <w:t>, Section 2.14(b) provides a mechanism for determining an alternative rate of interest. The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w:t>
      </w:r>
    </w:p>
    <w:p>
      <w:pPr>
        <w:spacing w:after="0" w:line="200" w:lineRule="exact"/>
        <w:rPr>
          <w:sz w:val="20"/>
          <w:szCs w:val="20"/>
          <w:color w:val="auto"/>
        </w:rPr>
      </w:pPr>
    </w:p>
    <w:p>
      <w:pPr>
        <w:spacing w:after="0" w:line="307"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0023"/>
          </w:cols>
          <w:pgMar w:left="436" w:top="1413" w:right="1440" w:bottom="1440" w:gutter="0" w:footer="0" w:header="0"/>
        </w:sectPr>
      </w:pPr>
    </w:p>
    <w:bookmarkStart w:id="82" w:name="page83"/>
    <w:bookmarkEnd w:id="82"/>
    <w:p>
      <w:pPr>
        <w:jc w:val="both"/>
        <w:ind w:right="219"/>
        <w:spacing w:after="0" w:line="253" w:lineRule="auto"/>
        <w:rPr>
          <w:sz w:val="20"/>
          <w:szCs w:val="20"/>
          <w:color w:val="auto"/>
        </w:rPr>
      </w:pPr>
      <w:r>
        <w:rPr>
          <w:rFonts w:ascii="Times New Roman" w:cs="Times New Roman" w:eastAsia="Times New Roman" w:hAnsi="Times New Roman"/>
          <w:sz w:val="20"/>
          <w:szCs w:val="20"/>
          <w:color w:val="auto"/>
        </w:rPr>
        <w:t>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84" w:lineRule="exact"/>
        <w:rPr>
          <w:sz w:val="20"/>
          <w:szCs w:val="20"/>
          <w:color w:val="auto"/>
        </w:rPr>
      </w:pPr>
    </w:p>
    <w:p>
      <w:pPr>
        <w:jc w:val="both"/>
        <w:ind w:right="23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u w:val="single" w:color="auto"/>
          <w:color w:val="000000"/>
        </w:rPr>
        <w:t>Status of Obligations</w:t>
      </w:r>
      <w:r>
        <w:rPr>
          <w:rFonts w:ascii="Times New Roman" w:cs="Times New Roman" w:eastAsia="Times New Roman" w:hAnsi="Times New Roman"/>
          <w:sz w:val="20"/>
          <w:szCs w:val="20"/>
          <w:color w:val="000000"/>
        </w:rPr>
        <w:t>. In the event that the Company or any other Loan Party shall at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time issue or have outstanding any Subordinated Indebtedness, the Company shall take or cause such other Loan Party to take all such actions as shall be necessary to cause the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92" w:lineRule="exact"/>
        <w:rPr>
          <w:sz w:val="20"/>
          <w:szCs w:val="20"/>
          <w:color w:val="auto"/>
        </w:rPr>
      </w:pPr>
    </w:p>
    <w:p>
      <w:pPr>
        <w:jc w:val="both"/>
        <w:ind w:right="219" w:firstLine="1296"/>
        <w:spacing w:after="0" w:line="262" w:lineRule="auto"/>
        <w:rPr>
          <w:sz w:val="20"/>
          <w:szCs w:val="20"/>
          <w:color w:val="auto"/>
        </w:rPr>
      </w:pPr>
      <w:r>
        <w:rPr>
          <w:rFonts w:ascii="Times New Roman" w:cs="Times New Roman" w:eastAsia="Times New Roman" w:hAnsi="Times New Roman"/>
          <w:sz w:val="19"/>
          <w:szCs w:val="19"/>
          <w:color w:val="010000"/>
        </w:rPr>
        <w:t xml:space="preserve">SECTION 1.07. </w:t>
      </w:r>
      <w:r>
        <w:rPr>
          <w:rFonts w:ascii="Times New Roman" w:cs="Times New Roman" w:eastAsia="Times New Roman" w:hAnsi="Times New Roman"/>
          <w:sz w:val="19"/>
          <w:szCs w:val="19"/>
          <w:u w:val="single" w:color="auto"/>
          <w:color w:val="000000"/>
        </w:rPr>
        <w:t>Amendment and Restatement of Existing Credit Agreement</w:t>
      </w:r>
      <w:r>
        <w:rPr>
          <w:rFonts w:ascii="Times New Roman" w:cs="Times New Roman" w:eastAsia="Times New Roman" w:hAnsi="Times New Roman"/>
          <w:sz w:val="19"/>
          <w:szCs w:val="19"/>
          <w:color w:val="000000"/>
        </w:rPr>
        <w:t>. The parties to this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Agreement agree that, upon (i) the execution and delivery by each of the parties hereto of this Agreement and (ii) satisfaction or waiver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The Borrowers, the Administrative Agent and the Lenders hereby further acknowledge and agree that this Agreement constitutes an amendment of the Existing Credit Agreement made under and in accordance with Section 9.02 thereof. All “Loans” made and “Obligations” incurred under the Existing Credit Agreement which are outstanding on the Restatement Effective Date (other than any “Term Loans” under (and as defined in) the Existing Credit Agreement to the extent repaid on the Restatement Effective Date) shall continue as Loans and Obligations under (and shall be governed by the terms of) this Agreement and the other Loan Documents. Without limiting the foregoing, upon the Restatement Effective Date: (a) all references in the “Loan Documents” (as defined in the Existing Credit Agreement) to the “Administrative Agent”, the “Credit Agreement” and the “Loan Documents” shall be deemed to refer to the Administrative Agent, this Agreement and the Loan Documents, (b) all obligations constituting “Obligations” owed to any Lender (other than Departing Lenders) or any Affiliate of such Lender which are outstanding on the Restatement Effective Date shall continue as Obligations under this Agreement and the other Loan Documents, (c) the Administrative Agent shall make such reallocations, sales, assignments or other relevant actions in respect of each Lender’s Revolving Credit Exposure under the Existing Credit Agreement as are necessary in order that each such Lender’s Revolving Credit Exposure and outstanding Loans hereunder reflects such Lender’s Applicable Percentage of the outstanding aggregate Revolving Credit Exposures on the Restatement Effective Date, (d) the Existing Loans of each Departing Lender shall be repaid in full (accompanied by any accrued and unpaid interest and fees thereon), each Departing Lender’s “Commitment” under the Existing Credit Agreement shall be terminated and each Departing Lender shall not be a Lender hereunder or have any obligation to make Loans or extend credit under this Agreement or to participate in Letters of Credit issued under the Existing Credit Agreement (with all existing participations of each Departing Lender in Letters of Credit deemed terminated) or to reimburse any party for LC Disbursements in respect thereof (provided, however, that each Departing Lender shall continue to be entitled to the benefits of Sections 2.15, 2.16, 2.17, 2.18 and 9.03) and (e) the Borrowers hereby agree to compensate each Lender (and each Departing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0019"/>
          </w:cols>
          <w:pgMar w:left="440" w:top="1413" w:right="1440" w:bottom="1440" w:gutter="0" w:footer="0" w:header="0"/>
        </w:sectPr>
      </w:pPr>
    </w:p>
    <w:bookmarkStart w:id="83" w:name="page84"/>
    <w:bookmarkEnd w:id="83"/>
    <w:p>
      <w:pPr>
        <w:jc w:val="both"/>
        <w:ind w:right="239"/>
        <w:spacing w:after="0" w:line="251" w:lineRule="auto"/>
        <w:rPr>
          <w:sz w:val="20"/>
          <w:szCs w:val="20"/>
          <w:color w:val="auto"/>
        </w:rPr>
      </w:pPr>
      <w:r>
        <w:rPr>
          <w:rFonts w:ascii="Times New Roman" w:cs="Times New Roman" w:eastAsia="Times New Roman" w:hAnsi="Times New Roman"/>
          <w:sz w:val="20"/>
          <w:szCs w:val="20"/>
          <w:color w:val="auto"/>
        </w:rPr>
        <w:t>Lender) for any and all losses, costs and expenses incurred by such Lender in connection with the sale and assignment of any Term Benchmark Loans (including the “Eurocurrency Loans” under (and as defined in) the Existing Credit Agreement) and such reallocation (and any repayment or prepayment of each Departing Lender’s Loan) described above, in each case on the terms and in the manner set forth in Section 2.16 hereof (unless waived by any Lender with Revolving Credit Exposure under the Existing Credit Agreement). Each Departing Lender, by its execution of its Departing Lender Signature Page, notwithstanding the time period specified in Section 2.11 of the Existing Credit Agreement, consents to delivery on or prior to the Restatement Effective Date of the notice of prepayment with respect to prepayment of its loans under the Existing Credit Agreement.</w:t>
      </w:r>
    </w:p>
    <w:p>
      <w:pPr>
        <w:spacing w:after="0" w:line="222"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1.08. </w:t>
      </w:r>
      <w:r>
        <w:rPr>
          <w:rFonts w:ascii="Times New Roman" w:cs="Times New Roman" w:eastAsia="Times New Roman" w:hAnsi="Times New Roman"/>
          <w:sz w:val="20"/>
          <w:szCs w:val="20"/>
          <w:u w:val="single" w:color="auto"/>
          <w:color w:val="000000"/>
        </w:rPr>
        <w:t>Divisions</w:t>
      </w:r>
      <w:r>
        <w:rPr>
          <w:rFonts w:ascii="Times New Roman" w:cs="Times New Roman" w:eastAsia="Times New Roman" w:hAnsi="Times New Roman"/>
          <w:sz w:val="20"/>
          <w:szCs w:val="20"/>
          <w:color w:val="000000"/>
        </w:rPr>
        <w:t>. For all purposes under the Loan Documents, in connection with any division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6" w:lineRule="exact"/>
        <w:rPr>
          <w:sz w:val="20"/>
          <w:szCs w:val="20"/>
          <w:color w:val="auto"/>
        </w:rPr>
      </w:pPr>
    </w:p>
    <w:p>
      <w:pPr>
        <w:jc w:val="both"/>
        <w:ind w:right="219"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1.09. </w:t>
      </w:r>
      <w:r>
        <w:rPr>
          <w:rFonts w:ascii="Times New Roman" w:cs="Times New Roman" w:eastAsia="Times New Roman" w:hAnsi="Times New Roman"/>
          <w:sz w:val="20"/>
          <w:szCs w:val="20"/>
          <w:u w:val="single" w:color="auto"/>
          <w:color w:val="000000"/>
        </w:rPr>
        <w:t>Letter of Credit Amounts</w:t>
      </w:r>
      <w:r>
        <w:rPr>
          <w:rFonts w:ascii="Times New Roman" w:cs="Times New Roman" w:eastAsia="Times New Roman" w:hAnsi="Times New Roman"/>
          <w:sz w:val="20"/>
          <w:szCs w:val="20"/>
          <w:color w:val="000000"/>
        </w:rPr>
        <w:t>. Unless otherwise specified herein, the amount of a Letter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Credit at any time shall be deemed to be the Dollar Amount of such Letter of Credit available to be drawn at such time;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Dollar Amount of such Letter of Credit after giving effect to all such increases, whether or not such maximum amount is available to be drawn at such time.</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1.10. </w:t>
      </w:r>
      <w:r>
        <w:rPr>
          <w:rFonts w:ascii="Times New Roman" w:cs="Times New Roman" w:eastAsia="Times New Roman" w:hAnsi="Times New Roman"/>
          <w:sz w:val="20"/>
          <w:szCs w:val="20"/>
          <w:u w:val="single" w:color="auto"/>
          <w:color w:val="000000"/>
        </w:rPr>
        <w:t>Exchange Rates; Currency Equivalents</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jc w:val="both"/>
        <w:ind w:left="640" w:right="239" w:firstLine="652"/>
        <w:spacing w:after="0" w:line="251" w:lineRule="auto"/>
        <w:tabs>
          <w:tab w:leader="none" w:pos="1818"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or the relevant Issuing Bank, as applicable, shall determine the Dollar Amount of Term Benchmark Borrowings, RFR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relevant Issuing Bank, as applicable.</w:t>
      </w:r>
    </w:p>
    <w:p>
      <w:pPr>
        <w:spacing w:after="0" w:line="222" w:lineRule="exact"/>
        <w:rPr>
          <w:rFonts w:ascii="Times New Roman" w:cs="Times New Roman" w:eastAsia="Times New Roman" w:hAnsi="Times New Roman"/>
          <w:sz w:val="20"/>
          <w:szCs w:val="20"/>
          <w:color w:val="010000"/>
        </w:rPr>
      </w:pPr>
    </w:p>
    <w:p>
      <w:pPr>
        <w:jc w:val="both"/>
        <w:ind w:left="640" w:right="199" w:firstLine="652"/>
        <w:spacing w:after="0" w:line="253" w:lineRule="auto"/>
        <w:tabs>
          <w:tab w:leader="none" w:pos="1816"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relevant Issuing Bank, as the case may be.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0019"/>
          </w:cols>
          <w:pgMar w:left="440" w:top="1413" w:right="1440" w:bottom="1440" w:gutter="0" w:footer="0" w:header="0"/>
        </w:sectPr>
      </w:pPr>
    </w:p>
    <w:bookmarkStart w:id="84" w:name="page85"/>
    <w:bookmarkEnd w:id="84"/>
    <w:p>
      <w:pPr>
        <w:ind w:left="5000"/>
        <w:spacing w:after="0"/>
        <w:rPr>
          <w:sz w:val="20"/>
          <w:szCs w:val="20"/>
          <w:color w:val="auto"/>
        </w:rPr>
      </w:pPr>
      <w:r>
        <w:rPr>
          <w:rFonts w:ascii="Times New Roman" w:cs="Times New Roman" w:eastAsia="Times New Roman" w:hAnsi="Times New Roman"/>
          <w:sz w:val="20"/>
          <w:szCs w:val="20"/>
          <w:color w:val="010000"/>
        </w:rPr>
        <w:t>ARTICLE II</w:t>
      </w:r>
    </w:p>
    <w:p>
      <w:pPr>
        <w:spacing w:after="0" w:line="2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324" w:lineRule="exact"/>
        <w:rPr>
          <w:sz w:val="20"/>
          <w:szCs w:val="20"/>
          <w:color w:val="auto"/>
        </w:rPr>
      </w:pPr>
    </w:p>
    <w:p>
      <w:pPr>
        <w:ind w:right="29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2.01. </w:t>
      </w:r>
      <w:r>
        <w:rPr>
          <w:rFonts w:ascii="Times New Roman" w:cs="Times New Roman" w:eastAsia="Times New Roman" w:hAnsi="Times New Roman"/>
          <w:sz w:val="20"/>
          <w:szCs w:val="20"/>
          <w:u w:val="single" w:color="auto"/>
          <w:color w:val="000000"/>
        </w:rPr>
        <w:t>Commitments</w:t>
      </w:r>
      <w:r>
        <w:rPr>
          <w:rFonts w:ascii="Times New Roman" w:cs="Times New Roman" w:eastAsia="Times New Roman" w:hAnsi="Times New Roman"/>
          <w:sz w:val="20"/>
          <w:szCs w:val="20"/>
          <w:color w:val="000000"/>
        </w:rPr>
        <w:t>. Prior to the Restatement Effective Date, certain revolving loans were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previously made to the Borrowers under the Existing Credit Agreement which remain outstanding as of the date of this Agreement (such outstanding revolving loans being hereinafter referred to as the “</w:t>
      </w:r>
      <w:r>
        <w:rPr>
          <w:rFonts w:ascii="Times New Roman" w:cs="Times New Roman" w:eastAsia="Times New Roman" w:hAnsi="Times New Roman"/>
          <w:sz w:val="20"/>
          <w:szCs w:val="20"/>
          <w:u w:val="single" w:color="auto"/>
          <w:color w:val="000000"/>
        </w:rPr>
        <w:t>Existing Loans</w:t>
      </w:r>
      <w:r>
        <w:rPr>
          <w:rFonts w:ascii="Times New Roman" w:cs="Times New Roman" w:eastAsia="Times New Roman" w:hAnsi="Times New Roman"/>
          <w:sz w:val="20"/>
          <w:szCs w:val="20"/>
          <w:color w:val="000000"/>
        </w:rPr>
        <w:t>”). Subject to the terms and conditions set forth in this Agreement, the Company and each of the Lenders agree that on the Restatement Effective Date but subject to the reallocation and other transactions described in Section 1.06, the Existing Loans shall be reevidenced as Loans under this Agreement, and the terms of the Existing Loans shall be restated in their entirety and shall be evidenced by this Agreement. Subject to the terms and conditions set forth herein, each Lender (severally and not jointly) agrees to make Revolving Loans to the Borrowers in Agreed Currencies from time to time during the Availability Period in an aggregate principal amount that will not result in, subject to Sections 2.04 and 2.11(b), (a) the Dollar Amount of such Lender’s Revolving Credit Exposure exceeding such Lender’s Commitment, (b) the sum of the Dollar Amount of the Total Revolving Credit Exposure exceeding the Aggregate Commitment or (c) the Dollar Amount of the total outstanding Revolving Loans and LC Exposure, in each case denominated in Foreign Currencies, exceeding the Foreign Currency Sublimit. Within the foregoing limits and subject to the terms and conditions set forth herein, the Borrowers may borrow, prepay and reborrow Revolving Loans.</w:t>
      </w:r>
    </w:p>
    <w:p>
      <w:pPr>
        <w:spacing w:after="0" w:line="89" w:lineRule="exact"/>
        <w:rPr>
          <w:sz w:val="20"/>
          <w:szCs w:val="20"/>
          <w:color w:val="auto"/>
        </w:rPr>
      </w:pPr>
    </w:p>
    <w:p>
      <w:pPr>
        <w:jc w:val="both"/>
        <w:ind w:right="219"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2.02. </w:t>
      </w:r>
      <w:r>
        <w:rPr>
          <w:rFonts w:ascii="Times New Roman" w:cs="Times New Roman" w:eastAsia="Times New Roman" w:hAnsi="Times New Roman"/>
          <w:sz w:val="20"/>
          <w:szCs w:val="20"/>
          <w:u w:val="single" w:color="auto"/>
          <w:color w:val="000000"/>
        </w:rPr>
        <w:t>Loans and Borrowings</w:t>
      </w:r>
      <w:r>
        <w:rPr>
          <w:rFonts w:ascii="Times New Roman" w:cs="Times New Roman" w:eastAsia="Times New Roman" w:hAnsi="Times New Roman"/>
          <w:sz w:val="20"/>
          <w:szCs w:val="20"/>
          <w:color w:val="000000"/>
        </w:rPr>
        <w:t>. (a) Each Revolving Loan shall be made as part of a Borrowing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Commitments of the Lenders are several and no Lender shall be responsible for any other Lender’s failure to make Loans as required.</w:t>
      </w:r>
    </w:p>
    <w:p>
      <w:pPr>
        <w:spacing w:after="0" w:line="84" w:lineRule="exact"/>
        <w:rPr>
          <w:sz w:val="20"/>
          <w:szCs w:val="20"/>
          <w:color w:val="auto"/>
        </w:rPr>
      </w:pPr>
    </w:p>
    <w:p>
      <w:pPr>
        <w:ind w:left="640" w:right="279" w:firstLine="651"/>
        <w:spacing w:after="0" w:line="263" w:lineRule="auto"/>
        <w:tabs>
          <w:tab w:leader="none" w:pos="1815" w:val="left"/>
        </w:tabs>
        <w:numPr>
          <w:ilvl w:val="0"/>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Section 2.14, each Revolving Borrowing shall be comprised (i) in the case of Borrowings in Dollars, entirely of ABR Loans or Term Benchmark Loans and (ii) in the case of Borrowings in any other Agreed Currency, entirely of Term Benchmark Loans or RFR Loans, as applicable, in each case of the same Agreed Currency, as the relevant Borrower may request in accordance herewith; provided that each ABR Loan shall only be made in Dollars. Each Lender at its option may make any Loan by causing any domestic or foreign branch or Affiliate of such Lender to make such Loan (and in the case of an Affiliate, the provisions of Sections</w:t>
      </w:r>
    </w:p>
    <w:p>
      <w:pPr>
        <w:spacing w:after="0" w:line="3" w:lineRule="exact"/>
        <w:rPr>
          <w:rFonts w:ascii="Times New Roman" w:cs="Times New Roman" w:eastAsia="Times New Roman" w:hAnsi="Times New Roman"/>
          <w:sz w:val="19"/>
          <w:szCs w:val="19"/>
          <w:color w:val="010000"/>
        </w:rPr>
      </w:pPr>
    </w:p>
    <w:p>
      <w:pPr>
        <w:ind w:left="640" w:right="239"/>
        <w:spacing w:after="0" w:line="249"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2.14, 2.15, 2.16, 2.17 and 2.18 shall apply to such Affiliate to the same extent as to such Lender); provided that any exercise of such option shall not affect the obligation of the relevant Borrower to repay such Loan in accordance with the terms of this Agreement.</w:t>
      </w:r>
    </w:p>
    <w:p>
      <w:pPr>
        <w:spacing w:after="0" w:line="85" w:lineRule="exact"/>
        <w:rPr>
          <w:rFonts w:ascii="Times New Roman" w:cs="Times New Roman" w:eastAsia="Times New Roman" w:hAnsi="Times New Roman"/>
          <w:sz w:val="19"/>
          <w:szCs w:val="19"/>
          <w:color w:val="010000"/>
        </w:rPr>
      </w:pPr>
    </w:p>
    <w:p>
      <w:pPr>
        <w:jc w:val="both"/>
        <w:ind w:left="640" w:right="219" w:firstLine="651"/>
        <w:spacing w:after="0" w:line="250" w:lineRule="auto"/>
        <w:tabs>
          <w:tab w:leader="none" w:pos="1818"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the commencement of each Interest Period for any Term Benchmark Revolving Borrowing, such Borrowing shall be in an aggregate amount that is an integral multiple of $1,000,000 (or, if such Borrowing is denominated in a Foreign Currency, 1,000,000 units of such currency) and not less than $2,000,000 (or, if such Borrowing is denominated in a Foreign Currency, 2,000,000 units of such currency). At the time that each ABR Revolving Borrowing and/or RFR Borrowing is made, such Borrowing shall be in an aggregate Dollar Amount that is an integral multiple of $1,000,000 (or, if such Borrowing is denominated in a Foreign Currency, 1,000,000 units of such currency) and not less than $1,000,000 (or, if such Borrowing is denominated in a Foreign Currency, 2,000,000 units of such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Borrowing or an RFR Borrowing may be in an aggregate amount that is equal to the entire unused balance of the Aggregate Commitment or that is required to finance the reimbursement of an LC Disbursement as contemplated by Section 2.06(e).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0019"/>
          </w:cols>
          <w:pgMar w:left="440" w:top="1413" w:right="1440" w:bottom="1440" w:gutter="0" w:footer="0" w:header="0"/>
        </w:sectPr>
      </w:pPr>
    </w:p>
    <w:bookmarkStart w:id="85" w:name="page86"/>
    <w:bookmarkEnd w:id="85"/>
    <w:p>
      <w:pPr>
        <w:ind w:left="640"/>
        <w:spacing w:after="0"/>
        <w:rPr>
          <w:sz w:val="20"/>
          <w:szCs w:val="20"/>
          <w:color w:val="auto"/>
        </w:rPr>
      </w:pPr>
      <w:r>
        <w:rPr>
          <w:rFonts w:ascii="Times New Roman" w:cs="Times New Roman" w:eastAsia="Times New Roman" w:hAnsi="Times New Roman"/>
          <w:sz w:val="20"/>
          <w:szCs w:val="20"/>
          <w:color w:val="auto"/>
        </w:rPr>
        <w:t>time be more than a total of twelve (12) Term Benchmark Borrowings or RFR Borrowings outstanding.</w:t>
      </w:r>
    </w:p>
    <w:p>
      <w:pPr>
        <w:spacing w:after="0" w:line="200" w:lineRule="exact"/>
        <w:rPr>
          <w:sz w:val="20"/>
          <w:szCs w:val="20"/>
          <w:color w:val="auto"/>
        </w:rPr>
      </w:pPr>
    </w:p>
    <w:p>
      <w:pPr>
        <w:spacing w:after="0" w:line="272" w:lineRule="exact"/>
        <w:rPr>
          <w:sz w:val="20"/>
          <w:szCs w:val="20"/>
          <w:color w:val="auto"/>
        </w:rPr>
      </w:pPr>
    </w:p>
    <w:p>
      <w:pPr>
        <w:jc w:val="both"/>
        <w:ind w:left="640" w:right="239" w:firstLine="652"/>
        <w:spacing w:after="0" w:line="261" w:lineRule="auto"/>
        <w:tabs>
          <w:tab w:leader="none" w:pos="1816"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200" w:lineRule="exact"/>
        <w:rPr>
          <w:sz w:val="20"/>
          <w:szCs w:val="20"/>
          <w:color w:val="auto"/>
        </w:rPr>
      </w:pPr>
    </w:p>
    <w:p>
      <w:pPr>
        <w:spacing w:after="0" w:line="211" w:lineRule="exact"/>
        <w:rPr>
          <w:sz w:val="20"/>
          <w:szCs w:val="20"/>
          <w:color w:val="auto"/>
        </w:rPr>
      </w:pPr>
    </w:p>
    <w:p>
      <w:pPr>
        <w:jc w:val="both"/>
        <w:ind w:right="239"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2.03. </w:t>
      </w:r>
      <w:r>
        <w:rPr>
          <w:rFonts w:ascii="Times New Roman" w:cs="Times New Roman" w:eastAsia="Times New Roman" w:hAnsi="Times New Roman"/>
          <w:sz w:val="20"/>
          <w:szCs w:val="20"/>
          <w:u w:val="single" w:color="auto"/>
          <w:color w:val="000000"/>
        </w:rPr>
        <w:t>Requests for Borrowings</w:t>
      </w:r>
      <w:r>
        <w:rPr>
          <w:rFonts w:ascii="Times New Roman" w:cs="Times New Roman" w:eastAsia="Times New Roman" w:hAnsi="Times New Roman"/>
          <w:sz w:val="20"/>
          <w:szCs w:val="20"/>
          <w:color w:val="000000"/>
        </w:rPr>
        <w:t>. To request a Borrowing, the applicable Borrower, or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Company on behalf of the applicable Borrower, shall notify the Administrative Agent of such request (a) by irrevocable written notice (via a written Borrowing Request signed by the applicable Borrower, or the Company on behalf of the applicable Borrower) (i) in the case of a Term Benchmark Borrowing denominated in Dollars, not later than 11:00 a.m., New York City time, three (3) Business Days before the date of the proposed Borrowing, (ii) in the case of a Term Benchmark Borrowing denominated in euro, Japanese Yen or Canadian Dollars, not later than 11:00 a.m., New York City time, four (4) Business Days before the date of the proposed Borrowing and (iii) in the case of an RFR Borrowing, not later than 11:00 a.m., New York City time, five (5) RFR Business Days before the date of the proposed Borrowing (or such shorter time as the Administrative Agent may agree in its reasonable discretion) or (b) by irrevocable written notice (via a written Borrowing Request signed by the Borrower) in the case of an ABR Borrowing, not later than 11:00 a.m., New York City time, on the date of the proposed Borrowing. Each such Borrowing Request shall specify the following information in compliance with Section 2.02:</w:t>
      </w:r>
    </w:p>
    <w:p>
      <w:pPr>
        <w:spacing w:after="0" w:line="84" w:lineRule="exact"/>
        <w:rPr>
          <w:sz w:val="20"/>
          <w:szCs w:val="20"/>
          <w:color w:val="auto"/>
        </w:rPr>
      </w:pPr>
    </w:p>
    <w:p>
      <w:pPr>
        <w:ind w:left="2580" w:hanging="641"/>
        <w:spacing w:after="0"/>
        <w:tabs>
          <w:tab w:leader="none" w:pos="2580"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name of the applicable Borrower;</w:t>
      </w:r>
    </w:p>
    <w:p>
      <w:pPr>
        <w:spacing w:after="0" w:line="107" w:lineRule="exact"/>
        <w:rPr>
          <w:rFonts w:ascii="Times New Roman" w:cs="Times New Roman" w:eastAsia="Times New Roman" w:hAnsi="Times New Roman"/>
          <w:sz w:val="20"/>
          <w:szCs w:val="20"/>
          <w:color w:val="010000"/>
        </w:rPr>
      </w:pPr>
    </w:p>
    <w:p>
      <w:pPr>
        <w:ind w:left="2480" w:hanging="540"/>
        <w:spacing w:after="0"/>
        <w:tabs>
          <w:tab w:leader="none" w:pos="2480"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Agreed Currency and the aggregate principal amount of the requested Borrowing;</w:t>
      </w:r>
    </w:p>
    <w:p>
      <w:pPr>
        <w:spacing w:after="0" w:line="121" w:lineRule="exact"/>
        <w:rPr>
          <w:rFonts w:ascii="Times New Roman" w:cs="Times New Roman" w:eastAsia="Times New Roman" w:hAnsi="Times New Roman"/>
          <w:sz w:val="20"/>
          <w:szCs w:val="20"/>
          <w:color w:val="010000"/>
        </w:rPr>
      </w:pPr>
    </w:p>
    <w:p>
      <w:pPr>
        <w:ind w:left="2580" w:hanging="641"/>
        <w:spacing w:after="0"/>
        <w:tabs>
          <w:tab w:leader="none" w:pos="2580"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date of such Borrowing, which shall be a Business Day;</w:t>
      </w:r>
    </w:p>
    <w:p>
      <w:pPr>
        <w:spacing w:after="0" w:line="107" w:lineRule="exact"/>
        <w:rPr>
          <w:rFonts w:ascii="Times New Roman" w:cs="Times New Roman" w:eastAsia="Times New Roman" w:hAnsi="Times New Roman"/>
          <w:sz w:val="20"/>
          <w:szCs w:val="20"/>
          <w:color w:val="010000"/>
        </w:rPr>
      </w:pPr>
    </w:p>
    <w:p>
      <w:pPr>
        <w:ind w:left="1300" w:right="219" w:firstLine="640"/>
        <w:spacing w:after="0" w:line="283" w:lineRule="auto"/>
        <w:tabs>
          <w:tab w:leader="none" w:pos="2477"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such Borrowing is to be an ABR Borrowing, a Term Benchmark Borrowing or an RFR Borrowing;</w:t>
      </w:r>
    </w:p>
    <w:p>
      <w:pPr>
        <w:spacing w:after="0" w:line="51" w:lineRule="exact"/>
        <w:rPr>
          <w:rFonts w:ascii="Times New Roman" w:cs="Times New Roman" w:eastAsia="Times New Roman" w:hAnsi="Times New Roman"/>
          <w:sz w:val="20"/>
          <w:szCs w:val="20"/>
          <w:color w:val="010000"/>
        </w:rPr>
      </w:pPr>
    </w:p>
    <w:p>
      <w:pPr>
        <w:ind w:left="1300" w:right="219" w:firstLine="640"/>
        <w:spacing w:after="0" w:line="269" w:lineRule="auto"/>
        <w:tabs>
          <w:tab w:leader="none" w:pos="2476"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“Interest Period”; and</w:t>
      </w:r>
    </w:p>
    <w:p>
      <w:pPr>
        <w:spacing w:after="0" w:line="64" w:lineRule="exact"/>
        <w:rPr>
          <w:rFonts w:ascii="Times New Roman" w:cs="Times New Roman" w:eastAsia="Times New Roman" w:hAnsi="Times New Roman"/>
          <w:sz w:val="20"/>
          <w:szCs w:val="20"/>
          <w:color w:val="010000"/>
        </w:rPr>
      </w:pPr>
    </w:p>
    <w:p>
      <w:pPr>
        <w:ind w:left="1300" w:right="259" w:firstLine="640"/>
        <w:spacing w:after="0" w:line="269" w:lineRule="auto"/>
        <w:tabs>
          <w:tab w:leader="none" w:pos="2477"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location and number of the applicable Borrower’s account to which funds are to be disbursed, which shall comply with the requirements of Section 2.07.</w:t>
      </w:r>
    </w:p>
    <w:p>
      <w:pPr>
        <w:spacing w:after="0" w:line="65" w:lineRule="exact"/>
        <w:rPr>
          <w:sz w:val="20"/>
          <w:szCs w:val="20"/>
          <w:color w:val="auto"/>
        </w:rPr>
      </w:pPr>
    </w:p>
    <w:p>
      <w:pPr>
        <w:jc w:val="both"/>
        <w:ind w:right="219"/>
        <w:spacing w:after="0" w:line="269" w:lineRule="auto"/>
        <w:rPr>
          <w:sz w:val="20"/>
          <w:szCs w:val="20"/>
          <w:color w:val="auto"/>
        </w:rPr>
      </w:pPr>
      <w:r>
        <w:rPr>
          <w:rFonts w:ascii="Times New Roman" w:cs="Times New Roman" w:eastAsia="Times New Roman" w:hAnsi="Times New Roman"/>
          <w:sz w:val="19"/>
          <w:szCs w:val="19"/>
          <w:color w:val="auto"/>
        </w:rPr>
        <w:t>If no election as to the currency of a Borrowing is specified, then the requested Borrowing shall be made in Dollars. If no election as to the Type of Borrowing is specified, then, in the case of a Borrowing denominated in Dollars, the requested Borrowing shall be an ABR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52" w:lineRule="exact"/>
        <w:rPr>
          <w:sz w:val="20"/>
          <w:szCs w:val="20"/>
          <w:color w:val="auto"/>
        </w:rPr>
      </w:pPr>
    </w:p>
    <w:p>
      <w:pPr>
        <w:jc w:val="both"/>
        <w:ind w:right="219"/>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0000FF"/>
        </w:rPr>
        <w:t>Notwithstanding the foregoing, in no event shall the Borrowers be permitted to request pursuant to this Section 2.03 a CBR Loan or, prior to a Benchmark Transition Event and Benchmark Replacement Date with respect to (x) the Term SOFR Rate, an RFR Loan bearing interest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0019"/>
          </w:cols>
          <w:pgMar w:left="440" w:top="1413" w:right="1440" w:bottom="1440" w:gutter="0" w:footer="0" w:header="0"/>
        </w:sectPr>
      </w:pPr>
    </w:p>
    <w:bookmarkStart w:id="86" w:name="page87"/>
    <w:bookmarkEnd w:id="86"/>
    <w:p>
      <w:pPr>
        <w:jc w:val="both"/>
        <w:ind w:left="5" w:right="239"/>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0000FF"/>
        </w:rPr>
        <w:t>Daily Simple SOFR or (y) Term CORRA, an RFR Loan bearing interest based on Daily Simple CORRA (it being understood and agreed that a Central Bank Rate, the Canadian Prime Rate, Daily Simple SOFR and Daily Simple CORRA shall only apply to the extent provided in Sections 2.08(e) (solely with respect to the Central Bank Rate and the Canadian Prime Rate), 2.14(a) and 2.14(f)</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b w:val="1"/>
          <w:bCs w:val="1"/>
          <w:u w:val="single" w:color="auto"/>
          <w:color w:val="0000FF"/>
        </w:rPr>
        <w:t>a</w:t>
      </w:r>
      <w:r>
        <w:rPr>
          <w:rFonts w:ascii="Times New Roman" w:cs="Times New Roman" w:eastAsia="Times New Roman" w:hAnsi="Times New Roman"/>
          <w:sz w:val="20"/>
          <w:szCs w:val="20"/>
          <w:b w:val="1"/>
          <w:bCs w:val="1"/>
          <w:color w:val="0000FF"/>
        </w:rPr>
        <w:t>s applicable).</w:t>
      </w:r>
    </w:p>
    <w:p>
      <w:pPr>
        <w:spacing w:after="0" w:line="276" w:lineRule="exact"/>
        <w:rPr>
          <w:sz w:val="20"/>
          <w:szCs w:val="20"/>
          <w:color w:val="auto"/>
        </w:rPr>
      </w:pPr>
    </w:p>
    <w:p>
      <w:pPr>
        <w:ind w:left="1305"/>
        <w:spacing w:after="0"/>
        <w:tabs>
          <w:tab w:leader="none" w:pos="5545" w:val="left"/>
        </w:tabs>
        <w:rPr>
          <w:sz w:val="20"/>
          <w:szCs w:val="20"/>
          <w:color w:val="auto"/>
        </w:rPr>
      </w:pPr>
      <w:r>
        <w:rPr>
          <w:rFonts w:ascii="Times New Roman" w:cs="Times New Roman" w:eastAsia="Times New Roman" w:hAnsi="Times New Roman"/>
          <w:sz w:val="20"/>
          <w:szCs w:val="20"/>
          <w:color w:val="010000"/>
        </w:rPr>
        <w:t xml:space="preserve">SECTION 2.04. </w:t>
      </w:r>
      <w:r>
        <w:rPr>
          <w:rFonts w:ascii="Times New Roman" w:cs="Times New Roman" w:eastAsia="Times New Roman" w:hAnsi="Times New Roman"/>
          <w:sz w:val="20"/>
          <w:szCs w:val="20"/>
          <w:u w:val="single" w:color="auto"/>
          <w:color w:val="000000"/>
        </w:rPr>
        <w:t>Determination of Dollar Amounts</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auto"/>
        </w:rPr>
        <w:t>The Administrative Agent will determine the Dollar</w:t>
      </w:r>
    </w:p>
    <w:p>
      <w:pPr>
        <w:spacing w:after="0" w:line="28"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Amount of:</w:t>
      </w:r>
    </w:p>
    <w:p>
      <w:pPr>
        <w:spacing w:after="0" w:line="241" w:lineRule="exact"/>
        <w:rPr>
          <w:sz w:val="20"/>
          <w:szCs w:val="20"/>
          <w:color w:val="auto"/>
        </w:rPr>
      </w:pPr>
    </w:p>
    <w:p>
      <w:pPr>
        <w:jc w:val="both"/>
        <w:ind w:left="645" w:right="239" w:firstLine="652"/>
        <w:spacing w:after="0" w:line="256" w:lineRule="auto"/>
        <w:tabs>
          <w:tab w:leader="none" w:pos="1823"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denominated in a Foreign Currency, on each of the following: (i) the date of the Borrowing of such Loan and (ii)(A) with respect to any Term Benchmark Loan, each date of a conversion or continuation of such Loan pursuant to the terms of this Agreement and</w:t>
      </w:r>
    </w:p>
    <w:p>
      <w:pPr>
        <w:spacing w:after="0" w:line="1" w:lineRule="exact"/>
        <w:rPr>
          <w:rFonts w:ascii="Times New Roman" w:cs="Times New Roman" w:eastAsia="Times New Roman" w:hAnsi="Times New Roman"/>
          <w:sz w:val="20"/>
          <w:szCs w:val="20"/>
          <w:color w:val="010000"/>
        </w:rPr>
      </w:pPr>
    </w:p>
    <w:p>
      <w:pPr>
        <w:ind w:left="965" w:hanging="316"/>
        <w:spacing w:after="0"/>
        <w:tabs>
          <w:tab w:leader="none" w:pos="96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RFR Loan, each date that is on the numerically corresponding day in each calendar month</w:t>
      </w:r>
    </w:p>
    <w:p>
      <w:pPr>
        <w:spacing w:after="0" w:line="6" w:lineRule="exact"/>
        <w:rPr>
          <w:sz w:val="20"/>
          <w:szCs w:val="20"/>
          <w:color w:val="auto"/>
        </w:rPr>
      </w:pPr>
    </w:p>
    <w:p>
      <w:pPr>
        <w:ind w:left="645" w:right="239"/>
        <w:spacing w:after="0" w:line="253" w:lineRule="auto"/>
        <w:rPr>
          <w:sz w:val="20"/>
          <w:szCs w:val="20"/>
          <w:color w:val="auto"/>
        </w:rPr>
      </w:pPr>
      <w:r>
        <w:rPr>
          <w:rFonts w:ascii="Times New Roman" w:cs="Times New Roman" w:eastAsia="Times New Roman" w:hAnsi="Times New Roman"/>
          <w:sz w:val="20"/>
          <w:szCs w:val="20"/>
          <w:color w:val="auto"/>
        </w:rPr>
        <w:t>that is one month after the Borrowing of such Loan (or, if there is no such numerically corresponding day in such month, then the last day of such month),</w:t>
      </w:r>
    </w:p>
    <w:p>
      <w:pPr>
        <w:spacing w:after="0" w:line="229" w:lineRule="exact"/>
        <w:rPr>
          <w:sz w:val="20"/>
          <w:szCs w:val="20"/>
          <w:color w:val="auto"/>
        </w:rPr>
      </w:pPr>
    </w:p>
    <w:p>
      <w:pPr>
        <w:jc w:val="both"/>
        <w:ind w:left="645" w:right="239" w:firstLine="652"/>
        <w:spacing w:after="0" w:line="261" w:lineRule="auto"/>
        <w:tabs>
          <w:tab w:leader="none" w:pos="1821"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Letter of Credit denominated in a Foreign Currency, on each of the following: (i) the date on which such Letter of Credit is issued, (ii) the first Business Day of each calendar month and (iii) the date of any amendment of such Letter of Credit that has the effect of increasing the face amount thereof, and</w:t>
      </w:r>
    </w:p>
    <w:p>
      <w:pPr>
        <w:spacing w:after="0" w:line="208" w:lineRule="exact"/>
        <w:rPr>
          <w:rFonts w:ascii="Times New Roman" w:cs="Times New Roman" w:eastAsia="Times New Roman" w:hAnsi="Times New Roman"/>
          <w:sz w:val="20"/>
          <w:szCs w:val="20"/>
          <w:color w:val="010000"/>
        </w:rPr>
      </w:pPr>
    </w:p>
    <w:p>
      <w:pPr>
        <w:ind w:left="645" w:right="239" w:firstLine="652"/>
        <w:spacing w:after="0" w:line="283" w:lineRule="auto"/>
        <w:tabs>
          <w:tab w:leader="none" w:pos="1823"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Credit Event, on any additional date as the Administrative Agent may determine at any time when an Event of Default exists.</w:t>
      </w:r>
    </w:p>
    <w:p>
      <w:pPr>
        <w:spacing w:after="0" w:line="187" w:lineRule="exact"/>
        <w:rPr>
          <w:sz w:val="20"/>
          <w:szCs w:val="20"/>
          <w:color w:val="auto"/>
        </w:rPr>
      </w:pPr>
    </w:p>
    <w:p>
      <w:pPr>
        <w:jc w:val="both"/>
        <w:ind w:left="5" w:right="239"/>
        <w:spacing w:after="0" w:line="261" w:lineRule="auto"/>
        <w:rPr>
          <w:sz w:val="20"/>
          <w:szCs w:val="20"/>
          <w:color w:val="auto"/>
        </w:rPr>
      </w:pPr>
      <w:r>
        <w:rPr>
          <w:rFonts w:ascii="Times New Roman" w:cs="Times New Roman" w:eastAsia="Times New Roman" w:hAnsi="Times New Roman"/>
          <w:sz w:val="20"/>
          <w:szCs w:val="20"/>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222"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010000"/>
        </w:rPr>
        <w:t>SECTION 2.05.</w:t>
      </w:r>
      <w:r>
        <w:rPr>
          <w:rFonts w:ascii="Times New Roman" w:cs="Times New Roman" w:eastAsia="Times New Roman" w:hAnsi="Times New Roman"/>
          <w:sz w:val="20"/>
          <w:szCs w:val="20"/>
          <w:u w:val="single" w:color="auto"/>
          <w:color w:val="000000"/>
        </w:rPr>
        <w:t>[Intentionally Omitted]</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ind w:left="5" w:right="279" w:firstLine="1296"/>
        <w:spacing w:after="0" w:line="262" w:lineRule="auto"/>
        <w:rPr>
          <w:sz w:val="20"/>
          <w:szCs w:val="20"/>
          <w:color w:val="auto"/>
        </w:rPr>
      </w:pPr>
      <w:r>
        <w:rPr>
          <w:rFonts w:ascii="Times New Roman" w:cs="Times New Roman" w:eastAsia="Times New Roman" w:hAnsi="Times New Roman"/>
          <w:sz w:val="19"/>
          <w:szCs w:val="19"/>
          <w:color w:val="010000"/>
        </w:rPr>
        <w:t xml:space="preserve">SECTION 2.06. </w:t>
      </w:r>
      <w:r>
        <w:rPr>
          <w:rFonts w:ascii="Times New Roman" w:cs="Times New Roman" w:eastAsia="Times New Roman" w:hAnsi="Times New Roman"/>
          <w:sz w:val="19"/>
          <w:szCs w:val="19"/>
          <w:u w:val="single" w:color="auto"/>
          <w:color w:val="000000"/>
        </w:rPr>
        <w:t>Letters of Credit</w:t>
      </w:r>
      <w:r>
        <w:rPr>
          <w:rFonts w:ascii="Times New Roman" w:cs="Times New Roman" w:eastAsia="Times New Roman" w:hAnsi="Times New Roman"/>
          <w:sz w:val="19"/>
          <w:szCs w:val="19"/>
          <w:color w:val="000000"/>
        </w:rPr>
        <w:t>. (a)</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General</w:t>
      </w:r>
      <w:r>
        <w:rPr>
          <w:rFonts w:ascii="Times New Roman" w:cs="Times New Roman" w:eastAsia="Times New Roman" w:hAnsi="Times New Roman"/>
          <w:sz w:val="19"/>
          <w:szCs w:val="19"/>
          <w:color w:val="000000"/>
        </w:rPr>
        <w:t>. Subject to the terms and conditions set forth herein,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Company may request the issuance of Letters of Credit denominated in Agreed Currencies (x) for its own account or (y) for the account of its Subsidiaries, in a form reasonably acceptable to the Administrative Agent and the relevant Issuing Bank, at any time and from time to time during the Availability Period. The Company may arrange for the issuance by any Issuing Bank of a Letter of Credit to support payment and performance obligations of its Subsidiaries in such form, and in such manner, as may be required by local custom or law. Notwithstanding the foregoing, the letters of credit identified on </w:t>
      </w:r>
      <w:r>
        <w:rPr>
          <w:rFonts w:ascii="Times New Roman" w:cs="Times New Roman" w:eastAsia="Times New Roman" w:hAnsi="Times New Roman"/>
          <w:sz w:val="19"/>
          <w:szCs w:val="19"/>
          <w:u w:val="single" w:color="auto"/>
          <w:color w:val="000000"/>
        </w:rPr>
        <w:t>Schedule 2.06</w:t>
      </w:r>
      <w:r>
        <w:rPr>
          <w:rFonts w:ascii="Times New Roman" w:cs="Times New Roman" w:eastAsia="Times New Roman" w:hAnsi="Times New Roman"/>
          <w:sz w:val="19"/>
          <w:szCs w:val="19"/>
          <w:color w:val="000000"/>
        </w:rPr>
        <w:t xml:space="preserve"> (the “</w:t>
      </w:r>
      <w:r>
        <w:rPr>
          <w:rFonts w:ascii="Times New Roman" w:cs="Times New Roman" w:eastAsia="Times New Roman" w:hAnsi="Times New Roman"/>
          <w:sz w:val="19"/>
          <w:szCs w:val="19"/>
          <w:u w:val="single" w:color="auto"/>
          <w:color w:val="000000"/>
        </w:rPr>
        <w:t>Existing Letters of Credit</w:t>
      </w:r>
      <w:r>
        <w:rPr>
          <w:rFonts w:ascii="Times New Roman" w:cs="Times New Roman" w:eastAsia="Times New Roman" w:hAnsi="Times New Roman"/>
          <w:sz w:val="19"/>
          <w:szCs w:val="19"/>
          <w:color w:val="000000"/>
        </w:rPr>
        <w:t>”) shall be deemed to be “Letters of Credit” issued on the Restatement Effective Date for all purposes of the Loan Documents. In the event of any inconsistency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and shall not issue, any Letter of Credit the proceeds of which would be made available to any Person</w:t>
      </w:r>
    </w:p>
    <w:p>
      <w:pPr>
        <w:spacing w:after="0" w:line="4" w:lineRule="exact"/>
        <w:rPr>
          <w:sz w:val="20"/>
          <w:szCs w:val="20"/>
          <w:color w:val="auto"/>
        </w:rPr>
      </w:pPr>
    </w:p>
    <w:p>
      <w:pPr>
        <w:ind w:left="5" w:right="259" w:hanging="5"/>
        <w:spacing w:after="0" w:line="251" w:lineRule="auto"/>
        <w:tabs>
          <w:tab w:leader="none" w:pos="24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fund any activity or business of or with any Sanctioned Person, or in any country or territory that, at the time of such funding, is the subject of any Sanctions, (ii) in any manner that would result in a violation of any Sanctions by any party to this Agreement or (iii) in any manner that would result in a violation of one or more policies of the Issuing Bank applicable to letters of credit generally. Furthermore, no Issuing Bank shall be required to issue commercial letters of credit pursuant to this Agreement unless it agrees to do so at its own discretion.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0024"/>
          </w:cols>
          <w:pgMar w:left="435" w:top="1409" w:right="1440" w:bottom="1440" w:gutter="0" w:footer="0" w:header="0"/>
        </w:sectPr>
      </w:pPr>
    </w:p>
    <w:bookmarkStart w:id="87" w:name="page88"/>
    <w:bookmarkEnd w:id="87"/>
    <w:p>
      <w:pPr>
        <w:jc w:val="both"/>
        <w:ind w:left="-3" w:right="199" w:firstLine="651"/>
        <w:spacing w:after="0" w:line="248" w:lineRule="auto"/>
        <w:tabs>
          <w:tab w:leader="none" w:pos="1172" w:val="left"/>
        </w:tabs>
        <w:numPr>
          <w:ilvl w:val="1"/>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Issuance, Amendment, Extension; Certain Conditions</w:t>
      </w:r>
      <w:r>
        <w:rPr>
          <w:rFonts w:ascii="Times New Roman" w:cs="Times New Roman" w:eastAsia="Times New Roman" w:hAnsi="Times New Roman"/>
          <w:sz w:val="20"/>
          <w:szCs w:val="20"/>
          <w:color w:val="auto"/>
        </w:rPr>
        <w:t>. To request the issuance of a Letter of Credit (or the amendment or extension of an outstanding Letter of Credit), the Company shall hand deliver or telecopy (or transmit by electronic communication, if arrangements for doing so have been approved by the relevant Issuing Bank) to an Issuing Bank and the Administrative Agent (reasonably in advance of the requested date of issuance, amendment or extension, but in any event no less than three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Issuing Bank and using the Issuing Bank’s standard form (each, a “</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A Letter of Credit shall be issued, amended or extended only if (and upon issuance, amendment or extension of each Letter of Credit the Company shall be deemed to represent and warrant that), after giving effect to such issuance, amendment or extension subject to Sections 2.04 and 2.11(b), (i) the Dollar Amount of the LC Exposure shall not exceed $175,000,000, (ii) the sum of (x) the aggregate undrawn amount of all outstanding Letters of Credit issued by any Issuing Bank at such time plus (y) the aggregate amount of all LC Disbursements made by such Issuing Bank that have not yet been reimbursed by or on behalf of the Company at such time shall not exceed such Issuing Bank’s Letter of Credit Commitment,</w:t>
      </w:r>
    </w:p>
    <w:p>
      <w:pPr>
        <w:spacing w:after="0" w:line="14" w:lineRule="exact"/>
        <w:rPr>
          <w:rFonts w:ascii="Times New Roman" w:cs="Times New Roman" w:eastAsia="Times New Roman" w:hAnsi="Times New Roman"/>
          <w:sz w:val="20"/>
          <w:szCs w:val="20"/>
          <w:color w:val="010000"/>
        </w:rPr>
      </w:pPr>
    </w:p>
    <w:p>
      <w:pPr>
        <w:jc w:val="both"/>
        <w:ind w:left="-3" w:right="239" w:firstLine="3"/>
        <w:spacing w:after="0" w:line="249" w:lineRule="auto"/>
        <w:tabs>
          <w:tab w:leader="none" w:pos="53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the Dollar Amount of the Total Revolving Credit Exposure shall not exceed the Aggregate Commitment, (iv) the Dollar Amount of each Lender’s Revolving Credit Exposure shall not exceed such Lender’s Commitment and (v) the Dollar Amount of the total outstanding Revolving Loans and LC Exposure, in each case denominated in Foreign Currencies, shall not exceed the Foreign Currency Sublimit. The Company may, at any time and from time to time, reduce the Letter of Credit Commitment of any Issuing Bank with the consent of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reduce the Letter of Credit Commitment of any Issuing Bank if, after giving effect of such reduction, the conditions set forth in the immediately preceding clauses (i) through (v) shall not be satisfied.</w:t>
      </w:r>
    </w:p>
    <w:p>
      <w:pPr>
        <w:spacing w:after="0" w:line="87" w:lineRule="exact"/>
        <w:rPr>
          <w:rFonts w:ascii="Times New Roman" w:cs="Times New Roman" w:eastAsia="Times New Roman" w:hAnsi="Times New Roman"/>
          <w:sz w:val="20"/>
          <w:szCs w:val="20"/>
          <w:color w:val="auto"/>
        </w:rPr>
      </w:pPr>
    </w:p>
    <w:p>
      <w:pPr>
        <w:ind w:left="-3" w:right="279" w:firstLine="652"/>
        <w:spacing w:after="0" w:line="250" w:lineRule="auto"/>
        <w:tabs>
          <w:tab w:leader="none" w:pos="1175"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(or be subject to termination by notice from the Issuing Bank to the beneficiary thereof) at or prior to the close of business on the date that is three (3) Business Days prior to the Revolving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one-year tenor may contain customary automatic extension provisions agreed upon by the Company and the relevant Issuing Bank that provide for the renewal thereof for additional one-year periods (which shall in no event extend beyond the date referenced in clause (ii) above), subject to a right on the part of the relevant Issuing Bank to prevent any such renewal from occurring by giving notice to the beneficiary in advance of any such renewal. Notwithstanding the foregoing, any Letter of Credit may expire no later than one year after the Maturity Date so long as the Company cash collateralizes an amount equal to 105% of the face amount of such Letter of Credit, at least sixty (60) days prior to the Maturity Date, in the manner described in Section 2.06(j) and otherwise on terms and conditions reasonably acceptable to the relevant Issuing Bank and the Administrative Agent.</w:t>
      </w:r>
    </w:p>
    <w:p>
      <w:pPr>
        <w:spacing w:after="0" w:line="91" w:lineRule="exact"/>
        <w:rPr>
          <w:rFonts w:ascii="Times New Roman" w:cs="Times New Roman" w:eastAsia="Times New Roman" w:hAnsi="Times New Roman"/>
          <w:sz w:val="20"/>
          <w:szCs w:val="20"/>
          <w:color w:val="010000"/>
        </w:rPr>
      </w:pPr>
    </w:p>
    <w:p>
      <w:pPr>
        <w:jc w:val="both"/>
        <w:ind w:left="-3" w:right="199" w:firstLine="651"/>
        <w:spacing w:after="0" w:line="254" w:lineRule="auto"/>
        <w:tabs>
          <w:tab w:leader="none" w:pos="1172"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any Issuing Bank or the Lenders, each Issuing Bank hereby grants to each Lender, and each Lender hereby acquires from each Issuing Bank, a participation in such Letter of Credit equal to such Lender’s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9376"/>
          </w:cols>
          <w:pgMar w:left="1083" w:top="1413" w:right="1440" w:bottom="1440" w:gutter="0" w:footer="0" w:header="0"/>
        </w:sectPr>
      </w:pPr>
    </w:p>
    <w:bookmarkStart w:id="88" w:name="page89"/>
    <w:bookmarkEnd w:id="88"/>
    <w:p>
      <w:pPr>
        <w:jc w:val="both"/>
        <w:ind w:right="199"/>
        <w:spacing w:after="0" w:line="250" w:lineRule="auto"/>
        <w:rPr>
          <w:sz w:val="20"/>
          <w:szCs w:val="20"/>
          <w:color w:val="auto"/>
        </w:rPr>
      </w:pPr>
      <w:r>
        <w:rPr>
          <w:rFonts w:ascii="Times New Roman" w:cs="Times New Roman" w:eastAsia="Times New Roman" w:hAnsi="Times New Roman"/>
          <w:sz w:val="20"/>
          <w:szCs w:val="20"/>
          <w:color w:val="auto"/>
        </w:rPr>
        <w:t>Applicable Percentage of the aggregate Dollar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paragraph (e) of this Section, or of any reimbursement payment required to be refunded to the Company for any reason, including after the Maturity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 and that each such payment shall be made without any offset, abatement, withholding or reduction whatsoever.</w:t>
      </w:r>
    </w:p>
    <w:p>
      <w:pPr>
        <w:spacing w:after="0" w:line="92" w:lineRule="exact"/>
        <w:rPr>
          <w:sz w:val="20"/>
          <w:szCs w:val="20"/>
          <w:color w:val="auto"/>
        </w:rPr>
      </w:pPr>
    </w:p>
    <w:p>
      <w:pPr>
        <w:jc w:val="both"/>
        <w:ind w:right="199" w:firstLine="651"/>
        <w:spacing w:after="0" w:line="248" w:lineRule="auto"/>
        <w:tabs>
          <w:tab w:leader="none" w:pos="1178"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any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an Issuing Bank shall so elect in its sole discretion by notice to the Company, in such other Agreed Currency which was paid by such Issuing Bank pursuant to such LC Disbursement in an amount equal to such LC Disbursement) not later than 12:00 noon, Local Time, on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 the Business Day immediately following the day that the Company receives such notice, if such notice is not received prior to such time on the 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LC Disbursement is not less than the Dollar Amount of $1,000,000, the Company may, subject to the conditions to borrowing set forth herein, request in accordance with Section 2.03 that such payment be financed with (i) to the extent such LC Disbursement was made in Dollars, an ABR Revolving Borrowing or Term Benchmark Revolving Borrowing in Dollars in an amount equal to such LC Disbursement or (ii) to the extent that such LC Disbursement was made in a Foreign Currency, a Term Benchmark Revolving Borrowing or an RFR Revolving Borrowing in such Foreign Currency in an amount equal to such LC Disbursement and, in each case, to the extent so financed, the Company’s obligation to make such payment shall be discharged and replaced by the resulting ABR Revolving Borrowing, Term Benchmark Revolving Borrowing or RFR Revolving Borrowing, as applicable.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2.07 with respect to Loans made by such Lender (and Section 2.07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Lenders), and the Administrative Agent shall promptly pay to the relevant Issuing Bank the amounts so received by it from the Lenders. Promptly following receipt by the Administrative Agent of any payment from the Company pursuant to this paragraph, the Administrative Agent shall distribute such payment to the relevant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Revolving Loans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Lender to any stamp duty, ad valorem charge 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9379"/>
          </w:cols>
          <w:pgMar w:left="1080" w:top="1413" w:right="1440" w:bottom="1440" w:gutter="0" w:footer="0" w:header="0"/>
        </w:sectPr>
      </w:pPr>
    </w:p>
    <w:bookmarkStart w:id="89" w:name="page90"/>
    <w:bookmarkEnd w:id="89"/>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similar tax that would not be payable if such reimbursement were made or required to be made in Dollars, the Company shall, at its option, either (x) pay the amount of any such tax requested by the Administrative Agent, the relevant Issuing Bank or the relevant Lender or (y) reimburse each LC Disbursement made in such Foreign Currency in Dollars, in an amount equal to the Dollar Amount thereof calculated on the date such LC Disbursement is made.</w:t>
      </w:r>
    </w:p>
    <w:p>
      <w:pPr>
        <w:spacing w:after="0" w:line="84" w:lineRule="exact"/>
        <w:rPr>
          <w:sz w:val="20"/>
          <w:szCs w:val="20"/>
          <w:color w:val="auto"/>
        </w:rPr>
      </w:pPr>
    </w:p>
    <w:p>
      <w:pPr>
        <w:ind w:right="199" w:firstLine="652"/>
        <w:spacing w:after="0" w:line="262" w:lineRule="auto"/>
        <w:tabs>
          <w:tab w:leader="none" w:pos="1183" w:val="left"/>
        </w:tabs>
        <w:numPr>
          <w:ilvl w:val="0"/>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Obligations Absolute</w:t>
      </w:r>
      <w:r>
        <w:rPr>
          <w:rFonts w:ascii="Times New Roman" w:cs="Times New Roman" w:eastAsia="Times New Roman" w:hAnsi="Times New Roman"/>
          <w:sz w:val="19"/>
          <w:szCs w:val="19"/>
          <w:color w:val="auto"/>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an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Administrative Agent, the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relevant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construed to excuse any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10" w:lineRule="exact"/>
        <w:rPr>
          <w:rFonts w:ascii="Times New Roman" w:cs="Times New Roman" w:eastAsia="Times New Roman" w:hAnsi="Times New Roman"/>
          <w:sz w:val="19"/>
          <w:szCs w:val="19"/>
          <w:color w:val="010000"/>
        </w:rPr>
      </w:pPr>
    </w:p>
    <w:p>
      <w:pPr>
        <w:jc w:val="both"/>
        <w:ind w:right="199" w:firstLine="652"/>
        <w:spacing w:after="0" w:line="253" w:lineRule="auto"/>
        <w:tabs>
          <w:tab w:leader="none" w:pos="117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Each Issuing Bank shall, for any Letter of Credit issued by it, within the time allowed by applicable law or the specific terms of the Letter of Credit following its receipt thereof, examine all documents purporting to represent a demand for payment under a Letter of Credit. Each Issuing Bank shall promptly after such examination notify the Administrative Agent and the Company by telephone (confirmed by telecopy or electronic mail) of such demand for payment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9379"/>
          </w:cols>
          <w:pgMar w:left="1080" w:top="1413" w:right="1440" w:bottom="1440" w:gutter="0" w:footer="0" w:header="0"/>
        </w:sectPr>
      </w:pPr>
    </w:p>
    <w:bookmarkStart w:id="90" w:name="page91"/>
    <w:bookmarkEnd w:id="90"/>
    <w:p>
      <w:pPr>
        <w:ind w:right="299"/>
        <w:spacing w:after="0" w:line="283" w:lineRule="auto"/>
        <w:rPr>
          <w:sz w:val="20"/>
          <w:szCs w:val="20"/>
          <w:color w:val="auto"/>
        </w:rPr>
      </w:pPr>
      <w:r>
        <w:rPr>
          <w:rFonts w:ascii="Times New Roman" w:cs="Times New Roman" w:eastAsia="Times New Roman" w:hAnsi="Times New Roman"/>
          <w:sz w:val="20"/>
          <w:szCs w:val="20"/>
          <w:color w:val="auto"/>
        </w:rPr>
        <w:t>notice shall not relieve the Company of its obligation to reimburse such Issuing Bank and the Lenders with respect to any such LC Disbursement.</w:t>
      </w:r>
    </w:p>
    <w:p>
      <w:pPr>
        <w:spacing w:after="0" w:line="38" w:lineRule="exact"/>
        <w:rPr>
          <w:sz w:val="20"/>
          <w:szCs w:val="20"/>
          <w:color w:val="auto"/>
        </w:rPr>
      </w:pPr>
    </w:p>
    <w:p>
      <w:pPr>
        <w:jc w:val="both"/>
        <w:ind w:right="219" w:firstLine="652"/>
        <w:spacing w:after="0" w:line="251" w:lineRule="auto"/>
        <w:tabs>
          <w:tab w:leader="none" w:pos="1176"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any Issuing Bank shall make any LC Disbursement, then, unless the Company shall reimburse such LC Disbursement in full in the applicable currency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(or in the case such LC Disbursement is denominated in a Foreign Currency, at the Overnight Rate for such Agreed Currency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then effective Applicable Rate with respect to Term Benchmark Revolving Loans) and such interest shall be due and payable on the date when such reimbursement is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Company fails to reimburse such LC Disbursement when due pursuant to paragraph (e) of this Section, then Section 2.13(d) shall apply. Interest accrued pursuant to this paragraph shall be for the account of such Issuing Bank, except that interest accrued on and after the date of payment by any Lender pursuant to paragraph (e) of this Section to reimburse such Issuing Bank for such LC Disbursement shall be for the account of such Lender to the extent of such payment.</w:t>
      </w:r>
    </w:p>
    <w:p>
      <w:pPr>
        <w:spacing w:after="0" w:line="16" w:lineRule="exact"/>
        <w:rPr>
          <w:rFonts w:ascii="Times New Roman" w:cs="Times New Roman" w:eastAsia="Times New Roman" w:hAnsi="Times New Roman"/>
          <w:sz w:val="20"/>
          <w:szCs w:val="20"/>
          <w:color w:val="010000"/>
        </w:rPr>
      </w:pPr>
    </w:p>
    <w:p>
      <w:pPr>
        <w:jc w:val="both"/>
        <w:ind w:right="219" w:firstLine="652"/>
        <w:spacing w:after="0" w:line="251" w:lineRule="auto"/>
        <w:tabs>
          <w:tab w:leader="none" w:pos="1186"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Replacement and Resignation of an Issuing Bank</w:t>
      </w:r>
      <w:r>
        <w:rPr>
          <w:rFonts w:ascii="Times New Roman" w:cs="Times New Roman" w:eastAsia="Times New Roman" w:hAnsi="Times New Roman"/>
          <w:sz w:val="20"/>
          <w:szCs w:val="20"/>
          <w:color w:val="auto"/>
        </w:rPr>
        <w:t>. (A) Any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w:t>
      </w:r>
    </w:p>
    <w:p>
      <w:pPr>
        <w:spacing w:after="0" w:line="5" w:lineRule="exact"/>
        <w:rPr>
          <w:rFonts w:ascii="Times New Roman" w:cs="Times New Roman" w:eastAsia="Times New Roman" w:hAnsi="Times New Roman"/>
          <w:sz w:val="20"/>
          <w:szCs w:val="20"/>
          <w:color w:val="010000"/>
        </w:rPr>
      </w:pPr>
    </w:p>
    <w:p>
      <w:pPr>
        <w:jc w:val="both"/>
        <w:ind w:right="239" w:firstLine="4"/>
        <w:spacing w:after="0" w:line="250" w:lineRule="auto"/>
        <w:tabs>
          <w:tab w:leader="none" w:pos="31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72" w:lineRule="exact"/>
        <w:rPr>
          <w:rFonts w:ascii="Times New Roman" w:cs="Times New Roman" w:eastAsia="Times New Roman" w:hAnsi="Times New Roman"/>
          <w:sz w:val="20"/>
          <w:szCs w:val="20"/>
          <w:color w:val="auto"/>
        </w:rPr>
      </w:pPr>
    </w:p>
    <w:p>
      <w:pPr>
        <w:jc w:val="both"/>
        <w:ind w:right="239" w:firstLine="1300"/>
        <w:spacing w:after="0" w:line="258" w:lineRule="auto"/>
        <w:tabs>
          <w:tab w:leader="none" w:pos="1611"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Issuing Bank, any Issuing Bank may resign as an Issuing Bank at any time upon thirty days’ prior written notice to the Administrative Agent, the Company and the Lenders, in which case, such resigning Issuing Bank shall be replaced in accordance with Section 2.06(i)(A) above.</w:t>
      </w:r>
    </w:p>
    <w:p>
      <w:pPr>
        <w:spacing w:after="0" w:line="77" w:lineRule="exact"/>
        <w:rPr>
          <w:rFonts w:ascii="Times New Roman" w:cs="Times New Roman" w:eastAsia="Times New Roman" w:hAnsi="Times New Roman"/>
          <w:sz w:val="20"/>
          <w:szCs w:val="20"/>
          <w:color w:val="auto"/>
        </w:rPr>
      </w:pPr>
    </w:p>
    <w:p>
      <w:pPr>
        <w:jc w:val="both"/>
        <w:ind w:right="239" w:firstLine="651"/>
        <w:spacing w:after="0" w:line="265" w:lineRule="auto"/>
        <w:tabs>
          <w:tab w:leader="none" w:pos="1186"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Cash Collateralization</w:t>
      </w:r>
      <w:r>
        <w:rPr>
          <w:rFonts w:ascii="Times New Roman" w:cs="Times New Roman" w:eastAsia="Times New Roman" w:hAnsi="Times New Roman"/>
          <w:sz w:val="19"/>
          <w:szCs w:val="19"/>
          <w:color w:val="auto"/>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(the “</w:t>
      </w:r>
      <w:r>
        <w:rPr>
          <w:rFonts w:ascii="Times New Roman" w:cs="Times New Roman" w:eastAsia="Times New Roman" w:hAnsi="Times New Roman"/>
          <w:sz w:val="19"/>
          <w:szCs w:val="19"/>
          <w:u w:val="single" w:color="auto"/>
          <w:color w:val="auto"/>
        </w:rPr>
        <w:t>LC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Collateral Account</w:t>
      </w:r>
      <w:r>
        <w:rPr>
          <w:rFonts w:ascii="Times New Roman" w:cs="Times New Roman" w:eastAsia="Times New Roman" w:hAnsi="Times New Roman"/>
          <w:sz w:val="19"/>
          <w:szCs w:val="19"/>
          <w:color w:val="auto"/>
        </w:rPr>
        <w:t xml:space="preserve">”), an amount in cash equal to 105% of the Dollar Amount of the LC Exposure as of such date plus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 Disbursements and (ii) the obligation to deposit such cash collateral shall become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9379"/>
          </w:cols>
          <w:pgMar w:left="1080" w:top="1413" w:right="1440" w:bottom="1440" w:gutter="0" w:footer="0" w:header="0"/>
        </w:sectPr>
      </w:pPr>
    </w:p>
    <w:bookmarkStart w:id="91" w:name="page92"/>
    <w:bookmarkEnd w:id="91"/>
    <w:p>
      <w:pPr>
        <w:ind w:right="199"/>
        <w:spacing w:after="0" w:line="248" w:lineRule="auto"/>
        <w:rPr>
          <w:sz w:val="20"/>
          <w:szCs w:val="20"/>
          <w:color w:val="auto"/>
        </w:rPr>
      </w:pPr>
      <w:r>
        <w:rPr>
          <w:rFonts w:ascii="Times New Roman" w:cs="Times New Roman" w:eastAsia="Times New Roman" w:hAnsi="Times New Roman"/>
          <w:sz w:val="20"/>
          <w:szCs w:val="20"/>
          <w:color w:val="auto"/>
        </w:rPr>
        <w:t>effective immediately, and such deposit shall become immediately due and payable, without demand or other notice of any kind, upon the occurrence of any Event of Default with respect to any Borrower described in clause (h) or (i) of Article VII. For the purposes of this paragraph, the Dollar Amount of the Foreign Currency LC Exposure shall be calculated on the date notice 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together with customary related fees, customary costs and customary processing charges,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w:t>
      </w:r>
    </w:p>
    <w:p>
      <w:pPr>
        <w:spacing w:after="0" w:line="17" w:lineRule="exact"/>
        <w:rPr>
          <w:sz w:val="20"/>
          <w:szCs w:val="20"/>
          <w:color w:val="auto"/>
        </w:rPr>
      </w:pPr>
    </w:p>
    <w:p>
      <w:pPr>
        <w:ind w:left="280" w:hanging="277"/>
        <w:spacing w:after="0"/>
        <w:tabs>
          <w:tab w:leader="none" w:pos="2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all Events of Default have been cured or waived.</w:t>
      </w:r>
    </w:p>
    <w:p>
      <w:pPr>
        <w:spacing w:after="0" w:line="240" w:lineRule="exact"/>
        <w:rPr>
          <w:rFonts w:ascii="Times New Roman" w:cs="Times New Roman" w:eastAsia="Times New Roman" w:hAnsi="Times New Roman"/>
          <w:sz w:val="20"/>
          <w:szCs w:val="20"/>
          <w:color w:val="auto"/>
        </w:rPr>
      </w:pPr>
    </w:p>
    <w:p>
      <w:pPr>
        <w:jc w:val="both"/>
        <w:ind w:right="219" w:firstLine="650"/>
        <w:spacing w:after="0" w:line="252" w:lineRule="auto"/>
        <w:tabs>
          <w:tab w:leader="none" w:pos="1188"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Issuing Bank Agreements</w:t>
      </w:r>
      <w:r>
        <w:rPr>
          <w:rFonts w:ascii="Times New Roman" w:cs="Times New Roman" w:eastAsia="Times New Roman" w:hAnsi="Times New Roman"/>
          <w:sz w:val="20"/>
          <w:szCs w:val="20"/>
          <w:color w:val="auto"/>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of the Letters of Credit to be issued, amended, renewed or extended by it and outstanding after giving effect to such issuance, amendment, renewal or extension occurred (and whether the amount thereof changed), (ii) on each Business Day on which such Issuing Bank makes any LC Disbursement, the date of such LC Disbursement and the amount of such LC Disbursement, (iii) on any Business Day on which the Company fails to reimburse an LC Disbursement required to be reimbursed to such Issuing Bank on such day, the date of such failure and the amount and currency of such LC Disbursement and (iv) on any other Business Day, such other information as the Administrative Agent shall reasonably request.</w:t>
      </w:r>
    </w:p>
    <w:p>
      <w:pPr>
        <w:spacing w:after="0" w:line="204" w:lineRule="exact"/>
        <w:rPr>
          <w:rFonts w:ascii="Times New Roman" w:cs="Times New Roman" w:eastAsia="Times New Roman" w:hAnsi="Times New Roman"/>
          <w:sz w:val="20"/>
          <w:szCs w:val="20"/>
          <w:color w:val="010000"/>
        </w:rPr>
      </w:pPr>
    </w:p>
    <w:p>
      <w:pPr>
        <w:jc w:val="both"/>
        <w:ind w:right="239" w:firstLine="651"/>
        <w:spacing w:after="0" w:line="265" w:lineRule="auto"/>
        <w:tabs>
          <w:tab w:leader="none" w:pos="1186" w:val="left"/>
        </w:tabs>
        <w:numPr>
          <w:ilvl w:val="1"/>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Letters of Credit Issued for Account of Subsidiaries</w:t>
      </w:r>
      <w:r>
        <w:rPr>
          <w:rFonts w:ascii="Times New Roman" w:cs="Times New Roman" w:eastAsia="Times New Roman" w:hAnsi="Times New Roman"/>
          <w:sz w:val="19"/>
          <w:szCs w:val="19"/>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relevant Issuing Bank (whether arising by contract, at law, in equity or otherwise) against such Subsidiary in respect of such Letter of Credit, the Company (i) shall reimburse, indemnify and compensate such Issuing Bank hereunder for such Letter of Credit (including to reimburse any and all drawings thereunder)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9379"/>
          </w:cols>
          <w:pgMar w:left="1080" w:top="1413" w:right="1440" w:bottom="1440" w:gutter="0" w:footer="0" w:header="0"/>
        </w:sectPr>
      </w:pPr>
    </w:p>
    <w:bookmarkStart w:id="92" w:name="page93"/>
    <w:bookmarkEnd w:id="92"/>
    <w:p>
      <w:pPr>
        <w:ind w:left="5" w:right="259"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2.07. </w:t>
      </w:r>
      <w:r>
        <w:rPr>
          <w:rFonts w:ascii="Times New Roman" w:cs="Times New Roman" w:eastAsia="Times New Roman" w:hAnsi="Times New Roman"/>
          <w:sz w:val="20"/>
          <w:szCs w:val="20"/>
          <w:u w:val="single" w:color="auto"/>
          <w:color w:val="000000"/>
        </w:rPr>
        <w:t>Funding of Borrowings</w:t>
      </w:r>
      <w:r>
        <w:rPr>
          <w:rFonts w:ascii="Times New Roman" w:cs="Times New Roman" w:eastAsia="Times New Roman" w:hAnsi="Times New Roman"/>
          <w:sz w:val="20"/>
          <w:szCs w:val="20"/>
          <w:color w:val="000000"/>
        </w:rPr>
        <w:t>. (a) Each Lender shall make each Loan to be made by 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hereunder on the proposed date thereof solely by wire transfer of immediately available funds</w:t>
      </w:r>
    </w:p>
    <w:p>
      <w:pPr>
        <w:jc w:val="both"/>
        <w:ind w:left="5" w:right="199" w:hanging="5"/>
        <w:spacing w:after="0" w:line="249" w:lineRule="auto"/>
        <w:tabs>
          <w:tab w:leader="none" w:pos="25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Foreign Currency Payment Office for such currency and at such Foreign Currency Payment Office for such currency. Except in respect of the provisions of this Agreement covering the reimbursement of Letters of Credit, the Administrative Agent will make such Loans available to the relevant Borrower by promptly crediting funds so received in the aforesaid account of the Administrative Agent to (x) an account of such Borrower maintained with the Administrative Agent in New York City or Chicago and designated by such Borrower in the applicable Borrowing Request, in the case of Loans denominated in Dollars and (y) an account of such Borrower in the relevant jurisdiction and designated by such Borrower in the applicable Borrowing Request, in the case of Loans denominated in a Foreign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Revolving Loans made to finance the reimbursement of an LC Disbursement as provided in Section 2.06(e) shall be remitted by the Administrative Agent to the relevant Issuing Bank.</w:t>
      </w:r>
    </w:p>
    <w:p>
      <w:pPr>
        <w:spacing w:after="0" w:line="71" w:lineRule="exact"/>
        <w:rPr>
          <w:rFonts w:ascii="Times New Roman" w:cs="Times New Roman" w:eastAsia="Times New Roman" w:hAnsi="Times New Roman"/>
          <w:sz w:val="20"/>
          <w:szCs w:val="20"/>
          <w:color w:val="auto"/>
        </w:rPr>
      </w:pPr>
    </w:p>
    <w:p>
      <w:pPr>
        <w:jc w:val="both"/>
        <w:ind w:left="645" w:right="199" w:firstLine="651"/>
        <w:spacing w:after="0" w:line="250" w:lineRule="auto"/>
        <w:tabs>
          <w:tab w:leader="none" w:pos="1572"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79" w:lineRule="exact"/>
        <w:rPr>
          <w:sz w:val="20"/>
          <w:szCs w:val="20"/>
          <w:color w:val="auto"/>
        </w:rPr>
      </w:pPr>
    </w:p>
    <w:p>
      <w:pPr>
        <w:jc w:val="both"/>
        <w:ind w:left="5" w:right="199"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2.08. </w:t>
      </w:r>
      <w:r>
        <w:rPr>
          <w:rFonts w:ascii="Times New Roman" w:cs="Times New Roman" w:eastAsia="Times New Roman" w:hAnsi="Times New Roman"/>
          <w:sz w:val="20"/>
          <w:szCs w:val="20"/>
          <w:u w:val="single" w:color="auto"/>
          <w:color w:val="000000"/>
        </w:rPr>
        <w:t>Interest Elections</w:t>
      </w:r>
      <w:r>
        <w:rPr>
          <w:rFonts w:ascii="Times New Roman" w:cs="Times New Roman" w:eastAsia="Times New Roman" w:hAnsi="Times New Roman"/>
          <w:sz w:val="20"/>
          <w:szCs w:val="20"/>
          <w:color w:val="000000"/>
        </w:rPr>
        <w:t>. (a) Each Borrowing initially shall be of the Type and Agreed Currency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specified in the applicable Borrowing Request and, in the case of a Term Benchmark Borrowing, shall have an initial Interest Period as specified in such Borrowing Request.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87" w:lineRule="exact"/>
        <w:rPr>
          <w:sz w:val="20"/>
          <w:szCs w:val="20"/>
          <w:color w:val="auto"/>
        </w:rPr>
      </w:pPr>
    </w:p>
    <w:p>
      <w:pPr>
        <w:jc w:val="both"/>
        <w:ind w:left="645" w:right="199" w:firstLine="651"/>
        <w:spacing w:after="0" w:line="253" w:lineRule="auto"/>
        <w:tabs>
          <w:tab w:leader="none" w:pos="1820"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make an election pursuant to this Section, a Borrower, or the Company on its behalf, shall notify the Administrative Agent of such election (by irrevocable written notice (via an Interest Election Request signed by such Borrower, or the Company on its behalf)) by the time that a Borrowing Request would be required under Section 2.03 if such Borrower were requesting a Borrowing of the Type resulting from such election to be made on the effective date of such election. Notwithstanding any contrary provision herein, this Section shall not be construed 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0024"/>
          </w:cols>
          <w:pgMar w:left="435" w:top="1413" w:right="1440" w:bottom="1440" w:gutter="0" w:footer="0" w:header="0"/>
        </w:sectPr>
      </w:pPr>
    </w:p>
    <w:bookmarkStart w:id="93" w:name="page94"/>
    <w:bookmarkEnd w:id="93"/>
    <w:p>
      <w:pPr>
        <w:jc w:val="both"/>
        <w:ind w:right="219"/>
        <w:spacing w:after="0" w:line="261" w:lineRule="auto"/>
        <w:rPr>
          <w:sz w:val="20"/>
          <w:szCs w:val="20"/>
          <w:color w:val="auto"/>
        </w:rPr>
      </w:pPr>
      <w:r>
        <w:rPr>
          <w:rFonts w:ascii="Times New Roman" w:cs="Times New Roman" w:eastAsia="Times New Roman" w:hAnsi="Times New Roman"/>
          <w:sz w:val="20"/>
          <w:szCs w:val="20"/>
          <w:color w:val="auto"/>
        </w:rPr>
        <w:t>permit any Borrower to (i) change the currency of any Borrowing, (ii) elect an Interest Period for Term Benchmark Loans that does not comply with Section 2.02(d) or (iii) convert any Borrowing to a Borrowing of a Type not available under such Borrowing.</w:t>
      </w:r>
    </w:p>
    <w:p>
      <w:pPr>
        <w:spacing w:after="0" w:line="208" w:lineRule="exact"/>
        <w:rPr>
          <w:sz w:val="20"/>
          <w:szCs w:val="20"/>
          <w:color w:val="auto"/>
        </w:rPr>
      </w:pPr>
    </w:p>
    <w:p>
      <w:pPr>
        <w:ind w:left="1180" w:hanging="529"/>
        <w:spacing w:after="0"/>
        <w:tabs>
          <w:tab w:leader="none" w:pos="1180"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written Interest Election Request shall specify the following information in compliance with</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2.02:</w:t>
      </w:r>
    </w:p>
    <w:p>
      <w:pPr>
        <w:spacing w:after="0" w:line="240" w:lineRule="exact"/>
        <w:rPr>
          <w:rFonts w:ascii="Times New Roman" w:cs="Times New Roman" w:eastAsia="Times New Roman" w:hAnsi="Times New Roman"/>
          <w:sz w:val="20"/>
          <w:szCs w:val="20"/>
          <w:color w:val="010000"/>
        </w:rPr>
      </w:pPr>
    </w:p>
    <w:p>
      <w:pPr>
        <w:jc w:val="both"/>
        <w:ind w:left="660" w:right="199" w:firstLine="639"/>
        <w:spacing w:after="0" w:line="257" w:lineRule="auto"/>
        <w:tabs>
          <w:tab w:leader="none" w:pos="1845"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name of the applicable Borrower and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213" w:lineRule="exact"/>
        <w:rPr>
          <w:rFonts w:ascii="Times New Roman" w:cs="Times New Roman" w:eastAsia="Times New Roman" w:hAnsi="Times New Roman"/>
          <w:sz w:val="20"/>
          <w:szCs w:val="20"/>
          <w:color w:val="010000"/>
        </w:rPr>
      </w:pPr>
    </w:p>
    <w:p>
      <w:pPr>
        <w:ind w:left="660" w:right="239" w:firstLine="639"/>
        <w:spacing w:after="0" w:line="283" w:lineRule="auto"/>
        <w:tabs>
          <w:tab w:leader="none" w:pos="1845"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186" w:lineRule="exact"/>
        <w:rPr>
          <w:rFonts w:ascii="Times New Roman" w:cs="Times New Roman" w:eastAsia="Times New Roman" w:hAnsi="Times New Roman"/>
          <w:sz w:val="20"/>
          <w:szCs w:val="20"/>
          <w:color w:val="010000"/>
        </w:rPr>
      </w:pPr>
    </w:p>
    <w:p>
      <w:pPr>
        <w:ind w:left="660" w:right="259" w:firstLine="640"/>
        <w:spacing w:after="0" w:line="283" w:lineRule="auto"/>
        <w:tabs>
          <w:tab w:leader="none" w:pos="1848"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the resulting Borrowing is to be an ABR Borrowing, a Term Benchmark Borrowing or an RFR Borrowing; and</w:t>
      </w:r>
    </w:p>
    <w:p>
      <w:pPr>
        <w:spacing w:after="0" w:line="186" w:lineRule="exact"/>
        <w:rPr>
          <w:rFonts w:ascii="Times New Roman" w:cs="Times New Roman" w:eastAsia="Times New Roman" w:hAnsi="Times New Roman"/>
          <w:sz w:val="20"/>
          <w:szCs w:val="20"/>
          <w:color w:val="010000"/>
        </w:rPr>
      </w:pPr>
    </w:p>
    <w:p>
      <w:pPr>
        <w:jc w:val="both"/>
        <w:ind w:left="660" w:right="239" w:firstLine="640"/>
        <w:spacing w:after="0" w:line="261" w:lineRule="auto"/>
        <w:tabs>
          <w:tab w:leader="none" w:pos="1837"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208" w:lineRule="exact"/>
        <w:rPr>
          <w:sz w:val="20"/>
          <w:szCs w:val="20"/>
          <w:color w:val="auto"/>
        </w:rPr>
      </w:pPr>
    </w:p>
    <w:p>
      <w:pPr>
        <w:ind w:right="239"/>
        <w:spacing w:after="0" w:line="283"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183" w:lineRule="exact"/>
        <w:rPr>
          <w:sz w:val="20"/>
          <w:szCs w:val="20"/>
          <w:color w:val="auto"/>
        </w:rPr>
      </w:pPr>
    </w:p>
    <w:p>
      <w:pPr>
        <w:jc w:val="both"/>
        <w:ind w:right="219"/>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0000FF"/>
        </w:rPr>
        <w:t>Notwithstanding the foregoing, in no event shall the Borrowers be permitted to request pursuant to this Section 2.08(c)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Daily Simple SOFR and Daily Simple CORRA shall only apply to the extent provided in Sections 2.08(e) (solely with respect to the Central Bank Rate, the Canadian Prime Rate and the Japanese Prime Rate), 2.14(a) and 2.14(f), as applicable).</w:t>
      </w:r>
    </w:p>
    <w:p>
      <w:pPr>
        <w:spacing w:after="0" w:line="69" w:lineRule="exact"/>
        <w:rPr>
          <w:sz w:val="20"/>
          <w:szCs w:val="20"/>
          <w:color w:val="auto"/>
        </w:rPr>
      </w:pPr>
    </w:p>
    <w:p>
      <w:pPr>
        <w:ind w:right="259" w:firstLine="651"/>
        <w:spacing w:after="0" w:line="283" w:lineRule="auto"/>
        <w:tabs>
          <w:tab w:leader="none" w:pos="1175" w:val="left"/>
        </w:tabs>
        <w:numPr>
          <w:ilvl w:val="0"/>
          <w:numId w:val="79"/>
        </w:numPr>
        <w:rPr>
          <w:rFonts w:ascii="Times New Roman" w:cs="Times New Roman" w:eastAsia="Times New Roman" w:hAnsi="Times New Roman"/>
          <w:sz w:val="20"/>
          <w:szCs w:val="20"/>
          <w:u w:val="single" w:color="auto"/>
          <w:color w:val="010000"/>
        </w:rPr>
      </w:pPr>
      <w:r>
        <w:rPr>
          <w:rFonts w:ascii="Times New Roman" w:cs="Times New Roman" w:eastAsia="Times New Roman" w:hAnsi="Times New Roman"/>
          <w:sz w:val="20"/>
          <w:szCs w:val="20"/>
          <w:u w:val="single" w:color="auto"/>
          <w:color w:val="auto"/>
        </w:rPr>
        <w:t>Promptly following receipt of an Interest Elect</w:t>
      </w:r>
      <w:r>
        <w:rPr>
          <w:rFonts w:ascii="Times New Roman" w:cs="Times New Roman" w:eastAsia="Times New Roman" w:hAnsi="Times New Roman"/>
          <w:sz w:val="20"/>
          <w:szCs w:val="20"/>
          <w:color w:val="auto"/>
        </w:rPr>
        <w:t>ion Request, the Administrative Agent shall advise each Lender of the details thereof and of such Lender’s portion of each resulting Borrowing.</w:t>
      </w:r>
    </w:p>
    <w:p>
      <w:pPr>
        <w:spacing w:after="0" w:line="51" w:lineRule="exact"/>
        <w:rPr>
          <w:rFonts w:ascii="Times New Roman" w:cs="Times New Roman" w:eastAsia="Times New Roman" w:hAnsi="Times New Roman"/>
          <w:sz w:val="20"/>
          <w:szCs w:val="20"/>
          <w:u w:val="single" w:color="auto"/>
          <w:color w:val="010000"/>
        </w:rPr>
      </w:pPr>
    </w:p>
    <w:p>
      <w:pPr>
        <w:jc w:val="both"/>
        <w:ind w:right="239" w:firstLine="651"/>
        <w:spacing w:after="0" w:line="251" w:lineRule="auto"/>
        <w:tabs>
          <w:tab w:leader="none" w:pos="1177"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applicable Borrower fails to deliver a timely Interest Election Request with respect to a Term Benchmark Borrowing denominated in Dollars prior to the end of the Interest Period applicable thereto, then, unless such Borrowing is repaid as provided herein, at the end of such Interest Period such Borrowing shall be deemed to have an Interest Period that is one (1) month. If the applicable Borrower fails to deliver a timely and complete Interest Election Request with respect to a Term Benchmark Borrowing denominated in a Foreign Currency prior to the end of the Interest Period therefor, then, unless such Term Benchmark Borrowing is repaid as provided herein, such Borrower shall be deemed to have selected that such Term Benchmark Borrowing shall automatically be continued as a Term Benchmark Borrowing in its original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9379"/>
          </w:cols>
          <w:pgMar w:left="1080" w:top="1413" w:right="1440" w:bottom="1440" w:gutter="0" w:footer="0" w:header="0"/>
        </w:sectPr>
      </w:pPr>
    </w:p>
    <w:bookmarkStart w:id="94" w:name="page95"/>
    <w:bookmarkEnd w:id="94"/>
    <w:p>
      <w:pPr>
        <w:ind w:left="640" w:right="219"/>
        <w:spacing w:after="0" w:line="263" w:lineRule="auto"/>
        <w:rPr>
          <w:sz w:val="20"/>
          <w:szCs w:val="20"/>
          <w:color w:val="auto"/>
        </w:rPr>
      </w:pPr>
      <w:r>
        <w:rPr>
          <w:rFonts w:ascii="Times New Roman" w:cs="Times New Roman" w:eastAsia="Times New Roman" w:hAnsi="Times New Roman"/>
          <w:sz w:val="19"/>
          <w:szCs w:val="19"/>
          <w:color w:val="auto"/>
        </w:rPr>
        <w:t xml:space="preserve">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and (ii) unless repaid, (x) each Term Benchmark Borrowing and each RFR Borrowing, in each case denominated in Dollars shall be converted to an ABR Borrowing (in the case of a Term Benchmark Borrowing) at the end of the Interest Period applicable thereto or (in the case of an RFR Borrowing) on the next Interest Payment Date in respect thereof, (y) each Term Benchmark Borrowing denominated in Canadian Dollars shall be converted to a Loan that bears interest at the Canadian Prime Rate plus the Applicable Rate applicable to ABR Loans at the end of the Interest Period applicable thereto and (z) each Term Benchmark Borrowing and each RFR Borrowing, in each case denominated in a Foreign Currency other than Canadian Dollars shall bear interest at the Central Bank Rate for the applicable Agreed Currency plus the CBR Spread;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Central Bank Rate for the applicable Agreed Currency cannot be determined, any outstanding affected Term Benchmark Loans or RFR Loans denominated in any Foreign Currency other than Canadian Dollars shall either be (A) converted to an ABR Borrowing denominated in Dollars (in an amount equal to the Dollar Amount of such Foreign Currency) at the end of the Interest Period, as applicable, therefor or (B) prepaid at the end of the applicable Interest Period, as applicable, in full;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applicable Borrower by the earlier of (x) the date that is three (3) Business Days after receipt by the Company of such notice and (y) the last day of the current Interest Period for the applicable Term Benchmark Loan, such Borrower shall be deemed to have elected clause (A) above.</w:t>
      </w:r>
    </w:p>
    <w:p>
      <w:pPr>
        <w:spacing w:after="0" w:line="72" w:lineRule="exact"/>
        <w:rPr>
          <w:sz w:val="20"/>
          <w:szCs w:val="20"/>
          <w:color w:val="auto"/>
        </w:rPr>
      </w:pPr>
    </w:p>
    <w:p>
      <w:pPr>
        <w:ind w:right="819"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2.09. </w:t>
      </w:r>
      <w:r>
        <w:rPr>
          <w:rFonts w:ascii="Times New Roman" w:cs="Times New Roman" w:eastAsia="Times New Roman" w:hAnsi="Times New Roman"/>
          <w:sz w:val="20"/>
          <w:szCs w:val="20"/>
          <w:u w:val="single" w:color="auto"/>
          <w:color w:val="000000"/>
        </w:rPr>
        <w:t>Termination and Reduction of Commitments</w:t>
      </w:r>
      <w:r>
        <w:rPr>
          <w:rFonts w:ascii="Times New Roman" w:cs="Times New Roman" w:eastAsia="Times New Roman" w:hAnsi="Times New Roman"/>
          <w:sz w:val="20"/>
          <w:szCs w:val="20"/>
          <w:color w:val="000000"/>
        </w:rPr>
        <w:t>. (a) Unless previously terminated,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Revolving Commitments shall terminate on the Maturity Date.</w:t>
      </w:r>
    </w:p>
    <w:p>
      <w:pPr>
        <w:spacing w:after="0" w:line="38" w:lineRule="exact"/>
        <w:rPr>
          <w:sz w:val="20"/>
          <w:szCs w:val="20"/>
          <w:color w:val="auto"/>
        </w:rPr>
      </w:pPr>
    </w:p>
    <w:p>
      <w:pPr>
        <w:jc w:val="both"/>
        <w:ind w:left="640" w:right="239" w:firstLine="651"/>
        <w:spacing w:after="0" w:line="253" w:lineRule="auto"/>
        <w:tabs>
          <w:tab w:leader="none" w:pos="1815"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may at any time terminate, or from time to time reduce, the Commitments; provided that (i) each reduction of the Commitments shall be in an amount that is an integral multiple of $5,000,000 and not less than $5,000,000 and (ii) the Company shall not terminate or reduce the Commitments if, after giving effect to any concurrent prepayment of the Loans in accordance with Section 2.11, (A) the Dollar Amount of any Lender’s Revolving Credit Exposure would exceed its Commitment or (B) the Dollar Amount of the Total Revolving Credit Exposure would exceed the Aggregate Commitment.</w:t>
      </w:r>
    </w:p>
    <w:p>
      <w:pPr>
        <w:spacing w:after="0" w:line="84" w:lineRule="exact"/>
        <w:rPr>
          <w:rFonts w:ascii="Times New Roman" w:cs="Times New Roman" w:eastAsia="Times New Roman" w:hAnsi="Times New Roman"/>
          <w:sz w:val="20"/>
          <w:szCs w:val="20"/>
          <w:color w:val="010000"/>
        </w:rPr>
      </w:pPr>
    </w:p>
    <w:p>
      <w:pPr>
        <w:jc w:val="both"/>
        <w:ind w:left="640" w:right="239" w:firstLine="651"/>
        <w:spacing w:after="0" w:line="250" w:lineRule="auto"/>
        <w:tabs>
          <w:tab w:leader="none" w:pos="1818"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Commitments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2.10. </w:t>
      </w:r>
      <w:r>
        <w:rPr>
          <w:rFonts w:ascii="Times New Roman" w:cs="Times New Roman" w:eastAsia="Times New Roman" w:hAnsi="Times New Roman"/>
          <w:sz w:val="20"/>
          <w:szCs w:val="20"/>
          <w:u w:val="single" w:color="auto"/>
          <w:color w:val="000000"/>
        </w:rPr>
        <w:t>Repayment of Loans; Evidence of Debt</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0019"/>
          </w:cols>
          <w:pgMar w:left="440" w:top="1413" w:right="1440" w:bottom="1440" w:gutter="0" w:footer="0" w:header="0"/>
        </w:sectPr>
      </w:pPr>
    </w:p>
    <w:bookmarkStart w:id="95" w:name="page96"/>
    <w:bookmarkEnd w:id="95"/>
    <w:p>
      <w:pPr>
        <w:jc w:val="both"/>
        <w:ind w:left="-360" w:right="239" w:firstLine="651"/>
        <w:spacing w:after="0" w:line="254" w:lineRule="auto"/>
        <w:tabs>
          <w:tab w:leader="none" w:pos="818"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hereby unconditionally promises to pay to the Administrative Agent for the account of each Lender the then unpaid principal amount of each Loan made to such Borrower on the Maturity Date in the currency of such Loan.</w:t>
      </w:r>
    </w:p>
    <w:p>
      <w:pPr>
        <w:jc w:val="both"/>
        <w:ind w:left="-360" w:right="259" w:firstLine="651"/>
        <w:spacing w:after="0" w:line="253" w:lineRule="auto"/>
        <w:tabs>
          <w:tab w:leader="none" w:pos="815"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80" w:lineRule="exact"/>
        <w:rPr>
          <w:rFonts w:ascii="Times New Roman" w:cs="Times New Roman" w:eastAsia="Times New Roman" w:hAnsi="Times New Roman"/>
          <w:sz w:val="20"/>
          <w:szCs w:val="20"/>
          <w:color w:val="010000"/>
        </w:rPr>
      </w:pPr>
    </w:p>
    <w:p>
      <w:pPr>
        <w:jc w:val="both"/>
        <w:ind w:left="-360" w:right="239" w:firstLine="651"/>
        <w:spacing w:after="0" w:line="253" w:lineRule="auto"/>
        <w:tabs>
          <w:tab w:leader="none" w:pos="817"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83" w:lineRule="exact"/>
        <w:rPr>
          <w:rFonts w:ascii="Times New Roman" w:cs="Times New Roman" w:eastAsia="Times New Roman" w:hAnsi="Times New Roman"/>
          <w:sz w:val="20"/>
          <w:szCs w:val="20"/>
          <w:color w:val="010000"/>
        </w:rPr>
      </w:pPr>
    </w:p>
    <w:p>
      <w:pPr>
        <w:jc w:val="both"/>
        <w:ind w:left="-360" w:right="239" w:firstLine="651"/>
        <w:spacing w:after="0" w:line="254" w:lineRule="auto"/>
        <w:tabs>
          <w:tab w:leader="none" w:pos="815"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79" w:lineRule="exact"/>
        <w:rPr>
          <w:rFonts w:ascii="Times New Roman" w:cs="Times New Roman" w:eastAsia="Times New Roman" w:hAnsi="Times New Roman"/>
          <w:sz w:val="20"/>
          <w:szCs w:val="20"/>
          <w:color w:val="010000"/>
        </w:rPr>
      </w:pPr>
    </w:p>
    <w:p>
      <w:pPr>
        <w:jc w:val="both"/>
        <w:ind w:left="-360" w:right="239" w:firstLine="651"/>
        <w:spacing w:after="0" w:line="253" w:lineRule="auto"/>
        <w:tabs>
          <w:tab w:leader="none" w:pos="818"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assigns) and in the form attached hereto as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Thereafter, the Loans evidenced by such promissory note and interest thereon shall at all times (including after assignment pursuant to Section 9.04) be represented by one or more promissory notes in such form.</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010000"/>
        </w:rPr>
        <w:t xml:space="preserve">SECTION 2.11. </w:t>
      </w:r>
      <w:r>
        <w:rPr>
          <w:rFonts w:ascii="Times New Roman" w:cs="Times New Roman" w:eastAsia="Times New Roman" w:hAnsi="Times New Roman"/>
          <w:sz w:val="20"/>
          <w:szCs w:val="20"/>
          <w:u w:val="single" w:color="auto"/>
          <w:color w:val="000000"/>
        </w:rPr>
        <w:t>Prepayment of Loans</w:t>
      </w:r>
      <w:r>
        <w:rPr>
          <w:rFonts w:ascii="Times New Roman" w:cs="Times New Roman" w:eastAsia="Times New Roman" w:hAnsi="Times New Roman"/>
          <w:sz w:val="20"/>
          <w:szCs w:val="20"/>
          <w:color w:val="000000"/>
        </w:rPr>
        <w:t>.</w:t>
      </w:r>
    </w:p>
    <w:p>
      <w:pPr>
        <w:spacing w:after="0" w:line="108" w:lineRule="exact"/>
        <w:rPr>
          <w:sz w:val="20"/>
          <w:szCs w:val="20"/>
          <w:color w:val="auto"/>
        </w:rPr>
      </w:pPr>
    </w:p>
    <w:p>
      <w:pPr>
        <w:jc w:val="both"/>
        <w:ind w:left="-360" w:right="239" w:firstLine="651"/>
        <w:spacing w:after="0" w:line="250" w:lineRule="auto"/>
        <w:tabs>
          <w:tab w:leader="none" w:pos="818"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 Administrative Agent by written notice of any prepayment hereunder (i) (x) in the case of prepayment of a Term Benchmark Revolving Borrowing denominated in Dollars, not later than 11:00 a.m., New York City time, three (3) Business Days before the date of prepayment, (y) in the case of prepayment of a Term Benchmark Revolving Borrowing denominated in euro, Japanese Yen or Canadian Dollars, four (4) Business Days before the date of prepayment and (z) in the case of prepayment of an RFR Borrowing, not later than 11:00 a.m., New York City Time, five (5) RFR Business Days before the date of prepayment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9019"/>
          </w:cols>
          <w:pgMar w:left="1440" w:top="1413" w:right="1440" w:bottom="1440" w:gutter="0" w:footer="0" w:header="0"/>
        </w:sectPr>
      </w:pPr>
    </w:p>
    <w:bookmarkStart w:id="96" w:name="page97"/>
    <w:bookmarkEnd w:id="96"/>
    <w:p>
      <w:pPr>
        <w:jc w:val="both"/>
        <w:ind w:left="640" w:right="239"/>
        <w:spacing w:after="0" w:line="261" w:lineRule="auto"/>
        <w:rPr>
          <w:sz w:val="20"/>
          <w:szCs w:val="20"/>
          <w:color w:val="auto"/>
        </w:rPr>
      </w:pPr>
      <w:r>
        <w:rPr>
          <w:rFonts w:ascii="Times New Roman" w:cs="Times New Roman" w:eastAsia="Times New Roman" w:hAnsi="Times New Roman"/>
          <w:sz w:val="20"/>
          <w:szCs w:val="20"/>
          <w:color w:val="auto"/>
        </w:rPr>
        <w:t>Section 2.02. Each prepayment of a Revolving Borrowing shall be applied ratably to the Loans included in the prepaid Borrowing. Prepayments shall be accompanied by (i) accrued interest to the extent required by Section 2.13 and (ii) break funding payments required by Section 2.16.</w:t>
      </w:r>
    </w:p>
    <w:p>
      <w:pPr>
        <w:spacing w:after="0" w:line="73" w:lineRule="exact"/>
        <w:rPr>
          <w:sz w:val="20"/>
          <w:szCs w:val="20"/>
          <w:color w:val="auto"/>
        </w:rPr>
      </w:pPr>
    </w:p>
    <w:p>
      <w:pPr>
        <w:ind w:left="1920" w:hanging="630"/>
        <w:spacing w:after="0"/>
        <w:tabs>
          <w:tab w:leader="none" w:pos="1920"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at any time, (i) other than as a result of fluctuations in currency exchange rates,</w:t>
      </w:r>
    </w:p>
    <w:p>
      <w:pPr>
        <w:spacing w:after="0" w:line="107" w:lineRule="exact"/>
        <w:rPr>
          <w:rFonts w:ascii="Times New Roman" w:cs="Times New Roman" w:eastAsia="Times New Roman" w:hAnsi="Times New Roman"/>
          <w:sz w:val="20"/>
          <w:szCs w:val="20"/>
          <w:color w:val="010000"/>
        </w:rPr>
      </w:pPr>
    </w:p>
    <w:p>
      <w:pPr>
        <w:jc w:val="both"/>
        <w:ind w:left="640" w:right="199" w:firstLine="3"/>
        <w:spacing w:after="0" w:line="263" w:lineRule="auto"/>
        <w:tabs>
          <w:tab w:leader="none" w:pos="117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principal Dollar Amount of the Total Revolving Credit Exposure (calculated, with respect to those Credit Events denominated in Foreign Currencies, as of the most recent Computation Date with respect to each such Credit Event) exceeds the Aggregate Commitment or (B) the aggregate principal Dollar Amount of the Total Revolving Credit Exposure denominated in Foreign Currencies (the “</w:t>
      </w:r>
      <w:r>
        <w:rPr>
          <w:rFonts w:ascii="Times New Roman" w:cs="Times New Roman" w:eastAsia="Times New Roman" w:hAnsi="Times New Roman"/>
          <w:sz w:val="19"/>
          <w:szCs w:val="19"/>
          <w:u w:val="single" w:color="auto"/>
          <w:color w:val="auto"/>
        </w:rPr>
        <w:t>Foreign Currency Exposure</w:t>
      </w:r>
      <w:r>
        <w:rPr>
          <w:rFonts w:ascii="Times New Roman" w:cs="Times New Roman" w:eastAsia="Times New Roman" w:hAnsi="Times New Roman"/>
          <w:sz w:val="19"/>
          <w:szCs w:val="19"/>
          <w:color w:val="auto"/>
        </w:rPr>
        <w:t>”) (so calculated), as of the most recent Computation Date with respect to each such Credit Event, exceeds the Foreign Currency Sublimit or (ii) solely as a result of fluctuations in currency exchange rates, (A) the aggregate principal Dollar Amount of the Total Revolving Credit Exposure (so calculated) exceeds 105% of the Aggregate Commitment or (B) the Foreign Currency Exposure, as of the most recent Computation Date with respect to each such Credit Event, exceeds 105% of the Foreign Currency Sublimit, the Borrowers shall in each case immediately repay Borrowings or cash collateralize LC Exposure in an account with the Administrative Agent pursuant to Section 2.06(j), as applicable, in an aggregate principal amount sufficient to cause (x) the aggregate Dollar Amount of the Total Revolving Credit Exposure (so calculated) to be less than or equal to the Aggregate Commitment and</w:t>
      </w:r>
    </w:p>
    <w:p>
      <w:pPr>
        <w:spacing w:after="0" w:line="4"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the Foreign Currency Exposure to be less than or equal to the Foreign Currency Sublimit, as applicable.</w:t>
      </w:r>
    </w:p>
    <w:p>
      <w:pPr>
        <w:spacing w:after="0" w:line="92" w:lineRule="exact"/>
        <w:rPr>
          <w:sz w:val="20"/>
          <w:szCs w:val="20"/>
          <w:color w:val="auto"/>
        </w:rPr>
      </w:pPr>
    </w:p>
    <w:p>
      <w:pPr>
        <w:jc w:val="both"/>
        <w:ind w:right="21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2.12. </w:t>
      </w:r>
      <w:r>
        <w:rPr>
          <w:rFonts w:ascii="Times New Roman" w:cs="Times New Roman" w:eastAsia="Times New Roman" w:hAnsi="Times New Roman"/>
          <w:sz w:val="20"/>
          <w:szCs w:val="20"/>
          <w:u w:val="single" w:color="auto"/>
          <w:color w:val="000000"/>
        </w:rPr>
        <w:t>Fees</w:t>
      </w:r>
      <w:r>
        <w:rPr>
          <w:rFonts w:ascii="Times New Roman" w:cs="Times New Roman" w:eastAsia="Times New Roman" w:hAnsi="Times New Roman"/>
          <w:sz w:val="20"/>
          <w:szCs w:val="20"/>
          <w:color w:val="000000"/>
        </w:rPr>
        <w:t>. (a) The Company agrees to pay to the Administrative Agent for the account of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Lender a facility fee, which shall accrue at the Applicable Rate for facility fees on the daily amount of the Commitment of such Lender (whether used or unused) during the period from and including the Original Effective Date to but excluding the date on which such Commitment terminates;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such Lender continues to have any Revolving Credit Exposure after its Commitment terminates, then such facility fee shall continue to accrue on the daily amount of such Lender’s Revolving Credit Exposure from and including the date on which its Commitment terminates to but excluding the date on which such Lender ceases to have any Revolving Credit Exposure. Facility fees accrued through and including the last day of March, June, September and December of each year shall be payable in arrears on the fifteenth (15</w:t>
      </w:r>
      <w:r>
        <w:rPr>
          <w:rFonts w:ascii="Times New Roman" w:cs="Times New Roman" w:eastAsia="Times New Roman" w:hAnsi="Times New Roman"/>
          <w:sz w:val="12"/>
          <w:szCs w:val="12"/>
          <w:color w:val="000000"/>
        </w:rPr>
        <w:t>th</w:t>
      </w:r>
      <w:r>
        <w:rPr>
          <w:rFonts w:ascii="Times New Roman" w:cs="Times New Roman" w:eastAsia="Times New Roman" w:hAnsi="Times New Roman"/>
          <w:sz w:val="20"/>
          <w:szCs w:val="20"/>
          <w:color w:val="000000"/>
        </w:rPr>
        <w:t xml:space="preserve">) day following such last day and on the date on which the Commitments terminate, commencing on the first such date to occur after the date hereof;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any facility fees accruing after the date on which the Commitments terminate shall be payable on demand. All facility fees shall be computed on the basis of a year of 360 days and shall be payable for the actual number of days elapsed (including the first day and the last day of each period but excluding the date on which the Commitments terminate).</w:t>
      </w:r>
    </w:p>
    <w:p>
      <w:pPr>
        <w:spacing w:after="0" w:line="85" w:lineRule="exact"/>
        <w:rPr>
          <w:sz w:val="20"/>
          <w:szCs w:val="20"/>
          <w:color w:val="auto"/>
        </w:rPr>
      </w:pPr>
    </w:p>
    <w:p>
      <w:pPr>
        <w:jc w:val="both"/>
        <w:ind w:left="640" w:right="199" w:firstLine="651"/>
        <w:spacing w:after="0" w:line="249" w:lineRule="auto"/>
        <w:tabs>
          <w:tab w:leader="none" w:pos="1815"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pay (i) to the Administrative Agent for the account of each Lender a participation fee with respect to its participations in Letters of Credit, which shall accrue at the same Applicable Rate used to determine the interest rate applicable to Term Benchmark Revolving Loans on the average daily Dollar Amount of such Lender’s LC Exposure (excluding any portion thereof attributable to unreimbursed LC Disbursements) during the period from and including the Original Effective Date to but excluding the later of the date on which such Lender’s Commitment terminates and the date on which such Lender ceases to have any LC Exposure and (ii) to the relevant Issuing Bank for its own account a fronting fee, which shall accrue at the rate per annum as separately agreed upon by the Company and such Issuing Bank on the average daily Dollar Amount of the LC Exposure (excluding any portion thereof attributable to unreimbursed LC Disbursements) attributable to Letters of Credit issued by such Issuing Bank during the period from and including the Original Effective Date to but excluding the later of the date of termination of the Commitments and the date on which there ceases to be any</w:t>
      </w:r>
    </w:p>
    <w:p>
      <w:pPr>
        <w:spacing w:after="0" w:line="2" w:lineRule="exact"/>
        <w:rPr>
          <w:rFonts w:ascii="Times New Roman" w:cs="Times New Roman" w:eastAsia="Times New Roman" w:hAnsi="Times New Roman"/>
          <w:sz w:val="20"/>
          <w:szCs w:val="20"/>
          <w:color w:val="010000"/>
        </w:rPr>
      </w:pPr>
    </w:p>
    <w:p>
      <w:pPr>
        <w:ind w:left="64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0019"/>
          </w:cols>
          <w:pgMar w:left="440" w:top="1413" w:right="1440" w:bottom="1440" w:gutter="0" w:footer="0" w:header="0"/>
        </w:sectPr>
      </w:pPr>
    </w:p>
    <w:bookmarkStart w:id="97" w:name="page98"/>
    <w:bookmarkEnd w:id="97"/>
    <w:p>
      <w:pPr>
        <w:ind w:left="640" w:right="219"/>
        <w:spacing w:after="0" w:line="265" w:lineRule="auto"/>
        <w:rPr>
          <w:sz w:val="20"/>
          <w:szCs w:val="20"/>
          <w:color w:val="auto"/>
        </w:rPr>
      </w:pPr>
      <w:r>
        <w:rPr>
          <w:rFonts w:ascii="Times New Roman" w:cs="Times New Roman" w:eastAsia="Times New Roman" w:hAnsi="Times New Roman"/>
          <w:sz w:val="19"/>
          <w:szCs w:val="19"/>
          <w:color w:val="auto"/>
        </w:rPr>
        <w:t>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fifteenth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day following such last day, commencing on the first such date to occur after the Original Effective Date; provided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62" w:lineRule="exact"/>
        <w:rPr>
          <w:sz w:val="20"/>
          <w:szCs w:val="20"/>
          <w:color w:val="auto"/>
        </w:rPr>
      </w:pPr>
    </w:p>
    <w:p>
      <w:pPr>
        <w:ind w:left="640" w:right="239" w:firstLine="651"/>
        <w:spacing w:after="0" w:line="283" w:lineRule="auto"/>
        <w:tabs>
          <w:tab w:leader="none" w:pos="1817"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pay to the Administrative Agent, for its own account, fees payable in the amounts and at the times separately agreed upon between the Company and the Administrative Agent.</w:t>
      </w:r>
    </w:p>
    <w:p>
      <w:pPr>
        <w:spacing w:after="0" w:line="38" w:lineRule="exact"/>
        <w:rPr>
          <w:rFonts w:ascii="Times New Roman" w:cs="Times New Roman" w:eastAsia="Times New Roman" w:hAnsi="Times New Roman"/>
          <w:sz w:val="20"/>
          <w:szCs w:val="20"/>
          <w:color w:val="010000"/>
        </w:rPr>
      </w:pPr>
    </w:p>
    <w:p>
      <w:pPr>
        <w:jc w:val="both"/>
        <w:ind w:left="640" w:right="239" w:firstLine="652"/>
        <w:spacing w:after="0" w:line="253" w:lineRule="auto"/>
        <w:tabs>
          <w:tab w:leader="none" w:pos="1816"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fees payable hereunder shall be paid on the dates due, in Dollars (except as otherwise expressly provided in this Section 2.12) and immediately available funds, to the Administrative Agent (or to the relevant Issuing Bank, in the case of fees payable to it) for distribution, in the case of facility fees and participation fees, to the Lenders. Fees paid shall not be refundable under any circumstances. Notwithstanding anything to the contrary herein or in any other Loan Document, each Foreign Subsidiary Borrower shall severally and not jointly pay fees owed by it pursuant to this Section 2.12 and no Foreign Subsidiary Borrower shall be responsible for any other Borrower’s failure to pay any fees due hereunder.</w:t>
      </w:r>
    </w:p>
    <w:p>
      <w:pPr>
        <w:spacing w:after="0" w:line="85" w:lineRule="exact"/>
        <w:rPr>
          <w:sz w:val="20"/>
          <w:szCs w:val="20"/>
          <w:color w:val="auto"/>
        </w:rPr>
      </w:pPr>
    </w:p>
    <w:p>
      <w:pPr>
        <w:ind w:right="959"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2.13. </w:t>
      </w:r>
      <w:r>
        <w:rPr>
          <w:rFonts w:ascii="Times New Roman" w:cs="Times New Roman" w:eastAsia="Times New Roman" w:hAnsi="Times New Roman"/>
          <w:sz w:val="20"/>
          <w:szCs w:val="20"/>
          <w:u w:val="single" w:color="auto"/>
          <w:color w:val="000000"/>
        </w:rPr>
        <w:t>Interest</w:t>
      </w:r>
      <w:r>
        <w:rPr>
          <w:rFonts w:ascii="Times New Roman" w:cs="Times New Roman" w:eastAsia="Times New Roman" w:hAnsi="Times New Roman"/>
          <w:sz w:val="20"/>
          <w:szCs w:val="20"/>
          <w:color w:val="000000"/>
        </w:rPr>
        <w:t>. (a) The Loans comprising each ABR Borrowing shall bear interest at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Alternate Base Rate plus the Applicable Rate.</w:t>
      </w:r>
    </w:p>
    <w:p>
      <w:pPr>
        <w:spacing w:after="0" w:line="65" w:lineRule="exact"/>
        <w:rPr>
          <w:sz w:val="20"/>
          <w:szCs w:val="20"/>
          <w:color w:val="auto"/>
        </w:rPr>
      </w:pPr>
    </w:p>
    <w:p>
      <w:pPr>
        <w:jc w:val="both"/>
        <w:ind w:left="640" w:right="199" w:firstLine="651"/>
        <w:spacing w:after="0" w:line="261" w:lineRule="auto"/>
        <w:tabs>
          <w:tab w:leader="none" w:pos="1815"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Loans comprising each Term Benchmark Borrowing shall bear interest at the Adjusted Term SOFR Rate, the Adjusted EURIBO Rate, the Adjusted TIBO Rate or the </w:t>
      </w:r>
      <w:r>
        <w:rPr>
          <w:rFonts w:ascii="Times New Roman" w:cs="Times New Roman" w:eastAsia="Times New Roman" w:hAnsi="Times New Roman"/>
          <w:sz w:val="20"/>
          <w:szCs w:val="20"/>
          <w:b w:val="1"/>
          <w:bCs w:val="1"/>
          <w:color w:val="FF0000"/>
          <w:strike w:val="1"/>
        </w:rPr>
        <w:t>CDOR</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color w:val="auto"/>
        </w:rPr>
        <w:t xml:space="preserve"> Rate, as applicable,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59" w:lineRule="exact"/>
        <w:rPr>
          <w:rFonts w:ascii="Times New Roman" w:cs="Times New Roman" w:eastAsia="Times New Roman" w:hAnsi="Times New Roman"/>
          <w:sz w:val="20"/>
          <w:szCs w:val="20"/>
          <w:color w:val="010000"/>
        </w:rPr>
      </w:pPr>
    </w:p>
    <w:p>
      <w:pPr>
        <w:ind w:left="640" w:right="239" w:firstLine="651"/>
        <w:spacing w:after="0" w:line="283" w:lineRule="auto"/>
        <w:tabs>
          <w:tab w:leader="none" w:pos="1818"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RFR Loan shall bear interest at a rate per annum equal to the applicable Adjusted Daily Simple RFR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51" w:lineRule="exact"/>
        <w:rPr>
          <w:rFonts w:ascii="Times New Roman" w:cs="Times New Roman" w:eastAsia="Times New Roman" w:hAnsi="Times New Roman"/>
          <w:sz w:val="20"/>
          <w:szCs w:val="20"/>
          <w:color w:val="010000"/>
        </w:rPr>
      </w:pPr>
    </w:p>
    <w:p>
      <w:pPr>
        <w:jc w:val="both"/>
        <w:ind w:left="640" w:right="219" w:firstLine="652"/>
        <w:spacing w:after="0" w:line="254" w:lineRule="auto"/>
        <w:tabs>
          <w:tab w:leader="none" w:pos="1816"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if any principal of or interest on any Loan or any fee or other amount payable by any Borrower hereunder is not paid when due, whether at stated maturity, upon acceleration 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otherwise, such overdue amount shall bear interest, after as well as before judgment, at a rate per annum equal to</w:t>
      </w:r>
    </w:p>
    <w:p>
      <w:pPr>
        <w:spacing w:after="0" w:line="6" w:lineRule="exact"/>
        <w:rPr>
          <w:sz w:val="20"/>
          <w:szCs w:val="20"/>
          <w:color w:val="auto"/>
        </w:rPr>
      </w:pPr>
    </w:p>
    <w:p>
      <w:pPr>
        <w:jc w:val="both"/>
        <w:ind w:left="640" w:right="219" w:firstLine="4"/>
        <w:spacing w:after="0" w:line="256" w:lineRule="auto"/>
        <w:tabs>
          <w:tab w:leader="none" w:pos="88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65" w:lineRule="exact"/>
        <w:rPr>
          <w:rFonts w:ascii="Times New Roman" w:cs="Times New Roman" w:eastAsia="Times New Roman" w:hAnsi="Times New Roman"/>
          <w:sz w:val="20"/>
          <w:szCs w:val="20"/>
          <w:color w:val="auto"/>
        </w:rPr>
      </w:pPr>
    </w:p>
    <w:p>
      <w:pPr>
        <w:jc w:val="both"/>
        <w:ind w:left="640" w:right="239" w:firstLine="652"/>
        <w:spacing w:after="0" w:line="258" w:lineRule="auto"/>
        <w:tabs>
          <w:tab w:leader="none" w:pos="1818"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Accrued interest on each Revolving Loan shall be payable in arrears on each Interest Payment Date for such Revolving Loan and upon termination of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(d) of this Section shall be payable on demand, (ii) in the event of any repayment or prepayment of any Loan (other than a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0019"/>
          </w:cols>
          <w:pgMar w:left="440" w:top="1413" w:right="1440" w:bottom="1440" w:gutter="0" w:footer="0" w:header="0"/>
        </w:sectPr>
      </w:pPr>
    </w:p>
    <w:bookmarkStart w:id="98" w:name="page99"/>
    <w:bookmarkEnd w:id="98"/>
    <w:p>
      <w:pPr>
        <w:jc w:val="both"/>
        <w:ind w:right="239"/>
        <w:spacing w:after="0" w:line="258" w:lineRule="auto"/>
        <w:rPr>
          <w:sz w:val="20"/>
          <w:szCs w:val="20"/>
          <w:color w:val="auto"/>
        </w:rPr>
      </w:pPr>
      <w:r>
        <w:rPr>
          <w:rFonts w:ascii="Times New Roman" w:cs="Times New Roman" w:eastAsia="Times New Roman" w:hAnsi="Times New Roman"/>
          <w:sz w:val="20"/>
          <w:szCs w:val="20"/>
          <w:color w:val="auto"/>
        </w:rPr>
        <w:t>of an ABR Revolving Loan prior to the end of the Availability Period), accrued interest on the principal amount repaid or prepaid shall be payable on the date of such repayment or prepayment and (iii) in the event of any conversion of any Term Benchmark Revolving Loan prior to the end of the current Interest Period therefor, accrued interest on such Loan shall be payable on the effective date of such conversion.</w:t>
      </w:r>
    </w:p>
    <w:p>
      <w:pPr>
        <w:spacing w:after="0" w:line="213" w:lineRule="exact"/>
        <w:rPr>
          <w:sz w:val="20"/>
          <w:szCs w:val="20"/>
          <w:color w:val="auto"/>
        </w:rPr>
      </w:pPr>
    </w:p>
    <w:p>
      <w:pPr>
        <w:jc w:val="both"/>
        <w:ind w:right="239" w:firstLine="651"/>
        <w:spacing w:after="0" w:line="250" w:lineRule="auto"/>
        <w:tabs>
          <w:tab w:leader="none" w:pos="1183"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interest hereunder shall be computed on the basis of a year of 360 days, except that interest computed by reference to the Daily Simple RFR with respect to Pounds Sterling, the TIBO Rate, </w:t>
      </w:r>
      <w:r>
        <w:rPr>
          <w:rFonts w:ascii="Times New Roman" w:cs="Times New Roman" w:eastAsia="Times New Roman" w:hAnsi="Times New Roman"/>
          <w:sz w:val="20"/>
          <w:szCs w:val="20"/>
          <w:b w:val="1"/>
          <w:bCs w:val="1"/>
          <w:color w:val="FF0000"/>
          <w:strike w:val="1"/>
        </w:rPr>
        <w:t>the CDOR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FF0000"/>
          <w:strike w:val="1"/>
        </w:rPr>
        <w:t>Rate</w:t>
      </w:r>
      <w:r>
        <w:rPr>
          <w:rFonts w:ascii="Times New Roman" w:cs="Times New Roman" w:eastAsia="Times New Roman" w:hAnsi="Times New Roman"/>
          <w:sz w:val="20"/>
          <w:szCs w:val="20"/>
          <w:b w:val="1"/>
          <w:bCs w:val="1"/>
          <w:u w:val="single" w:color="auto"/>
          <w:color w:val="0000FF"/>
        </w:rPr>
        <w:t>Term CORRA, Daily Simple CORRA (if applicable),</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or the Alternate Base Rate at times when the</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 xml:space="preserve">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EURIBO Rate, EURIBO Rate, Adjusted TIBO Rate, TIBO Rate, </w:t>
      </w:r>
      <w:r>
        <w:rPr>
          <w:rFonts w:ascii="Times New Roman" w:cs="Times New Roman" w:eastAsia="Times New Roman" w:hAnsi="Times New Roman"/>
          <w:sz w:val="20"/>
          <w:szCs w:val="20"/>
          <w:b w:val="1"/>
          <w:bCs w:val="1"/>
          <w:color w:val="FF0000"/>
          <w:strike w:val="1"/>
        </w:rPr>
        <w:t>CDOR</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color w:val="000000"/>
        </w:rPr>
        <w:t xml:space="preserve"> Rate, </w:t>
      </w:r>
      <w:r>
        <w:rPr>
          <w:rFonts w:ascii="Times New Roman" w:cs="Times New Roman" w:eastAsia="Times New Roman" w:hAnsi="Times New Roman"/>
          <w:sz w:val="20"/>
          <w:szCs w:val="20"/>
          <w:b w:val="1"/>
          <w:bCs w:val="1"/>
          <w:u w:val="single" w:color="auto"/>
          <w:color w:val="0000FF"/>
        </w:rPr>
        <w:t>Term CORRA,</w:t>
      </w:r>
      <w:r>
        <w:rPr>
          <w:rFonts w:ascii="Times New Roman" w:cs="Times New Roman" w:eastAsia="Times New Roman" w:hAnsi="Times New Roman"/>
          <w:sz w:val="20"/>
          <w:szCs w:val="20"/>
          <w:color w:val="000000"/>
        </w:rPr>
        <w:t xml:space="preserve"> Adjusted Daily Simple RFR or Daily Simple RFR shall be determined by the Administrative Agent, and such determination shall be conclusive absent manifest error.</w:t>
      </w:r>
    </w:p>
    <w:p>
      <w:pPr>
        <w:spacing w:after="0" w:line="222" w:lineRule="exact"/>
        <w:rPr>
          <w:rFonts w:ascii="Times New Roman" w:cs="Times New Roman" w:eastAsia="Times New Roman" w:hAnsi="Times New Roman"/>
          <w:sz w:val="20"/>
          <w:szCs w:val="20"/>
          <w:color w:val="010000"/>
        </w:rPr>
      </w:pPr>
    </w:p>
    <w:p>
      <w:pPr>
        <w:jc w:val="both"/>
        <w:ind w:right="239" w:firstLine="652"/>
        <w:spacing w:after="0" w:line="252" w:lineRule="auto"/>
        <w:tabs>
          <w:tab w:leader="none" w:pos="1176"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For the purposes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and disclosure thereunder, whenever any interest or any fee to be paid hereunder or in connection herewith by a Canadian Borrower is to be calculated on the basis of a 360-, 365- or 366-day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217" w:lineRule="exact"/>
        <w:rPr>
          <w:rFonts w:ascii="Times New Roman" w:cs="Times New Roman" w:eastAsia="Times New Roman" w:hAnsi="Times New Roman"/>
          <w:sz w:val="20"/>
          <w:szCs w:val="20"/>
          <w:color w:val="010000"/>
        </w:rPr>
      </w:pPr>
    </w:p>
    <w:p>
      <w:pPr>
        <w:jc w:val="both"/>
        <w:ind w:right="239" w:firstLine="651"/>
        <w:spacing w:after="0" w:line="253" w:lineRule="auto"/>
        <w:tabs>
          <w:tab w:leader="none" w:pos="1175"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Canadian Borrower acknowledges and confirms that: (i) paragraph (f) of this Section above satisfies the requirements of Section 4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to the extent it applies to the expression or statement of any interest payable under any Loan Document; and (ii) each Canadian Borrower is able to calculate the yearly rate or percentage of interest payable under any Loan Document based upon the methodology set out in paragraph (f) of this Section.</w:t>
      </w:r>
    </w:p>
    <w:p>
      <w:pPr>
        <w:spacing w:after="0" w:line="218" w:lineRule="exact"/>
        <w:rPr>
          <w:rFonts w:ascii="Times New Roman" w:cs="Times New Roman" w:eastAsia="Times New Roman" w:hAnsi="Times New Roman"/>
          <w:sz w:val="20"/>
          <w:szCs w:val="20"/>
          <w:color w:val="010000"/>
        </w:rPr>
      </w:pPr>
    </w:p>
    <w:p>
      <w:pPr>
        <w:jc w:val="both"/>
        <w:ind w:right="199" w:firstLine="651"/>
        <w:spacing w:after="0" w:line="258" w:lineRule="auto"/>
        <w:tabs>
          <w:tab w:leader="none" w:pos="1186"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Canadian Borrower agrees not to plead or assert, whether by way of defense or otherwise, in any proceeding relating to the Loan Documents, that the interest payable thereunder and the calculation thereof has not been adequately disclosed to it, whether pursuant to Section 4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or any other applicable law or legal principle.</w:t>
      </w:r>
    </w:p>
    <w:p>
      <w:pPr>
        <w:spacing w:after="0" w:line="212" w:lineRule="exact"/>
        <w:rPr>
          <w:rFonts w:ascii="Times New Roman" w:cs="Times New Roman" w:eastAsia="Times New Roman" w:hAnsi="Times New Roman"/>
          <w:sz w:val="20"/>
          <w:szCs w:val="20"/>
          <w:color w:val="010000"/>
        </w:rPr>
      </w:pPr>
    </w:p>
    <w:p>
      <w:pPr>
        <w:jc w:val="both"/>
        <w:ind w:right="239" w:firstLine="651"/>
        <w:spacing w:after="0" w:line="251" w:lineRule="auto"/>
        <w:tabs>
          <w:tab w:leader="none" w:pos="1186"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any provision of this Agreement would oblige a Canadian Borrower to make any payment of interest or other amount payable to any holder of Obligations in an amount or calculated at a rate which would be prohibited by law or would result in a receipt by that holder of Obligations of “interest” at a “criminal rate” (as such terms are construed under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 then, notwithstanding such provision, such amount or rate shall be deemed to have been adjusted with retroactive effect to the maximum amount or rate of interest, as the case may be, as would not be so prohibited by applicable law or so result in a receipt by that holder of Obligations of “interest” at a “criminal rate”, such adjustment to be effected, to the extent necessary (but only to the extent necessary), as follows: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9379"/>
          </w:cols>
          <w:pgMar w:left="1080" w:top="1413" w:right="1440" w:bottom="1440" w:gutter="0" w:footer="0" w:header="0"/>
        </w:sectPr>
      </w:pPr>
    </w:p>
    <w:bookmarkStart w:id="99" w:name="page100"/>
    <w:bookmarkEnd w:id="99"/>
    <w:p>
      <w:pPr>
        <w:ind w:left="2585" w:hanging="640"/>
        <w:spacing w:after="0"/>
        <w:tabs>
          <w:tab w:leader="none" w:pos="2585"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first, by reducing the amount or rate of interest; and</w:t>
      </w:r>
    </w:p>
    <w:p>
      <w:pPr>
        <w:spacing w:after="0" w:line="121" w:lineRule="exact"/>
        <w:rPr>
          <w:rFonts w:ascii="Times New Roman" w:cs="Times New Roman" w:eastAsia="Times New Roman" w:hAnsi="Times New Roman"/>
          <w:sz w:val="20"/>
          <w:szCs w:val="20"/>
          <w:color w:val="010000"/>
        </w:rPr>
      </w:pPr>
    </w:p>
    <w:p>
      <w:pPr>
        <w:jc w:val="both"/>
        <w:ind w:left="1305" w:right="199" w:firstLine="639"/>
        <w:spacing w:after="0" w:line="261" w:lineRule="auto"/>
        <w:tabs>
          <w:tab w:leader="none" w:pos="2491"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thereafter, by reducing any fees, commissions, costs, expenses, premiums and other amounts required to be paid which would constitute interest for purposes of section 347 of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w:t>
      </w:r>
    </w:p>
    <w:p>
      <w:pPr>
        <w:spacing w:after="0" w:line="59" w:lineRule="exact"/>
        <w:rPr>
          <w:rFonts w:ascii="Times New Roman" w:cs="Times New Roman" w:eastAsia="Times New Roman" w:hAnsi="Times New Roman"/>
          <w:sz w:val="20"/>
          <w:szCs w:val="20"/>
          <w:color w:val="010000"/>
        </w:rPr>
      </w:pPr>
    </w:p>
    <w:p>
      <w:pPr>
        <w:jc w:val="both"/>
        <w:ind w:left="645" w:right="239" w:firstLine="651"/>
        <w:spacing w:after="0" w:line="268" w:lineRule="auto"/>
        <w:tabs>
          <w:tab w:leader="none" w:pos="1820"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each Foreign Subsidiary Borrower shall severally and not jointly pay interest on any Loans outstanding to it and no Foreign Subsidiary Borrower shall be responsible for any other Borrower’s failure to pay any interest due hereunder.</w:t>
      </w:r>
    </w:p>
    <w:p>
      <w:pPr>
        <w:spacing w:after="0" w:line="53"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010000"/>
        </w:rPr>
        <w:t xml:space="preserve">SECTION 2.14. </w:t>
      </w:r>
      <w:r>
        <w:rPr>
          <w:rFonts w:ascii="Times New Roman" w:cs="Times New Roman" w:eastAsia="Times New Roman" w:hAnsi="Times New Roman"/>
          <w:sz w:val="20"/>
          <w:szCs w:val="20"/>
          <w:u w:val="single" w:color="auto"/>
          <w:color w:val="000000"/>
        </w:rPr>
        <w:t>Alternate Rate of Interest</w:t>
      </w:r>
      <w:r>
        <w:rPr>
          <w:rFonts w:ascii="Times New Roman" w:cs="Times New Roman" w:eastAsia="Times New Roman" w:hAnsi="Times New Roman"/>
          <w:sz w:val="20"/>
          <w:szCs w:val="20"/>
          <w:color w:val="000000"/>
        </w:rPr>
        <w:t>.</w:t>
      </w:r>
    </w:p>
    <w:p>
      <w:pPr>
        <w:spacing w:after="0" w:line="121" w:lineRule="exact"/>
        <w:rPr>
          <w:sz w:val="20"/>
          <w:szCs w:val="20"/>
          <w:color w:val="auto"/>
        </w:rPr>
      </w:pPr>
    </w:p>
    <w:p>
      <w:pPr>
        <w:ind w:left="1925" w:hanging="629"/>
        <w:spacing w:after="0"/>
        <w:tabs>
          <w:tab w:leader="none" w:pos="1925"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clauses (b), (c), (d), (e) and (f) of this Section 2.14, if:</w:t>
      </w:r>
    </w:p>
    <w:p>
      <w:pPr>
        <w:spacing w:after="0" w:line="107" w:lineRule="exact"/>
        <w:rPr>
          <w:rFonts w:ascii="Times New Roman" w:cs="Times New Roman" w:eastAsia="Times New Roman" w:hAnsi="Times New Roman"/>
          <w:sz w:val="20"/>
          <w:szCs w:val="20"/>
          <w:color w:val="010000"/>
        </w:rPr>
      </w:pPr>
    </w:p>
    <w:p>
      <w:pPr>
        <w:jc w:val="both"/>
        <w:ind w:left="1305" w:right="239" w:firstLine="639"/>
        <w:spacing w:after="0" w:line="252" w:lineRule="auto"/>
        <w:tabs>
          <w:tab w:leader="none" w:pos="2531" w:val="left"/>
        </w:tabs>
        <w:numPr>
          <w:ilvl w:val="1"/>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reasonably determines (which determination shall be conclusive and binding absent manifest error) (A) prior to the commencement of any Interest Period for a Term Benchmark Borrowing, that adequate and reasonable means do not exist for ascertaining the Adjusted Term SOFR Rate, the Term SOFR Rate, the Adjusted EURIBO Rate, the EURIBO Rate, the Adjusted TIBO Rate, the TIBO Rate </w:t>
      </w:r>
      <w:r>
        <w:rPr>
          <w:rFonts w:ascii="Times New Roman" w:cs="Times New Roman" w:eastAsia="Times New Roman" w:hAnsi="Times New Roman"/>
          <w:sz w:val="20"/>
          <w:szCs w:val="20"/>
          <w:b w:val="1"/>
          <w:bCs w:val="1"/>
          <w:color w:val="FF0000"/>
        </w:rPr>
        <w:t>or</w:t>
      </w:r>
      <w:r>
        <w:rPr>
          <w:rFonts w:ascii="Times New Roman" w:cs="Times New Roman" w:eastAsia="Times New Roman" w:hAnsi="Times New Roman"/>
          <w:sz w:val="20"/>
          <w:szCs w:val="20"/>
          <w:b w:val="1"/>
          <w:bCs w:val="1"/>
          <w:color w:val="0000FF"/>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FF0000"/>
          <w:strike w:val="1"/>
        </w:rPr>
        <w:t>CDOR</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color w:val="auto"/>
        </w:rPr>
        <w:t xml:space="preserve"> Rate </w:t>
      </w:r>
      <w:r>
        <w:rPr>
          <w:rFonts w:ascii="Times New Roman" w:cs="Times New Roman" w:eastAsia="Times New Roman" w:hAnsi="Times New Roman"/>
          <w:sz w:val="20"/>
          <w:szCs w:val="20"/>
          <w:b w:val="1"/>
          <w:bCs w:val="1"/>
          <w:u w:val="single" w:color="auto"/>
          <w:color w:val="0000FF"/>
        </w:rPr>
        <w:t>or Term CORRA</w:t>
      </w:r>
      <w:r>
        <w:rPr>
          <w:rFonts w:ascii="Times New Roman" w:cs="Times New Roman" w:eastAsia="Times New Roman" w:hAnsi="Times New Roman"/>
          <w:sz w:val="20"/>
          <w:szCs w:val="20"/>
          <w:color w:val="auto"/>
        </w:rPr>
        <w:t xml:space="preserve"> (including because the Relevant Screen Rate is not available or published on a current basis) for the applicable currency and such Interest Period or (B) at any time, that adequate and reasonable means do not exist for ascertaining the applicable Adjusted Daily Simple RFR, Daily Simple RFR or RFR for the applicable Agreed Currency; or</w:t>
      </w:r>
    </w:p>
    <w:p>
      <w:pPr>
        <w:spacing w:after="0" w:line="81" w:lineRule="exact"/>
        <w:rPr>
          <w:rFonts w:ascii="Times New Roman" w:cs="Times New Roman" w:eastAsia="Times New Roman" w:hAnsi="Times New Roman"/>
          <w:sz w:val="20"/>
          <w:szCs w:val="20"/>
          <w:color w:val="010000"/>
        </w:rPr>
      </w:pPr>
    </w:p>
    <w:p>
      <w:pPr>
        <w:jc w:val="both"/>
        <w:ind w:left="1305" w:right="239" w:firstLine="639"/>
        <w:spacing w:after="0" w:line="251" w:lineRule="auto"/>
        <w:tabs>
          <w:tab w:leader="none" w:pos="2491" w:val="left"/>
        </w:tabs>
        <w:numPr>
          <w:ilvl w:val="1"/>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is advised by the Required Lenders that (A) prior to the commencement of any Interest Period for a Term Benchmark Borrowing, the Adjusted Term SOFR Rate, the Adjusted EURIBO Rate, the Adjusted TIBO Rate or the </w:t>
      </w:r>
      <w:r>
        <w:rPr>
          <w:rFonts w:ascii="Times New Roman" w:cs="Times New Roman" w:eastAsia="Times New Roman" w:hAnsi="Times New Roman"/>
          <w:sz w:val="20"/>
          <w:szCs w:val="20"/>
          <w:b w:val="1"/>
          <w:bCs w:val="1"/>
          <w:color w:val="FF0000"/>
          <w:strike w:val="1"/>
        </w:rPr>
        <w:t>CDOR</w:t>
      </w:r>
      <w:r>
        <w:rPr>
          <w:rFonts w:ascii="Times New Roman" w:cs="Times New Roman" w:eastAsia="Times New Roman" w:hAnsi="Times New Roman"/>
          <w:sz w:val="20"/>
          <w:szCs w:val="20"/>
          <w:b w:val="1"/>
          <w:bCs w:val="1"/>
          <w:u w:val="single" w:color="auto"/>
          <w:color w:val="0000FF"/>
        </w:rPr>
        <w:t>Adjusted Term CORRA</w:t>
      </w:r>
      <w:r>
        <w:rPr>
          <w:rFonts w:ascii="Times New Roman" w:cs="Times New Roman" w:eastAsia="Times New Roman" w:hAnsi="Times New Roman"/>
          <w:sz w:val="20"/>
          <w:szCs w:val="20"/>
          <w:color w:val="auto"/>
        </w:rPr>
        <w:t xml:space="preserve">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-2560955</wp:posOffset>
            </wp:positionV>
            <wp:extent cx="26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-1960880</wp:posOffset>
            </wp:positionV>
            <wp:extent cx="158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8750" cy="8890"/>
                    </a:xfrm>
                    <a:prstGeom prst="rect">
                      <a:avLst/>
                    </a:prstGeom>
                    <a:noFill/>
                  </pic:spPr>
                </pic:pic>
              </a:graphicData>
            </a:graphic>
          </wp:anchor>
        </w:drawing>
      </w:r>
    </w:p>
    <w:p>
      <w:pPr>
        <w:spacing w:after="0" w:line="54" w:lineRule="exact"/>
        <w:rPr>
          <w:sz w:val="20"/>
          <w:szCs w:val="20"/>
          <w:color w:val="auto"/>
        </w:rPr>
      </w:pPr>
    </w:p>
    <w:p>
      <w:pPr>
        <w:jc w:val="both"/>
        <w:ind w:left="5" w:right="219"/>
        <w:spacing w:after="0" w:line="264" w:lineRule="auto"/>
        <w:rPr>
          <w:sz w:val="20"/>
          <w:szCs w:val="20"/>
          <w:color w:val="auto"/>
        </w:rPr>
      </w:pPr>
      <w:r>
        <w:rPr>
          <w:rFonts w:ascii="Times New Roman" w:cs="Times New Roman" w:eastAsia="Times New Roman" w:hAnsi="Times New Roman"/>
          <w:sz w:val="19"/>
          <w:szCs w:val="19"/>
          <w:color w:val="auto"/>
        </w:rPr>
        <w:t xml:space="preserve">then the Administrative Agent shall give notice thereof to the applicable Borrower and the Lenders by telephone, telecopy or electronic mail as promptly as practicable thereafter and, until (x) the Administrative Agent notifies the applicable Borrower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w:t>
      </w:r>
      <w:r>
        <w:rPr>
          <w:rFonts w:ascii="Times New Roman" w:cs="Times New Roman" w:eastAsia="Times New Roman" w:hAnsi="Times New Roman"/>
          <w:sz w:val="19"/>
          <w:szCs w:val="19"/>
          <w:b w:val="1"/>
          <w:bCs w:val="1"/>
          <w:u w:val="single" w:color="auto"/>
          <w:color w:val="0000FF"/>
        </w:rPr>
        <w:t>(1)</w:t>
      </w:r>
      <w:r>
        <w:rPr>
          <w:rFonts w:ascii="Times New Roman" w:cs="Times New Roman" w:eastAsia="Times New Roman" w:hAnsi="Times New Roman"/>
          <w:sz w:val="19"/>
          <w:szCs w:val="19"/>
          <w:color w:val="auto"/>
        </w:rPr>
        <w:t xml:space="preserve">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w:t>
      </w:r>
    </w:p>
    <w:p>
      <w:pPr>
        <w:spacing w:after="0" w:line="3" w:lineRule="exact"/>
        <w:rPr>
          <w:sz w:val="20"/>
          <w:szCs w:val="20"/>
          <w:color w:val="auto"/>
        </w:rPr>
      </w:pPr>
    </w:p>
    <w:p>
      <w:pPr>
        <w:jc w:val="both"/>
        <w:ind w:left="5" w:right="219" w:hanging="5"/>
        <w:spacing w:after="0" w:line="246" w:lineRule="auto"/>
        <w:tabs>
          <w:tab w:leader="none" w:pos="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w:t>
      </w:r>
      <w:r>
        <w:rPr>
          <w:rFonts w:ascii="Times New Roman" w:cs="Times New Roman" w:eastAsia="Times New Roman" w:hAnsi="Times New Roman"/>
          <w:sz w:val="20"/>
          <w:szCs w:val="20"/>
          <w:b w:val="1"/>
          <w:bCs w:val="1"/>
          <w:color w:val="0000FF"/>
        </w:rPr>
        <w:t>and (2) any Borrowing Request that requests an RFR</w:t>
      </w:r>
    </w:p>
    <w:p>
      <w:pPr>
        <w:spacing w:after="0" w:line="1" w:lineRule="exact"/>
        <w:rPr>
          <w:rFonts w:ascii="Times New Roman" w:cs="Times New Roman" w:eastAsia="Times New Roman" w:hAnsi="Times New Roman"/>
          <w:sz w:val="20"/>
          <w:szCs w:val="20"/>
          <w:color w:val="auto"/>
        </w:rPr>
      </w:pPr>
    </w:p>
    <w:p>
      <w:pPr>
        <w:ind w:left="5"/>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0000FF"/>
        </w:rPr>
        <w:t>Borrowing shall instead be deemed to be a Borrowing Request, as applicable, for an ABR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-174625</wp:posOffset>
            </wp:positionV>
            <wp:extent cx="29400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0024"/>
          </w:cols>
          <w:pgMar w:left="435" w:top="1413" w:right="1440" w:bottom="1440" w:gutter="0" w:footer="0" w:header="0"/>
        </w:sectPr>
      </w:pPr>
    </w:p>
    <w:bookmarkStart w:id="100" w:name="page101"/>
    <w:bookmarkEnd w:id="100"/>
    <w:p>
      <w:pPr>
        <w:jc w:val="both"/>
        <w:ind w:right="199"/>
        <w:spacing w:after="0" w:line="263" w:lineRule="auto"/>
        <w:rPr>
          <w:sz w:val="20"/>
          <w:szCs w:val="20"/>
          <w:color w:val="auto"/>
        </w:rPr>
      </w:pPr>
      <w:r>
        <w:rPr>
          <w:rFonts w:ascii="Times New Roman" w:cs="Times New Roman" w:eastAsia="Times New Roman" w:hAnsi="Times New Roman"/>
          <w:sz w:val="19"/>
          <w:szCs w:val="19"/>
          <w:b w:val="1"/>
          <w:bCs w:val="1"/>
          <w:u w:val="single" w:color="auto"/>
          <w:color w:val="0000FF"/>
        </w:rPr>
        <w:t>Borrowing</w:t>
      </w:r>
      <w:r>
        <w:rPr>
          <w:rFonts w:ascii="Times New Roman" w:cs="Times New Roman" w:eastAsia="Times New Roman" w:hAnsi="Times New Roman"/>
          <w:sz w:val="19"/>
          <w:szCs w:val="19"/>
          <w:color w:val="000000"/>
        </w:rPr>
        <w:t>, (B) for Loans denominated in Canadian Dollars, any Interest Election Request that requests the conversion of</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any Revolving Borrowing to, or continuation of any Revolving Borrowing as, a Term Benchmark Borrowing and any Borrowing Request that requests a Term Benchmark Revolving Borrowing shall instead be deemed to be an Interest Election Request or a Borrowing Request, as applicable, for a Loan that bears interest at the Canadian Prime Rate plus the Applicable Rate applicable to ABR Loans and (C) for Loans denominated in a Foreign Currency other than Canadian Dollars,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 then all other Types of Borrowings shall be permitted. Furthermore, if any Term Benchmark Loan or RFR Loan in any Agreed Currency is outstanding on the date of the applicable Borrower’s receipt of the notice from the Administrative Agent referred to in this Section 2.14(a) with respect to a Relevant Rate applicable to such Term Benchmark Loan or RFR Loan, then until (x) the Administrative Agent notifies the Company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w:t>
      </w:r>
      <w:r>
        <w:rPr>
          <w:rFonts w:ascii="Times New Roman" w:cs="Times New Roman" w:eastAsia="Times New Roman" w:hAnsi="Times New Roman"/>
          <w:sz w:val="19"/>
          <w:szCs w:val="19"/>
          <w:b w:val="1"/>
          <w:bCs w:val="1"/>
          <w:u w:val="single" w:color="auto"/>
          <w:color w:val="0000FF"/>
        </w:rPr>
        <w:t>(1)</w:t>
      </w:r>
      <w:r>
        <w:rPr>
          <w:rFonts w:ascii="Times New Roman" w:cs="Times New Roman" w:eastAsia="Times New Roman" w:hAnsi="Times New Roman"/>
          <w:sz w:val="19"/>
          <w:szCs w:val="19"/>
          <w:color w:val="000000"/>
        </w:rPr>
        <w:t xml:space="preserve"> any Term Benchmark Loan shall on the last day of the Interest Period applicable to such Loan </w:t>
      </w:r>
      <w:r>
        <w:rPr>
          <w:rFonts w:ascii="Times New Roman" w:cs="Times New Roman" w:eastAsia="Times New Roman" w:hAnsi="Times New Roman"/>
          <w:sz w:val="19"/>
          <w:szCs w:val="19"/>
          <w:b w:val="1"/>
          <w:bCs w:val="1"/>
          <w:color w:val="FF0000"/>
        </w:rPr>
        <w:t>(or the next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color w:val="FF0000"/>
          <w:strike w:val="1"/>
        </w:rPr>
        <w:t>succeeding Business Day if such day is not a Business Day)</w:t>
      </w:r>
      <w:r>
        <w:rPr>
          <w:rFonts w:ascii="Times New Roman" w:cs="Times New Roman" w:eastAsia="Times New Roman" w:hAnsi="Times New Roman"/>
          <w:sz w:val="19"/>
          <w:szCs w:val="19"/>
          <w:color w:val="000000"/>
        </w:rPr>
        <w:t>, be converted by the Administrative Agent to, and shall</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 xml:space="preserve">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w:t>
      </w:r>
      <w:r>
        <w:rPr>
          <w:rFonts w:ascii="Times New Roman" w:cs="Times New Roman" w:eastAsia="Times New Roman" w:hAnsi="Times New Roman"/>
          <w:sz w:val="19"/>
          <w:szCs w:val="19"/>
          <w:b w:val="1"/>
          <w:bCs w:val="1"/>
          <w:color w:val="0000FF"/>
        </w:rPr>
        <w:t>and (2) any RFR Loan shall on and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-539115</wp:posOffset>
            </wp:positionV>
            <wp:extent cx="695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95325"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111760</wp:posOffset>
            </wp:positionV>
            <wp:extent cx="22739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273935" cy="8890"/>
                    </a:xfrm>
                    <a:prstGeom prst="rect">
                      <a:avLst/>
                    </a:prstGeom>
                    <a:noFill/>
                  </pic:spPr>
                </pic:pic>
              </a:graphicData>
            </a:graphic>
          </wp:anchor>
        </w:drawing>
      </w:r>
    </w:p>
    <w:p>
      <w:pPr>
        <w:spacing w:after="0" w:line="202" w:lineRule="exact"/>
        <w:rPr>
          <w:sz w:val="20"/>
          <w:szCs w:val="20"/>
          <w:color w:val="auto"/>
        </w:rPr>
      </w:pPr>
    </w:p>
    <w:p>
      <w:pPr>
        <w:jc w:val="both"/>
        <w:ind w:right="199"/>
        <w:spacing w:after="0" w:line="248" w:lineRule="auto"/>
        <w:rPr>
          <w:sz w:val="20"/>
          <w:szCs w:val="20"/>
          <w:color w:val="auto"/>
        </w:rPr>
      </w:pPr>
      <w:r>
        <w:rPr>
          <w:rFonts w:ascii="Times New Roman" w:cs="Times New Roman" w:eastAsia="Times New Roman" w:hAnsi="Times New Roman"/>
          <w:sz w:val="20"/>
          <w:szCs w:val="20"/>
          <w:b w:val="1"/>
          <w:bCs w:val="1"/>
          <w:u w:val="single" w:color="auto"/>
          <w:color w:val="0000FF"/>
        </w:rPr>
        <w:t>such day be converted by the Administrative Agent to, and shall constitute an ABR Loan</w:t>
      </w:r>
      <w:r>
        <w:rPr>
          <w:rFonts w:ascii="Times New Roman" w:cs="Times New Roman" w:eastAsia="Times New Roman" w:hAnsi="Times New Roman"/>
          <w:sz w:val="20"/>
          <w:szCs w:val="20"/>
          <w:color w:val="000000"/>
        </w:rPr>
        <w:t>, (B) for Term Benchmark</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 xml:space="preserve">Loans denominated in Canadian Dollars, on the last day of the Interest Period applicable to such Term Benchmark Loan </w:t>
      </w:r>
      <w:r>
        <w:rPr>
          <w:rFonts w:ascii="Times New Roman" w:cs="Times New Roman" w:eastAsia="Times New Roman" w:hAnsi="Times New Roman"/>
          <w:sz w:val="20"/>
          <w:szCs w:val="20"/>
          <w:b w:val="1"/>
          <w:bCs w:val="1"/>
          <w:color w:val="FF0000"/>
          <w:strike w:val="1"/>
        </w:rPr>
        <w:t>(or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color w:val="FF0000"/>
          <w:strike w:val="1"/>
        </w:rPr>
        <w:t>the next succeeding Business Day if such day is not a Business Day)</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such Term Benchmark Loan shall be converted by</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 xml:space="preserve">the Administrative Agent to, and shall constitute, a Loan that bears interest at the Canadian Prime Rate plus the Applicable Rate applicable to ABR Loans and (C) for Loans denominated in a Foreign Currency other than Canadian Dollars, (1) any Term Benchmark Loan shall, on the last day of the Interest Period applicable to such Loan </w:t>
      </w:r>
      <w:r>
        <w:rPr>
          <w:rFonts w:ascii="Times New Roman" w:cs="Times New Roman" w:eastAsia="Times New Roman" w:hAnsi="Times New Roman"/>
          <w:sz w:val="20"/>
          <w:szCs w:val="20"/>
          <w:b w:val="1"/>
          <w:bCs w:val="1"/>
          <w:color w:val="FF0000"/>
          <w:strike w:val="1"/>
        </w:rPr>
        <w:t>(or the next succeeding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color w:val="FF0000"/>
          <w:strike w:val="1"/>
        </w:rPr>
        <w:t>Business Day if such day is not a Business Day)</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bear interest at the Central Bank Rate for the applicable Foreign</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 xml:space="preserve">Currency plus the CBR Spread;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such Foreign Currency shall, at the applicable Borrower’s election prior to such day: (A) be prepaid by the applicable Borrower on such day or (B) 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w:t>
      </w:r>
    </w:p>
    <w:p>
      <w:pPr>
        <w:spacing w:after="0" w:line="92" w:lineRule="exact"/>
        <w:rPr>
          <w:sz w:val="20"/>
          <w:szCs w:val="20"/>
          <w:color w:val="auto"/>
        </w:rPr>
      </w:pPr>
    </w:p>
    <w:p>
      <w:pPr>
        <w:jc w:val="both"/>
        <w:ind w:left="640" w:right="239" w:firstLine="652"/>
        <w:spacing w:after="0" w:line="258" w:lineRule="auto"/>
        <w:tabs>
          <w:tab w:leader="none" w:pos="1816"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0019"/>
          </w:cols>
          <w:pgMar w:left="440" w:top="1409" w:right="1440" w:bottom="1440" w:gutter="0" w:footer="0" w:header="0"/>
        </w:sectPr>
      </w:pPr>
    </w:p>
    <w:bookmarkStart w:id="101" w:name="page102"/>
    <w:bookmarkEnd w:id="101"/>
    <w:p>
      <w:pPr>
        <w:jc w:val="both"/>
        <w:ind w:right="199"/>
        <w:spacing w:after="0" w:line="251" w:lineRule="auto"/>
        <w:rPr>
          <w:sz w:val="20"/>
          <w:szCs w:val="20"/>
          <w:color w:val="auto"/>
        </w:rPr>
      </w:pPr>
      <w:r>
        <w:rPr>
          <w:rFonts w:ascii="Times New Roman" w:cs="Times New Roman" w:eastAsia="Times New Roman" w:hAnsi="Times New Roman"/>
          <w:sz w:val="20"/>
          <w:szCs w:val="20"/>
          <w:color w:val="auto"/>
        </w:rPr>
        <w:t xml:space="preserve">“Benchmark Replacement” with respect to Dollars </w:t>
      </w:r>
      <w:r>
        <w:rPr>
          <w:rFonts w:ascii="Times New Roman" w:cs="Times New Roman" w:eastAsia="Times New Roman" w:hAnsi="Times New Roman"/>
          <w:sz w:val="20"/>
          <w:szCs w:val="20"/>
          <w:b w:val="1"/>
          <w:bCs w:val="1"/>
          <w:u w:val="single" w:color="auto"/>
          <w:color w:val="0000FF"/>
        </w:rPr>
        <w:t>and/or Canadian Dollars</w:t>
      </w:r>
      <w:r>
        <w:rPr>
          <w:rFonts w:ascii="Times New Roman" w:cs="Times New Roman" w:eastAsia="Times New Roman" w:hAnsi="Times New Roman"/>
          <w:sz w:val="20"/>
          <w:szCs w:val="20"/>
          <w:color w:val="auto"/>
        </w:rPr>
        <w:t xml:space="preserve"> for such Benchmark Replacement Date, such Benchmark Replacement will replace such Benchmark </w:t>
      </w:r>
      <w:r>
        <w:rPr>
          <w:rFonts w:ascii="Times New Roman" w:cs="Times New Roman" w:eastAsia="Times New Roman" w:hAnsi="Times New Roman"/>
          <w:sz w:val="20"/>
          <w:szCs w:val="20"/>
          <w:b w:val="1"/>
          <w:bCs w:val="1"/>
          <w:u w:val="single" w:color="auto"/>
          <w:color w:val="0000FF"/>
        </w:rPr>
        <w:t>(including any related adjustments)</w:t>
      </w:r>
      <w:r>
        <w:rPr>
          <w:rFonts w:ascii="Times New Roman" w:cs="Times New Roman" w:eastAsia="Times New Roman" w:hAnsi="Times New Roman"/>
          <w:sz w:val="20"/>
          <w:szCs w:val="20"/>
          <w:color w:val="auto"/>
        </w:rPr>
        <w:t xml:space="preserve">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w:t>
      </w:r>
      <w:r>
        <w:rPr>
          <w:rFonts w:ascii="Times New Roman" w:cs="Times New Roman" w:eastAsia="Times New Roman" w:hAnsi="Times New Roman"/>
          <w:sz w:val="20"/>
          <w:szCs w:val="20"/>
          <w:b w:val="1"/>
          <w:bCs w:val="1"/>
          <w:u w:val="single" w:color="auto"/>
          <w:color w:val="0000FF"/>
        </w:rPr>
        <w:t>(including any relate</w:t>
      </w:r>
      <w:r>
        <w:rPr>
          <w:rFonts w:ascii="Times New Roman" w:cs="Times New Roman" w:eastAsia="Times New Roman" w:hAnsi="Times New Roman"/>
          <w:sz w:val="20"/>
          <w:szCs w:val="20"/>
          <w:b w:val="1"/>
          <w:bCs w:val="1"/>
          <w:color w:val="0000FF"/>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adjustments</w:t>
      </w:r>
      <w:r>
        <w:rPr>
          <w:rFonts w:ascii="Times New Roman" w:cs="Times New Roman" w:eastAsia="Times New Roman" w:hAnsi="Times New Roman"/>
          <w:sz w:val="20"/>
          <w:szCs w:val="20"/>
          <w:b w:val="1"/>
          <w:bCs w:val="1"/>
          <w:color w:val="0000FF"/>
        </w:rPr>
        <w:t>)</w:t>
      </w:r>
      <w:r>
        <w:rPr>
          <w:rFonts w:ascii="Times New Roman" w:cs="Times New Roman" w:eastAsia="Times New Roman" w:hAnsi="Times New Roman"/>
          <w:sz w:val="20"/>
          <w:szCs w:val="20"/>
          <w:color w:val="auto"/>
        </w:rPr>
        <w:t xml:space="preserve">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70" w:lineRule="exact"/>
        <w:rPr>
          <w:sz w:val="20"/>
          <w:szCs w:val="20"/>
          <w:color w:val="auto"/>
        </w:rPr>
      </w:pPr>
    </w:p>
    <w:p>
      <w:pPr>
        <w:jc w:val="both"/>
        <w:ind w:right="199" w:firstLine="652"/>
        <w:spacing w:after="0" w:line="250" w:lineRule="auto"/>
        <w:tabs>
          <w:tab w:leader="none" w:pos="1178" w:val="left"/>
        </w:tabs>
        <w:numPr>
          <w:ilvl w:val="1"/>
          <w:numId w:val="9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0000FF"/>
        </w:rPr>
        <w:t>(i)</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Notwithstanding anything to the contrary herein or in any other Loan Document, the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 xml:space="preserve">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r>
        <w:rPr>
          <w:rFonts w:ascii="Times New Roman" w:cs="Times New Roman" w:eastAsia="Times New Roman" w:hAnsi="Times New Roman"/>
          <w:sz w:val="20"/>
          <w:szCs w:val="20"/>
          <w:b w:val="1"/>
          <w:bCs w:val="1"/>
          <w:u w:val="single" w:color="auto"/>
          <w:color w:val="0000FF"/>
        </w:rPr>
        <w:t>(ii) Notwithstanding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u w:val="single" w:color="auto"/>
          <w:color w:val="0000FF"/>
        </w:rPr>
        <w:t>anything to the contrary herein or in any other Loan Document and subject to the proviso below in this paragraph,</w:t>
      </w:r>
      <w:r>
        <w:rPr>
          <w:rFonts w:ascii="Times New Roman" w:cs="Times New Roman" w:eastAsia="Times New Roman" w:hAnsi="Times New Roman"/>
          <w:sz w:val="20"/>
          <w:szCs w:val="20"/>
          <w:b w:val="1"/>
          <w:bCs w:val="1"/>
          <w:color w:val="0000FF"/>
        </w:rPr>
        <w:t xml:space="preserve"> with respect to a Loan denominated in Canadian Dollars, if a Term CORRA </w:t>
      </w:r>
      <w:r>
        <w:rPr>
          <w:rFonts w:ascii="Times New Roman" w:cs="Times New Roman" w:eastAsia="Times New Roman" w:hAnsi="Times New Roman"/>
          <w:sz w:val="20"/>
          <w:szCs w:val="20"/>
          <w:b w:val="1"/>
          <w:bCs w:val="1"/>
          <w:u w:val="single" w:color="auto"/>
          <w:color w:val="0000FF"/>
        </w:rPr>
        <w:t>Reelection Event</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b w:val="1"/>
          <w:bCs w:val="1"/>
          <w:u w:val="single" w:color="auto"/>
          <w:color w:val="0000FF"/>
        </w:rPr>
        <w:t>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w:t>
      </w:r>
      <w:r>
        <w:rPr>
          <w:rFonts w:ascii="Times New Roman" w:cs="Times New Roman" w:eastAsia="Times New Roman" w:hAnsi="Times New Roman"/>
          <w:sz w:val="20"/>
          <w:szCs w:val="20"/>
          <w:b w:val="1"/>
          <w:bCs w:val="1"/>
          <w:color w:val="0000FF"/>
        </w:rPr>
        <w:t xml:space="preserve"> of any other party to, this Agreement or any other Loan Document; provided that, this clause (c)(ii) shall not be </w:t>
      </w:r>
      <w:r>
        <w:rPr>
          <w:rFonts w:ascii="Times New Roman" w:cs="Times New Roman" w:eastAsia="Times New Roman" w:hAnsi="Times New Roman"/>
          <w:sz w:val="20"/>
          <w:szCs w:val="20"/>
          <w:b w:val="1"/>
          <w:bCs w:val="1"/>
          <w:u w:val="single" w:color="auto"/>
          <w:color w:val="0000FF"/>
        </w:rPr>
        <w:t>effective unless the Administrative Agent has delivered to the Lenders and the Company a Term CORRA Notice. For the avoidance of doubt, the Administrative</w:t>
      </w:r>
      <w:r>
        <w:rPr>
          <w:rFonts w:ascii="Times New Roman" w:cs="Times New Roman" w:eastAsia="Times New Roman" w:hAnsi="Times New Roman"/>
          <w:sz w:val="20"/>
          <w:szCs w:val="20"/>
          <w:b w:val="1"/>
          <w:bCs w:val="1"/>
          <w:color w:val="0000FF"/>
        </w:rPr>
        <w:t xml:space="preserve"> Agent shall not be required to deliver a Term CORRA Notice after the </w:t>
      </w:r>
      <w:r>
        <w:rPr>
          <w:rFonts w:ascii="Times New Roman" w:cs="Times New Roman" w:eastAsia="Times New Roman" w:hAnsi="Times New Roman"/>
          <w:sz w:val="20"/>
          <w:szCs w:val="20"/>
          <w:b w:val="1"/>
          <w:bCs w:val="1"/>
          <w:u w:val="single" w:color="auto"/>
          <w:color w:val="0000FF"/>
        </w:rPr>
        <w:t>occurrenc</w:t>
      </w:r>
      <w:r>
        <w:rPr>
          <w:rFonts w:ascii="Times New Roman" w:cs="Times New Roman" w:eastAsia="Times New Roman" w:hAnsi="Times New Roman"/>
          <w:sz w:val="20"/>
          <w:szCs w:val="20"/>
          <w:b w:val="1"/>
          <w:bCs w:val="1"/>
          <w:color w:val="0000FF"/>
        </w:rPr>
        <w:t xml:space="preserve">e </w:t>
      </w:r>
      <w:r>
        <w:rPr>
          <w:rFonts w:ascii="Times New Roman" w:cs="Times New Roman" w:eastAsia="Times New Roman" w:hAnsi="Times New Roman"/>
          <w:sz w:val="20"/>
          <w:szCs w:val="20"/>
          <w:b w:val="1"/>
          <w:bCs w:val="1"/>
          <w:u w:val="single" w:color="auto"/>
          <w:color w:val="0000FF"/>
        </w:rPr>
        <w:t>o</w:t>
      </w:r>
      <w:r>
        <w:rPr>
          <w:rFonts w:ascii="Times New Roman" w:cs="Times New Roman" w:eastAsia="Times New Roman" w:hAnsi="Times New Roman"/>
          <w:sz w:val="20"/>
          <w:szCs w:val="20"/>
          <w:b w:val="1"/>
          <w:bCs w:val="1"/>
          <w:color w:val="0000FF"/>
        </w:rPr>
        <w:t xml:space="preserve">f a </w:t>
      </w:r>
      <w:r>
        <w:rPr>
          <w:rFonts w:ascii="Times New Roman" w:cs="Times New Roman" w:eastAsia="Times New Roman" w:hAnsi="Times New Roman"/>
          <w:sz w:val="20"/>
          <w:szCs w:val="20"/>
          <w:b w:val="1"/>
          <w:bCs w:val="1"/>
          <w:u w:val="single" w:color="auto"/>
          <w:color w:val="0000FF"/>
        </w:rPr>
        <w:t>Ter</w:t>
      </w:r>
      <w:r>
        <w:rPr>
          <w:rFonts w:ascii="Times New Roman" w:cs="Times New Roman" w:eastAsia="Times New Roman" w:hAnsi="Times New Roman"/>
          <w:sz w:val="20"/>
          <w:szCs w:val="20"/>
          <w:b w:val="1"/>
          <w:bCs w:val="1"/>
          <w:color w:val="0000FF"/>
        </w:rPr>
        <w:t xml:space="preserve">m </w:t>
      </w:r>
      <w:r>
        <w:rPr>
          <w:rFonts w:ascii="Times New Roman" w:cs="Times New Roman" w:eastAsia="Times New Roman" w:hAnsi="Times New Roman"/>
          <w:sz w:val="20"/>
          <w:szCs w:val="20"/>
          <w:b w:val="1"/>
          <w:bCs w:val="1"/>
          <w:u w:val="single" w:color="auto"/>
          <w:color w:val="0000FF"/>
        </w:rPr>
        <w:t>CORR</w:t>
      </w:r>
      <w:r>
        <w:rPr>
          <w:rFonts w:ascii="Times New Roman" w:cs="Times New Roman" w:eastAsia="Times New Roman" w:hAnsi="Times New Roman"/>
          <w:sz w:val="20"/>
          <w:szCs w:val="20"/>
          <w:b w:val="1"/>
          <w:bCs w:val="1"/>
          <w:color w:val="0000FF"/>
        </w:rPr>
        <w:t xml:space="preserve">A </w:t>
      </w:r>
      <w:r>
        <w:rPr>
          <w:rFonts w:ascii="Times New Roman" w:cs="Times New Roman" w:eastAsia="Times New Roman" w:hAnsi="Times New Roman"/>
          <w:sz w:val="20"/>
          <w:szCs w:val="20"/>
          <w:b w:val="1"/>
          <w:bCs w:val="1"/>
          <w:u w:val="single" w:color="auto"/>
          <w:color w:val="0000FF"/>
        </w:rPr>
        <w:t>Reelectio</w:t>
      </w:r>
      <w:r>
        <w:rPr>
          <w:rFonts w:ascii="Times New Roman" w:cs="Times New Roman" w:eastAsia="Times New Roman" w:hAnsi="Times New Roman"/>
          <w:sz w:val="20"/>
          <w:szCs w:val="20"/>
          <w:b w:val="1"/>
          <w:bCs w:val="1"/>
          <w:color w:val="0000FF"/>
        </w:rPr>
        <w:t xml:space="preserve">n </w:t>
      </w:r>
      <w:r>
        <w:rPr>
          <w:rFonts w:ascii="Times New Roman" w:cs="Times New Roman" w:eastAsia="Times New Roman" w:hAnsi="Times New Roman"/>
          <w:sz w:val="20"/>
          <w:szCs w:val="20"/>
          <w:b w:val="1"/>
          <w:bCs w:val="1"/>
          <w:u w:val="single" w:color="auto"/>
          <w:color w:val="0000FF"/>
        </w:rPr>
        <w:t>Even</w:t>
      </w:r>
      <w:r>
        <w:rPr>
          <w:rFonts w:ascii="Times New Roman" w:cs="Times New Roman" w:eastAsia="Times New Roman" w:hAnsi="Times New Roman"/>
          <w:sz w:val="20"/>
          <w:szCs w:val="20"/>
          <w:b w:val="1"/>
          <w:bCs w:val="1"/>
          <w:color w:val="0000FF"/>
        </w:rPr>
        <w:t xml:space="preserve">t </w:t>
      </w:r>
      <w:r>
        <w:rPr>
          <w:rFonts w:ascii="Times New Roman" w:cs="Times New Roman" w:eastAsia="Times New Roman" w:hAnsi="Times New Roman"/>
          <w:sz w:val="20"/>
          <w:szCs w:val="20"/>
          <w:b w:val="1"/>
          <w:bCs w:val="1"/>
          <w:u w:val="single" w:color="auto"/>
          <w:color w:val="0000FF"/>
        </w:rPr>
        <w:t>an</w:t>
      </w:r>
      <w:r>
        <w:rPr>
          <w:rFonts w:ascii="Times New Roman" w:cs="Times New Roman" w:eastAsia="Times New Roman" w:hAnsi="Times New Roman"/>
          <w:sz w:val="20"/>
          <w:szCs w:val="20"/>
          <w:b w:val="1"/>
          <w:bCs w:val="1"/>
          <w:color w:val="0000FF"/>
        </w:rPr>
        <w:t xml:space="preserve">d </w:t>
      </w:r>
      <w:r>
        <w:rPr>
          <w:rFonts w:ascii="Times New Roman" w:cs="Times New Roman" w:eastAsia="Times New Roman" w:hAnsi="Times New Roman"/>
          <w:sz w:val="20"/>
          <w:szCs w:val="20"/>
          <w:b w:val="1"/>
          <w:bCs w:val="1"/>
          <w:u w:val="single" w:color="auto"/>
          <w:color w:val="0000FF"/>
        </w:rPr>
        <w:t>ma</w:t>
      </w:r>
      <w:r>
        <w:rPr>
          <w:rFonts w:ascii="Times New Roman" w:cs="Times New Roman" w:eastAsia="Times New Roman" w:hAnsi="Times New Roman"/>
          <w:sz w:val="20"/>
          <w:szCs w:val="20"/>
          <w:b w:val="1"/>
          <w:bCs w:val="1"/>
          <w:color w:val="0000FF"/>
        </w:rPr>
        <w:t xml:space="preserve">y </w:t>
      </w:r>
      <w:r>
        <w:rPr>
          <w:rFonts w:ascii="Times New Roman" w:cs="Times New Roman" w:eastAsia="Times New Roman" w:hAnsi="Times New Roman"/>
          <w:sz w:val="20"/>
          <w:szCs w:val="20"/>
          <w:b w:val="1"/>
          <w:bCs w:val="1"/>
          <w:u w:val="single" w:color="auto"/>
          <w:color w:val="0000FF"/>
        </w:rPr>
        <w:t>d</w:t>
      </w:r>
      <w:r>
        <w:rPr>
          <w:rFonts w:ascii="Times New Roman" w:cs="Times New Roman" w:eastAsia="Times New Roman" w:hAnsi="Times New Roman"/>
          <w:sz w:val="20"/>
          <w:szCs w:val="20"/>
          <w:b w:val="1"/>
          <w:bCs w:val="1"/>
          <w:color w:val="0000FF"/>
        </w:rPr>
        <w:t xml:space="preserve">o </w:t>
      </w:r>
      <w:r>
        <w:rPr>
          <w:rFonts w:ascii="Times New Roman" w:cs="Times New Roman" w:eastAsia="Times New Roman" w:hAnsi="Times New Roman"/>
          <w:sz w:val="20"/>
          <w:szCs w:val="20"/>
          <w:b w:val="1"/>
          <w:bCs w:val="1"/>
          <w:u w:val="single" w:color="auto"/>
          <w:color w:val="0000FF"/>
        </w:rPr>
        <w:t>s</w:t>
      </w:r>
      <w:r>
        <w:rPr>
          <w:rFonts w:ascii="Times New Roman" w:cs="Times New Roman" w:eastAsia="Times New Roman" w:hAnsi="Times New Roman"/>
          <w:sz w:val="20"/>
          <w:szCs w:val="20"/>
          <w:b w:val="1"/>
          <w:bCs w:val="1"/>
          <w:color w:val="0000FF"/>
        </w:rPr>
        <w:t xml:space="preserve">o </w:t>
      </w:r>
      <w:r>
        <w:rPr>
          <w:rFonts w:ascii="Times New Roman" w:cs="Times New Roman" w:eastAsia="Times New Roman" w:hAnsi="Times New Roman"/>
          <w:sz w:val="20"/>
          <w:szCs w:val="20"/>
          <w:b w:val="1"/>
          <w:bCs w:val="1"/>
          <w:u w:val="single" w:color="auto"/>
          <w:color w:val="0000FF"/>
        </w:rPr>
        <w:t>i</w:t>
      </w:r>
      <w:r>
        <w:rPr>
          <w:rFonts w:ascii="Times New Roman" w:cs="Times New Roman" w:eastAsia="Times New Roman" w:hAnsi="Times New Roman"/>
          <w:sz w:val="20"/>
          <w:szCs w:val="20"/>
          <w:b w:val="1"/>
          <w:bCs w:val="1"/>
          <w:color w:val="0000FF"/>
        </w:rPr>
        <w:t xml:space="preserve">n </w:t>
      </w:r>
      <w:r>
        <w:rPr>
          <w:rFonts w:ascii="Times New Roman" w:cs="Times New Roman" w:eastAsia="Times New Roman" w:hAnsi="Times New Roman"/>
          <w:sz w:val="20"/>
          <w:szCs w:val="20"/>
          <w:b w:val="1"/>
          <w:bCs w:val="1"/>
          <w:u w:val="single" w:color="auto"/>
          <w:color w:val="0000FF"/>
        </w:rPr>
        <w:t>it</w:t>
      </w:r>
      <w:r>
        <w:rPr>
          <w:rFonts w:ascii="Times New Roman" w:cs="Times New Roman" w:eastAsia="Times New Roman" w:hAnsi="Times New Roman"/>
          <w:sz w:val="20"/>
          <w:szCs w:val="20"/>
          <w:b w:val="1"/>
          <w:bCs w:val="1"/>
          <w:color w:val="0000FF"/>
        </w:rPr>
        <w:t xml:space="preserve">s </w:t>
      </w:r>
      <w:r>
        <w:rPr>
          <w:rFonts w:ascii="Times New Roman" w:cs="Times New Roman" w:eastAsia="Times New Roman" w:hAnsi="Times New Roman"/>
          <w:sz w:val="20"/>
          <w:szCs w:val="20"/>
          <w:b w:val="1"/>
          <w:bCs w:val="1"/>
          <w:u w:val="single" w:color="auto"/>
          <w:color w:val="0000FF"/>
        </w:rPr>
        <w:t>sol</w:t>
      </w:r>
      <w:r>
        <w:rPr>
          <w:rFonts w:ascii="Times New Roman" w:cs="Times New Roman" w:eastAsia="Times New Roman" w:hAnsi="Times New Roman"/>
          <w:sz w:val="20"/>
          <w:szCs w:val="20"/>
          <w:b w:val="1"/>
          <w:bCs w:val="1"/>
          <w:color w:val="0000FF"/>
        </w:rPr>
        <w:t>e discretion.</w:t>
      </w:r>
    </w:p>
    <w:p>
      <w:pPr>
        <w:spacing w:after="0" w:line="86" w:lineRule="exact"/>
        <w:rPr>
          <w:rFonts w:ascii="Times New Roman" w:cs="Times New Roman" w:eastAsia="Times New Roman" w:hAnsi="Times New Roman"/>
          <w:sz w:val="20"/>
          <w:szCs w:val="20"/>
          <w:b w:val="1"/>
          <w:bCs w:val="1"/>
          <w:color w:val="010000"/>
        </w:rPr>
      </w:pPr>
    </w:p>
    <w:p>
      <w:pPr>
        <w:ind w:left="1280" w:hanging="628"/>
        <w:spacing w:after="0"/>
        <w:tabs>
          <w:tab w:leader="none" w:pos="1280" w:val="left"/>
        </w:tabs>
        <w:numPr>
          <w:ilvl w:val="1"/>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will promptly notify the Company and the Lenders of</w:t>
      </w:r>
    </w:p>
    <w:p>
      <w:pPr>
        <w:spacing w:after="0" w:line="21" w:lineRule="exact"/>
        <w:rPr>
          <w:rFonts w:ascii="Times New Roman" w:cs="Times New Roman" w:eastAsia="Times New Roman" w:hAnsi="Times New Roman"/>
          <w:sz w:val="20"/>
          <w:szCs w:val="20"/>
          <w:color w:val="010000"/>
        </w:rPr>
      </w:pPr>
    </w:p>
    <w:p>
      <w:pPr>
        <w:ind w:left="240" w:hanging="237"/>
        <w:spacing w:after="0"/>
        <w:tabs>
          <w:tab w:leader="none" w:pos="2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occurrence of a Benchmark Transition Event, (ii) the implementation of any Benchmark Replacement,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-993775</wp:posOffset>
            </wp:positionV>
            <wp:extent cx="16338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633855" cy="8890"/>
                    </a:xfrm>
                    <a:prstGeom prst="rect">
                      <a:avLst/>
                    </a:prstGeom>
                    <a:noFill/>
                  </pic:spPr>
                </pic:pic>
              </a:graphicData>
            </a:graphic>
          </wp:anchor>
        </w:drawing>
      </w:r>
    </w:p>
    <w:p>
      <w:pPr>
        <w:jc w:val="both"/>
        <w:ind w:right="239"/>
        <w:spacing w:after="0" w:line="249" w:lineRule="auto"/>
        <w:rPr>
          <w:sz w:val="20"/>
          <w:szCs w:val="20"/>
          <w:color w:val="auto"/>
        </w:rPr>
      </w:pPr>
      <w:r>
        <w:rPr>
          <w:rFonts w:ascii="Times New Roman" w:cs="Times New Roman" w:eastAsia="Times New Roman" w:hAnsi="Times New Roman"/>
          <w:sz w:val="20"/>
          <w:szCs w:val="20"/>
          <w:color w:val="auto"/>
        </w:rPr>
        <w:t>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87" w:lineRule="exact"/>
        <w:rPr>
          <w:sz w:val="20"/>
          <w:szCs w:val="20"/>
          <w:color w:val="auto"/>
        </w:rPr>
      </w:pPr>
    </w:p>
    <w:p>
      <w:pPr>
        <w:jc w:val="both"/>
        <w:ind w:right="199" w:firstLine="651"/>
        <w:spacing w:after="0" w:line="261" w:lineRule="auto"/>
        <w:tabs>
          <w:tab w:leader="none" w:pos="1178"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the EURIBO Rate, the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9379"/>
          </w:cols>
          <w:pgMar w:left="1080" w:top="1409" w:right="1440" w:bottom="1440" w:gutter="0" w:footer="0" w:header="0"/>
        </w:sectPr>
      </w:pPr>
    </w:p>
    <w:bookmarkStart w:id="102" w:name="page103"/>
    <w:bookmarkEnd w:id="102"/>
    <w:p>
      <w:pPr>
        <w:jc w:val="both"/>
        <w:ind w:right="239"/>
        <w:spacing w:after="0" w:line="251" w:lineRule="auto"/>
        <w:rPr>
          <w:sz w:val="20"/>
          <w:szCs w:val="20"/>
          <w:color w:val="auto"/>
        </w:rPr>
      </w:pPr>
      <w:r>
        <w:rPr>
          <w:rFonts w:ascii="Times New Roman" w:cs="Times New Roman" w:eastAsia="Times New Roman" w:hAnsi="Times New Roman"/>
          <w:sz w:val="20"/>
          <w:szCs w:val="20"/>
          <w:color w:val="auto"/>
        </w:rPr>
        <w:t xml:space="preserve">TIBO Rate or </w:t>
      </w:r>
      <w:r>
        <w:rPr>
          <w:rFonts w:ascii="Times New Roman" w:cs="Times New Roman" w:eastAsia="Times New Roman" w:hAnsi="Times New Roman"/>
          <w:sz w:val="20"/>
          <w:szCs w:val="20"/>
          <w:b w:val="1"/>
          <w:bCs w:val="1"/>
          <w:color w:val="FF0000"/>
          <w:strike w:val="1"/>
        </w:rPr>
        <w:t>the CDOR Rate</w:t>
      </w:r>
      <w:r>
        <w:rPr>
          <w:rFonts w:ascii="Times New Roman" w:cs="Times New Roman" w:eastAsia="Times New Roman" w:hAnsi="Times New Roman"/>
          <w:sz w:val="20"/>
          <w:szCs w:val="20"/>
          <w:b w:val="1"/>
          <w:bCs w:val="1"/>
          <w:u w:val="single" w:color="auto"/>
          <w:color w:val="0000FF"/>
        </w:rPr>
        <w:t>Term CORRA</w:t>
      </w:r>
      <w:r>
        <w:rPr>
          <w:rFonts w:ascii="Times New Roman" w:cs="Times New Roman" w:eastAsia="Times New Roman" w:hAnsi="Times New Roman"/>
          <w:sz w:val="20"/>
          <w:szCs w:val="20"/>
          <w:color w:val="auto"/>
        </w:rPr>
        <w:t>)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85" w:lineRule="exact"/>
        <w:rPr>
          <w:sz w:val="20"/>
          <w:szCs w:val="20"/>
          <w:color w:val="auto"/>
        </w:rPr>
      </w:pPr>
    </w:p>
    <w:p>
      <w:pPr>
        <w:ind w:right="239" w:firstLine="651"/>
        <w:spacing w:after="0" w:line="262" w:lineRule="auto"/>
        <w:tabs>
          <w:tab w:leader="none" w:pos="1183" w:val="left"/>
        </w:tabs>
        <w:numPr>
          <w:ilvl w:val="1"/>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Upon the Company’s receipt of notice of the commencement of a Benchmark Unavailability Period, the applicable Borrower may revoke any request for </w:t>
      </w:r>
      <w:r>
        <w:rPr>
          <w:rFonts w:ascii="Times New Roman" w:cs="Times New Roman" w:eastAsia="Times New Roman" w:hAnsi="Times New Roman"/>
          <w:sz w:val="19"/>
          <w:szCs w:val="19"/>
          <w:b w:val="1"/>
          <w:bCs w:val="1"/>
          <w:color w:val="0000FF"/>
        </w:rPr>
        <w:t>(i)</w:t>
      </w:r>
      <w:r>
        <w:rPr>
          <w:rFonts w:ascii="Times New Roman" w:cs="Times New Roman" w:eastAsia="Times New Roman" w:hAnsi="Times New Roman"/>
          <w:sz w:val="19"/>
          <w:szCs w:val="19"/>
          <w:color w:val="auto"/>
        </w:rPr>
        <w:t xml:space="preserve"> a Term Benchmark Borrowing </w:t>
      </w:r>
      <w:r>
        <w:rPr>
          <w:rFonts w:ascii="Times New Roman" w:cs="Times New Roman" w:eastAsia="Times New Roman" w:hAnsi="Times New Roman"/>
          <w:sz w:val="19"/>
          <w:szCs w:val="19"/>
          <w:b w:val="1"/>
          <w:bCs w:val="1"/>
          <w:color w:val="FF0000"/>
        </w:rPr>
        <w:t>or RFR Borrowing of</w:t>
      </w:r>
      <w:r>
        <w:rPr>
          <w:rFonts w:ascii="Times New Roman" w:cs="Times New Roman" w:eastAsia="Times New Roman" w:hAnsi="Times New Roman"/>
          <w:sz w:val="19"/>
          <w:szCs w:val="19"/>
          <w:color w:val="auto"/>
        </w:rPr>
        <w:t xml:space="preserve">, conversion to or continuation of Term Benchmark Loans to be made, converted or continued </w:t>
      </w:r>
      <w:r>
        <w:rPr>
          <w:rFonts w:ascii="Times New Roman" w:cs="Times New Roman" w:eastAsia="Times New Roman" w:hAnsi="Times New Roman"/>
          <w:sz w:val="19"/>
          <w:szCs w:val="19"/>
          <w:b w:val="1"/>
          <w:bCs w:val="1"/>
          <w:color w:val="0000FF"/>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(ii</w:t>
      </w:r>
      <w:r>
        <w:rPr>
          <w:rFonts w:ascii="Times New Roman" w:cs="Times New Roman" w:eastAsia="Times New Roman" w:hAnsi="Times New Roman"/>
          <w:sz w:val="19"/>
          <w:szCs w:val="19"/>
          <w:b w:val="1"/>
          <w:bCs w:val="1"/>
          <w:color w:val="0000FF"/>
        </w:rPr>
        <w:t>)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RF</w:t>
      </w:r>
      <w:r>
        <w:rPr>
          <w:rFonts w:ascii="Times New Roman" w:cs="Times New Roman" w:eastAsia="Times New Roman" w:hAnsi="Times New Roman"/>
          <w:sz w:val="19"/>
          <w:szCs w:val="19"/>
          <w:b w:val="1"/>
          <w:bCs w:val="1"/>
          <w:color w:val="0000FF"/>
        </w:rPr>
        <w:t>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Borrowin</w:t>
      </w:r>
      <w:r>
        <w:rPr>
          <w:rFonts w:ascii="Times New Roman" w:cs="Times New Roman" w:eastAsia="Times New Roman" w:hAnsi="Times New Roman"/>
          <w:sz w:val="19"/>
          <w:szCs w:val="19"/>
          <w:b w:val="1"/>
          <w:bCs w:val="1"/>
          <w:color w:val="0000FF"/>
        </w:rPr>
        <w:t xml:space="preserve">g </w:t>
      </w:r>
      <w:r>
        <w:rPr>
          <w:rFonts w:ascii="Times New Roman" w:cs="Times New Roman" w:eastAsia="Times New Roman" w:hAnsi="Times New Roman"/>
          <w:sz w:val="19"/>
          <w:szCs w:val="19"/>
          <w:b w:val="1"/>
          <w:bCs w:val="1"/>
          <w:u w:val="single" w:color="auto"/>
          <w:color w:val="0000FF"/>
        </w:rPr>
        <w:t>o</w:t>
      </w:r>
      <w:r>
        <w:rPr>
          <w:rFonts w:ascii="Times New Roman" w:cs="Times New Roman" w:eastAsia="Times New Roman" w:hAnsi="Times New Roman"/>
          <w:sz w:val="19"/>
          <w:szCs w:val="19"/>
          <w:b w:val="1"/>
          <w:bCs w:val="1"/>
          <w:color w:val="0000FF"/>
        </w:rPr>
        <w:t xml:space="preserve">r </w:t>
      </w:r>
      <w:r>
        <w:rPr>
          <w:rFonts w:ascii="Times New Roman" w:cs="Times New Roman" w:eastAsia="Times New Roman" w:hAnsi="Times New Roman"/>
          <w:sz w:val="19"/>
          <w:szCs w:val="19"/>
          <w:b w:val="1"/>
          <w:bCs w:val="1"/>
          <w:u w:val="single" w:color="auto"/>
          <w:color w:val="0000FF"/>
        </w:rPr>
        <w:t>conversio</w:t>
      </w:r>
      <w:r>
        <w:rPr>
          <w:rFonts w:ascii="Times New Roman" w:cs="Times New Roman" w:eastAsia="Times New Roman" w:hAnsi="Times New Roman"/>
          <w:sz w:val="19"/>
          <w:szCs w:val="19"/>
          <w:b w:val="1"/>
          <w:bCs w:val="1"/>
          <w:color w:val="0000FF"/>
        </w:rPr>
        <w:t xml:space="preserve">n </w:t>
      </w:r>
      <w:r>
        <w:rPr>
          <w:rFonts w:ascii="Times New Roman" w:cs="Times New Roman" w:eastAsia="Times New Roman" w:hAnsi="Times New Roman"/>
          <w:sz w:val="19"/>
          <w:szCs w:val="19"/>
          <w:b w:val="1"/>
          <w:bCs w:val="1"/>
          <w:u w:val="single" w:color="auto"/>
          <w:color w:val="0000FF"/>
        </w:rPr>
        <w:t>t</w:t>
      </w:r>
      <w:r>
        <w:rPr>
          <w:rFonts w:ascii="Times New Roman" w:cs="Times New Roman" w:eastAsia="Times New Roman" w:hAnsi="Times New Roman"/>
          <w:sz w:val="19"/>
          <w:szCs w:val="19"/>
          <w:b w:val="1"/>
          <w:bCs w:val="1"/>
          <w:color w:val="0000FF"/>
        </w:rPr>
        <w:t xml:space="preserve">o </w:t>
      </w:r>
      <w:r>
        <w:rPr>
          <w:rFonts w:ascii="Times New Roman" w:cs="Times New Roman" w:eastAsia="Times New Roman" w:hAnsi="Times New Roman"/>
          <w:sz w:val="19"/>
          <w:szCs w:val="19"/>
          <w:b w:val="1"/>
          <w:bCs w:val="1"/>
          <w:u w:val="single" w:color="auto"/>
          <w:color w:val="0000FF"/>
        </w:rPr>
        <w:t>RF</w:t>
      </w:r>
      <w:r>
        <w:rPr>
          <w:rFonts w:ascii="Times New Roman" w:cs="Times New Roman" w:eastAsia="Times New Roman" w:hAnsi="Times New Roman"/>
          <w:sz w:val="19"/>
          <w:szCs w:val="19"/>
          <w:b w:val="1"/>
          <w:bCs w:val="1"/>
          <w:color w:val="0000FF"/>
        </w:rPr>
        <w:t xml:space="preserve">R Loans, </w:t>
      </w:r>
      <w:r>
        <w:rPr>
          <w:rFonts w:ascii="Times New Roman" w:cs="Times New Roman" w:eastAsia="Times New Roman" w:hAnsi="Times New Roman"/>
          <w:sz w:val="19"/>
          <w:szCs w:val="19"/>
          <w:color w:val="000000"/>
        </w:rPr>
        <w:t>during any Benchmark Unavailability Period and, failing that, either (x)</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the applicable Borrower will be deemed to have converted any request for a Term Benchmark Borrowing </w:t>
      </w:r>
      <w:r>
        <w:rPr>
          <w:rFonts w:ascii="Times New Roman" w:cs="Times New Roman" w:eastAsia="Times New Roman" w:hAnsi="Times New Roman"/>
          <w:sz w:val="19"/>
          <w:szCs w:val="19"/>
          <w:b w:val="1"/>
          <w:bCs w:val="1"/>
          <w:u w:val="single" w:color="auto"/>
          <w:color w:val="0000FF"/>
        </w:rPr>
        <w:t>or RFR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Borrowing, as applicable,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denominated in Dollars into a request for a Borrowing of or conversion to (A)</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b w:val="1"/>
          <w:bCs w:val="1"/>
          <w:u w:val="single" w:color="auto"/>
          <w:color w:val="0000FF"/>
        </w:rPr>
        <w:t>solely</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b w:val="1"/>
          <w:bCs w:val="1"/>
          <w:u w:val="single" w:color="auto"/>
          <w:color w:val="0000FF"/>
        </w:rPr>
        <w:t>with respect to any such request for a Term Benchmark Borrowing,</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an RFR Borrowing denominated in</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Dollars so long as the Adjusted Daily Simple RFR for Dollar Borrowings is not the subject of a Benchmark Transition Event or (B) an ABR Borrowing if the Adjusted Daily Simple RFR for Dollar Borrowings is the subject of a Benchmark Transition Event, (y) the applicable Borrower will be deemed to have converted any request for a Term Benchmark Borrowing denominated in Canadian Dollars into a request for a Borrowing of a Loan that bears interest at the Canadian Prime Rate plus the Applicable Rate applicable to ABR Loans or (z) any </w:t>
      </w:r>
      <w:r>
        <w:rPr>
          <w:rFonts w:ascii="Times New Roman" w:cs="Times New Roman" w:eastAsia="Times New Roman" w:hAnsi="Times New Roman"/>
          <w:sz w:val="19"/>
          <w:szCs w:val="19"/>
          <w:b w:val="1"/>
          <w:bCs w:val="1"/>
          <w:u w:val="single" w:color="auto"/>
          <w:color w:val="0000FF"/>
        </w:rPr>
        <w:t>request relating</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to a</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Term Benchmark Borrowing or RFR Borrowing denominated in a Foreign Currency other than Canadian</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Dollars shall be ineffective. During any Benchmark Unavailability Period or at any time that a tenor for the then-current Benchmark is not an Available Tenor, (x) the component of ABR based upon the then-current Benchmark or such tenor for such Benchmark, as applicable, will not be used in any determination of ABR and (y) the component of the Canadian Prime Rate based upon the then-current Benchmark or such tenor for such Benchmark, as applicable, will not be used in any determination of the Canadian Prime Rate.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w:t>
      </w:r>
      <w:r>
        <w:rPr>
          <w:rFonts w:ascii="Times New Roman" w:cs="Times New Roman" w:eastAsia="Times New Roman" w:hAnsi="Times New Roman"/>
          <w:sz w:val="19"/>
          <w:szCs w:val="19"/>
          <w:b w:val="1"/>
          <w:bCs w:val="1"/>
          <w:u w:val="single" w:color="auto"/>
          <w:color w:val="0000FF"/>
        </w:rPr>
        <w:t>(1)</w:t>
      </w:r>
      <w:r>
        <w:rPr>
          <w:rFonts w:ascii="Times New Roman" w:cs="Times New Roman" w:eastAsia="Times New Roman" w:hAnsi="Times New Roman"/>
          <w:sz w:val="19"/>
          <w:szCs w:val="19"/>
          <w:color w:val="000000"/>
        </w:rPr>
        <w:t xml:space="preserve"> any Term Benchmark Loan shall on the last day of the Interest Period applicable to such Loan </w:t>
      </w:r>
      <w:r>
        <w:rPr>
          <w:rFonts w:ascii="Times New Roman" w:cs="Times New Roman" w:eastAsia="Times New Roman" w:hAnsi="Times New Roman"/>
          <w:sz w:val="19"/>
          <w:szCs w:val="19"/>
          <w:b w:val="1"/>
          <w:bCs w:val="1"/>
          <w:color w:val="FF0000"/>
        </w:rPr>
        <w:t>(or the next succeeding</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color w:val="FF0000"/>
          <w:strike w:val="1"/>
        </w:rPr>
        <w:t>Business Day if such day is not a Business Day)</w:t>
      </w:r>
      <w:r>
        <w:rPr>
          <w:rFonts w:ascii="Times New Roman" w:cs="Times New Roman" w:eastAsia="Times New Roman" w:hAnsi="Times New Roman"/>
          <w:sz w:val="19"/>
          <w:szCs w:val="19"/>
          <w:color w:val="000000"/>
        </w:rPr>
        <w:t>, be converted by the Administrative Agent to, and shall</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 xml:space="preserve">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w:t>
      </w:r>
      <w:r>
        <w:rPr>
          <w:rFonts w:ascii="Times New Roman" w:cs="Times New Roman" w:eastAsia="Times New Roman" w:hAnsi="Times New Roman"/>
          <w:sz w:val="19"/>
          <w:szCs w:val="19"/>
          <w:b w:val="1"/>
          <w:bCs w:val="1"/>
          <w:color w:val="0000FF"/>
        </w:rPr>
        <w:t>and (2) any RFR Loan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shall on and from such day be converted by the Administrative Agent to, and shall constitute an ABR Loan</w:t>
      </w:r>
      <w:r>
        <w:rPr>
          <w:rFonts w:ascii="Times New Roman" w:cs="Times New Roman" w:eastAsia="Times New Roman" w:hAnsi="Times New Roman"/>
          <w:sz w:val="19"/>
          <w:szCs w:val="19"/>
          <w:color w:val="000000"/>
        </w:rPr>
        <w:t>,</w:t>
      </w:r>
    </w:p>
    <w:p>
      <w:pPr>
        <w:spacing w:after="0" w:line="224" w:lineRule="exact"/>
        <w:rPr>
          <w:rFonts w:ascii="Times New Roman" w:cs="Times New Roman" w:eastAsia="Times New Roman" w:hAnsi="Times New Roman"/>
          <w:sz w:val="19"/>
          <w:szCs w:val="19"/>
          <w:color w:val="010000"/>
        </w:rPr>
      </w:pPr>
    </w:p>
    <w:p>
      <w:pPr>
        <w:ind w:left="320" w:hanging="317"/>
        <w:spacing w:after="0"/>
        <w:tabs>
          <w:tab w:leader="none" w:pos="3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Loans denominated in Canadian Dollars, on the last day of the Interest Period applicable to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2621915</wp:posOffset>
            </wp:positionH>
            <wp:positionV relativeFrom="paragraph">
              <wp:posOffset>-4097020</wp:posOffset>
            </wp:positionV>
            <wp:extent cx="1079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07950" cy="825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-4148455</wp:posOffset>
            </wp:positionV>
            <wp:extent cx="11836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-3942715</wp:posOffset>
            </wp:positionV>
            <wp:extent cx="93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-976630</wp:posOffset>
            </wp:positionV>
            <wp:extent cx="1263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6301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-325120</wp:posOffset>
            </wp:positionV>
            <wp:extent cx="12388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right="299"/>
        <w:spacing w:after="0" w:line="253" w:lineRule="auto"/>
        <w:rPr>
          <w:sz w:val="20"/>
          <w:szCs w:val="20"/>
          <w:color w:val="auto"/>
        </w:rPr>
      </w:pPr>
      <w:r>
        <w:rPr>
          <w:rFonts w:ascii="Times New Roman" w:cs="Times New Roman" w:eastAsia="Times New Roman" w:hAnsi="Times New Roman"/>
          <w:sz w:val="20"/>
          <w:szCs w:val="20"/>
          <w:color w:val="auto"/>
        </w:rPr>
        <w:t xml:space="preserve">Benchmark Loan </w:t>
      </w:r>
      <w:r>
        <w:rPr>
          <w:rFonts w:ascii="Times New Roman" w:cs="Times New Roman" w:eastAsia="Times New Roman" w:hAnsi="Times New Roman"/>
          <w:sz w:val="20"/>
          <w:szCs w:val="20"/>
          <w:b w:val="1"/>
          <w:bCs w:val="1"/>
          <w:color w:val="FF0000"/>
          <w:strike w:val="1"/>
        </w:rPr>
        <w:t>(or the next succeeding Business Day if such day is not a Business Day)</w:t>
      </w:r>
      <w:r>
        <w:rPr>
          <w:rFonts w:ascii="Times New Roman" w:cs="Times New Roman" w:eastAsia="Times New Roman" w:hAnsi="Times New Roman"/>
          <w:sz w:val="20"/>
          <w:szCs w:val="20"/>
          <w:color w:val="auto"/>
        </w:rPr>
        <w:t xml:space="preserve"> such Term Benchmark Loan shall be converted by the Administrative Agent to, and shall constitute, a Loan that bears interest at the Canadian Prime Rate plus the Applicable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9379"/>
          </w:cols>
          <w:pgMar w:left="1080" w:top="1409" w:right="1440" w:bottom="1440" w:gutter="0" w:footer="0" w:header="0"/>
        </w:sectPr>
      </w:pPr>
    </w:p>
    <w:bookmarkStart w:id="103" w:name="page104"/>
    <w:bookmarkEnd w:id="103"/>
    <w:p>
      <w:pPr>
        <w:ind w:left="640"/>
        <w:spacing w:after="0"/>
        <w:rPr>
          <w:sz w:val="20"/>
          <w:szCs w:val="20"/>
          <w:color w:val="auto"/>
        </w:rPr>
      </w:pPr>
      <w:r>
        <w:rPr>
          <w:rFonts w:ascii="Times New Roman" w:cs="Times New Roman" w:eastAsia="Times New Roman" w:hAnsi="Times New Roman"/>
          <w:sz w:val="19"/>
          <w:szCs w:val="19"/>
          <w:color w:val="auto"/>
        </w:rPr>
        <w:t>Rate applicable to ABR Loans and (C) for Loans denominated in a Foreign Currency other than Canadian Dollars,</w:t>
      </w:r>
    </w:p>
    <w:p>
      <w:pPr>
        <w:spacing w:after="0" w:line="40" w:lineRule="exact"/>
        <w:rPr>
          <w:sz w:val="20"/>
          <w:szCs w:val="20"/>
          <w:color w:val="auto"/>
        </w:rPr>
      </w:pPr>
    </w:p>
    <w:p>
      <w:pPr>
        <w:jc w:val="both"/>
        <w:ind w:left="640" w:right="219" w:firstLine="3"/>
        <w:spacing w:after="0" w:line="248" w:lineRule="auto"/>
        <w:tabs>
          <w:tab w:leader="none" w:pos="93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 Benchmark Loan shall, on the last day of the Interest Period applicable to such Loan </w:t>
      </w:r>
      <w:r>
        <w:rPr>
          <w:rFonts w:ascii="Times New Roman" w:cs="Times New Roman" w:eastAsia="Times New Roman" w:hAnsi="Times New Roman"/>
          <w:sz w:val="20"/>
          <w:szCs w:val="20"/>
          <w:b w:val="1"/>
          <w:bCs w:val="1"/>
          <w:color w:val="FF0000"/>
          <w:strike w:val="1"/>
        </w:rPr>
        <w:t>(or the next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FF0000"/>
          <w:strike w:val="1"/>
        </w:rPr>
        <w:t>succeeding Business Day if such day is not a Business Day)</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bear interest at the Central Bank Rate for the</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 xml:space="preserve">applicable Foreign Currency plus the CBR Spread;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applicable Borrower’s election prior to such day: (A) be prepaid by such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2.15. </w:t>
      </w:r>
      <w:r>
        <w:rPr>
          <w:rFonts w:ascii="Times New Roman" w:cs="Times New Roman" w:eastAsia="Times New Roman" w:hAnsi="Times New Roman"/>
          <w:sz w:val="20"/>
          <w:szCs w:val="20"/>
          <w:u w:val="single" w:color="auto"/>
          <w:color w:val="000000"/>
        </w:rPr>
        <w:t>Increased Costs</w:t>
      </w:r>
      <w:r>
        <w:rPr>
          <w:rFonts w:ascii="Times New Roman" w:cs="Times New Roman" w:eastAsia="Times New Roman" w:hAnsi="Times New Roman"/>
          <w:sz w:val="20"/>
          <w:szCs w:val="20"/>
          <w:color w:val="000000"/>
        </w:rPr>
        <w:t>. (a) If any Change in Law shall:</w:t>
      </w:r>
    </w:p>
    <w:p>
      <w:pPr>
        <w:spacing w:after="0" w:line="270" w:lineRule="exact"/>
        <w:rPr>
          <w:sz w:val="20"/>
          <w:szCs w:val="20"/>
          <w:color w:val="auto"/>
        </w:rPr>
      </w:pPr>
    </w:p>
    <w:p>
      <w:pPr>
        <w:jc w:val="both"/>
        <w:ind w:left="1300" w:right="239" w:firstLine="639"/>
        <w:spacing w:after="0" w:line="253" w:lineRule="auto"/>
        <w:tabs>
          <w:tab w:leader="none" w:pos="2526" w:val="left"/>
        </w:tabs>
        <w:numPr>
          <w:ilvl w:val="1"/>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 the Adjusted EURIBO Rate </w:t>
      </w:r>
      <w:r>
        <w:rPr>
          <w:rFonts w:ascii="Times New Roman" w:cs="Times New Roman" w:eastAsia="Times New Roman" w:hAnsi="Times New Roman"/>
          <w:sz w:val="20"/>
          <w:szCs w:val="20"/>
          <w:b w:val="1"/>
          <w:bCs w:val="1"/>
          <w:color w:val="FF0000"/>
        </w:rPr>
        <w:t>or</w:t>
      </w:r>
      <w:r>
        <w:rPr>
          <w:rFonts w:ascii="Times New Roman" w:cs="Times New Roman" w:eastAsia="Times New Roman" w:hAnsi="Times New Roman"/>
          <w:sz w:val="20"/>
          <w:szCs w:val="20"/>
          <w:b w:val="1"/>
          <w:bCs w:val="1"/>
          <w:color w:val="0000FF"/>
        </w:rPr>
        <w:t>,</w:t>
      </w:r>
      <w:r>
        <w:rPr>
          <w:rFonts w:ascii="Times New Roman" w:cs="Times New Roman" w:eastAsia="Times New Roman" w:hAnsi="Times New Roman"/>
          <w:sz w:val="20"/>
          <w:szCs w:val="20"/>
          <w:color w:val="auto"/>
        </w:rPr>
        <w:t xml:space="preserve"> the Adjusted TIBO Rate </w:t>
      </w:r>
      <w:r>
        <w:rPr>
          <w:rFonts w:ascii="Times New Roman" w:cs="Times New Roman" w:eastAsia="Times New Roman" w:hAnsi="Times New Roman"/>
          <w:sz w:val="20"/>
          <w:szCs w:val="20"/>
          <w:b w:val="1"/>
          <w:bCs w:val="1"/>
          <w:color w:val="0000FF"/>
        </w:rPr>
        <w:t>or the Adjusted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CORR</w:t>
      </w:r>
      <w:r>
        <w:rPr>
          <w:rFonts w:ascii="Times New Roman" w:cs="Times New Roman" w:eastAsia="Times New Roman" w:hAnsi="Times New Roman"/>
          <w:sz w:val="20"/>
          <w:szCs w:val="20"/>
          <w:b w:val="1"/>
          <w:bCs w:val="1"/>
          <w:color w:val="0000FF"/>
        </w:rPr>
        <w:t>A Rate</w:t>
      </w:r>
      <w:r>
        <w:rPr>
          <w:rFonts w:ascii="Times New Roman" w:cs="Times New Roman" w:eastAsia="Times New Roman" w:hAnsi="Times New Roman"/>
          <w:sz w:val="20"/>
          <w:szCs w:val="20"/>
          <w:color w:val="auto"/>
        </w:rPr>
        <w:t>, as applicable) or any Issuing Bank;</w:t>
      </w:r>
    </w:p>
    <w:p>
      <w:pPr>
        <w:spacing w:after="0" w:line="299" w:lineRule="exact"/>
        <w:rPr>
          <w:rFonts w:ascii="Times New Roman" w:cs="Times New Roman" w:eastAsia="Times New Roman" w:hAnsi="Times New Roman"/>
          <w:sz w:val="20"/>
          <w:szCs w:val="20"/>
          <w:color w:val="010000"/>
        </w:rPr>
      </w:pPr>
    </w:p>
    <w:p>
      <w:pPr>
        <w:jc w:val="both"/>
        <w:ind w:left="1300" w:right="219" w:firstLine="639"/>
        <w:spacing w:after="0" w:line="281" w:lineRule="auto"/>
        <w:tabs>
          <w:tab w:leader="none" w:pos="2486" w:val="left"/>
        </w:tabs>
        <w:numPr>
          <w:ilvl w:val="1"/>
          <w:numId w:val="1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impose on any Lender or any Issuing Bank or the applicable offshore interbank market for the applicable Agreed Currency any other condition, cost or expense (other than Taxes or UK Taxes) affecting this Agreement or Loans made by such Lender or any Letter of Credit or participation therein; or</w:t>
      </w:r>
    </w:p>
    <w:p>
      <w:pPr>
        <w:spacing w:after="0" w:line="191" w:lineRule="exact"/>
        <w:rPr>
          <w:rFonts w:ascii="Times New Roman" w:cs="Times New Roman" w:eastAsia="Times New Roman" w:hAnsi="Times New Roman"/>
          <w:sz w:val="19"/>
          <w:szCs w:val="19"/>
          <w:color w:val="010000"/>
        </w:rPr>
      </w:pPr>
    </w:p>
    <w:p>
      <w:pPr>
        <w:jc w:val="both"/>
        <w:ind w:left="1300" w:right="239" w:firstLine="639"/>
        <w:spacing w:after="0" w:line="254" w:lineRule="auto"/>
        <w:tabs>
          <w:tab w:leader="none" w:pos="2488" w:val="left"/>
        </w:tabs>
        <w:numPr>
          <w:ilvl w:val="1"/>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any Recipient to any Taxes or UK Taxes on its loans, loan principal, letters of credit, commitments, or other obligations, or its deposits, reserves, other liabilities or capital attributable thereto (other than (A) Indemnified Taxes,</w:t>
      </w:r>
    </w:p>
    <w:p>
      <w:pPr>
        <w:jc w:val="both"/>
        <w:ind w:left="1300" w:right="239" w:hanging="9"/>
        <w:spacing w:after="0" w:line="253" w:lineRule="auto"/>
        <w:tabs>
          <w:tab w:leader="none" w:pos="162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Taxes, (C) Connection Income Taxes and (D) UK Taxes (x) consisting of a Tax Deduction required by law to be made by a Borrower and/or (y) compensated for by Section 2.18 (or which would have been compensated for by Section 2.18 but was not so compensated because any of the exclusions set out in Section 2.18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-2564765</wp:posOffset>
            </wp:positionV>
            <wp:extent cx="26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-2118995</wp:posOffset>
            </wp:positionV>
            <wp:extent cx="1670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-1913255</wp:posOffset>
            </wp:positionV>
            <wp:extent cx="1083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96" w:lineRule="exact"/>
        <w:rPr>
          <w:sz w:val="20"/>
          <w:szCs w:val="20"/>
          <w:color w:val="auto"/>
        </w:rPr>
      </w:pPr>
    </w:p>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 Issuing Bank or such other Recipient, as the case may be, such additional amount or amounts as will compensate such Lender,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0019"/>
          </w:cols>
          <w:pgMar w:left="440" w:top="141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such Issuing Bank or such other Recipient, as the case may be, for such additional costs incurred or reduction suffered.</w:t>
      </w:r>
    </w:p>
    <w:p>
      <w:pPr>
        <w:spacing w:after="0" w:line="121" w:lineRule="exact"/>
        <w:rPr>
          <w:sz w:val="20"/>
          <w:szCs w:val="20"/>
          <w:color w:val="auto"/>
        </w:rPr>
      </w:pPr>
    </w:p>
    <w:p>
      <w:pPr>
        <w:jc w:val="both"/>
        <w:ind w:left="640" w:right="199" w:firstLine="651"/>
        <w:spacing w:after="0" w:line="250" w:lineRule="auto"/>
        <w:tabs>
          <w:tab w:leader="none" w:pos="1814"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78" w:lineRule="exact"/>
        <w:rPr>
          <w:rFonts w:ascii="Times New Roman" w:cs="Times New Roman" w:eastAsia="Times New Roman" w:hAnsi="Times New Roman"/>
          <w:sz w:val="20"/>
          <w:szCs w:val="20"/>
          <w:color w:val="010000"/>
        </w:rPr>
      </w:pPr>
    </w:p>
    <w:p>
      <w:pPr>
        <w:jc w:val="both"/>
        <w:ind w:left="640" w:right="239" w:firstLine="652"/>
        <w:spacing w:after="0" w:line="257" w:lineRule="auto"/>
        <w:tabs>
          <w:tab w:leader="none" w:pos="1818"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other Borrowers to pay, such Lender or such Issuing Bank, as the case may be, the amount shown as due on any such certificate within ten (10) days after receipt thereof.</w:t>
      </w:r>
    </w:p>
    <w:p>
      <w:pPr>
        <w:spacing w:after="0" w:line="64" w:lineRule="exact"/>
        <w:rPr>
          <w:rFonts w:ascii="Times New Roman" w:cs="Times New Roman" w:eastAsia="Times New Roman" w:hAnsi="Times New Roman"/>
          <w:sz w:val="20"/>
          <w:szCs w:val="20"/>
          <w:color w:val="010000"/>
        </w:rPr>
      </w:pPr>
    </w:p>
    <w:p>
      <w:pPr>
        <w:jc w:val="both"/>
        <w:ind w:left="640" w:right="239" w:firstLine="651"/>
        <w:spacing w:after="0" w:line="266" w:lineRule="auto"/>
        <w:tabs>
          <w:tab w:leader="none" w:pos="1815"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not be required to compensate a Lender or an Issuing Bank pursuant to this Section for any increased costs or reductions incurred more than 270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2.16. </w:t>
      </w:r>
      <w:r>
        <w:rPr>
          <w:rFonts w:ascii="Times New Roman" w:cs="Times New Roman" w:eastAsia="Times New Roman" w:hAnsi="Times New Roman"/>
          <w:sz w:val="20"/>
          <w:szCs w:val="20"/>
          <w:u w:val="single" w:color="auto"/>
          <w:color w:val="000000"/>
        </w:rPr>
        <w:t>Break Funding Payments</w:t>
      </w:r>
      <w:r>
        <w:rPr>
          <w:rFonts w:ascii="Times New Roman" w:cs="Times New Roman" w:eastAsia="Times New Roman" w:hAnsi="Times New Roman"/>
          <w:sz w:val="20"/>
          <w:szCs w:val="20"/>
          <w:color w:val="000000"/>
        </w:rPr>
        <w:t>.</w:t>
      </w:r>
    </w:p>
    <w:p>
      <w:pPr>
        <w:spacing w:after="0" w:line="108" w:lineRule="exact"/>
        <w:rPr>
          <w:sz w:val="20"/>
          <w:szCs w:val="20"/>
          <w:color w:val="auto"/>
        </w:rPr>
      </w:pPr>
    </w:p>
    <w:p>
      <w:pPr>
        <w:jc w:val="both"/>
        <w:ind w:left="640" w:right="199" w:firstLine="652"/>
        <w:spacing w:after="0" w:line="251" w:lineRule="auto"/>
        <w:tabs>
          <w:tab w:leader="none" w:pos="1818"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Term Benchmark Loans,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Company pursuant to Section 2.20 or (v)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0019"/>
          </w:cols>
          <w:pgMar w:left="440" w:top="1413" w:right="1440" w:bottom="1440" w:gutter="0" w:footer="0" w:header="0"/>
        </w:sectPr>
      </w:pPr>
    </w:p>
    <w:bookmarkStart w:id="105" w:name="page106"/>
    <w:bookmarkEnd w:id="105"/>
    <w:p>
      <w:pPr>
        <w:jc w:val="both"/>
        <w:ind w:left="640" w:right="259"/>
        <w:spacing w:after="0" w:line="261" w:lineRule="auto"/>
        <w:rPr>
          <w:sz w:val="20"/>
          <w:szCs w:val="20"/>
          <w:color w:val="auto"/>
        </w:rPr>
      </w:pPr>
      <w:r>
        <w:rPr>
          <w:rFonts w:ascii="Times New Roman" w:cs="Times New Roman" w:eastAsia="Times New Roman" w:hAnsi="Times New Roman"/>
          <w:sz w:val="20"/>
          <w:szCs w:val="20"/>
          <w:color w:val="auto"/>
        </w:rPr>
        <w:t>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208" w:lineRule="exact"/>
        <w:rPr>
          <w:sz w:val="20"/>
          <w:szCs w:val="20"/>
          <w:color w:val="auto"/>
        </w:rPr>
      </w:pPr>
    </w:p>
    <w:p>
      <w:pPr>
        <w:jc w:val="both"/>
        <w:ind w:left="640" w:right="219" w:firstLine="652"/>
        <w:spacing w:after="0" w:line="251" w:lineRule="auto"/>
        <w:tabs>
          <w:tab w:leader="none" w:pos="1816"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RFR Loans, in the event of (i) the payment of any principal of any RFR Loan other than on the Interest Payment Date applicable thereto (including as a result of an Event of Default or as a result of any prepayment pursuant to Section 2.11), (ii) the failure to borrow or prepay any RFR Loan on the date specified in any notice delivered pursuant hereto (regardless of whether such notice may be revoked under Section 2.11(a) and is revoked in accordance therewith), (iii) the assignment of any RFR Loan other than on the Interest Payment Date applicable thereto as a result of a request by the Company pursuant to Section 2.20 or (iv)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208" w:lineRule="exact"/>
        <w:rPr>
          <w:sz w:val="20"/>
          <w:szCs w:val="20"/>
          <w:color w:val="auto"/>
        </w:rPr>
      </w:pPr>
    </w:p>
    <w:p>
      <w:pPr>
        <w:jc w:val="both"/>
        <w:ind w:right="239"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2.17.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Payments Free of Taxes</w:t>
      </w:r>
      <w:r>
        <w:rPr>
          <w:rFonts w:ascii="Times New Roman" w:cs="Times New Roman" w:eastAsia="Times New Roman" w:hAnsi="Times New Roman"/>
          <w:sz w:val="20"/>
          <w:szCs w:val="20"/>
          <w:color w:val="000000"/>
        </w:rPr>
        <w:t>. Any and all payments by or on account of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204" w:lineRule="exact"/>
        <w:rPr>
          <w:sz w:val="20"/>
          <w:szCs w:val="20"/>
          <w:color w:val="auto"/>
        </w:rPr>
      </w:pPr>
    </w:p>
    <w:p>
      <w:pPr>
        <w:jc w:val="both"/>
        <w:ind w:left="640" w:right="239" w:firstLine="651"/>
        <w:spacing w:after="0" w:line="268" w:lineRule="auto"/>
        <w:tabs>
          <w:tab w:leader="none" w:pos="1814"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Other Taxes by the Borrowers. The relevant Borrower shall timely pay to the relevant Governmental Authority in accordance with applicable law, or at the option of the Administrative Agent timely reimburse it for, Other Taxes.</w:t>
      </w:r>
    </w:p>
    <w:p>
      <w:pPr>
        <w:spacing w:after="0" w:line="201" w:lineRule="exact"/>
        <w:rPr>
          <w:rFonts w:ascii="Times New Roman" w:cs="Times New Roman" w:eastAsia="Times New Roman" w:hAnsi="Times New Roman"/>
          <w:sz w:val="20"/>
          <w:szCs w:val="20"/>
          <w:color w:val="010000"/>
        </w:rPr>
      </w:pPr>
    </w:p>
    <w:p>
      <w:pPr>
        <w:jc w:val="both"/>
        <w:ind w:left="640" w:right="239" w:firstLine="652"/>
        <w:spacing w:after="0" w:line="253" w:lineRule="auto"/>
        <w:tabs>
          <w:tab w:leader="none" w:pos="1818"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32" w:lineRule="exact"/>
        <w:rPr>
          <w:rFonts w:ascii="Times New Roman" w:cs="Times New Roman" w:eastAsia="Times New Roman" w:hAnsi="Times New Roman"/>
          <w:sz w:val="20"/>
          <w:szCs w:val="20"/>
          <w:color w:val="010000"/>
        </w:rPr>
      </w:pPr>
    </w:p>
    <w:p>
      <w:pPr>
        <w:jc w:val="both"/>
        <w:ind w:left="640" w:right="239" w:firstLine="651"/>
        <w:spacing w:after="0" w:line="251" w:lineRule="auto"/>
        <w:tabs>
          <w:tab w:leader="none" w:pos="1815"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Borrowers</w:t>
      </w:r>
      <w:r>
        <w:rPr>
          <w:rFonts w:ascii="Times New Roman" w:cs="Times New Roman" w:eastAsia="Times New Roman" w:hAnsi="Times New Roman"/>
          <w:sz w:val="20"/>
          <w:szCs w:val="20"/>
          <w:color w:val="auto"/>
        </w:rPr>
        <w:t>. The relevant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0019"/>
          </w:cols>
          <w:pgMar w:left="440" w:top="1413"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the Administrative Agent on its own behalf or on behalf of a Lender, shall be conclusive absent manifest error.</w:t>
      </w:r>
    </w:p>
    <w:p>
      <w:pPr>
        <w:spacing w:after="0" w:line="256" w:lineRule="exact"/>
        <w:rPr>
          <w:sz w:val="20"/>
          <w:szCs w:val="20"/>
          <w:color w:val="auto"/>
        </w:rPr>
      </w:pPr>
    </w:p>
    <w:p>
      <w:pPr>
        <w:jc w:val="both"/>
        <w:ind w:right="219" w:firstLine="651"/>
        <w:spacing w:after="0" w:line="250" w:lineRule="auto"/>
        <w:tabs>
          <w:tab w:leader="none" w:pos="1178"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220" w:lineRule="exact"/>
        <w:rPr>
          <w:rFonts w:ascii="Times New Roman" w:cs="Times New Roman" w:eastAsia="Times New Roman" w:hAnsi="Times New Roman"/>
          <w:sz w:val="20"/>
          <w:szCs w:val="20"/>
          <w:color w:val="010000"/>
        </w:rPr>
      </w:pPr>
    </w:p>
    <w:p>
      <w:pPr>
        <w:jc w:val="both"/>
        <w:ind w:right="219" w:firstLine="652"/>
        <w:spacing w:after="0" w:line="250" w:lineRule="auto"/>
        <w:tabs>
          <w:tab w:leader="none" w:pos="1183"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for Tax purposes.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24" w:lineRule="exact"/>
        <w:rPr>
          <w:sz w:val="20"/>
          <w:szCs w:val="20"/>
          <w:color w:val="auto"/>
        </w:rPr>
      </w:pPr>
    </w:p>
    <w:p>
      <w:pPr>
        <w:ind w:left="1300" w:right="2199"/>
        <w:spacing w:after="0" w:line="269" w:lineRule="auto"/>
        <w:tabs>
          <w:tab w:leader="none" w:pos="173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any Borrower is a U.S. Person:</w:t>
      </w:r>
    </w:p>
    <w:p>
      <w:pPr>
        <w:spacing w:after="0" w:line="199" w:lineRule="exact"/>
        <w:rPr>
          <w:rFonts w:ascii="Times New Roman" w:cs="Times New Roman" w:eastAsia="Times New Roman" w:hAnsi="Times New Roman"/>
          <w:sz w:val="20"/>
          <w:szCs w:val="20"/>
          <w:color w:val="auto"/>
        </w:rPr>
      </w:pPr>
    </w:p>
    <w:p>
      <w:pPr>
        <w:jc w:val="both"/>
        <w:ind w:left="1300" w:right="239" w:firstLine="648"/>
        <w:spacing w:after="0" w:line="257" w:lineRule="auto"/>
        <w:tabs>
          <w:tab w:leader="none" w:pos="2479" w:val="left"/>
        </w:tabs>
        <w:numPr>
          <w:ilvl w:val="1"/>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p>
      <w:pPr>
        <w:spacing w:after="0" w:line="199" w:lineRule="exact"/>
        <w:rPr>
          <w:rFonts w:ascii="Times New Roman" w:cs="Times New Roman" w:eastAsia="Times New Roman" w:hAnsi="Times New Roman"/>
          <w:sz w:val="20"/>
          <w:szCs w:val="20"/>
          <w:color w:val="010000"/>
        </w:rPr>
      </w:pPr>
    </w:p>
    <w:p>
      <w:pPr>
        <w:jc w:val="both"/>
        <w:ind w:left="1300" w:right="239" w:firstLine="648"/>
        <w:spacing w:after="0" w:line="258" w:lineRule="auto"/>
        <w:tabs>
          <w:tab w:leader="none" w:pos="2482" w:val="left"/>
        </w:tabs>
        <w:numPr>
          <w:ilvl w:val="1"/>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9379"/>
          </w:cols>
          <w:pgMar w:left="1080" w:top="1413" w:right="1440" w:bottom="1440" w:gutter="0" w:footer="0" w:header="0"/>
        </w:sectPr>
      </w:pPr>
    </w:p>
    <w:bookmarkStart w:id="107" w:name="page108"/>
    <w:bookmarkEnd w:id="107"/>
    <w:p>
      <w:pPr>
        <w:ind w:left="940" w:right="839"/>
        <w:spacing w:after="0" w:line="258" w:lineRule="auto"/>
        <w:rPr>
          <w:sz w:val="20"/>
          <w:szCs w:val="20"/>
          <w:color w:val="auto"/>
        </w:rPr>
      </w:pPr>
      <w:r>
        <w:rPr>
          <w:rFonts w:ascii="Times New Roman" w:cs="Times New Roman" w:eastAsia="Times New Roman" w:hAnsi="Times New Roman"/>
          <w:sz w:val="20"/>
          <w:szCs w:val="20"/>
          <w:color w:val="auto"/>
        </w:rPr>
        <w:t>time thereafter upon the reasonable request of such Borrower or the Administrative Agent), whichever of the following is applicable:</w:t>
      </w:r>
    </w:p>
    <w:p>
      <w:pPr>
        <w:jc w:val="both"/>
        <w:ind w:left="940" w:right="239" w:firstLine="1295"/>
        <w:spacing w:after="0" w:line="248" w:lineRule="auto"/>
        <w:tabs>
          <w:tab w:leader="none" w:pos="276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88" w:lineRule="exact"/>
        <w:rPr>
          <w:rFonts w:ascii="Times New Roman" w:cs="Times New Roman" w:eastAsia="Times New Roman" w:hAnsi="Times New Roman"/>
          <w:sz w:val="20"/>
          <w:szCs w:val="20"/>
          <w:color w:val="auto"/>
        </w:rPr>
      </w:pPr>
    </w:p>
    <w:p>
      <w:pPr>
        <w:ind w:left="940" w:right="239" w:firstLine="1296"/>
        <w:spacing w:after="0" w:line="283" w:lineRule="auto"/>
        <w:tabs>
          <w:tab w:leader="none" w:pos="2764"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executed copies of IRS Form W-8ECI;</w:t>
      </w:r>
    </w:p>
    <w:p>
      <w:pPr>
        <w:spacing w:after="0" w:line="38" w:lineRule="exact"/>
        <w:rPr>
          <w:rFonts w:ascii="Times New Roman" w:cs="Times New Roman" w:eastAsia="Times New Roman" w:hAnsi="Times New Roman"/>
          <w:sz w:val="20"/>
          <w:szCs w:val="20"/>
          <w:color w:val="auto"/>
        </w:rPr>
      </w:pPr>
    </w:p>
    <w:p>
      <w:pPr>
        <w:jc w:val="both"/>
        <w:ind w:left="940" w:right="219" w:firstLine="1295"/>
        <w:spacing w:after="0" w:line="265" w:lineRule="auto"/>
        <w:tabs>
          <w:tab w:leader="none" w:pos="2763"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G-1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w:t>
      </w:r>
    </w:p>
    <w:p>
      <w:pPr>
        <w:spacing w:after="0" w:line="3" w:lineRule="exact"/>
        <w:rPr>
          <w:rFonts w:ascii="Times New Roman" w:cs="Times New Roman" w:eastAsia="Times New Roman" w:hAnsi="Times New Roman"/>
          <w:sz w:val="19"/>
          <w:szCs w:val="19"/>
          <w:color w:val="auto"/>
        </w:rPr>
      </w:pPr>
    </w:p>
    <w:p>
      <w:pPr>
        <w:ind w:left="940" w:right="219"/>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W-8BEN-E; or</w:t>
      </w:r>
    </w:p>
    <w:p>
      <w:pPr>
        <w:spacing w:after="0" w:line="60" w:lineRule="exact"/>
        <w:rPr>
          <w:rFonts w:ascii="Times New Roman" w:cs="Times New Roman" w:eastAsia="Times New Roman" w:hAnsi="Times New Roman"/>
          <w:sz w:val="19"/>
          <w:szCs w:val="19"/>
          <w:color w:val="auto"/>
        </w:rPr>
      </w:pPr>
    </w:p>
    <w:p>
      <w:pPr>
        <w:jc w:val="both"/>
        <w:ind w:left="940" w:right="199" w:firstLine="1295"/>
        <w:spacing w:after="0" w:line="251" w:lineRule="auto"/>
        <w:tabs>
          <w:tab w:leader="none" w:pos="276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20"/>
          <w:szCs w:val="20"/>
          <w:u w:val="single" w:color="auto"/>
          <w:color w:val="auto"/>
        </w:rPr>
        <w:t>Exhibit G-2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G-3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G-4</w:t>
      </w:r>
      <w:r>
        <w:rPr>
          <w:rFonts w:ascii="Times New Roman" w:cs="Times New Roman" w:eastAsia="Times New Roman" w:hAnsi="Times New Roman"/>
          <w:sz w:val="20"/>
          <w:szCs w:val="20"/>
          <w:color w:val="auto"/>
        </w:rPr>
        <w:t xml:space="preserve"> on behalf of each such direct and indirect partner;</w:t>
      </w:r>
    </w:p>
    <w:p>
      <w:pPr>
        <w:spacing w:after="0" w:line="87" w:lineRule="exact"/>
        <w:rPr>
          <w:rFonts w:ascii="Times New Roman" w:cs="Times New Roman" w:eastAsia="Times New Roman" w:hAnsi="Times New Roman"/>
          <w:sz w:val="20"/>
          <w:szCs w:val="20"/>
          <w:color w:val="auto"/>
        </w:rPr>
      </w:pPr>
    </w:p>
    <w:p>
      <w:pPr>
        <w:jc w:val="both"/>
        <w:ind w:left="940" w:right="239" w:firstLine="648"/>
        <w:spacing w:after="0" w:line="252" w:lineRule="auto"/>
        <w:tabs>
          <w:tab w:leader="none" w:pos="2122"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67" w:lineRule="exact"/>
        <w:rPr>
          <w:rFonts w:ascii="Times New Roman" w:cs="Times New Roman" w:eastAsia="Times New Roman" w:hAnsi="Times New Roman"/>
          <w:sz w:val="20"/>
          <w:szCs w:val="20"/>
          <w:color w:val="010000"/>
        </w:rPr>
      </w:pPr>
    </w:p>
    <w:p>
      <w:pPr>
        <w:ind w:left="940" w:right="239" w:firstLine="648"/>
        <w:spacing w:after="0" w:line="283" w:lineRule="auto"/>
        <w:tabs>
          <w:tab w:leader="none" w:pos="2119"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9019"/>
          </w:cols>
          <w:pgMar w:left="1440" w:top="1413" w:right="1440" w:bottom="1440" w:gutter="0" w:footer="0" w:header="0"/>
        </w:sectPr>
      </w:pPr>
    </w:p>
    <w:bookmarkStart w:id="108" w:name="page109"/>
    <w:bookmarkEnd w:id="108"/>
    <w:p>
      <w:pPr>
        <w:ind w:left="1940" w:right="339"/>
        <w:spacing w:after="0" w:line="250" w:lineRule="auto"/>
        <w:rPr>
          <w:sz w:val="20"/>
          <w:szCs w:val="20"/>
          <w:color w:val="auto"/>
        </w:rPr>
      </w:pPr>
      <w:r>
        <w:rPr>
          <w:rFonts w:ascii="Times New Roman" w:cs="Times New Roman" w:eastAsia="Times New Roman" w:hAnsi="Times New Roman"/>
          <w:sz w:val="20"/>
          <w:szCs w:val="20"/>
          <w:color w:val="auto"/>
        </w:rPr>
        <w:t>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92" w:lineRule="exact"/>
        <w:rPr>
          <w:sz w:val="20"/>
          <w:szCs w:val="20"/>
          <w:color w:val="auto"/>
        </w:rPr>
      </w:pPr>
    </w:p>
    <w:p>
      <w:pPr>
        <w:jc w:val="both"/>
        <w:ind w:right="259" w:firstLine="648"/>
        <w:spacing w:after="0" w:line="261"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60" w:lineRule="exact"/>
        <w:rPr>
          <w:sz w:val="20"/>
          <w:szCs w:val="20"/>
          <w:color w:val="auto"/>
        </w:rPr>
      </w:pPr>
    </w:p>
    <w:p>
      <w:pPr>
        <w:jc w:val="both"/>
        <w:ind w:left="640" w:right="219" w:firstLine="652"/>
        <w:spacing w:after="0" w:line="264" w:lineRule="auto"/>
        <w:tabs>
          <w:tab w:leader="none" w:pos="1816" w:val="left"/>
        </w:tabs>
        <w:numPr>
          <w:ilvl w:val="0"/>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If any party determines, in its sole discretion exercised in good faith, that it has received a refund (including any Tax credit in lieu of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Indemnified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59" w:lineRule="exact"/>
        <w:rPr>
          <w:rFonts w:ascii="Times New Roman" w:cs="Times New Roman" w:eastAsia="Times New Roman" w:hAnsi="Times New Roman"/>
          <w:sz w:val="19"/>
          <w:szCs w:val="19"/>
          <w:color w:val="010000"/>
        </w:rPr>
      </w:pPr>
    </w:p>
    <w:p>
      <w:pPr>
        <w:jc w:val="both"/>
        <w:ind w:left="640" w:right="239" w:firstLine="651"/>
        <w:spacing w:after="0" w:line="258" w:lineRule="auto"/>
        <w:tabs>
          <w:tab w:leader="none" w:pos="1815"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77" w:lineRule="exact"/>
        <w:rPr>
          <w:rFonts w:ascii="Times New Roman" w:cs="Times New Roman" w:eastAsia="Times New Roman" w:hAnsi="Times New Roman"/>
          <w:sz w:val="20"/>
          <w:szCs w:val="20"/>
          <w:color w:val="010000"/>
        </w:rPr>
      </w:pPr>
    </w:p>
    <w:p>
      <w:pPr>
        <w:ind w:left="640" w:right="259" w:firstLine="651"/>
        <w:spacing w:after="0" w:line="269" w:lineRule="auto"/>
        <w:tabs>
          <w:tab w:leader="none" w:pos="1826"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2.17, the term “Lender” includes each Issuing Bank and the term “applicable law” includes FATCA.</w:t>
      </w:r>
    </w:p>
    <w:p>
      <w:pPr>
        <w:spacing w:after="0" w:line="64" w:lineRule="exact"/>
        <w:rPr>
          <w:rFonts w:ascii="Times New Roman" w:cs="Times New Roman" w:eastAsia="Times New Roman" w:hAnsi="Times New Roman"/>
          <w:sz w:val="20"/>
          <w:szCs w:val="20"/>
          <w:color w:val="010000"/>
        </w:rPr>
      </w:pPr>
    </w:p>
    <w:p>
      <w:pPr>
        <w:jc w:val="both"/>
        <w:ind w:left="640" w:right="239" w:firstLine="652"/>
        <w:spacing w:after="0" w:line="261" w:lineRule="auto"/>
        <w:tabs>
          <w:tab w:leader="none" w:pos="1826"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Certain FATCA Matters</w:t>
      </w:r>
      <w:r>
        <w:rPr>
          <w:rFonts w:ascii="Times New Roman" w:cs="Times New Roman" w:eastAsia="Times New Roman" w:hAnsi="Times New Roman"/>
          <w:sz w:val="20"/>
          <w:szCs w:val="20"/>
          <w:color w:val="auto"/>
        </w:rPr>
        <w:t>. For purposes of determining withholding Taxes imposed under FATCA, the Borrowers and the Administrative Agent shall treat (and the Lenders hereby authorize the Administrative Agent to treat) this Agreement and the Loans 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0019"/>
          </w:cols>
          <w:pgMar w:left="440" w:top="1413"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qualifying as “grandfathered obligations” within the meaning of Treasury Regulation Section 1.1471-2(b)(2)(i).</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010000"/>
        </w:rPr>
        <w:t xml:space="preserve">SECTION 2.18. </w:t>
      </w:r>
      <w:r>
        <w:rPr>
          <w:rFonts w:ascii="Times New Roman" w:cs="Times New Roman" w:eastAsia="Times New Roman" w:hAnsi="Times New Roman"/>
          <w:sz w:val="20"/>
          <w:szCs w:val="20"/>
          <w:u w:val="single" w:color="auto"/>
          <w:color w:val="000000"/>
        </w:rPr>
        <w:t>UK Tax</w:t>
      </w:r>
      <w:r>
        <w:rPr>
          <w:rFonts w:ascii="Times New Roman" w:cs="Times New Roman" w:eastAsia="Times New Roman" w:hAnsi="Times New Roman"/>
          <w:sz w:val="20"/>
          <w:szCs w:val="20"/>
          <w:color w:val="000000"/>
        </w:rPr>
        <w:t>.</w:t>
      </w:r>
    </w:p>
    <w:p>
      <w:pPr>
        <w:spacing w:after="0" w:line="270" w:lineRule="exact"/>
        <w:rPr>
          <w:sz w:val="20"/>
          <w:szCs w:val="20"/>
          <w:color w:val="auto"/>
        </w:rPr>
      </w:pPr>
    </w:p>
    <w:p>
      <w:pPr>
        <w:ind w:left="-640" w:right="239" w:firstLine="1292"/>
        <w:spacing w:after="0" w:line="269" w:lineRule="auto"/>
        <w:tabs>
          <w:tab w:leader="none" w:pos="1186"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a contrary indication appears, in this Section 2.18 a reference to “determines” or “determined” means a determination made in the absolute discretion of the person making the determination.</w:t>
      </w:r>
    </w:p>
    <w:p>
      <w:pPr>
        <w:spacing w:after="0" w:line="199" w:lineRule="exact"/>
        <w:rPr>
          <w:rFonts w:ascii="Times New Roman" w:cs="Times New Roman" w:eastAsia="Times New Roman" w:hAnsi="Times New Roman"/>
          <w:sz w:val="20"/>
          <w:szCs w:val="20"/>
          <w:color w:val="010000"/>
        </w:rPr>
      </w:pPr>
    </w:p>
    <w:p>
      <w:pPr>
        <w:ind w:left="-640" w:right="219" w:firstLine="1292"/>
        <w:spacing w:after="0" w:line="283" w:lineRule="auto"/>
        <w:tabs>
          <w:tab w:leader="none" w:pos="1184"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make all payments to be made by it under a Loan Document without any Tax Deduction, unless a Tax Deduction is required by law.</w:t>
      </w:r>
    </w:p>
    <w:p>
      <w:pPr>
        <w:spacing w:after="0" w:line="186" w:lineRule="exact"/>
        <w:rPr>
          <w:rFonts w:ascii="Times New Roman" w:cs="Times New Roman" w:eastAsia="Times New Roman" w:hAnsi="Times New Roman"/>
          <w:sz w:val="20"/>
          <w:szCs w:val="20"/>
          <w:color w:val="010000"/>
        </w:rPr>
      </w:pPr>
    </w:p>
    <w:p>
      <w:pPr>
        <w:jc w:val="both"/>
        <w:ind w:left="-640" w:right="239" w:firstLine="1292"/>
        <w:spacing w:after="0" w:line="258" w:lineRule="auto"/>
        <w:tabs>
          <w:tab w:leader="none" w:pos="1186"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promptly upon becoming aware that it must make a Tax Deduction (or that there is any change in the rate or the basis of a Tax Deduction) notify the Administrative Agent accordingly. Similarly, a Lender shall notify the Administrative Agent on becoming so aware in respect of a payment payable to that Lender. If the Administrative Agent receives such notification from a Lender it shall notify such Borrower.</w:t>
      </w:r>
    </w:p>
    <w:p>
      <w:pPr>
        <w:spacing w:after="0" w:line="212" w:lineRule="exact"/>
        <w:rPr>
          <w:rFonts w:ascii="Times New Roman" w:cs="Times New Roman" w:eastAsia="Times New Roman" w:hAnsi="Times New Roman"/>
          <w:sz w:val="20"/>
          <w:szCs w:val="20"/>
          <w:color w:val="010000"/>
        </w:rPr>
      </w:pPr>
    </w:p>
    <w:p>
      <w:pPr>
        <w:jc w:val="both"/>
        <w:ind w:left="-640" w:right="239" w:firstLine="1292"/>
        <w:spacing w:after="0" w:line="261" w:lineRule="auto"/>
        <w:tabs>
          <w:tab w:leader="none" w:pos="1184"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Tax Deduction is required by law to be made by a Borrower under any Loan Document, the amount of the payment due from that Borrower shall be increased to an amount which (after making any Tax Deduction) leaves an amount equal to the payment which would have been due if no Tax Deduction had been required.</w:t>
      </w:r>
    </w:p>
    <w:p>
      <w:pPr>
        <w:spacing w:after="0" w:line="208" w:lineRule="exact"/>
        <w:rPr>
          <w:rFonts w:ascii="Times New Roman" w:cs="Times New Roman" w:eastAsia="Times New Roman" w:hAnsi="Times New Roman"/>
          <w:sz w:val="20"/>
          <w:szCs w:val="20"/>
          <w:color w:val="010000"/>
        </w:rPr>
      </w:pPr>
    </w:p>
    <w:p>
      <w:pPr>
        <w:jc w:val="both"/>
        <w:ind w:left="-640" w:right="239" w:firstLine="1292"/>
        <w:spacing w:after="0" w:line="261" w:lineRule="auto"/>
        <w:tabs>
          <w:tab w:leader="none" w:pos="1186"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Borrower is not required to make an increased payment to a Lender under clause (d) above for a Tax Deduction in respect of tax imposed by the United Kingdom from a payment of interest on a Loan, if on the date on which the payment falls due:</w:t>
      </w:r>
    </w:p>
    <w:p>
      <w:pPr>
        <w:spacing w:after="0" w:line="221" w:lineRule="exact"/>
        <w:rPr>
          <w:rFonts w:ascii="Times New Roman" w:cs="Times New Roman" w:eastAsia="Times New Roman" w:hAnsi="Times New Roman"/>
          <w:sz w:val="20"/>
          <w:szCs w:val="20"/>
          <w:color w:val="010000"/>
        </w:rPr>
      </w:pPr>
    </w:p>
    <w:p>
      <w:pPr>
        <w:jc w:val="both"/>
        <w:ind w:right="239" w:firstLine="1299"/>
        <w:spacing w:after="0" w:line="253" w:lineRule="auto"/>
        <w:tabs>
          <w:tab w:leader="none" w:pos="1826"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could have been made to the relevant Lender without a Tax Deduction if such Lender was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concession of any relevant taxing authority; or</w:t>
      </w:r>
    </w:p>
    <w:p>
      <w:pPr>
        <w:spacing w:after="0" w:line="218" w:lineRule="exact"/>
        <w:rPr>
          <w:rFonts w:ascii="Times New Roman" w:cs="Times New Roman" w:eastAsia="Times New Roman" w:hAnsi="Times New Roman"/>
          <w:sz w:val="20"/>
          <w:szCs w:val="20"/>
          <w:color w:val="010000"/>
        </w:rPr>
      </w:pPr>
    </w:p>
    <w:p>
      <w:pPr>
        <w:ind w:right="259" w:firstLine="1299"/>
        <w:spacing w:after="0" w:line="283" w:lineRule="auto"/>
        <w:tabs>
          <w:tab w:leader="none" w:pos="1829"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relevant Lender is a Qualifying Lender solely under sub-paragraph (i)(b) of the definition of Qualifying Lender and:</w:t>
      </w:r>
    </w:p>
    <w:p>
      <w:pPr>
        <w:spacing w:after="0" w:line="186" w:lineRule="exact"/>
        <w:rPr>
          <w:rFonts w:ascii="Times New Roman" w:cs="Times New Roman" w:eastAsia="Times New Roman" w:hAnsi="Times New Roman"/>
          <w:sz w:val="20"/>
          <w:szCs w:val="20"/>
          <w:color w:val="010000"/>
        </w:rPr>
      </w:pPr>
    </w:p>
    <w:p>
      <w:pPr>
        <w:jc w:val="both"/>
        <w:ind w:left="660" w:right="259" w:firstLine="1287"/>
        <w:spacing w:after="0" w:line="261" w:lineRule="auto"/>
        <w:tabs>
          <w:tab w:leader="none" w:pos="2496" w:val="left"/>
        </w:tabs>
        <w:numPr>
          <w:ilvl w:val="2"/>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officer of H.M. Revenue &amp; Customs has given (and not revoked) a direction (a “</w:t>
      </w:r>
      <w:r>
        <w:rPr>
          <w:rFonts w:ascii="Times New Roman" w:cs="Times New Roman" w:eastAsia="Times New Roman" w:hAnsi="Times New Roman"/>
          <w:sz w:val="20"/>
          <w:szCs w:val="20"/>
          <w:u w:val="single" w:color="auto"/>
          <w:color w:val="auto"/>
        </w:rPr>
        <w:t>Direction</w:t>
      </w:r>
      <w:r>
        <w:rPr>
          <w:rFonts w:ascii="Times New Roman" w:cs="Times New Roman" w:eastAsia="Times New Roman" w:hAnsi="Times New Roman"/>
          <w:sz w:val="20"/>
          <w:szCs w:val="20"/>
          <w:color w:val="auto"/>
        </w:rPr>
        <w:t>”) under section 931 of the ITA which relates to that payment and that Lender has received from the Borrower making the payment a certified copy of that Direction; and</w:t>
      </w:r>
    </w:p>
    <w:p>
      <w:pPr>
        <w:spacing w:after="0" w:line="221" w:lineRule="exact"/>
        <w:rPr>
          <w:rFonts w:ascii="Times New Roman" w:cs="Times New Roman" w:eastAsia="Times New Roman" w:hAnsi="Times New Roman"/>
          <w:sz w:val="20"/>
          <w:szCs w:val="20"/>
          <w:color w:val="010000"/>
        </w:rPr>
      </w:pPr>
    </w:p>
    <w:p>
      <w:pPr>
        <w:ind w:left="660" w:right="239" w:firstLine="1287"/>
        <w:spacing w:after="0" w:line="269" w:lineRule="auto"/>
        <w:tabs>
          <w:tab w:leader="none" w:pos="2496" w:val="left"/>
        </w:tabs>
        <w:numPr>
          <w:ilvl w:val="2"/>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could have been made to the Lender without any Tax Deduction in the absence of that Direction; or</w:t>
      </w:r>
    </w:p>
    <w:p>
      <w:pPr>
        <w:spacing w:after="0" w:line="213" w:lineRule="exact"/>
        <w:rPr>
          <w:rFonts w:ascii="Times New Roman" w:cs="Times New Roman" w:eastAsia="Times New Roman" w:hAnsi="Times New Roman"/>
          <w:sz w:val="20"/>
          <w:szCs w:val="20"/>
          <w:color w:val="010000"/>
        </w:rPr>
      </w:pPr>
    </w:p>
    <w:p>
      <w:pPr>
        <w:jc w:val="both"/>
        <w:ind w:right="239" w:firstLine="1299"/>
        <w:spacing w:after="0" w:line="261" w:lineRule="auto"/>
        <w:tabs>
          <w:tab w:leader="none" w:pos="1830"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relevant Lender is a Treaty Lender and the Borrower making the payment is able to demonstrate that the payment could have been made to the Lender without the Tax Deduction had that Lender complied with its obligations under clause (h) below.</w:t>
      </w:r>
    </w:p>
    <w:p>
      <w:pPr>
        <w:spacing w:after="0" w:line="208" w:lineRule="exact"/>
        <w:rPr>
          <w:rFonts w:ascii="Times New Roman" w:cs="Times New Roman" w:eastAsia="Times New Roman" w:hAnsi="Times New Roman"/>
          <w:sz w:val="20"/>
          <w:szCs w:val="20"/>
          <w:color w:val="010000"/>
        </w:rPr>
      </w:pPr>
    </w:p>
    <w:p>
      <w:pPr>
        <w:ind w:right="239" w:firstLine="1299"/>
        <w:spacing w:after="0" w:line="283" w:lineRule="auto"/>
        <w:tabs>
          <w:tab w:leader="none" w:pos="1827"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relevant Lender is a Qualifying Lender solely by virtue of sub-paragraph (i)(b) of the definition of Qualifying Lender 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9379"/>
          </w:cols>
          <w:pgMar w:left="1080" w:top="1413" w:right="1440" w:bottom="1440" w:gutter="0" w:footer="0" w:header="0"/>
        </w:sectPr>
      </w:pPr>
    </w:p>
    <w:bookmarkStart w:id="110" w:name="page111"/>
    <w:bookmarkEnd w:id="110"/>
    <w:p>
      <w:pPr>
        <w:ind w:left="2240" w:hanging="652"/>
        <w:spacing w:after="0"/>
        <w:tabs>
          <w:tab w:leader="none" w:pos="2240"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relevant Lender has not given a Tax Confirmation to the</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Borrower; and</w:t>
      </w:r>
    </w:p>
    <w:p>
      <w:pPr>
        <w:spacing w:after="0" w:line="308" w:lineRule="exact"/>
        <w:rPr>
          <w:sz w:val="20"/>
          <w:szCs w:val="20"/>
          <w:color w:val="auto"/>
        </w:rPr>
      </w:pPr>
    </w:p>
    <w:p>
      <w:pPr>
        <w:jc w:val="both"/>
        <w:ind w:left="300" w:right="239" w:firstLine="1287"/>
        <w:spacing w:after="0" w:line="258" w:lineRule="auto"/>
        <w:tabs>
          <w:tab w:leader="none" w:pos="2136"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could have been made to the Lender without any Tax Deduction if the Lender had given a Tax Confirmation to the Borrower, on the basis that the Tax Confirmation would have enabled the Borrower to have formed a reasonable belief that the payment was an “excepted payment” for the purpose of section 930 of the ITA.</w:t>
      </w:r>
    </w:p>
    <w:p>
      <w:pPr>
        <w:spacing w:after="0" w:line="212" w:lineRule="exact"/>
        <w:rPr>
          <w:rFonts w:ascii="Times New Roman" w:cs="Times New Roman" w:eastAsia="Times New Roman" w:hAnsi="Times New Roman"/>
          <w:sz w:val="20"/>
          <w:szCs w:val="20"/>
          <w:color w:val="010000"/>
        </w:rPr>
      </w:pPr>
    </w:p>
    <w:p>
      <w:pPr>
        <w:jc w:val="both"/>
        <w:ind w:left="-1000" w:right="219" w:firstLine="1291"/>
        <w:spacing w:after="0" w:line="261" w:lineRule="auto"/>
        <w:tabs>
          <w:tab w:leader="none" w:pos="831"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Borrower is required to make a Tax Deduction, that Borrower shall make that Tax Deduction and any payment required in connection with that Tax Deduction within the time allowed and in the minimum amount required by law.</w:t>
      </w:r>
    </w:p>
    <w:p>
      <w:pPr>
        <w:spacing w:after="0" w:line="208" w:lineRule="exact"/>
        <w:rPr>
          <w:rFonts w:ascii="Times New Roman" w:cs="Times New Roman" w:eastAsia="Times New Roman" w:hAnsi="Times New Roman"/>
          <w:sz w:val="20"/>
          <w:szCs w:val="20"/>
          <w:color w:val="010000"/>
        </w:rPr>
      </w:pPr>
    </w:p>
    <w:p>
      <w:pPr>
        <w:jc w:val="both"/>
        <w:ind w:left="-1000" w:right="239" w:firstLine="1291"/>
        <w:spacing w:after="0" w:line="258" w:lineRule="auto"/>
        <w:tabs>
          <w:tab w:leader="none" w:pos="823"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30 days of making either a Tax Deduction or any payment required in connection with that Tax Deduction, the Borrower making that Tax Deduction shall deliver to the Administrative Agent for the Lender entitled to the payment a statement under section 975 of the ITA or other evidence reasonably satisfactory to the Lender that the Tax Deduction has been made or (as applicable) any appropriate payment paid to the relevant taxing authority.</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010000"/>
        </w:rPr>
        <w:t>(h)</w:t>
      </w:r>
    </w:p>
    <w:p>
      <w:pPr>
        <w:spacing w:after="0" w:line="256" w:lineRule="exact"/>
        <w:rPr>
          <w:sz w:val="20"/>
          <w:szCs w:val="20"/>
          <w:color w:val="auto"/>
        </w:rPr>
      </w:pPr>
    </w:p>
    <w:p>
      <w:pPr>
        <w:jc w:val="both"/>
        <w:ind w:left="-360" w:right="259" w:firstLine="1299"/>
        <w:spacing w:after="0" w:line="268" w:lineRule="auto"/>
        <w:tabs>
          <w:tab w:leader="none" w:pos="1467" w:val="left"/>
        </w:tabs>
        <w:numPr>
          <w:ilvl w:val="1"/>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Treaty Lender and each Borrower which makes a payment to which that Treaty Lender is entitled shall co-operate in completing any procedural formalities necessary for that Borrower to obtain authorization to make that payment without a Tax Deduction.</w:t>
      </w:r>
    </w:p>
    <w:p>
      <w:pPr>
        <w:spacing w:after="0" w:line="201" w:lineRule="exact"/>
        <w:rPr>
          <w:rFonts w:ascii="Times New Roman" w:cs="Times New Roman" w:eastAsia="Times New Roman" w:hAnsi="Times New Roman"/>
          <w:sz w:val="20"/>
          <w:szCs w:val="20"/>
          <w:color w:val="010000"/>
        </w:rPr>
      </w:pPr>
    </w:p>
    <w:p>
      <w:pPr>
        <w:ind w:left="1580" w:hanging="642"/>
        <w:spacing w:after="0"/>
        <w:tabs>
          <w:tab w:leader="none" w:pos="1580" w:val="left"/>
        </w:tabs>
        <w:numPr>
          <w:ilvl w:val="1"/>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paragraph (A) above shall require a Treaty Lender to:</w:t>
      </w:r>
    </w:p>
    <w:p>
      <w:pPr>
        <w:spacing w:after="0" w:line="256" w:lineRule="exact"/>
        <w:rPr>
          <w:rFonts w:ascii="Times New Roman" w:cs="Times New Roman" w:eastAsia="Times New Roman" w:hAnsi="Times New Roman"/>
          <w:sz w:val="20"/>
          <w:szCs w:val="20"/>
          <w:color w:val="010000"/>
        </w:rPr>
      </w:pPr>
    </w:p>
    <w:p>
      <w:pPr>
        <w:ind w:left="2220" w:hanging="634"/>
        <w:spacing w:after="0"/>
        <w:tabs>
          <w:tab w:leader="none" w:pos="2220" w:val="left"/>
        </w:tabs>
        <w:numPr>
          <w:ilvl w:val="2"/>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register under the HMRC DT Treaty Passport scheme;</w:t>
      </w:r>
    </w:p>
    <w:p>
      <w:pPr>
        <w:spacing w:after="0" w:line="256" w:lineRule="exact"/>
        <w:rPr>
          <w:rFonts w:ascii="Times New Roman" w:cs="Times New Roman" w:eastAsia="Times New Roman" w:hAnsi="Times New Roman"/>
          <w:sz w:val="20"/>
          <w:szCs w:val="20"/>
          <w:color w:val="010000"/>
        </w:rPr>
      </w:pPr>
    </w:p>
    <w:p>
      <w:pPr>
        <w:ind w:left="2120" w:hanging="533"/>
        <w:spacing w:after="0"/>
        <w:tabs>
          <w:tab w:leader="none" w:pos="2120" w:val="left"/>
        </w:tabs>
        <w:numPr>
          <w:ilvl w:val="2"/>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apply the HMRC DT Treaty Passport scheme to any Loan if it has so registered; or</w:t>
      </w:r>
    </w:p>
    <w:p>
      <w:pPr>
        <w:spacing w:after="0" w:line="269" w:lineRule="exact"/>
        <w:rPr>
          <w:rFonts w:ascii="Times New Roman" w:cs="Times New Roman" w:eastAsia="Times New Roman" w:hAnsi="Times New Roman"/>
          <w:sz w:val="20"/>
          <w:szCs w:val="20"/>
          <w:color w:val="010000"/>
        </w:rPr>
      </w:pPr>
    </w:p>
    <w:p>
      <w:pPr>
        <w:jc w:val="both"/>
        <w:ind w:left="300" w:right="239" w:firstLine="1287"/>
        <w:spacing w:after="0" w:line="261" w:lineRule="auto"/>
        <w:tabs>
          <w:tab w:leader="none" w:pos="2125" w:val="left"/>
        </w:tabs>
        <w:numPr>
          <w:ilvl w:val="2"/>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file Treaty forms if it has included an indication to the effect that it wishes the HMRC DT Treaty Passport scheme to apply to this Agreement in accordance with clause (i) below and the Borrower making that payment has not complied with its obligations under clause (j) below.</w:t>
      </w:r>
    </w:p>
    <w:p>
      <w:pPr>
        <w:spacing w:after="0" w:line="208" w:lineRule="exact"/>
        <w:rPr>
          <w:rFonts w:ascii="Times New Roman" w:cs="Times New Roman" w:eastAsia="Times New Roman" w:hAnsi="Times New Roman"/>
          <w:sz w:val="20"/>
          <w:szCs w:val="20"/>
          <w:color w:val="010000"/>
        </w:rPr>
      </w:pPr>
    </w:p>
    <w:p>
      <w:pPr>
        <w:jc w:val="both"/>
        <w:ind w:left="-1000" w:right="239" w:firstLine="1291"/>
        <w:spacing w:after="0" w:line="253" w:lineRule="auto"/>
        <w:tabs>
          <w:tab w:leader="none" w:pos="834"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Treaty Lender which holds a passport under the HMRC DT Treaty Passport scheme, and which wishes that scheme to apply to this Agreement, shall provide an indication to that effect to the relevant Borrower by confirming its scheme reference number and its jurisdiction of tax residence on its signature page to this Agreement (and, in the case of a Treaty Lender that becomes a party to this Agreement on the Restatement Effective Date, it may provide such notification by including such details on its signature page to this Agreement) and, having done so, that Treaty Lender shall be under no obligation pursuant to clause (h) above.</w:t>
      </w:r>
    </w:p>
    <w:p>
      <w:pPr>
        <w:spacing w:after="0" w:line="219" w:lineRule="exact"/>
        <w:rPr>
          <w:rFonts w:ascii="Times New Roman" w:cs="Times New Roman" w:eastAsia="Times New Roman" w:hAnsi="Times New Roman"/>
          <w:sz w:val="20"/>
          <w:szCs w:val="20"/>
          <w:color w:val="010000"/>
        </w:rPr>
      </w:pPr>
    </w:p>
    <w:p>
      <w:pPr>
        <w:jc w:val="both"/>
        <w:ind w:left="-1000" w:right="239" w:firstLine="1290"/>
        <w:spacing w:after="0" w:line="258" w:lineRule="auto"/>
        <w:tabs>
          <w:tab w:leader="none" w:pos="833"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 a Lender includes the indication described in clause (i) above the relevant Borrower shall file a duly completed form DTTP2 in respect of such Lender with HM Revenue &amp; Customs, within 30 days of the date such Lender becomes a Lender under this Agreement, or within 30 days of the date such Borrower becomes a Borrower under this Agreement (as the case may be), and shall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9019"/>
          </w:cols>
          <w:pgMar w:left="1440" w:top="14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20"/>
          <w:szCs w:val="20"/>
          <w:color w:val="auto"/>
        </w:rPr>
        <w:t>promptly provide the Lender with a copy of that filing. Where a Borrower making a payment to that Lender has made a</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Borrower DTTP Filing in respect of that Lender but:</w:t>
      </w:r>
    </w:p>
    <w:p>
      <w:pPr>
        <w:spacing w:after="0" w:line="241" w:lineRule="exact"/>
        <w:rPr>
          <w:sz w:val="20"/>
          <w:szCs w:val="20"/>
          <w:color w:val="auto"/>
        </w:rPr>
      </w:pPr>
    </w:p>
    <w:p>
      <w:pPr>
        <w:ind w:left="2540" w:hanging="540"/>
        <w:spacing w:after="0"/>
        <w:tabs>
          <w:tab w:leader="none" w:pos="2540"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that Borrower DTTP Filing has been rejected by HM Revenue &amp; Customs;</w:t>
      </w:r>
    </w:p>
    <w:p>
      <w:pPr>
        <w:spacing w:after="0" w:line="256" w:lineRule="exact"/>
        <w:rPr>
          <w:rFonts w:ascii="Times New Roman" w:cs="Times New Roman" w:eastAsia="Times New Roman" w:hAnsi="Times New Roman"/>
          <w:sz w:val="20"/>
          <w:szCs w:val="20"/>
          <w:color w:val="010000"/>
        </w:rPr>
      </w:pPr>
    </w:p>
    <w:p>
      <w:pPr>
        <w:ind w:left="1360" w:right="199" w:firstLine="640"/>
        <w:spacing w:after="0" w:line="283" w:lineRule="auto"/>
        <w:tabs>
          <w:tab w:leader="none" w:pos="2542"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HM Revenue &amp; Customs has not given the Borrower authority to make payments to that Lender without a Tax Deduction within 60 days of the date of the Borrower DTTP Filing; or</w:t>
      </w:r>
    </w:p>
    <w:p>
      <w:pPr>
        <w:spacing w:after="0" w:line="186" w:lineRule="exact"/>
        <w:rPr>
          <w:rFonts w:ascii="Times New Roman" w:cs="Times New Roman" w:eastAsia="Times New Roman" w:hAnsi="Times New Roman"/>
          <w:sz w:val="20"/>
          <w:szCs w:val="20"/>
          <w:color w:val="010000"/>
        </w:rPr>
      </w:pPr>
    </w:p>
    <w:p>
      <w:pPr>
        <w:ind w:left="1360" w:right="259" w:firstLine="640"/>
        <w:spacing w:after="0" w:line="283" w:lineRule="auto"/>
        <w:tabs>
          <w:tab w:leader="none" w:pos="2542"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HM Revenue &amp; Customs has given the Borrower authority to make payments to that Lender without a Tax Deduction but such authority has subsequently been revoked or expired,</w:t>
      </w:r>
    </w:p>
    <w:p>
      <w:pPr>
        <w:spacing w:after="0" w:line="187"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20"/>
          <w:szCs w:val="20"/>
          <w:color w:val="auto"/>
        </w:rPr>
        <w:t>and in each case, the Borrower has notified that Lender in writing, that Lender and the Borrower shall co-operate in completing any additional procedural formalities necessary for that Borrower to obtain authorisation to make that payment without a Tax Deduction.</w:t>
      </w:r>
    </w:p>
    <w:p>
      <w:pPr>
        <w:spacing w:after="0" w:line="208" w:lineRule="exact"/>
        <w:rPr>
          <w:sz w:val="20"/>
          <w:szCs w:val="20"/>
          <w:color w:val="auto"/>
        </w:rPr>
      </w:pPr>
    </w:p>
    <w:p>
      <w:pPr>
        <w:jc w:val="both"/>
        <w:ind w:left="60" w:right="259" w:firstLine="1291"/>
        <w:spacing w:after="0" w:line="268" w:lineRule="auto"/>
        <w:tabs>
          <w:tab w:leader="none" w:pos="1883"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(within 3 Business Days of demand by the Administrative Agent) pay to a Protected Party an amount equal to the loss, liability or cost which that Protected Party determines will be or has been (directly or indirectly) suffered for or on account of UK Tax by that Protected Party in respect of any Loan Document.</w:t>
      </w:r>
    </w:p>
    <w:p>
      <w:pPr>
        <w:sectPr>
          <w:pgSz w:w="11900" w:h="16838" w:orient="portrait"/>
          <w:cols w:equalWidth="0" w:num="1">
            <w:col w:w="10079"/>
          </w:cols>
          <w:pgMar w:left="380" w:top="1413" w:right="1440" w:bottom="1440" w:gutter="0" w:footer="0" w:header="0"/>
        </w:sect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10000"/>
        </w:rPr>
        <w:t>(l)</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Clause (k) above shall not apply with respect to any UK Tax assessed on a</w:t>
      </w:r>
    </w:p>
    <w:p>
      <w:pPr>
        <w:spacing w:after="0" w:line="4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Protected Party:</w:t>
      </w:r>
    </w:p>
    <w:p>
      <w:pPr>
        <w:spacing w:after="0" w:line="200" w:lineRule="exact"/>
        <w:rPr>
          <w:sz w:val="20"/>
          <w:szCs w:val="20"/>
          <w:color w:val="auto"/>
        </w:rPr>
      </w:pPr>
    </w:p>
    <w:p>
      <w:pPr>
        <w:sectPr>
          <w:pgSz w:w="11900" w:h="16838" w:orient="portrait"/>
          <w:cols w:equalWidth="0" w:num="2">
            <w:col w:w="1260" w:space="720"/>
            <w:col w:w="8099"/>
          </w:cols>
          <w:pgMar w:left="380" w:top="1413" w:right="1440" w:bottom="1440" w:gutter="0" w:footer="0" w:header="0"/>
          <w:type w:val="continuous"/>
        </w:sectPr>
      </w:pPr>
    </w:p>
    <w:p>
      <w:pPr>
        <w:spacing w:after="0" w:line="122" w:lineRule="exact"/>
        <w:rPr>
          <w:sz w:val="20"/>
          <w:szCs w:val="20"/>
          <w:color w:val="auto"/>
        </w:rPr>
      </w:pPr>
    </w:p>
    <w:p>
      <w:pPr>
        <w:ind w:left="700" w:right="239" w:firstLine="1300"/>
        <w:spacing w:after="0" w:line="269" w:lineRule="auto"/>
        <w:tabs>
          <w:tab w:leader="none" w:pos="2527"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under the law of the jurisdiction in which that Protected Party is incorporated or, if different, the jurisdiction (or jurisdictions) in which that Protected Party is treated as resident for tax purposes; or</w:t>
      </w:r>
    </w:p>
    <w:p>
      <w:pPr>
        <w:spacing w:after="0" w:line="199" w:lineRule="exact"/>
        <w:rPr>
          <w:rFonts w:ascii="Times New Roman" w:cs="Times New Roman" w:eastAsia="Times New Roman" w:hAnsi="Times New Roman"/>
          <w:sz w:val="20"/>
          <w:szCs w:val="20"/>
          <w:color w:val="010000"/>
        </w:rPr>
      </w:pPr>
    </w:p>
    <w:p>
      <w:pPr>
        <w:jc w:val="both"/>
        <w:ind w:left="700" w:right="259" w:firstLine="1300"/>
        <w:spacing w:after="0" w:line="268" w:lineRule="auto"/>
        <w:tabs>
          <w:tab w:leader="none" w:pos="253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under the law of the jurisdiction in which that Protected Party’s facility office or permanent establishment is located in respect of amounts received or receivable in that jurisdiction or attributable to such permanent establishment (as applicable),</w:t>
      </w:r>
    </w:p>
    <w:p>
      <w:pPr>
        <w:spacing w:after="0" w:line="202" w:lineRule="exact"/>
        <w:rPr>
          <w:sz w:val="20"/>
          <w:szCs w:val="20"/>
          <w:color w:val="auto"/>
        </w:rPr>
      </w:pPr>
    </w:p>
    <w:p>
      <w:pPr>
        <w:ind w:left="60" w:right="359"/>
        <w:spacing w:after="0" w:line="269" w:lineRule="auto"/>
        <w:rPr>
          <w:sz w:val="20"/>
          <w:szCs w:val="20"/>
          <w:color w:val="auto"/>
        </w:rPr>
      </w:pPr>
      <w:r>
        <w:rPr>
          <w:rFonts w:ascii="Times New Roman" w:cs="Times New Roman" w:eastAsia="Times New Roman" w:hAnsi="Times New Roman"/>
          <w:sz w:val="20"/>
          <w:szCs w:val="20"/>
          <w:color w:val="auto"/>
        </w:rPr>
        <w:t>if that UK Tax is imposed on or calculated by reference to the net income received or receivable (but not any sum deemed to be received or receivable) by that Protected Party.</w:t>
      </w:r>
    </w:p>
    <w:p>
      <w:pPr>
        <w:spacing w:after="0" w:line="281" w:lineRule="exact"/>
        <w:rPr>
          <w:sz w:val="20"/>
          <w:szCs w:val="20"/>
          <w:color w:val="auto"/>
        </w:rPr>
      </w:pPr>
    </w:p>
    <w:p>
      <w:pPr>
        <w:ind w:left="1980" w:hanging="628"/>
        <w:spacing w:after="0"/>
        <w:tabs>
          <w:tab w:leader="none" w:pos="1980"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Furthermore, clause (k) above shall not apply to the extent a loss, liability or</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cost:</w:t>
      </w:r>
    </w:p>
    <w:p>
      <w:pPr>
        <w:spacing w:after="0" w:line="308" w:lineRule="exact"/>
        <w:rPr>
          <w:sz w:val="20"/>
          <w:szCs w:val="20"/>
          <w:color w:val="auto"/>
        </w:rPr>
      </w:pPr>
    </w:p>
    <w:p>
      <w:pPr>
        <w:ind w:left="2640" w:hanging="641"/>
        <w:spacing w:after="0"/>
        <w:tabs>
          <w:tab w:leader="none" w:pos="264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compensated for by an increased payment under clause (d) above; or</w:t>
      </w:r>
    </w:p>
    <w:p>
      <w:pPr>
        <w:spacing w:after="0" w:line="270" w:lineRule="exact"/>
        <w:rPr>
          <w:sz w:val="20"/>
          <w:szCs w:val="20"/>
          <w:color w:val="auto"/>
        </w:rPr>
      </w:pPr>
    </w:p>
    <w:p>
      <w:pPr>
        <w:ind w:left="1380"/>
        <w:spacing w:after="0"/>
        <w:tabs>
          <w:tab w:leader="none" w:pos="4060" w:val="left"/>
        </w:tabs>
        <w:rPr>
          <w:sz w:val="20"/>
          <w:szCs w:val="20"/>
          <w:color w:val="auto"/>
        </w:rPr>
      </w:pPr>
      <w:r>
        <w:rPr>
          <w:rFonts w:ascii="Times New Roman" w:cs="Times New Roman" w:eastAsia="Times New Roman" w:hAnsi="Times New Roman"/>
          <w:sz w:val="19"/>
          <w:szCs w:val="19"/>
          <w:color w:val="010000"/>
        </w:rPr>
        <w:t>(B)</w:t>
      </w:r>
      <w:r>
        <w:rPr>
          <w:sz w:val="20"/>
          <w:szCs w:val="20"/>
          <w:color w:val="auto"/>
        </w:rPr>
        <w:tab/>
      </w:r>
      <w:r>
        <w:rPr>
          <w:rFonts w:ascii="Times New Roman" w:cs="Times New Roman" w:eastAsia="Times New Roman" w:hAnsi="Times New Roman"/>
          <w:sz w:val="19"/>
          <w:szCs w:val="19"/>
          <w:color w:val="auto"/>
        </w:rPr>
        <w:t>would have been compensated for by an increased payment under clause</w:t>
      </w:r>
    </w:p>
    <w:p>
      <w:pPr>
        <w:spacing w:after="0" w:line="33" w:lineRule="exact"/>
        <w:rPr>
          <w:sz w:val="20"/>
          <w:szCs w:val="20"/>
          <w:color w:val="auto"/>
        </w:rPr>
      </w:pPr>
    </w:p>
    <w:p>
      <w:pPr>
        <w:ind w:left="2400" w:hanging="1029"/>
        <w:spacing w:after="0"/>
        <w:tabs>
          <w:tab w:leader="none" w:pos="240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but was not so compensated solely because one of the exclusions in clause (e) applied.</w:t>
      </w:r>
    </w:p>
    <w:p>
      <w:pPr>
        <w:spacing w:after="0" w:line="259" w:lineRule="exact"/>
        <w:rPr>
          <w:rFonts w:ascii="Times New Roman" w:cs="Times New Roman" w:eastAsia="Times New Roman" w:hAnsi="Times New Roman"/>
          <w:sz w:val="19"/>
          <w:szCs w:val="19"/>
          <w:color w:val="auto"/>
        </w:rPr>
      </w:pPr>
    </w:p>
    <w:p>
      <w:pPr>
        <w:jc w:val="both"/>
        <w:ind w:left="60" w:right="239" w:firstLine="1292"/>
        <w:spacing w:after="0" w:line="261" w:lineRule="auto"/>
        <w:tabs>
          <w:tab w:leader="none" w:pos="1884" w:val="left"/>
        </w:tabs>
        <w:numPr>
          <w:ilvl w:val="0"/>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Protected Party making, or intending to make a claim under clause (k) above shall promptly notify the Agent of the event which will give, or has given, rise to the claim, following which the Administrative Agent shall notify the Borrower.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0079"/>
          </w:cols>
          <w:pgMar w:left="380" w:top="1413" w:right="1440" w:bottom="1440" w:gutter="0" w:footer="0" w:header="0"/>
          <w:type w:val="continuous"/>
        </w:sectPr>
      </w:pPr>
    </w:p>
    <w:bookmarkStart w:id="112" w:name="page113"/>
    <w:bookmarkEnd w:id="112"/>
    <w:p>
      <w:pPr>
        <w:ind w:left="1926" w:hanging="628"/>
        <w:spacing w:after="0"/>
        <w:tabs>
          <w:tab w:leader="none" w:pos="1926"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Protected Party shall, on receiving a payment from a Borrower under clause</w:t>
      </w:r>
    </w:p>
    <w:p>
      <w:pPr>
        <w:spacing w:after="0" w:line="28" w:lineRule="exact"/>
        <w:rPr>
          <w:rFonts w:ascii="Times New Roman" w:cs="Times New Roman" w:eastAsia="Times New Roman" w:hAnsi="Times New Roman"/>
          <w:sz w:val="20"/>
          <w:szCs w:val="20"/>
          <w:color w:val="010000"/>
        </w:rPr>
      </w:pPr>
    </w:p>
    <w:p>
      <w:pPr>
        <w:ind w:left="266" w:hanging="266"/>
        <w:spacing w:after="0"/>
        <w:tabs>
          <w:tab w:leader="none" w:pos="26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notify the Administrative Agent.</w:t>
      </w:r>
    </w:p>
    <w:p>
      <w:pPr>
        <w:spacing w:after="0" w:line="240" w:lineRule="exact"/>
        <w:rPr>
          <w:rFonts w:ascii="Times New Roman" w:cs="Times New Roman" w:eastAsia="Times New Roman" w:hAnsi="Times New Roman"/>
          <w:sz w:val="20"/>
          <w:szCs w:val="20"/>
          <w:color w:val="auto"/>
        </w:rPr>
      </w:pPr>
    </w:p>
    <w:p>
      <w:pPr>
        <w:ind w:left="1926" w:hanging="628"/>
        <w:spacing w:after="0"/>
        <w:tabs>
          <w:tab w:leader="none" w:pos="1926" w:val="left"/>
        </w:tabs>
        <w:numPr>
          <w:ilvl w:val="1"/>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Borrower makes a Tax Payment and the relevant Lender determines that:</w:t>
      </w:r>
    </w:p>
    <w:p>
      <w:pPr>
        <w:spacing w:after="0" w:line="256" w:lineRule="exact"/>
        <w:rPr>
          <w:rFonts w:ascii="Times New Roman" w:cs="Times New Roman" w:eastAsia="Times New Roman" w:hAnsi="Times New Roman"/>
          <w:sz w:val="20"/>
          <w:szCs w:val="20"/>
          <w:color w:val="010000"/>
        </w:rPr>
      </w:pPr>
    </w:p>
    <w:p>
      <w:pPr>
        <w:ind w:left="646" w:right="279" w:firstLine="1299"/>
        <w:spacing w:after="0" w:line="283" w:lineRule="auto"/>
        <w:tabs>
          <w:tab w:leader="none" w:pos="2473" w:val="left"/>
        </w:tabs>
        <w:numPr>
          <w:ilvl w:val="2"/>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Tax Credit is attributable either to an increased payment of which that Tax Payment forms part or to that Tax Payment; and</w:t>
      </w:r>
    </w:p>
    <w:p>
      <w:pPr>
        <w:spacing w:after="0" w:line="186" w:lineRule="exact"/>
        <w:rPr>
          <w:rFonts w:ascii="Times New Roman" w:cs="Times New Roman" w:eastAsia="Times New Roman" w:hAnsi="Times New Roman"/>
          <w:sz w:val="20"/>
          <w:szCs w:val="20"/>
          <w:color w:val="010000"/>
        </w:rPr>
      </w:pPr>
    </w:p>
    <w:p>
      <w:pPr>
        <w:ind w:left="2586" w:hanging="640"/>
        <w:spacing w:after="0"/>
        <w:tabs>
          <w:tab w:leader="none" w:pos="2586" w:val="left"/>
        </w:tabs>
        <w:numPr>
          <w:ilvl w:val="2"/>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that Lender has obtained, utilized and retained that Tax Credit,</w:t>
      </w:r>
    </w:p>
    <w:p>
      <w:pPr>
        <w:spacing w:after="0" w:line="256" w:lineRule="exact"/>
        <w:rPr>
          <w:sz w:val="20"/>
          <w:szCs w:val="20"/>
          <w:color w:val="auto"/>
        </w:rPr>
      </w:pPr>
    </w:p>
    <w:p>
      <w:pPr>
        <w:ind w:left="6" w:right="239"/>
        <w:spacing w:after="0" w:line="283" w:lineRule="auto"/>
        <w:rPr>
          <w:sz w:val="20"/>
          <w:szCs w:val="20"/>
          <w:color w:val="auto"/>
        </w:rPr>
      </w:pPr>
      <w:r>
        <w:rPr>
          <w:rFonts w:ascii="Times New Roman" w:cs="Times New Roman" w:eastAsia="Times New Roman" w:hAnsi="Times New Roman"/>
          <w:sz w:val="20"/>
          <w:szCs w:val="20"/>
          <w:color w:val="auto"/>
        </w:rPr>
        <w:t>the relevant Lender shall pay an amount to the Borrower which that Lender determines will leave it (after that payment) in the same after-tax position as it would have been in had the Tax Payment not been made by such Borrower.</w:t>
      </w:r>
    </w:p>
    <w:p>
      <w:pPr>
        <w:spacing w:after="0" w:line="187" w:lineRule="exact"/>
        <w:rPr>
          <w:sz w:val="20"/>
          <w:szCs w:val="20"/>
          <w:color w:val="auto"/>
        </w:rPr>
      </w:pPr>
    </w:p>
    <w:p>
      <w:pPr>
        <w:ind w:left="6" w:right="239" w:firstLine="1291"/>
        <w:spacing w:after="0" w:line="283" w:lineRule="auto"/>
        <w:tabs>
          <w:tab w:leader="none" w:pos="1829"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UK Non-Bank Lender shall promptly notify the Borrower and the Administrative Agent if there is any change in the position from that set out in the Tax Confirmation.</w:t>
      </w:r>
    </w:p>
    <w:p>
      <w:pPr>
        <w:spacing w:after="0" w:line="186" w:lineRule="exact"/>
        <w:rPr>
          <w:rFonts w:ascii="Times New Roman" w:cs="Times New Roman" w:eastAsia="Times New Roman" w:hAnsi="Times New Roman"/>
          <w:sz w:val="20"/>
          <w:szCs w:val="20"/>
          <w:color w:val="010000"/>
        </w:rPr>
      </w:pPr>
    </w:p>
    <w:p>
      <w:pPr>
        <w:jc w:val="both"/>
        <w:ind w:left="6" w:right="199" w:firstLine="1291"/>
        <w:spacing w:after="0" w:line="261" w:lineRule="auto"/>
        <w:tabs>
          <w:tab w:leader="none" w:pos="1837"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indicate in the documentation which it executes on becoming a Party as a Lender and to the Administrative Agent (and the Administrative Agent, upon receipt of such indication, shall inform the Borrower), which of the following categories it falls in:</w:t>
      </w:r>
    </w:p>
    <w:p>
      <w:pPr>
        <w:spacing w:after="0" w:line="221" w:lineRule="exact"/>
        <w:rPr>
          <w:rFonts w:ascii="Times New Roman" w:cs="Times New Roman" w:eastAsia="Times New Roman" w:hAnsi="Times New Roman"/>
          <w:sz w:val="20"/>
          <w:szCs w:val="20"/>
          <w:color w:val="010000"/>
        </w:rPr>
      </w:pPr>
    </w:p>
    <w:p>
      <w:pPr>
        <w:ind w:left="2586" w:hanging="640"/>
        <w:spacing w:after="0"/>
        <w:tabs>
          <w:tab w:leader="none" w:pos="2586" w:val="left"/>
        </w:tabs>
        <w:numPr>
          <w:ilvl w:val="1"/>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 a Qualifying Lender;</w:t>
      </w:r>
    </w:p>
    <w:p>
      <w:pPr>
        <w:spacing w:after="0" w:line="256" w:lineRule="exact"/>
        <w:rPr>
          <w:rFonts w:ascii="Times New Roman" w:cs="Times New Roman" w:eastAsia="Times New Roman" w:hAnsi="Times New Roman"/>
          <w:sz w:val="20"/>
          <w:szCs w:val="20"/>
          <w:color w:val="010000"/>
        </w:rPr>
      </w:pPr>
    </w:p>
    <w:p>
      <w:pPr>
        <w:ind w:left="2586" w:hanging="640"/>
        <w:spacing w:after="0"/>
        <w:tabs>
          <w:tab w:leader="none" w:pos="2586" w:val="left"/>
        </w:tabs>
        <w:numPr>
          <w:ilvl w:val="1"/>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Qualifying Lender (other than a Treaty Lender); or</w:t>
      </w:r>
    </w:p>
    <w:p>
      <w:pPr>
        <w:spacing w:after="0" w:line="256" w:lineRule="exact"/>
        <w:rPr>
          <w:rFonts w:ascii="Times New Roman" w:cs="Times New Roman" w:eastAsia="Times New Roman" w:hAnsi="Times New Roman"/>
          <w:sz w:val="20"/>
          <w:szCs w:val="20"/>
          <w:color w:val="010000"/>
        </w:rPr>
      </w:pPr>
    </w:p>
    <w:p>
      <w:pPr>
        <w:ind w:left="2586" w:hanging="640"/>
        <w:spacing w:after="0"/>
        <w:tabs>
          <w:tab w:leader="none" w:pos="2586" w:val="left"/>
        </w:tabs>
        <w:numPr>
          <w:ilvl w:val="1"/>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Treaty Lender.</w:t>
      </w:r>
    </w:p>
    <w:p>
      <w:pPr>
        <w:spacing w:after="0" w:line="256" w:lineRule="exact"/>
        <w:rPr>
          <w:sz w:val="20"/>
          <w:szCs w:val="20"/>
          <w:color w:val="auto"/>
        </w:rPr>
      </w:pPr>
    </w:p>
    <w:p>
      <w:pPr>
        <w:jc w:val="both"/>
        <w:ind w:left="6" w:right="239"/>
        <w:spacing w:after="0" w:line="258" w:lineRule="auto"/>
        <w:rPr>
          <w:sz w:val="20"/>
          <w:szCs w:val="20"/>
          <w:color w:val="auto"/>
        </w:rPr>
      </w:pPr>
      <w:r>
        <w:rPr>
          <w:rFonts w:ascii="Times New Roman" w:cs="Times New Roman" w:eastAsia="Times New Roman" w:hAnsi="Times New Roman"/>
          <w:sz w:val="20"/>
          <w:szCs w:val="20"/>
          <w:color w:val="auto"/>
        </w:rPr>
        <w:t>If a Lender fails to indicate its status in accordance with this clause (r) then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Borrower).</w:t>
      </w:r>
    </w:p>
    <w:p>
      <w:pPr>
        <w:spacing w:after="0" w:line="213" w:lineRule="exact"/>
        <w:rPr>
          <w:sz w:val="20"/>
          <w:szCs w:val="20"/>
          <w:color w:val="auto"/>
        </w:rPr>
      </w:pPr>
    </w:p>
    <w:p>
      <w:pPr>
        <w:jc w:val="both"/>
        <w:ind w:left="6" w:right="239" w:firstLine="1291"/>
        <w:spacing w:after="0" w:line="253" w:lineRule="auto"/>
        <w:tabs>
          <w:tab w:leader="none" w:pos="1833"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pay and, within three (3) Business Days of demand, indemnify each Credit Party against any cost, loss or liability that Credit Party incurs in relation to all stamp duty, registration and other similar UK Taxes payable in respect of any Loan Document (excluding, for the avoidance of doubt, any such UK Tax arising in connection with an assignment or transfer by that Credit Party of its rights under any Loan Document otherwise than at the request of a Borrower).</w:t>
      </w:r>
    </w:p>
    <w:p>
      <w:pPr>
        <w:spacing w:after="0" w:line="218" w:lineRule="exact"/>
        <w:rPr>
          <w:rFonts w:ascii="Times New Roman" w:cs="Times New Roman" w:eastAsia="Times New Roman" w:hAnsi="Times New Roman"/>
          <w:sz w:val="20"/>
          <w:szCs w:val="20"/>
          <w:color w:val="010000"/>
        </w:rPr>
      </w:pPr>
    </w:p>
    <w:p>
      <w:pPr>
        <w:jc w:val="both"/>
        <w:ind w:left="6" w:right="239" w:firstLine="1292"/>
        <w:spacing w:after="0" w:line="251" w:lineRule="auto"/>
        <w:tabs>
          <w:tab w:leader="none" w:pos="1839"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set out, or expressed to be payable under a Loan Document by any party to a Credit Party which (in whole or part) constitute the consideration for a supply or supplies for VAT purposes shall be deemed to be exclusive of any VAT which is chargeable on such supply or supplies, and accordingly, subject to clause (u) below, if VAT is or becomes chargeable on any supply made by any Credit Party to any party under a Loan Document and such Credit Party is required to account to the relevant tax authority for the VAT, that party shall pay to the Credit Party (in addition to and at the same time as paying the consideration for such supply) an amount equal to the amount of such VAT (and such Credit Party shall promptly provide an appropriate VAT invoice to such party).</w:t>
      </w:r>
    </w:p>
    <w:p>
      <w:pPr>
        <w:spacing w:after="0" w:line="219" w:lineRule="exact"/>
        <w:rPr>
          <w:rFonts w:ascii="Times New Roman" w:cs="Times New Roman" w:eastAsia="Times New Roman" w:hAnsi="Times New Roman"/>
          <w:sz w:val="20"/>
          <w:szCs w:val="20"/>
          <w:color w:val="010000"/>
        </w:rPr>
      </w:pPr>
    </w:p>
    <w:p>
      <w:pPr>
        <w:jc w:val="both"/>
        <w:ind w:left="6" w:right="239" w:firstLine="1291"/>
        <w:spacing w:after="0" w:line="261" w:lineRule="auto"/>
        <w:tabs>
          <w:tab w:leader="none" w:pos="1829"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VAT is or becomes chargeable on any supply made by any Credit Party (the “</w:t>
      </w:r>
      <w:r>
        <w:rPr>
          <w:rFonts w:ascii="Times New Roman" w:cs="Times New Roman" w:eastAsia="Times New Roman" w:hAnsi="Times New Roman"/>
          <w:sz w:val="20"/>
          <w:szCs w:val="20"/>
          <w:u w:val="single" w:color="auto"/>
          <w:color w:val="auto"/>
        </w:rPr>
        <w:t>Supplier</w:t>
      </w:r>
      <w:r>
        <w:rPr>
          <w:rFonts w:ascii="Times New Roman" w:cs="Times New Roman" w:eastAsia="Times New Roman" w:hAnsi="Times New Roman"/>
          <w:sz w:val="20"/>
          <w:szCs w:val="20"/>
          <w:color w:val="auto"/>
        </w:rPr>
        <w:t>”) to any other Credit Party (the “</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under a Finance Document, and any party other than the Recipient (the “</w:t>
      </w:r>
      <w:r>
        <w:rPr>
          <w:rFonts w:ascii="Times New Roman" w:cs="Times New Roman" w:eastAsia="Times New Roman" w:hAnsi="Times New Roman"/>
          <w:sz w:val="20"/>
          <w:szCs w:val="20"/>
          <w:u w:val="single" w:color="auto"/>
          <w:color w:val="auto"/>
        </w:rPr>
        <w:t>Subject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is required by the terms of any Loan Document to pay an amount</w:t>
      </w:r>
    </w:p>
    <w:p>
      <w:pPr>
        <w:sectPr>
          <w:pgSz w:w="11900" w:h="16838" w:orient="portrait"/>
          <w:cols w:equalWidth="0" w:num="1">
            <w:col w:w="10025"/>
          </w:cols>
          <w:pgMar w:left="434"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6"/>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0025"/>
          </w:cols>
          <w:pgMar w:left="434" w:top="1413" w:right="1440" w:bottom="1440" w:gutter="0" w:footer="0" w:header="0"/>
          <w:type w:val="continuous"/>
        </w:sectPr>
      </w:pPr>
    </w:p>
    <w:bookmarkStart w:id="113" w:name="page114"/>
    <w:bookmarkEnd w:id="113"/>
    <w:p>
      <w:pPr>
        <w:jc w:val="both"/>
        <w:ind w:right="219"/>
        <w:spacing w:after="0" w:line="249" w:lineRule="auto"/>
        <w:rPr>
          <w:sz w:val="20"/>
          <w:szCs w:val="20"/>
          <w:color w:val="auto"/>
        </w:rPr>
      </w:pPr>
      <w:r>
        <w:rPr>
          <w:rFonts w:ascii="Times New Roman" w:cs="Times New Roman" w:eastAsia="Times New Roman" w:hAnsi="Times New Roman"/>
          <w:sz w:val="20"/>
          <w:szCs w:val="20"/>
          <w:color w:val="auto"/>
        </w:rPr>
        <w:t>equal to the consideration for such supply to the Supplier (rather than being required to reimburse or indemnify the Recipient in respect of that consideration): (A) (where the Supplier is the person required to account to the relevant tax authority for the VAT), such party shall also pay to the Supplier (in addition to and at the same time as paying such amount) an amount equal to the amount of such VAT. The Recipient will promptly pay to the Subject Party an amount equal to any credit or repayment obtained by the Recipient from the relevant tax authority which the Recipient reasonably determines is in respect of such VAT; and (B) (where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8" w:lineRule="exact"/>
        <w:rPr>
          <w:sz w:val="20"/>
          <w:szCs w:val="20"/>
          <w:color w:val="auto"/>
        </w:rPr>
      </w:pPr>
    </w:p>
    <w:p>
      <w:pPr>
        <w:jc w:val="both"/>
        <w:ind w:right="239" w:firstLine="1291"/>
        <w:spacing w:after="0" w:line="251" w:lineRule="auto"/>
        <w:tabs>
          <w:tab w:leader="none" w:pos="1823"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 a Loan Document requires any party to reimburse or indemnify a Credit Party for any costs or expenses, that party shall also at the same time pay and indemnify the Credit Party against all VAT incurred by the Credit Party in respect of the costs or expenses to the extent that the Credit Party reasonably determines that neither it nor any other member of any group of which it is a member for VAT purposes is entitled to credit or repayment from the relevant tax authority in respect of the VAT.</w:t>
      </w:r>
    </w:p>
    <w:p>
      <w:pPr>
        <w:spacing w:after="0" w:line="71" w:lineRule="exact"/>
        <w:rPr>
          <w:rFonts w:ascii="Times New Roman" w:cs="Times New Roman" w:eastAsia="Times New Roman" w:hAnsi="Times New Roman"/>
          <w:sz w:val="20"/>
          <w:szCs w:val="20"/>
          <w:color w:val="010000"/>
        </w:rPr>
      </w:pPr>
    </w:p>
    <w:p>
      <w:pPr>
        <w:jc w:val="both"/>
        <w:ind w:right="219" w:firstLine="1291"/>
        <w:spacing w:after="0" w:line="258" w:lineRule="auto"/>
        <w:tabs>
          <w:tab w:leader="none" w:pos="1827"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reference in this Section 2.18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77" w:lineRule="exact"/>
        <w:rPr>
          <w:rFonts w:ascii="Times New Roman" w:cs="Times New Roman" w:eastAsia="Times New Roman" w:hAnsi="Times New Roman"/>
          <w:sz w:val="20"/>
          <w:szCs w:val="20"/>
          <w:color w:val="010000"/>
        </w:rPr>
      </w:pPr>
    </w:p>
    <w:p>
      <w:pPr>
        <w:jc w:val="both"/>
        <w:ind w:right="239" w:firstLine="1291"/>
        <w:spacing w:after="0" w:line="258" w:lineRule="auto"/>
        <w:tabs>
          <w:tab w:leader="none" w:pos="1823"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relation to any supply by a Credit Party to another party under a Finance Document, if reasonably requested by such Credit Party, that party must promptly provide such Credit Party with details of that party’s VAT registration and such other information as is reasonably requested in connection with such Credit Party’s VAT reporting requirements in relation to such supply.</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2.19. </w:t>
      </w:r>
      <w:r>
        <w:rPr>
          <w:rFonts w:ascii="Times New Roman" w:cs="Times New Roman" w:eastAsia="Times New Roman" w:hAnsi="Times New Roman"/>
          <w:sz w:val="20"/>
          <w:szCs w:val="20"/>
          <w:u w:val="single" w:color="auto"/>
          <w:color w:val="000000"/>
        </w:rPr>
        <w:t>Payments Generally; Pro Rata Treatment; Sharing of Set-offs</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jc w:val="both"/>
        <w:ind w:left="640" w:right="199" w:firstLine="651"/>
        <w:spacing w:after="0" w:line="250" w:lineRule="auto"/>
        <w:tabs>
          <w:tab w:leader="none" w:pos="1818"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make each payment or prepayment required to be made by it hereunder (whether of principal, interest, fees or reimbursement of LC Disbursements, or of amounts payable under Section 2.15, 2.16, 2.17 or 2.18, or otherwise) prior to (i) in the case of payments denominated in Dollars, 12:00 noon, New York City time and (ii) in the case of payments denominated in a Foreign Currency, 12:00 noon, at the Applicable Time, in the city of the Administrative Agent’s Foreign Currency Payment Office for such currency, in each case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10 South Dearborn Street, Chicago, Illinois 60603 or, in the case of a Credit Event denominated in a Foreign Currency, the Administrative Agent’s Foreign Currency Payment Office for such currency, except payments to be made directly to an Issuing Bank as expressly provided herein and except that payments pursuant to Sections 2.15, 2.16, 2.17, 2.18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0019"/>
          </w:cols>
          <w:pgMar w:left="440" w:top="1413" w:right="1440" w:bottom="1440" w:gutter="0" w:footer="0" w:header="0"/>
        </w:sectPr>
      </w:pPr>
    </w:p>
    <w:bookmarkStart w:id="114" w:name="page115"/>
    <w:bookmarkEnd w:id="114"/>
    <w:p>
      <w:pPr>
        <w:jc w:val="both"/>
        <w:ind w:right="199"/>
        <w:spacing w:after="0" w:line="252" w:lineRule="auto"/>
        <w:rPr>
          <w:sz w:val="20"/>
          <w:szCs w:val="20"/>
          <w:color w:val="auto"/>
        </w:rPr>
      </w:pPr>
      <w:r>
        <w:rPr>
          <w:rFonts w:ascii="Times New Roman" w:cs="Times New Roman" w:eastAsia="Times New Roman" w:hAnsi="Times New Roman"/>
          <w:sz w:val="20"/>
          <w:szCs w:val="20"/>
          <w:color w:val="auto"/>
        </w:rPr>
        <w:t>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20"/>
          <w:szCs w:val="20"/>
          <w:u w:val="single" w:color="auto"/>
          <w:color w:val="auto"/>
        </w:rPr>
        <w:t>Original Currency</w:t>
      </w:r>
      <w:r>
        <w:rPr>
          <w:rFonts w:ascii="Times New Roman" w:cs="Times New Roman" w:eastAsia="Times New Roman" w:hAnsi="Times New Roman"/>
          <w:sz w:val="20"/>
          <w:szCs w:val="20"/>
          <w:color w:val="auto"/>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68" w:lineRule="exact"/>
        <w:rPr>
          <w:sz w:val="20"/>
          <w:szCs w:val="20"/>
          <w:color w:val="auto"/>
        </w:rPr>
      </w:pPr>
    </w:p>
    <w:p>
      <w:pPr>
        <w:jc w:val="both"/>
        <w:ind w:right="239" w:firstLine="651"/>
        <w:spacing w:after="0" w:line="256" w:lineRule="auto"/>
        <w:tabs>
          <w:tab w:leader="none" w:pos="1175" w:val="left"/>
        </w:tabs>
        <w:numPr>
          <w:ilvl w:val="1"/>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at any time insufficient funds are received by and available to the Administrative Agent to pay fully all amounts of principal, unreimbursed LC Disbursements, interest and fees then due hereunder with respect to a Borrower, such funds shall be applied</w:t>
      </w:r>
    </w:p>
    <w:p>
      <w:pPr>
        <w:spacing w:after="0" w:line="1" w:lineRule="exact"/>
        <w:rPr>
          <w:rFonts w:ascii="Times New Roman" w:cs="Times New Roman" w:eastAsia="Times New Roman" w:hAnsi="Times New Roman"/>
          <w:sz w:val="20"/>
          <w:szCs w:val="20"/>
          <w:color w:val="010000"/>
        </w:rPr>
      </w:pPr>
    </w:p>
    <w:p>
      <w:pPr>
        <w:ind w:left="260" w:hanging="257"/>
        <w:spacing w:after="0"/>
        <w:tabs>
          <w:tab w:leader="none" w:pos="2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towards payment of interest and fees then due hereunder, ratably among the parties entitled thereto in</w:t>
      </w:r>
    </w:p>
    <w:p>
      <w:pPr>
        <w:spacing w:after="0" w:line="6" w:lineRule="exact"/>
        <w:rPr>
          <w:sz w:val="20"/>
          <w:szCs w:val="20"/>
          <w:color w:val="auto"/>
        </w:rPr>
      </w:pPr>
    </w:p>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accordance with the amounts of interest and fees then due to such parties by such Borrower, and (ii) second, towards payment of principal and unreimbursed LC Disbursements then due hereunder, ratably among the parties entitled thereto in accordance with the amounts of principal and unreimbursed LC Disbursements then due to such parties by such Borrower.</w:t>
      </w:r>
    </w:p>
    <w:p>
      <w:pPr>
        <w:spacing w:after="0" w:line="68" w:lineRule="exact"/>
        <w:rPr>
          <w:sz w:val="20"/>
          <w:szCs w:val="20"/>
          <w:color w:val="auto"/>
        </w:rPr>
      </w:pPr>
    </w:p>
    <w:p>
      <w:pPr>
        <w:jc w:val="both"/>
        <w:ind w:right="219" w:firstLine="651"/>
        <w:spacing w:after="0" w:line="251" w:lineRule="auto"/>
        <w:tabs>
          <w:tab w:leader="none" w:pos="1178"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to a Borrower whether made following a request by such Borrower (or the Company on behalf of a Borrower) pursuant to Section 2.03 or a deemed request as provided in this Section or may be deducted from any deposit account of such Borrower maintained with the Administrative Agent. Each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Section 2.03 and (ii) the Administrative Agent to charge any deposit account of the relevant Borrower maintained with the Administrative Agent for each payment of principal, interest and fees as it becomes due hereunder or any other amount due under the Loan Documents.</w:t>
      </w:r>
    </w:p>
    <w:p>
      <w:pPr>
        <w:spacing w:after="0" w:line="70" w:lineRule="exact"/>
        <w:rPr>
          <w:rFonts w:ascii="Times New Roman" w:cs="Times New Roman" w:eastAsia="Times New Roman" w:hAnsi="Times New Roman"/>
          <w:sz w:val="20"/>
          <w:szCs w:val="20"/>
          <w:color w:val="010000"/>
        </w:rPr>
      </w:pPr>
    </w:p>
    <w:p>
      <w:pPr>
        <w:jc w:val="both"/>
        <w:ind w:right="219" w:firstLine="651"/>
        <w:spacing w:after="0" w:line="251" w:lineRule="auto"/>
        <w:tabs>
          <w:tab w:leader="none" w:pos="1175"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with respect to a Borrower, then the Lender receiving such greater proportion with respect to such Borrower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with respect to such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9379"/>
          </w:cols>
          <w:pgMar w:left="1080" w:top="1413" w:right="1440" w:bottom="1440" w:gutter="0" w:footer="0" w:header="0"/>
        </w:sectPr>
      </w:pPr>
    </w:p>
    <w:bookmarkStart w:id="115" w:name="page116"/>
    <w:bookmarkEnd w:id="115"/>
    <w:p>
      <w:pPr>
        <w:ind w:left="640" w:right="259"/>
        <w:spacing w:after="0" w:line="264" w:lineRule="auto"/>
        <w:rPr>
          <w:sz w:val="20"/>
          <w:szCs w:val="20"/>
          <w:color w:val="auto"/>
        </w:rPr>
      </w:pPr>
      <w:r>
        <w:rPr>
          <w:rFonts w:ascii="Times New Roman" w:cs="Times New Roman" w:eastAsia="Times New Roman" w:hAnsi="Times New Roman"/>
          <w:sz w:val="19"/>
          <w:szCs w:val="19"/>
          <w:color w:val="auto"/>
        </w:rPr>
        <w:t>to and in accordance with the express terms of this Agreement or any payment obtained by a Lender as consideration for the assignment of or sale of a participation in any of its Loans or participations in LC Disbursements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jc w:val="both"/>
        <w:ind w:left="640" w:right="239" w:firstLine="651"/>
        <w:spacing w:after="0" w:line="263" w:lineRule="auto"/>
        <w:tabs>
          <w:tab w:leader="none" w:pos="1817"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the Administrative Agent shall have received notice from the relevant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each of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77" w:lineRule="exact"/>
        <w:rPr>
          <w:rFonts w:ascii="Times New Roman" w:cs="Times New Roman" w:eastAsia="Times New Roman" w:hAnsi="Times New Roman"/>
          <w:sz w:val="19"/>
          <w:szCs w:val="19"/>
          <w:color w:val="010000"/>
        </w:rPr>
      </w:pPr>
    </w:p>
    <w:p>
      <w:pPr>
        <w:jc w:val="both"/>
        <w:ind w:left="640" w:right="219" w:firstLine="651"/>
        <w:spacing w:after="0" w:line="251" w:lineRule="auto"/>
        <w:tabs>
          <w:tab w:leader="none" w:pos="1823"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shall fail to make any payment required to be made by it pursuant to Section 2.06(d) or (e), 2.07(b), 2.19(e) or 9.03(c), then the Administrative Agent may, in its discretion (notwithstanding any contrary provision hereof), (i) apply any amounts thereafter received by the Administrative Agent for the account of such Lender and for the benefit of the Administrative Agent or the Issuing Banks to satisfy such Lender’s obligations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such Sections; in the case of each of clauses (i) and (ii) above, in any order as determined by the Administrative Agent in its discretion.</w:t>
      </w:r>
    </w:p>
    <w:p>
      <w:pPr>
        <w:spacing w:after="0" w:line="74" w:lineRule="exact"/>
        <w:rPr>
          <w:sz w:val="20"/>
          <w:szCs w:val="20"/>
          <w:color w:val="auto"/>
        </w:rPr>
      </w:pPr>
    </w:p>
    <w:p>
      <w:pPr>
        <w:jc w:val="both"/>
        <w:ind w:right="219"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2.20. </w:t>
      </w:r>
      <w:r>
        <w:rPr>
          <w:rFonts w:ascii="Times New Roman" w:cs="Times New Roman" w:eastAsia="Times New Roman" w:hAnsi="Times New Roman"/>
          <w:sz w:val="20"/>
          <w:szCs w:val="20"/>
          <w:u w:val="single" w:color="auto"/>
          <w:color w:val="000000"/>
        </w:rPr>
        <w:t>Mitigation Obligations; Replacement of Lenders</w:t>
      </w:r>
      <w:r>
        <w:rPr>
          <w:rFonts w:ascii="Times New Roman" w:cs="Times New Roman" w:eastAsia="Times New Roman" w:hAnsi="Times New Roman"/>
          <w:sz w:val="20"/>
          <w:szCs w:val="20"/>
          <w:color w:val="000000"/>
        </w:rPr>
        <w:t>. (a) If any Lender requests compensation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under Section 2.15, or if any Borrower is required to pay any Indemnified Taxes or additional amounts to any Lender or any Governmental Authority for the account of any Lender pursuant to Section 2.17 or 2.18,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2.17 or 2.18,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81" w:lineRule="exact"/>
        <w:rPr>
          <w:sz w:val="20"/>
          <w:szCs w:val="20"/>
          <w:color w:val="auto"/>
        </w:rPr>
      </w:pPr>
    </w:p>
    <w:p>
      <w:pPr>
        <w:jc w:val="both"/>
        <w:ind w:right="239" w:firstLine="1291"/>
        <w:spacing w:after="0" w:line="253" w:lineRule="auto"/>
        <w:tabs>
          <w:tab w:leader="none" w:pos="1590" w:val="left"/>
        </w:tabs>
        <w:numPr>
          <w:ilvl w:val="0"/>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 any Lender requests compensation under Section 2.15, (ii) any Borrower is required to pay any Indemnified Taxes or additional amounts to any Lender or any Governmental Authority for the account of any Lender pursuant to Section 2.17 or 2.18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0019"/>
          </w:cols>
          <w:pgMar w:left="440" w:top="1413" w:right="1440" w:bottom="1440" w:gutter="0" w:footer="0" w:header="0"/>
        </w:sectPr>
      </w:pPr>
    </w:p>
    <w:bookmarkStart w:id="116" w:name="page117"/>
    <w:bookmarkEnd w:id="116"/>
    <w:p>
      <w:pPr>
        <w:jc w:val="both"/>
        <w:ind w:left="5" w:right="199"/>
        <w:spacing w:after="0" w:line="249" w:lineRule="auto"/>
        <w:rPr>
          <w:sz w:val="20"/>
          <w:szCs w:val="20"/>
          <w:color w:val="auto"/>
        </w:rPr>
      </w:pPr>
      <w:r>
        <w:rPr>
          <w:rFonts w:ascii="Times New Roman" w:cs="Times New Roman" w:eastAsia="Times New Roman" w:hAnsi="Times New Roman"/>
          <w:sz w:val="20"/>
          <w:szCs w:val="20"/>
          <w:color w:val="auto"/>
        </w:rPr>
        <w:t xml:space="preserve">existing rights to payments pursuant to Sections 2.15, 2.17 or 2.18) and obligations under the Loan Documents to an assignee that shall assume such obligations (which assignee may be another Lender, if a Lender accepts such assignment); provided that (i) the Company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or 2.18,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(a)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88" w:lineRule="exact"/>
        <w:rPr>
          <w:sz w:val="20"/>
          <w:szCs w:val="20"/>
          <w:color w:val="auto"/>
        </w:rPr>
      </w:pPr>
    </w:p>
    <w:p>
      <w:pPr>
        <w:jc w:val="both"/>
        <w:ind w:left="5" w:right="199"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2.21. </w:t>
      </w:r>
      <w:r>
        <w:rPr>
          <w:rFonts w:ascii="Times New Roman" w:cs="Times New Roman" w:eastAsia="Times New Roman" w:hAnsi="Times New Roman"/>
          <w:sz w:val="20"/>
          <w:szCs w:val="20"/>
          <w:u w:val="single" w:color="auto"/>
          <w:color w:val="000000"/>
        </w:rPr>
        <w:t>Expansion Option</w:t>
      </w:r>
      <w:r>
        <w:rPr>
          <w:rFonts w:ascii="Times New Roman" w:cs="Times New Roman" w:eastAsia="Times New Roman" w:hAnsi="Times New Roman"/>
          <w:sz w:val="20"/>
          <w:szCs w:val="20"/>
          <w:color w:val="000000"/>
        </w:rPr>
        <w:t>. The Company may from time to time elect to increase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Commitments or enter into one or more tranches of term loans (each an “</w:t>
      </w:r>
      <w:r>
        <w:rPr>
          <w:rFonts w:ascii="Times New Roman" w:cs="Times New Roman" w:eastAsia="Times New Roman" w:hAnsi="Times New Roman"/>
          <w:sz w:val="20"/>
          <w:szCs w:val="20"/>
          <w:u w:val="single" w:color="auto"/>
          <w:color w:val="000000"/>
        </w:rPr>
        <w:t>Incremental Term Loan</w:t>
      </w:r>
      <w:r>
        <w:rPr>
          <w:rFonts w:ascii="Times New Roman" w:cs="Times New Roman" w:eastAsia="Times New Roman" w:hAnsi="Times New Roman"/>
          <w:sz w:val="20"/>
          <w:szCs w:val="20"/>
          <w:color w:val="000000"/>
        </w:rPr>
        <w:t>”), in each case in minimum increments of $25,000,000 so long as, after giving effect thereto, the aggregate amount of such increases and all such Incremental Term Loans does not exceed $700,000,000. The Company may arrange for any such increase or tranche to be provided by one or more Lenders (each Lender so agreeing to an increase in its Commitment, or to participate in such Incremental Term Loans, an “</w:t>
      </w:r>
      <w:r>
        <w:rPr>
          <w:rFonts w:ascii="Times New Roman" w:cs="Times New Roman" w:eastAsia="Times New Roman" w:hAnsi="Times New Roman"/>
          <w:sz w:val="20"/>
          <w:szCs w:val="20"/>
          <w:u w:val="single" w:color="auto"/>
          <w:color w:val="000000"/>
        </w:rPr>
        <w:t>Increasing Lender</w:t>
      </w:r>
      <w:r>
        <w:rPr>
          <w:rFonts w:ascii="Times New Roman" w:cs="Times New Roman" w:eastAsia="Times New Roman" w:hAnsi="Times New Roman"/>
          <w:sz w:val="20"/>
          <w:szCs w:val="20"/>
          <w:color w:val="000000"/>
        </w:rPr>
        <w:t>”), or by one or more new banks, financial institutions or other entities (each such new bank, financial institution or other entity, an “</w:t>
      </w:r>
      <w:r>
        <w:rPr>
          <w:rFonts w:ascii="Times New Roman" w:cs="Times New Roman" w:eastAsia="Times New Roman" w:hAnsi="Times New Roman"/>
          <w:sz w:val="20"/>
          <w:szCs w:val="20"/>
          <w:u w:val="single" w:color="auto"/>
          <w:color w:val="000000"/>
        </w:rPr>
        <w:t>Augmenting Lender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no Ineligible Institution may be an Augmenting Lender), which agree to increase their existing Commitments, or to participate in such Incremental Term Loans, or provide new Commitments, as the case may be;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 each Augmenting Lender, shall be subject to the approval of the Company and the Administrative Agent and (ii) (x) in the case of an Increasing Lender, the Company and such Increasing Lender execute an agreement substantially in the form of </w:t>
      </w:r>
      <w:r>
        <w:rPr>
          <w:rFonts w:ascii="Times New Roman" w:cs="Times New Roman" w:eastAsia="Times New Roman" w:hAnsi="Times New Roman"/>
          <w:sz w:val="20"/>
          <w:szCs w:val="20"/>
          <w:u w:val="single" w:color="auto"/>
          <w:color w:val="000000"/>
        </w:rPr>
        <w:t>Exhibit C</w:t>
      </w:r>
      <w:r>
        <w:rPr>
          <w:rFonts w:ascii="Times New Roman" w:cs="Times New Roman" w:eastAsia="Times New Roman" w:hAnsi="Times New Roman"/>
          <w:sz w:val="20"/>
          <w:szCs w:val="20"/>
          <w:color w:val="000000"/>
        </w:rPr>
        <w:t xml:space="preserve"> hereto, and (y) in the case of an Augmenting Lender, the Company and such Augmenting Lender execute an agreement substantially in the form of </w:t>
      </w:r>
      <w:r>
        <w:rPr>
          <w:rFonts w:ascii="Times New Roman" w:cs="Times New Roman" w:eastAsia="Times New Roman" w:hAnsi="Times New Roman"/>
          <w:sz w:val="20"/>
          <w:szCs w:val="20"/>
          <w:u w:val="single" w:color="auto"/>
          <w:color w:val="000000"/>
        </w:rPr>
        <w:t>Exhibit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D</w:t>
      </w:r>
      <w:r>
        <w:rPr>
          <w:rFonts w:ascii="Times New Roman" w:cs="Times New Roman" w:eastAsia="Times New Roman" w:hAnsi="Times New Roman"/>
          <w:sz w:val="20"/>
          <w:szCs w:val="20"/>
          <w:color w:val="000000"/>
        </w:rPr>
        <w:t xml:space="preserve"> hereto. No consent of any Lender (other than the Lenders participating in the increase or any Incremental Term Loan) shall be required for any increase in Commitments or Incremental Term Loan pursuant to this Section 2.21. Increases and new Commitments and Incremental Term Loans created pursuant to this Section 2.21 shall become effective on the date agreed by the Company,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w:t>
      </w:r>
    </w:p>
    <w:p>
      <w:pPr>
        <w:spacing w:after="0" w:line="4" w:lineRule="exact"/>
        <w:rPr>
          <w:sz w:val="20"/>
          <w:szCs w:val="20"/>
          <w:color w:val="auto"/>
        </w:rPr>
      </w:pPr>
    </w:p>
    <w:p>
      <w:pPr>
        <w:jc w:val="both"/>
        <w:ind w:left="5" w:right="239" w:hanging="5"/>
        <w:spacing w:after="0" w:line="250" w:lineRule="auto"/>
        <w:tabs>
          <w:tab w:leader="none" w:pos="54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Company and (B) the Company shall be in compliance (on a Pro Forma Basis) with the covenants contained in Section 6.07 and (ii) the Administrative Agent shall have received documents consistent with those delivered on the Restatement Effective Date as to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05"/>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0024"/>
          </w:cols>
          <w:pgMar w:left="435" w:top="1413" w:right="1440" w:bottom="1440" w:gutter="0" w:footer="0" w:header="0"/>
        </w:sectPr>
      </w:pPr>
    </w:p>
    <w:bookmarkStart w:id="117" w:name="page118"/>
    <w:bookmarkEnd w:id="117"/>
    <w:p>
      <w:pPr>
        <w:jc w:val="both"/>
        <w:ind w:right="199"/>
        <w:spacing w:after="0" w:line="248" w:lineRule="auto"/>
        <w:rPr>
          <w:sz w:val="20"/>
          <w:szCs w:val="20"/>
          <w:color w:val="auto"/>
        </w:rPr>
      </w:pPr>
      <w:r>
        <w:rPr>
          <w:rFonts w:ascii="Times New Roman" w:cs="Times New Roman" w:eastAsia="Times New Roman" w:hAnsi="Times New Roman"/>
          <w:sz w:val="20"/>
          <w:szCs w:val="20"/>
          <w:color w:val="auto"/>
        </w:rPr>
        <w:t xml:space="preserve">corporate power and authority of the Borrowers to borrow hereunder after giving effect to such increase or Incremental Term Loan.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the Borrowers shall be deemed to have repaid and reborrowed all outstanding Revolving Loans as of the date of any increase in the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2.03). The deemed payments made pursuant to clause (ii) of the immediately preceding sentence shall be accompanied by payment of all accrued interest on the amount prepaid and, in respect of each Term Benchmark Loan and each RFR Loan, as applicable, shall be subject to indemnification by the Borrowers pursuant to the provisions of Section 2.16 if the deemed payment occurs other than on the last day of the related Interest Periods or (in the case of RFR Loans) on the next Interest Payment Date applicable thereto. The Incremental Term Loans (a) shall rank pari passu in right of payment with the Revolving Loans, (b) shall not mature earlier than the Maturity Date (but may have amortization prior to such date) and (c) shall be treated substantially the same as (and in any event no more favorably than) the Revolving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2.21. Nothing contained in this Section 2.21 shall constitute, or otherwise be deemed to be, a commitment on the part of any Lender to increase its Commitment hereunder, or provide Incremental Term Loans, at any time.</w:t>
      </w:r>
    </w:p>
    <w:p>
      <w:pPr>
        <w:spacing w:after="0" w:line="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SECTION 2.22.</w:t>
      </w:r>
      <w:r>
        <w:rPr>
          <w:rFonts w:ascii="Times New Roman" w:cs="Times New Roman" w:eastAsia="Times New Roman" w:hAnsi="Times New Roman"/>
          <w:sz w:val="20"/>
          <w:szCs w:val="20"/>
          <w:u w:val="single" w:color="auto"/>
          <w:color w:val="000000"/>
        </w:rPr>
        <w:t>[Intentionally Omitted]</w:t>
      </w:r>
      <w:r>
        <w:rPr>
          <w:rFonts w:ascii="Times New Roman" w:cs="Times New Roman" w:eastAsia="Times New Roman" w:hAnsi="Times New Roman"/>
          <w:sz w:val="20"/>
          <w:szCs w:val="20"/>
          <w:color w:val="000000"/>
        </w:rPr>
        <w:t>.</w:t>
      </w:r>
    </w:p>
    <w:p>
      <w:pPr>
        <w:spacing w:after="0" w:line="92" w:lineRule="exact"/>
        <w:rPr>
          <w:sz w:val="20"/>
          <w:szCs w:val="20"/>
          <w:color w:val="auto"/>
        </w:rPr>
      </w:pPr>
    </w:p>
    <w:p>
      <w:pPr>
        <w:jc w:val="both"/>
        <w:ind w:right="23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2.23. </w:t>
      </w:r>
      <w:r>
        <w:rPr>
          <w:rFonts w:ascii="Times New Roman" w:cs="Times New Roman" w:eastAsia="Times New Roman" w:hAnsi="Times New Roman"/>
          <w:sz w:val="20"/>
          <w:szCs w:val="20"/>
          <w:u w:val="single" w:color="auto"/>
          <w:color w:val="000000"/>
        </w:rPr>
        <w:t>Judgment Currency</w:t>
      </w:r>
      <w:r>
        <w:rPr>
          <w:rFonts w:ascii="Times New Roman" w:cs="Times New Roman" w:eastAsia="Times New Roman" w:hAnsi="Times New Roman"/>
          <w:sz w:val="20"/>
          <w:szCs w:val="20"/>
          <w:color w:val="000000"/>
        </w:rPr>
        <w:t>. If for the purposes of obtaining judgment in any court it is necessary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convert a sum due from any Borrower hereunder in the currency expressed to be payable herein (the “</w:t>
      </w:r>
      <w:r>
        <w:rPr>
          <w:rFonts w:ascii="Times New Roman" w:cs="Times New Roman" w:eastAsia="Times New Roman" w:hAnsi="Times New Roman"/>
          <w:sz w:val="20"/>
          <w:szCs w:val="20"/>
          <w:u w:val="single" w:color="auto"/>
          <w:color w:val="000000"/>
        </w:rPr>
        <w:t>specified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currency</w:t>
      </w:r>
      <w:r>
        <w:rPr>
          <w:rFonts w:ascii="Times New Roman" w:cs="Times New Roman" w:eastAsia="Times New Roman" w:hAnsi="Times New Roman"/>
          <w:sz w:val="20"/>
          <w:szCs w:val="20"/>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0019"/>
          </w:cols>
          <w:pgMar w:left="440" w:top="1413" w:right="1440" w:bottom="1440" w:gutter="0" w:footer="0" w:header="0"/>
        </w:sectPr>
      </w:pPr>
    </w:p>
    <w:bookmarkStart w:id="118" w:name="page119"/>
    <w:bookmarkEnd w:id="118"/>
    <w:p>
      <w:pPr>
        <w:jc w:val="both"/>
        <w:ind w:right="219"/>
        <w:spacing w:after="0" w:line="258" w:lineRule="auto"/>
        <w:rPr>
          <w:sz w:val="20"/>
          <w:szCs w:val="20"/>
          <w:color w:val="auto"/>
        </w:rPr>
      </w:pPr>
      <w:r>
        <w:rPr>
          <w:rFonts w:ascii="Times New Roman" w:cs="Times New Roman" w:eastAsia="Times New Roman" w:hAnsi="Times New Roman"/>
          <w:sz w:val="20"/>
          <w:szCs w:val="20"/>
          <w:color w:val="auto"/>
        </w:rPr>
        <w:t>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2.19, such Lender or the Administrative Agent, as the case may be, agrees to remit such excess to such Borrower.</w:t>
      </w:r>
    </w:p>
    <w:p>
      <w:pPr>
        <w:spacing w:after="0" w:line="213" w:lineRule="exact"/>
        <w:rPr>
          <w:sz w:val="20"/>
          <w:szCs w:val="20"/>
          <w:color w:val="auto"/>
        </w:rPr>
      </w:pPr>
    </w:p>
    <w:p>
      <w:pPr>
        <w:jc w:val="both"/>
        <w:ind w:right="219" w:firstLine="1296"/>
        <w:spacing w:after="0" w:line="264" w:lineRule="auto"/>
        <w:rPr>
          <w:sz w:val="20"/>
          <w:szCs w:val="20"/>
          <w:color w:val="auto"/>
        </w:rPr>
      </w:pPr>
      <w:r>
        <w:rPr>
          <w:rFonts w:ascii="Times New Roman" w:cs="Times New Roman" w:eastAsia="Times New Roman" w:hAnsi="Times New Roman"/>
          <w:sz w:val="19"/>
          <w:szCs w:val="19"/>
          <w:color w:val="010000"/>
        </w:rPr>
        <w:t xml:space="preserve">SECTION 2.24. </w:t>
      </w:r>
      <w:r>
        <w:rPr>
          <w:rFonts w:ascii="Times New Roman" w:cs="Times New Roman" w:eastAsia="Times New Roman" w:hAnsi="Times New Roman"/>
          <w:sz w:val="19"/>
          <w:szCs w:val="19"/>
          <w:u w:val="single" w:color="auto"/>
          <w:color w:val="000000"/>
        </w:rPr>
        <w:t>Designation of Foreign Subsidiary Borrowers</w:t>
      </w:r>
      <w:r>
        <w:rPr>
          <w:rFonts w:ascii="Times New Roman" w:cs="Times New Roman" w:eastAsia="Times New Roman" w:hAnsi="Times New Roman"/>
          <w:sz w:val="19"/>
          <w:szCs w:val="19"/>
          <w:color w:val="000000"/>
        </w:rPr>
        <w:t>. On the Restatement Effective Date,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subject to the satisfaction of the applicable conditions in </w:t>
      </w:r>
      <w:r>
        <w:rPr>
          <w:rFonts w:ascii="Times New Roman" w:cs="Times New Roman" w:eastAsia="Times New Roman" w:hAnsi="Times New Roman"/>
          <w:sz w:val="19"/>
          <w:szCs w:val="19"/>
          <w:u w:val="single" w:color="auto"/>
          <w:color w:val="000000"/>
        </w:rPr>
        <w:t>Article IV</w:t>
      </w:r>
      <w:r>
        <w:rPr>
          <w:rFonts w:ascii="Times New Roman" w:cs="Times New Roman" w:eastAsia="Times New Roman" w:hAnsi="Times New Roman"/>
          <w:sz w:val="19"/>
          <w:szCs w:val="19"/>
          <w:color w:val="000000"/>
        </w:rPr>
        <w:t xml:space="preserve"> hereto, the Initial Foreign Subsidiary Borrowers shall continue to be Foreign Subsidiary Borrowers party to this Agreement until the Company shall have executed and delivered to the Administrative Agent a Borrowing Subsidiary Termination with respect to any such Subsidiary, whereupon such Subsidiary shall cease to be a Foreign Subsidiary Borrower and a party to this Agreement. After the Restatement Effective Date, the Company may at any time and from time to time designate any Eligible Foreign Subsidiary as a Foreign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Foreign Subsidiary Borrower and a party to this Agreement. Each Foreign Subsidiary Borrower shall remain a Foreign Subsidiary Borrower until the Company shall have executed and delivered to the Administrative Agent a Borrowing Subsidiary Termination with respect to such Subsidiary, whereupon such Subsidiary shall cease to be a Foreign Subsidiary Borrower and a party to this Agreement. Notwithstanding the preceding sentence, no Borrowing Subsidiary Termination will become effective as to any Foreign Subsidiary Borrower at a time when any principal of or interest on any Loan to such Borrower shall be outstanding hereunder,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such Borrowing Subsidiary Termination shall be effective to terminate the right of such Foreign Subsidiary Borrower to make further Borrowings under this Agreement. As soon as practicable upon receipt of a Borrowing Subsidiary Agreement, the Administrative Agent shall furnish a copy thereof to each Lender.</w:t>
      </w:r>
    </w:p>
    <w:p>
      <w:pPr>
        <w:spacing w:after="0" w:line="59" w:lineRule="exact"/>
        <w:rPr>
          <w:sz w:val="20"/>
          <w:szCs w:val="20"/>
          <w:color w:val="auto"/>
        </w:rPr>
      </w:pPr>
    </w:p>
    <w:p>
      <w:pPr>
        <w:jc w:val="both"/>
        <w:ind w:right="21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2.25. </w:t>
      </w:r>
      <w:r>
        <w:rPr>
          <w:rFonts w:ascii="Times New Roman" w:cs="Times New Roman" w:eastAsia="Times New Roman" w:hAnsi="Times New Roman"/>
          <w:sz w:val="20"/>
          <w:szCs w:val="20"/>
          <w:u w:val="single" w:color="auto"/>
          <w:color w:val="000000"/>
        </w:rPr>
        <w:t>Defaulting Lenders</w:t>
      </w:r>
      <w:r>
        <w:rPr>
          <w:rFonts w:ascii="Times New Roman" w:cs="Times New Roman" w:eastAsia="Times New Roman" w:hAnsi="Times New Roman"/>
          <w:sz w:val="20"/>
          <w:szCs w:val="20"/>
          <w:color w:val="000000"/>
        </w:rPr>
        <w:t>. Notwithstanding any provision of this Agreement to the contrary, if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Lender becomes a Defaulting Lender, then the following provisions shall apply for so long as such Lender is a Defaulting Lender:</w:t>
      </w:r>
    </w:p>
    <w:p>
      <w:pPr>
        <w:spacing w:after="0" w:line="73"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0"/>
          <w:szCs w:val="20"/>
          <w:color w:val="010000"/>
        </w:rPr>
        <w:t>(a)</w:t>
      </w:r>
      <w:r>
        <w:rPr>
          <w:rFonts w:ascii="Times New Roman" w:cs="Times New Roman" w:eastAsia="Times New Roman" w:hAnsi="Times New Roman"/>
          <w:sz w:val="20"/>
          <w:szCs w:val="20"/>
          <w:color w:val="auto"/>
        </w:rPr>
        <w:tab/>
        <w:t>fees shall cease to accrue on the Commitment of such Defaulting Lender pursuant to Section</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2.12(a);</w:t>
      </w:r>
    </w:p>
    <w:p>
      <w:pPr>
        <w:spacing w:after="0" w:line="92" w:lineRule="exact"/>
        <w:rPr>
          <w:sz w:val="20"/>
          <w:szCs w:val="20"/>
          <w:color w:val="auto"/>
        </w:rPr>
      </w:pPr>
    </w:p>
    <w:p>
      <w:pPr>
        <w:jc w:val="both"/>
        <w:ind w:left="640" w:right="219" w:firstLine="651"/>
        <w:spacing w:after="0" w:line="250" w:lineRule="auto"/>
        <w:tabs>
          <w:tab w:leader="none" w:pos="1815"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any Issuing Bank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Issuing Banks’ LC Exposure with respect to such Defaulting Lender in accordance with this Section;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to the payment of any amounts owing to the Lenders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0019"/>
          </w:cols>
          <w:pgMar w:left="440" w:top="1413" w:right="1440" w:bottom="1440" w:gutter="0" w:footer="0" w:header="0"/>
        </w:sectPr>
      </w:pPr>
    </w:p>
    <w:bookmarkStart w:id="119" w:name="page120"/>
    <w:bookmarkEnd w:id="119"/>
    <w:p>
      <w:pPr>
        <w:jc w:val="both"/>
        <w:ind w:right="199"/>
        <w:spacing w:after="0" w:line="250" w:lineRule="auto"/>
        <w:rPr>
          <w:sz w:val="20"/>
          <w:szCs w:val="20"/>
          <w:color w:val="auto"/>
        </w:rPr>
      </w:pPr>
      <w:r>
        <w:rPr>
          <w:rFonts w:ascii="Times New Roman" w:cs="Times New Roman" w:eastAsia="Times New Roman" w:hAnsi="Times New Roman"/>
          <w:sz w:val="20"/>
          <w:szCs w:val="20"/>
          <w:color w:val="auto"/>
        </w:rPr>
        <w:t xml:space="preserve">Issuing Banks as a result of any judgment of a court of competent jurisdiction obtained by any Lender or the Issuing Banks against such Defaulting Lender as a result of such Defaulting 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to such Defaulting Lender or as otherwise directed by a court of competent jurisdiction; provided that if</w:t>
      </w:r>
    </w:p>
    <w:p>
      <w:pPr>
        <w:spacing w:after="0" w:line="6" w:lineRule="exact"/>
        <w:rPr>
          <w:sz w:val="20"/>
          <w:szCs w:val="20"/>
          <w:color w:val="auto"/>
        </w:rPr>
      </w:pPr>
    </w:p>
    <w:p>
      <w:pPr>
        <w:jc w:val="both"/>
        <w:ind w:right="239" w:firstLine="4"/>
        <w:spacing w:after="0" w:line="248" w:lineRule="auto"/>
        <w:tabs>
          <w:tab w:leader="none" w:pos="2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25" w:lineRule="exact"/>
        <w:rPr>
          <w:rFonts w:ascii="Times New Roman" w:cs="Times New Roman" w:eastAsia="Times New Roman" w:hAnsi="Times New Roman"/>
          <w:sz w:val="20"/>
          <w:szCs w:val="20"/>
          <w:color w:val="auto"/>
        </w:rPr>
      </w:pPr>
    </w:p>
    <w:p>
      <w:pPr>
        <w:jc w:val="both"/>
        <w:ind w:right="219" w:firstLine="651"/>
        <w:spacing w:after="0" w:line="253" w:lineRule="auto"/>
        <w:tabs>
          <w:tab w:leader="none" w:pos="1178" w:val="left"/>
        </w:tabs>
        <w:numPr>
          <w:ilvl w:val="1"/>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300" w:lineRule="exact"/>
        <w:rPr>
          <w:rFonts w:ascii="Times New Roman" w:cs="Times New Roman" w:eastAsia="Times New Roman" w:hAnsi="Times New Roman"/>
          <w:sz w:val="20"/>
          <w:szCs w:val="20"/>
          <w:color w:val="010000"/>
        </w:rPr>
      </w:pPr>
    </w:p>
    <w:p>
      <w:pPr>
        <w:ind w:left="1280" w:hanging="629"/>
        <w:spacing w:after="0"/>
        <w:tabs>
          <w:tab w:leader="none" w:pos="1280" w:val="left"/>
        </w:tabs>
        <w:numPr>
          <w:ilvl w:val="1"/>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LC Exposure exists at the time such Lender becomes a Defaulting Lender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w:t>
      </w:r>
    </w:p>
    <w:p>
      <w:pPr>
        <w:spacing w:after="0" w:line="315" w:lineRule="exact"/>
        <w:rPr>
          <w:sz w:val="20"/>
          <w:szCs w:val="20"/>
          <w:color w:val="auto"/>
        </w:rPr>
      </w:pPr>
    </w:p>
    <w:p>
      <w:pPr>
        <w:jc w:val="both"/>
        <w:ind w:left="660" w:right="239" w:firstLine="639"/>
        <w:spacing w:after="0" w:line="258" w:lineRule="auto"/>
        <w:tabs>
          <w:tab w:leader="none" w:pos="1846"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or any part of the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Credit Exposure to exceed its Commitment;</w:t>
      </w:r>
    </w:p>
    <w:p>
      <w:pPr>
        <w:spacing w:after="0" w:line="199" w:lineRule="exact"/>
        <w:rPr>
          <w:rFonts w:ascii="Times New Roman" w:cs="Times New Roman" w:eastAsia="Times New Roman" w:hAnsi="Times New Roman"/>
          <w:sz w:val="20"/>
          <w:szCs w:val="20"/>
          <w:color w:val="010000"/>
        </w:rPr>
      </w:pPr>
    </w:p>
    <w:p>
      <w:pPr>
        <w:jc w:val="both"/>
        <w:ind w:left="660" w:right="239" w:firstLine="639"/>
        <w:spacing w:after="0" w:line="253" w:lineRule="auto"/>
        <w:tabs>
          <w:tab w:leader="none" w:pos="1846"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reallocation described in clause (i) above cannot, or can only partially, be effected, the Company shall within one (1) Business Day following notice by the Administrative Agent cash collateralize for the benefit of the relevant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219" w:lineRule="exact"/>
        <w:rPr>
          <w:rFonts w:ascii="Times New Roman" w:cs="Times New Roman" w:eastAsia="Times New Roman" w:hAnsi="Times New Roman"/>
          <w:sz w:val="20"/>
          <w:szCs w:val="20"/>
          <w:color w:val="010000"/>
        </w:rPr>
      </w:pPr>
    </w:p>
    <w:p>
      <w:pPr>
        <w:jc w:val="both"/>
        <w:ind w:left="660" w:right="239" w:firstLine="639"/>
        <w:spacing w:after="0" w:line="261" w:lineRule="auto"/>
        <w:tabs>
          <w:tab w:leader="none" w:pos="1847"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Company cash collateralizes any portion of such Defaulting Lender’s LC Exposure pursuant to clause (ii) above, the Borrowers shall not be required to pay any fees to such Defaulting Lender pursuant to Section 2.12(b) with respect to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9379"/>
          </w:cols>
          <w:pgMar w:left="1080" w:top="1413" w:right="1440" w:bottom="1440" w:gutter="0" w:footer="0" w:header="0"/>
        </w:sectPr>
      </w:pPr>
    </w:p>
    <w:bookmarkStart w:id="120" w:name="page121"/>
    <w:bookmarkEnd w:id="120"/>
    <w:p>
      <w:pPr>
        <w:ind w:left="1300" w:right="479"/>
        <w:spacing w:after="0" w:line="283" w:lineRule="auto"/>
        <w:rPr>
          <w:sz w:val="20"/>
          <w:szCs w:val="20"/>
          <w:color w:val="auto"/>
        </w:rPr>
      </w:pPr>
      <w:r>
        <w:rPr>
          <w:rFonts w:ascii="Times New Roman" w:cs="Times New Roman" w:eastAsia="Times New Roman" w:hAnsi="Times New Roman"/>
          <w:sz w:val="20"/>
          <w:szCs w:val="20"/>
          <w:color w:val="auto"/>
        </w:rPr>
        <w:t>such Defaulting Lender’s LC Exposure during the period such Defaulting Lender’s LC Exposure is cash collateralized;</w:t>
      </w:r>
    </w:p>
    <w:p>
      <w:pPr>
        <w:spacing w:after="0" w:line="187" w:lineRule="exact"/>
        <w:rPr>
          <w:sz w:val="20"/>
          <w:szCs w:val="20"/>
          <w:color w:val="auto"/>
        </w:rPr>
      </w:pPr>
    </w:p>
    <w:p>
      <w:pPr>
        <w:jc w:val="both"/>
        <w:ind w:left="1300" w:right="239" w:firstLine="640"/>
        <w:spacing w:after="0" w:line="261" w:lineRule="auto"/>
        <w:tabs>
          <w:tab w:leader="none" w:pos="2477" w:val="left"/>
        </w:tabs>
        <w:numPr>
          <w:ilvl w:val="1"/>
          <w:numId w:val="1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LC Exposure of the non-Defaulting Lenders is reallocated pursuant to clause (i) above, then the fees payable to the Lenders pursuant to Section 2.12(b) shall be adjusted in accordance with such non-Defaulting Lenders’ Applicable Percentages; and</w:t>
      </w:r>
    </w:p>
    <w:p>
      <w:pPr>
        <w:spacing w:after="0" w:line="208" w:lineRule="exact"/>
        <w:rPr>
          <w:rFonts w:ascii="Times New Roman" w:cs="Times New Roman" w:eastAsia="Times New Roman" w:hAnsi="Times New Roman"/>
          <w:sz w:val="20"/>
          <w:szCs w:val="20"/>
          <w:color w:val="010000"/>
        </w:rPr>
      </w:pPr>
    </w:p>
    <w:p>
      <w:pPr>
        <w:jc w:val="both"/>
        <w:ind w:left="1300" w:right="199" w:firstLine="640"/>
        <w:spacing w:after="0" w:line="253" w:lineRule="auto"/>
        <w:tabs>
          <w:tab w:leader="none" w:pos="2476" w:val="left"/>
        </w:tabs>
        <w:numPr>
          <w:ilvl w:val="1"/>
          <w:numId w:val="1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relevant Issuing Banks until and to the extent that such LC Exposure is reallocated and/or cash collateralized; and</w:t>
      </w:r>
    </w:p>
    <w:p>
      <w:pPr>
        <w:spacing w:after="0" w:line="219" w:lineRule="exact"/>
        <w:rPr>
          <w:rFonts w:ascii="Times New Roman" w:cs="Times New Roman" w:eastAsia="Times New Roman" w:hAnsi="Times New Roman"/>
          <w:sz w:val="20"/>
          <w:szCs w:val="20"/>
          <w:color w:val="010000"/>
        </w:rPr>
      </w:pPr>
    </w:p>
    <w:p>
      <w:pPr>
        <w:jc w:val="both"/>
        <w:ind w:left="640" w:right="239" w:firstLine="651"/>
        <w:spacing w:after="0" w:line="253" w:lineRule="auto"/>
        <w:tabs>
          <w:tab w:leader="none" w:pos="1818"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such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2.25(d), and LC Exposure related to any newly issued or increased Letter of Credit shall be allocated among non-Defaulting Lenders in a manner consistent with Section 2.25(d)(i) (and such Defaulting Lender shall not participate therein).</w:t>
      </w:r>
    </w:p>
    <w:p>
      <w:pPr>
        <w:spacing w:after="0" w:line="206" w:lineRule="exact"/>
        <w:rPr>
          <w:sz w:val="20"/>
          <w:szCs w:val="20"/>
          <w:color w:val="auto"/>
        </w:rPr>
      </w:pPr>
    </w:p>
    <w:p>
      <w:pPr>
        <w:jc w:val="both"/>
        <w:ind w:right="239" w:firstLine="648"/>
        <w:spacing w:after="0" w:line="253" w:lineRule="auto"/>
        <w:rPr>
          <w:sz w:val="20"/>
          <w:szCs w:val="20"/>
          <w:color w:val="auto"/>
        </w:rPr>
      </w:pPr>
      <w:r>
        <w:rPr>
          <w:rFonts w:ascii="Times New Roman" w:cs="Times New Roman" w:eastAsia="Times New Roman" w:hAnsi="Times New Roman"/>
          <w:sz w:val="20"/>
          <w:szCs w:val="20"/>
          <w:color w:val="auto"/>
        </w:rPr>
        <w:t>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no Issuing Bank shall be required to issue, amend or increase any Letter of Credit, unless such Issuing Bank shall have entered into arrangements with the Company or such Lender, satisfactory to such Issuing Bank to defease any risk to it in respect of such Lender hereunder.</w:t>
      </w:r>
    </w:p>
    <w:p>
      <w:pPr>
        <w:spacing w:after="0" w:line="219" w:lineRule="exact"/>
        <w:rPr>
          <w:sz w:val="20"/>
          <w:szCs w:val="20"/>
          <w:color w:val="auto"/>
        </w:rPr>
      </w:pPr>
    </w:p>
    <w:p>
      <w:pPr>
        <w:jc w:val="both"/>
        <w:ind w:right="239" w:firstLine="648"/>
        <w:spacing w:after="0" w:line="253" w:lineRule="auto"/>
        <w:rPr>
          <w:sz w:val="20"/>
          <w:szCs w:val="20"/>
          <w:color w:val="auto"/>
        </w:rPr>
      </w:pPr>
      <w:r>
        <w:rPr>
          <w:rFonts w:ascii="Times New Roman" w:cs="Times New Roman" w:eastAsia="Times New Roman" w:hAnsi="Times New Roman"/>
          <w:sz w:val="20"/>
          <w:szCs w:val="20"/>
          <w:color w:val="auto"/>
        </w:rPr>
        <w:t>In the event that the Administrative Agent, the Company and each Issuing Bank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21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010000"/>
        </w:rPr>
        <w:t>ARTICLE III</w:t>
      </w:r>
    </w:p>
    <w:p>
      <w:pPr>
        <w:spacing w:after="0" w:line="25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3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Borrower represents and warrants to the Lenders that:</w:t>
      </w:r>
    </w:p>
    <w:p>
      <w:pPr>
        <w:spacing w:after="0" w:line="256" w:lineRule="exact"/>
        <w:rPr>
          <w:sz w:val="20"/>
          <w:szCs w:val="20"/>
          <w:color w:val="auto"/>
        </w:rPr>
      </w:pPr>
    </w:p>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3.01. </w:t>
      </w:r>
      <w:r>
        <w:rPr>
          <w:rFonts w:ascii="Times New Roman" w:cs="Times New Roman" w:eastAsia="Times New Roman" w:hAnsi="Times New Roman"/>
          <w:sz w:val="20"/>
          <w:szCs w:val="20"/>
          <w:u w:val="single" w:color="auto"/>
          <w:color w:val="000000"/>
        </w:rPr>
        <w:t>Organization; Powers; Subsidiaries</w:t>
      </w:r>
      <w:r>
        <w:rPr>
          <w:rFonts w:ascii="Times New Roman" w:cs="Times New Roman" w:eastAsia="Times New Roman" w:hAnsi="Times New Roman"/>
          <w:sz w:val="20"/>
          <w:szCs w:val="20"/>
          <w:color w:val="000000"/>
        </w:rPr>
        <w:t>. Each of the Company and its Subsidiaries is duly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organized, validly existing and in good standing (to the extent such concept is applicable in the relevant jurisdiction) under the laws of the jurisdiction of its organization, has all requisite power and authority to carry on its business as now conducted and, except where the failure to</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0019"/>
          </w:cols>
          <w:pgMar w:left="440" w:top="1413" w:right="1440" w:bottom="1440" w:gutter="0" w:footer="0" w:header="0"/>
        </w:sectPr>
      </w:pPr>
    </w:p>
    <w:bookmarkStart w:id="121" w:name="page122"/>
    <w:bookmarkEnd w:id="121"/>
    <w:p>
      <w:pPr>
        <w:jc w:val="both"/>
        <w:ind w:right="219"/>
        <w:spacing w:after="0" w:line="253" w:lineRule="auto"/>
        <w:rPr>
          <w:sz w:val="20"/>
          <w:szCs w:val="20"/>
          <w:color w:val="auto"/>
        </w:rPr>
      </w:pPr>
      <w:r>
        <w:rPr>
          <w:rFonts w:ascii="Times New Roman" w:cs="Times New Roman" w:eastAsia="Times New Roman" w:hAnsi="Times New Roman"/>
          <w:sz w:val="20"/>
          <w:szCs w:val="20"/>
          <w:color w:val="auto"/>
        </w:rPr>
        <w:t xml:space="preserve">do so, individually or in the aggregate, could not reasonably be expected to result in a Material Adverse Effect, is qualified to do business in, and is in good standing (to the extent such concept is applicable) in, every jurisdiction where such qualification is required. </w:t>
      </w:r>
      <w:r>
        <w:rPr>
          <w:rFonts w:ascii="Times New Roman" w:cs="Times New Roman" w:eastAsia="Times New Roman" w:hAnsi="Times New Roman"/>
          <w:sz w:val="20"/>
          <w:szCs w:val="20"/>
          <w:u w:val="single" w:color="auto"/>
          <w:color w:val="auto"/>
        </w:rPr>
        <w:t>Schedule 3.01</w:t>
      </w:r>
      <w:r>
        <w:rPr>
          <w:rFonts w:ascii="Times New Roman" w:cs="Times New Roman" w:eastAsia="Times New Roman" w:hAnsi="Times New Roman"/>
          <w:sz w:val="20"/>
          <w:szCs w:val="20"/>
          <w:color w:val="auto"/>
        </w:rPr>
        <w:t xml:space="preserve"> hereto identifies each Subsidiary as of the Restatement Effective Date, noting whether such Subsidiary is a Significant Subsidiary, the jurisdiction of its incorporation or organization, as the case may be, the percentage of issued and outstanding shares of each class of its capital stock or other equity interests owned by the Company and the other Subsidiaries and, if such percentage is not 100% (excluding directors’ qualifying shares as required by law), a description of each class issued and outstanding.</w:t>
      </w:r>
    </w:p>
    <w:p>
      <w:pPr>
        <w:spacing w:after="0" w:line="206" w:lineRule="exact"/>
        <w:rPr>
          <w:sz w:val="20"/>
          <w:szCs w:val="20"/>
          <w:color w:val="auto"/>
        </w:rPr>
      </w:pPr>
    </w:p>
    <w:p>
      <w:pPr>
        <w:ind w:right="439"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3.02. </w:t>
      </w:r>
      <w:r>
        <w:rPr>
          <w:rFonts w:ascii="Times New Roman" w:cs="Times New Roman" w:eastAsia="Times New Roman" w:hAnsi="Times New Roman"/>
          <w:sz w:val="20"/>
          <w:szCs w:val="20"/>
          <w:u w:val="single" w:color="auto"/>
          <w:color w:val="000000"/>
        </w:rPr>
        <w:t>Authorization; Enforceability</w:t>
      </w:r>
      <w:r>
        <w:rPr>
          <w:rFonts w:ascii="Times New Roman" w:cs="Times New Roman" w:eastAsia="Times New Roman" w:hAnsi="Times New Roman"/>
          <w:sz w:val="20"/>
          <w:szCs w:val="20"/>
          <w:color w:val="000000"/>
        </w:rPr>
        <w:t>. The Transactions are within each Loan Party’s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 Specifically but without limitation, Section 2.13(f) satisfies the requirements of Section 4 of the </w:t>
      </w:r>
      <w:r>
        <w:rPr>
          <w:rFonts w:ascii="Times New Roman" w:cs="Times New Roman" w:eastAsia="Times New Roman" w:hAnsi="Times New Roman"/>
          <w:sz w:val="20"/>
          <w:szCs w:val="20"/>
          <w:i w:val="1"/>
          <w:iCs w:val="1"/>
          <w:color w:val="000000"/>
        </w:rPr>
        <w:t>Interest Act</w:t>
      </w:r>
      <w:r>
        <w:rPr>
          <w:rFonts w:ascii="Times New Roman" w:cs="Times New Roman" w:eastAsia="Times New Roman" w:hAnsi="Times New Roman"/>
          <w:sz w:val="20"/>
          <w:szCs w:val="20"/>
          <w:color w:val="000000"/>
        </w:rPr>
        <w:t xml:space="preserve"> (Canada) to the extent it applies to the expression or statement of any interest payable under any Loan Document, and each Canadian Borrower is able to calculate the yearly rate or percentage of interest payable under any Loan Document based upon the methodology set out in such Section.</w:t>
      </w:r>
    </w:p>
    <w:p>
      <w:pPr>
        <w:spacing w:after="0" w:line="204" w:lineRule="exact"/>
        <w:rPr>
          <w:sz w:val="20"/>
          <w:szCs w:val="20"/>
          <w:color w:val="auto"/>
        </w:rPr>
      </w:pPr>
    </w:p>
    <w:p>
      <w:pPr>
        <w:jc w:val="both"/>
        <w:ind w:right="239" w:firstLine="1295"/>
        <w:spacing w:after="0" w:line="250" w:lineRule="auto"/>
        <w:rPr>
          <w:sz w:val="20"/>
          <w:szCs w:val="20"/>
          <w:color w:val="auto"/>
        </w:rPr>
      </w:pPr>
      <w:r>
        <w:rPr>
          <w:rFonts w:ascii="Times New Roman" w:cs="Times New Roman" w:eastAsia="Times New Roman" w:hAnsi="Times New Roman"/>
          <w:sz w:val="20"/>
          <w:szCs w:val="20"/>
          <w:color w:val="010000"/>
        </w:rPr>
        <w:t xml:space="preserve">SECTION 3.03. </w:t>
      </w:r>
      <w:r>
        <w:rPr>
          <w:rFonts w:ascii="Times New Roman" w:cs="Times New Roman" w:eastAsia="Times New Roman" w:hAnsi="Times New Roman"/>
          <w:sz w:val="20"/>
          <w:szCs w:val="20"/>
          <w:u w:val="single" w:color="auto"/>
          <w:color w:val="000000"/>
        </w:rPr>
        <w:t>Governmental Approvals; No Conflicts</w:t>
      </w:r>
      <w:r>
        <w:rPr>
          <w:rFonts w:ascii="Times New Roman" w:cs="Times New Roman" w:eastAsia="Times New Roman" w:hAnsi="Times New Roman"/>
          <w:sz w:val="20"/>
          <w:szCs w:val="20"/>
          <w:color w:val="000000"/>
        </w:rPr>
        <w:t>. The Transactions (a) do not require any consent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approval of, registration or filing with, or any other action by, any Governmental Authority, except such as have been obtained or made and are in full force and effect, (b) will not violate any applicable law or regulation or the charter, by-laws or other organizational documents of the Company or any of its Subsidiaries or any order of any Governmental Authority, (c) will not violate or result in a default under any indenture, agreement or other instrument binding upon the Company or any of its Subsidiaries or its assets, or give rise to a right thereunder to require any payment to be made by the Company or any of its Subsidiaries, and (d) will not result in the creation or imposition of any Lien on any asset of the Company or any of its Subsidiaries. Each Subsidiary organized under the laws of England and Wales and the Netherlands represents and warrants to the Lenders that its centre of main interest (as that term is used in Article 3(1) of the Regulation) is in its jurisdiction of incorporation and it has no Establishment in any other jurisdiction. Each Subsidiary organized under the laws of Germany represents and warrants to the Lenders that it maintains its centre of main interests (as defined in Council Regulation (EC) No 1346/2000 of 29 May 2000 on insolvency proceedings (as amended or superseded from time to time, e.g., pursuant to Regulation (EU) No 2015/848 of the European Parliament and of the Council of 20 May 2015 on insolvency proceedings)) in Germany.</w:t>
      </w:r>
    </w:p>
    <w:p>
      <w:pPr>
        <w:spacing w:after="0" w:line="224" w:lineRule="exact"/>
        <w:rPr>
          <w:sz w:val="20"/>
          <w:szCs w:val="20"/>
          <w:color w:val="auto"/>
        </w:rPr>
      </w:pPr>
    </w:p>
    <w:p>
      <w:pPr>
        <w:jc w:val="both"/>
        <w:ind w:right="239"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3.04. </w:t>
      </w:r>
      <w:r>
        <w:rPr>
          <w:rFonts w:ascii="Times New Roman" w:cs="Times New Roman" w:eastAsia="Times New Roman" w:hAnsi="Times New Roman"/>
          <w:sz w:val="20"/>
          <w:szCs w:val="20"/>
          <w:u w:val="single" w:color="auto"/>
          <w:color w:val="000000"/>
        </w:rPr>
        <w:t>Financial Condition; No Material Adverse Change</w:t>
      </w:r>
      <w:r>
        <w:rPr>
          <w:rFonts w:ascii="Times New Roman" w:cs="Times New Roman" w:eastAsia="Times New Roman" w:hAnsi="Times New Roman"/>
          <w:sz w:val="20"/>
          <w:szCs w:val="20"/>
          <w:color w:val="000000"/>
        </w:rPr>
        <w:t>. (a) The Company has heretofore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furnished to the Lenders its consolidated balance sheet and statements of income, stockholders equity and cash flows (i) as of and for the fiscal year ended December 31, 2021 reported on by Ernst &amp; Young LLP, independent public accountants, and (ii) as of and for the fiscal quarters and the portion of the fiscal year ended March 31, 2022, certified by its chief financial officer. Such financial statements present fairly, in all material respects, the financial position and results of operations and cash flows of the Company and its consolidated Subsidiaries as of such dates and for such period in accordance with GAAP, subject to year-end audit adjustments and the absence of footnotes in the case of the statements referred to in clause (ii) above.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0019"/>
          </w:cols>
          <w:pgMar w:left="440" w:top="1413" w:right="1440" w:bottom="1440" w:gutter="0" w:footer="0" w:header="0"/>
        </w:sectPr>
      </w:pPr>
    </w:p>
    <w:bookmarkStart w:id="122" w:name="page123"/>
    <w:bookmarkEnd w:id="122"/>
    <w:p>
      <w:pPr>
        <w:jc w:val="both"/>
        <w:ind w:left="644" w:right="239" w:firstLine="651"/>
        <w:spacing w:after="0" w:line="261" w:lineRule="auto"/>
        <w:tabs>
          <w:tab w:leader="none" w:pos="1586" w:val="left"/>
        </w:tabs>
        <w:numPr>
          <w:ilvl w:val="0"/>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Since December 31, 2021, there has been no material adverse change in, or a material adverse effect upon, the operations, business, properties, or financial condition of the Company and the Subsidiaries taken as a whole.</w:t>
      </w:r>
    </w:p>
    <w:p>
      <w:pPr>
        <w:spacing w:after="0" w:line="208" w:lineRule="exact"/>
        <w:rPr>
          <w:sz w:val="20"/>
          <w:szCs w:val="20"/>
          <w:color w:val="auto"/>
        </w:rPr>
      </w:pPr>
    </w:p>
    <w:p>
      <w:pPr>
        <w:jc w:val="both"/>
        <w:ind w:left="4" w:right="199"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3.05. </w:t>
      </w:r>
      <w:r>
        <w:rPr>
          <w:rFonts w:ascii="Times New Roman" w:cs="Times New Roman" w:eastAsia="Times New Roman" w:hAnsi="Times New Roman"/>
          <w:sz w:val="20"/>
          <w:szCs w:val="20"/>
          <w:u w:val="single" w:color="auto"/>
          <w:color w:val="000000"/>
        </w:rPr>
        <w:t>Properties</w:t>
      </w:r>
      <w:r>
        <w:rPr>
          <w:rFonts w:ascii="Times New Roman" w:cs="Times New Roman" w:eastAsia="Times New Roman" w:hAnsi="Times New Roman"/>
          <w:sz w:val="20"/>
          <w:szCs w:val="20"/>
          <w:color w:val="000000"/>
        </w:rPr>
        <w:t>. Each of the Company and its Subsidiaries has good title to (or, in the case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real property located in Germany, it is the sole legal and beneficial (</w:t>
      </w:r>
      <w:r>
        <w:rPr>
          <w:rFonts w:ascii="Times New Roman" w:cs="Times New Roman" w:eastAsia="Times New Roman" w:hAnsi="Times New Roman"/>
          <w:sz w:val="20"/>
          <w:szCs w:val="20"/>
          <w:i w:val="1"/>
          <w:iCs w:val="1"/>
          <w:color w:val="000000"/>
        </w:rPr>
        <w:t>wirtschaftlicher</w:t>
      </w:r>
      <w:r>
        <w:rPr>
          <w:rFonts w:ascii="Times New Roman" w:cs="Times New Roman" w:eastAsia="Times New Roman" w:hAnsi="Times New Roman"/>
          <w:sz w:val="20"/>
          <w:szCs w:val="20"/>
          <w:color w:val="000000"/>
        </w:rPr>
        <w:t>) owner of),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213" w:lineRule="exact"/>
        <w:rPr>
          <w:sz w:val="20"/>
          <w:szCs w:val="20"/>
          <w:color w:val="auto"/>
        </w:rPr>
      </w:pPr>
    </w:p>
    <w:p>
      <w:pPr>
        <w:jc w:val="both"/>
        <w:ind w:left="4" w:right="239"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3.06. </w:t>
      </w:r>
      <w:r>
        <w:rPr>
          <w:rFonts w:ascii="Times New Roman" w:cs="Times New Roman" w:eastAsia="Times New Roman" w:hAnsi="Times New Roman"/>
          <w:sz w:val="20"/>
          <w:szCs w:val="20"/>
          <w:u w:val="single" w:color="auto"/>
          <w:color w:val="000000"/>
        </w:rPr>
        <w:t>Litigation, Environmental and Labor Matters</w:t>
      </w:r>
      <w:r>
        <w:rPr>
          <w:rFonts w:ascii="Times New Roman" w:cs="Times New Roman" w:eastAsia="Times New Roman" w:hAnsi="Times New Roman"/>
          <w:sz w:val="20"/>
          <w:szCs w:val="20"/>
          <w:color w:val="000000"/>
        </w:rPr>
        <w:t>. (a) There are no actions, suits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proceedings by or before any arbitrator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w:t>
      </w:r>
    </w:p>
    <w:p>
      <w:pPr>
        <w:spacing w:after="0" w:line="1" w:lineRule="exact"/>
        <w:rPr>
          <w:sz w:val="20"/>
          <w:szCs w:val="20"/>
          <w:color w:val="auto"/>
        </w:rPr>
      </w:pPr>
    </w:p>
    <w:p>
      <w:pPr>
        <w:jc w:val="both"/>
        <w:ind w:left="4" w:right="259" w:hanging="4"/>
        <w:spacing w:after="0" w:line="253" w:lineRule="auto"/>
        <w:tabs>
          <w:tab w:leader="none" w:pos="54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could have a material adverse effect on the rights or remedies of the Administrative Agent or the Lenders or on the ability of any Borrower to perform its obligations to them hereunder and under the other Loan Documents to which it is, or will be, a party.</w:t>
      </w:r>
    </w:p>
    <w:p>
      <w:pPr>
        <w:spacing w:after="0" w:line="215" w:lineRule="exact"/>
        <w:rPr>
          <w:rFonts w:ascii="Times New Roman" w:cs="Times New Roman" w:eastAsia="Times New Roman" w:hAnsi="Times New Roman"/>
          <w:sz w:val="20"/>
          <w:szCs w:val="20"/>
          <w:color w:val="auto"/>
        </w:rPr>
      </w:pPr>
    </w:p>
    <w:p>
      <w:pPr>
        <w:jc w:val="both"/>
        <w:ind w:left="644" w:right="199" w:firstLine="651"/>
        <w:spacing w:after="0" w:line="254" w:lineRule="auto"/>
        <w:tabs>
          <w:tab w:leader="none" w:pos="1598" w:val="left"/>
        </w:tabs>
        <w:numPr>
          <w:ilvl w:val="2"/>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with respect to any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w:t>
      </w:r>
    </w:p>
    <w:p>
      <w:pPr>
        <w:ind w:left="644" w:right="239" w:firstLine="4"/>
        <w:spacing w:after="0" w:line="253" w:lineRule="auto"/>
        <w:tabs>
          <w:tab w:leader="none" w:pos="95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become subject to any Environmental Liability, (iii) has received notice of any claim with respect to any Environmental Liability or (iv) knows of any basis for any Environmental Liability.</w:t>
      </w:r>
    </w:p>
    <w:p>
      <w:pPr>
        <w:spacing w:after="0" w:line="229" w:lineRule="exact"/>
        <w:rPr>
          <w:sz w:val="20"/>
          <w:szCs w:val="20"/>
          <w:color w:val="auto"/>
        </w:rPr>
      </w:pPr>
    </w:p>
    <w:p>
      <w:pPr>
        <w:jc w:val="both"/>
        <w:ind w:left="4" w:right="239" w:firstLine="1296"/>
        <w:spacing w:after="0" w:line="254" w:lineRule="auto"/>
        <w:rPr>
          <w:sz w:val="20"/>
          <w:szCs w:val="20"/>
          <w:color w:val="auto"/>
        </w:rPr>
      </w:pPr>
      <w:r>
        <w:rPr>
          <w:rFonts w:ascii="Times New Roman" w:cs="Times New Roman" w:eastAsia="Times New Roman" w:hAnsi="Times New Roman"/>
          <w:sz w:val="20"/>
          <w:szCs w:val="20"/>
          <w:color w:val="010000"/>
        </w:rPr>
        <w:t xml:space="preserve">SECTION 3.07. </w:t>
      </w:r>
      <w:r>
        <w:rPr>
          <w:rFonts w:ascii="Times New Roman" w:cs="Times New Roman" w:eastAsia="Times New Roman" w:hAnsi="Times New Roman"/>
          <w:sz w:val="20"/>
          <w:szCs w:val="20"/>
          <w:u w:val="single" w:color="auto"/>
          <w:color w:val="000000"/>
        </w:rPr>
        <w:t>Compliance with Laws and Agreements</w:t>
      </w:r>
      <w:r>
        <w:rPr>
          <w:rFonts w:ascii="Times New Roman" w:cs="Times New Roman" w:eastAsia="Times New Roman" w:hAnsi="Times New Roman"/>
          <w:sz w:val="20"/>
          <w:szCs w:val="20"/>
          <w:color w:val="000000"/>
        </w:rPr>
        <w:t>. (a) Each of the Company and its Subsidiaries 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214" w:lineRule="exact"/>
        <w:rPr>
          <w:sz w:val="20"/>
          <w:szCs w:val="20"/>
          <w:color w:val="auto"/>
        </w:rPr>
      </w:pPr>
    </w:p>
    <w:p>
      <w:pPr>
        <w:jc w:val="both"/>
        <w:ind w:left="4" w:right="239" w:firstLine="1291"/>
        <w:spacing w:after="0" w:line="253" w:lineRule="auto"/>
        <w:tabs>
          <w:tab w:leader="none" w:pos="1826" w:val="left"/>
        </w:tabs>
        <w:numPr>
          <w:ilvl w:val="0"/>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(i)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(ii) engages in any dealings or transactions prohibited by Section 2 of such executive order, or is otherwise associated with any such person in any manner violative of Section 2, or (iii) is a person on the list of Specially Designated Nationals and Blocked Persons or subject to the limitations or prohibitions under any other U.S. Department of Treasury’s Office of Foreign Assets Control regulation or executive order.</w:t>
      </w:r>
    </w:p>
    <w:p>
      <w:pPr>
        <w:spacing w:after="0" w:line="206" w:lineRule="exact"/>
        <w:rPr>
          <w:rFonts w:ascii="Times New Roman" w:cs="Times New Roman" w:eastAsia="Times New Roman" w:hAnsi="Times New Roman"/>
          <w:sz w:val="20"/>
          <w:szCs w:val="20"/>
          <w:color w:val="010000"/>
        </w:rPr>
      </w:pPr>
    </w:p>
    <w:p>
      <w:pPr>
        <w:jc w:val="both"/>
        <w:ind w:left="4" w:right="239" w:firstLine="1291"/>
        <w:spacing w:after="0" w:line="253" w:lineRule="auto"/>
        <w:tabs>
          <w:tab w:leader="none" w:pos="1829" w:val="left"/>
        </w:tabs>
        <w:numPr>
          <w:ilvl w:val="0"/>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0023"/>
          </w:cols>
          <w:pgMar w:left="436" w:top="1413" w:right="1440" w:bottom="1440" w:gutter="0" w:footer="0" w:header="0"/>
        </w:sectPr>
      </w:pPr>
    </w:p>
    <w:bookmarkStart w:id="123" w:name="page124"/>
    <w:bookmarkEnd w:id="123"/>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3.08. </w:t>
      </w:r>
      <w:r>
        <w:rPr>
          <w:rFonts w:ascii="Times New Roman" w:cs="Times New Roman" w:eastAsia="Times New Roman" w:hAnsi="Times New Roman"/>
          <w:sz w:val="20"/>
          <w:szCs w:val="20"/>
          <w:u w:val="single" w:color="auto"/>
          <w:color w:val="000000"/>
        </w:rPr>
        <w:t>Investment Company Status</w:t>
      </w:r>
      <w:r>
        <w:rPr>
          <w:rFonts w:ascii="Times New Roman" w:cs="Times New Roman" w:eastAsia="Times New Roman" w:hAnsi="Times New Roman"/>
          <w:sz w:val="20"/>
          <w:szCs w:val="20"/>
          <w:color w:val="000000"/>
        </w:rPr>
        <w:t>. No Loan Party is an “investment company” as defined in,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subject to regulation under, the Investment Company Act of 1940.</w:t>
      </w:r>
    </w:p>
    <w:p>
      <w:pPr>
        <w:spacing w:after="0" w:line="187" w:lineRule="exact"/>
        <w:rPr>
          <w:sz w:val="20"/>
          <w:szCs w:val="20"/>
          <w:color w:val="auto"/>
        </w:rPr>
      </w:pPr>
    </w:p>
    <w:p>
      <w:pPr>
        <w:jc w:val="both"/>
        <w:ind w:right="239"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3.09.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Each of the Company and its Subsidiaries has timely filed or caused to be filed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Tax or UK Tax returns and reports required to have been filed and has paid or caused to be paid all Taxes and UK Taxes required to have been paid by it, except (a) Taxes or UK Taxes that are being contested in good faith by appropriate proceedings and for which the Company or such Subsidiary, as applicable, has set aside on its books adequate reserves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to the extent that the failure to do so could not reasonably be expected to result in a Material Adverse Effect.</w:t>
      </w:r>
    </w:p>
    <w:p>
      <w:pPr>
        <w:spacing w:after="0" w:line="234" w:lineRule="exact"/>
        <w:rPr>
          <w:sz w:val="20"/>
          <w:szCs w:val="20"/>
          <w:color w:val="auto"/>
        </w:rPr>
      </w:pPr>
    </w:p>
    <w:p>
      <w:pPr>
        <w:jc w:val="both"/>
        <w:ind w:right="25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3.10. </w:t>
      </w:r>
      <w:r>
        <w:rPr>
          <w:rFonts w:ascii="Times New Roman" w:cs="Times New Roman" w:eastAsia="Times New Roman" w:hAnsi="Times New Roman"/>
          <w:sz w:val="20"/>
          <w:szCs w:val="20"/>
          <w:u w:val="single" w:color="auto"/>
          <w:color w:val="000000"/>
        </w:rPr>
        <w:t>ERISA; Non-U.S. Pension Plans</w:t>
      </w:r>
      <w:r>
        <w:rPr>
          <w:rFonts w:ascii="Times New Roman" w:cs="Times New Roman" w:eastAsia="Times New Roman" w:hAnsi="Times New Roman"/>
          <w:sz w:val="20"/>
          <w:szCs w:val="20"/>
          <w:color w:val="000000"/>
        </w:rPr>
        <w:t>. (a) No ERISA Event has occurred or is reasonably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expected to occur that, when taken together with all other such ERISA Events for which liability is reasonably expected to occur, could reasonably be expected to result in a Material Adverse Effect.</w:t>
      </w:r>
    </w:p>
    <w:p>
      <w:pPr>
        <w:spacing w:after="0" w:line="73" w:lineRule="exact"/>
        <w:rPr>
          <w:sz w:val="20"/>
          <w:szCs w:val="20"/>
          <w:color w:val="auto"/>
        </w:rPr>
      </w:pPr>
    </w:p>
    <w:p>
      <w:pPr>
        <w:ind w:right="259" w:firstLine="1291"/>
        <w:spacing w:after="0" w:line="249" w:lineRule="auto"/>
        <w:tabs>
          <w:tab w:leader="none" w:pos="1724"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Non-U.S. Pension Plan is in compliance with all requirements of law applicable thereto and the respective requirements of the governing documents for such plan except to the extent such non-compliance could not reasonably be expected to result in a Material Adverse Effect. With respect to each Non-U.S. Pension Plan, none of the Company, its Affiliates or any of their directors, officers, employees or agents has engaged in a transaction, or other act or omission (including entering into this Agreement and any act done or to be done in connection with this Agreement), that has subjected, or could reasonably be expected to subject, the Company or any of its Subsidiaries, directly or indirectly, to any penalty (including any tax or civil penalty), fine, claim or other liability (including any liability under a contribution notice or financial support direction (as those terms are defined in the United Kingdom Pensions Act 2004) or in relation to the exercise of any Criminal Pension Power), or any liability or amount payable under section 75 or 75A of the United Kingdom Pensions Act 1995), that could reasonably be expected, individually or in the aggregate, to have a Material Adverse Effect and there are no facts or circumstances which may give rise to any such penalty, fine, claim, or other liability. With respect to each Non-U.S. Pension Plan, reserves have been established in the financial statements furnished to Lenders in respect of any unfunded liabilities in accordance with applicable law or, where required, in accordance with ordinary accounting practices in the jurisdiction in which such Non-U.S. Pension Plan is maintained. The aggregate unfunded liabilities with respect to such Non-U.S. Pension Plans could not reasonably be expected to result in a Material Adverse Effect before the date that, in relation to a Non-U.S. Pension Plan, if, (i) the entire debt is triggered under Section 75 or section 75A of the United Kingdom Pensions Act 1995 or (ii) a contribution notice or financial support direction is issued or any Criminal Pension Power is exercised in respect of any Non-U.S. Pension Plan. There are no actions, suits or claims (other than routine claims for benefits) pending against or, to the knowledge of any Borrower, threatened in writing against the Company or any of its Subsidiaries with respect to any Non-U.S. Pension Plan which could reasonably be expected, individually or in the aggregate, to result in a Material Adverse Effect.</w:t>
      </w:r>
    </w:p>
    <w:p>
      <w:pPr>
        <w:spacing w:after="0" w:line="79" w:lineRule="exact"/>
        <w:rPr>
          <w:sz w:val="20"/>
          <w:szCs w:val="20"/>
          <w:color w:val="auto"/>
        </w:rPr>
      </w:pPr>
    </w:p>
    <w:p>
      <w:pPr>
        <w:ind w:right="339"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3.11.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The Company has disclosed (directly or through disclosure in its reports filed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with the SEC) to the Lenders all agreements, instruments and corporate or other restrictions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Company or any Subsidiary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with respect to projected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0019"/>
          </w:cols>
          <w:pgMar w:left="440" w:top="1413" w:right="1440" w:bottom="1440" w:gutter="0" w:footer="0" w:header="0"/>
        </w:sectPr>
      </w:pPr>
    </w:p>
    <w:bookmarkStart w:id="124" w:name="page125"/>
    <w:bookmarkEnd w:id="124"/>
    <w:p>
      <w:pPr>
        <w:jc w:val="both"/>
        <w:ind w:right="239"/>
        <w:spacing w:after="0" w:line="258" w:lineRule="auto"/>
        <w:rPr>
          <w:sz w:val="20"/>
          <w:szCs w:val="20"/>
          <w:color w:val="auto"/>
        </w:rPr>
      </w:pPr>
      <w:r>
        <w:rPr>
          <w:rFonts w:ascii="Times New Roman" w:cs="Times New Roman" w:eastAsia="Times New Roman" w:hAnsi="Times New Roman"/>
          <w:sz w:val="20"/>
          <w:szCs w:val="20"/>
          <w:color w:val="auto"/>
        </w:rPr>
        <w:t>financial information, the Borrowers represent only that such information was prepared in good faith based upon assumptions believed to be reasonable at the time. As of the Restatement Effective Date, to the best knowledge of the Company, the information included in the Beneficial Ownership Certification provided on or prior to the Restatement Effective Date to any Lender in connection with this Agreement is true and correct in all respects.</w:t>
      </w:r>
    </w:p>
    <w:p>
      <w:pPr>
        <w:spacing w:after="0" w:line="213"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3.12. </w:t>
      </w:r>
      <w:r>
        <w:rPr>
          <w:rFonts w:ascii="Times New Roman" w:cs="Times New Roman" w:eastAsia="Times New Roman" w:hAnsi="Times New Roman"/>
          <w:sz w:val="20"/>
          <w:szCs w:val="20"/>
          <w:u w:val="single" w:color="auto"/>
          <w:color w:val="000000"/>
        </w:rPr>
        <w:t>Federal Reserve Regulations</w:t>
      </w:r>
      <w:r>
        <w:rPr>
          <w:rFonts w:ascii="Times New Roman" w:cs="Times New Roman" w:eastAsia="Times New Roman" w:hAnsi="Times New Roman"/>
          <w:sz w:val="20"/>
          <w:szCs w:val="20"/>
          <w:color w:val="000000"/>
        </w:rPr>
        <w:t>. No part of the proceeds of any Loan have been used or will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 used, whether directly or indirectly, for any purpose that entails a violation of any of the Regulations of the Board, including Regulations T, U and X.</w:t>
      </w:r>
    </w:p>
    <w:p>
      <w:pPr>
        <w:spacing w:after="0" w:line="222" w:lineRule="exact"/>
        <w:rPr>
          <w:sz w:val="20"/>
          <w:szCs w:val="20"/>
          <w:color w:val="auto"/>
        </w:rPr>
      </w:pPr>
    </w:p>
    <w:p>
      <w:pPr>
        <w:jc w:val="both"/>
        <w:ind w:right="239"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3.13.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There are no Liens on any of the real or personal properties of the Company or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Subsidiary except for Liens permitted by Section 6.02.</w:t>
      </w:r>
    </w:p>
    <w:p>
      <w:pPr>
        <w:spacing w:after="0" w:line="281" w:lineRule="exact"/>
        <w:rPr>
          <w:sz w:val="20"/>
          <w:szCs w:val="20"/>
          <w:color w:val="auto"/>
        </w:rPr>
      </w:pPr>
    </w:p>
    <w:p>
      <w:pPr>
        <w:ind w:left="1300"/>
        <w:spacing w:after="0"/>
        <w:tabs>
          <w:tab w:leader="none" w:pos="3740" w:val="left"/>
        </w:tabs>
        <w:rPr>
          <w:sz w:val="20"/>
          <w:szCs w:val="20"/>
          <w:color w:val="auto"/>
        </w:rPr>
      </w:pPr>
      <w:r>
        <w:rPr>
          <w:rFonts w:ascii="Times New Roman" w:cs="Times New Roman" w:eastAsia="Times New Roman" w:hAnsi="Times New Roman"/>
          <w:sz w:val="20"/>
          <w:szCs w:val="20"/>
          <w:color w:val="010000"/>
        </w:rPr>
        <w:t xml:space="preserve">SECTION 3.14. </w:t>
      </w:r>
      <w:r>
        <w:rPr>
          <w:rFonts w:ascii="Times New Roman" w:cs="Times New Roman" w:eastAsia="Times New Roman" w:hAnsi="Times New Roman"/>
          <w:sz w:val="20"/>
          <w:szCs w:val="20"/>
          <w:u w:val="single" w:color="auto"/>
          <w:color w:val="000000"/>
        </w:rPr>
        <w:t>No Default</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auto"/>
        </w:rPr>
        <w:t>No Default or Event of Default has occurred and 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continuing.</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3.15. </w:t>
      </w:r>
      <w:r>
        <w:rPr>
          <w:rFonts w:ascii="Times New Roman" w:cs="Times New Roman" w:eastAsia="Times New Roman" w:hAnsi="Times New Roman"/>
          <w:sz w:val="20"/>
          <w:szCs w:val="20"/>
          <w:u w:val="single" w:color="auto"/>
          <w:color w:val="000000"/>
        </w:rPr>
        <w:t>Anti-Corruption Laws and Sanctions</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jc w:val="both"/>
        <w:ind w:left="640" w:right="199" w:firstLine="651"/>
        <w:spacing w:after="0" w:line="250" w:lineRule="auto"/>
        <w:tabs>
          <w:tab w:leader="none" w:pos="1818"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implemented and maintains in effect policies and procedures designed to ensure compliance by the Company, its Subsidiaries and their respective directors, officers, employees and agents with Anti-Corruption Laws and applicable Sanctions, and the Company, its Subsidiaries and their respective officers and directors and to the knowledge of the Company its employees and agents, are in compliance with Anti-Corruption Laws and applicable Sanctions in all material respects and, in the case of any Foreign Subsidiary Borrower, is not knowingly engaged in any activity that could reasonably be expected to result in such Borrower being designated as a Sanctioned Person.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directly or indirectly or other Transactions will violate Anti-Corruption Laws or applicable Sanctions.</w:t>
      </w:r>
    </w:p>
    <w:p>
      <w:pPr>
        <w:spacing w:after="0" w:line="226" w:lineRule="exact"/>
        <w:rPr>
          <w:rFonts w:ascii="Times New Roman" w:cs="Times New Roman" w:eastAsia="Times New Roman" w:hAnsi="Times New Roman"/>
          <w:sz w:val="20"/>
          <w:szCs w:val="20"/>
          <w:color w:val="010000"/>
        </w:rPr>
      </w:pPr>
    </w:p>
    <w:p>
      <w:pPr>
        <w:jc w:val="both"/>
        <w:ind w:left="640" w:right="239" w:firstLine="651"/>
        <w:spacing w:after="0" w:line="253" w:lineRule="auto"/>
        <w:tabs>
          <w:tab w:leader="none" w:pos="1814"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in this Section 3.15 shall not be made by any German Borrower in so far as they would violate or expose any German Borrower or any of its Subsidiaries or any director, officer or employee thereof to any liability under any anti-boycott or blocking law, regulation or statute that is in force from time to time and applicable to such entity (including without limitation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jc w:val="both"/>
        <w:ind w:left="640" w:right="239" w:firstLine="652"/>
        <w:spacing w:after="0" w:line="251" w:lineRule="auto"/>
        <w:tabs>
          <w:tab w:leader="none" w:pos="1818"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in this Section 3.15 given by any Borrower to any Lender that qualifies as a resident party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are made only to the extent that any Lender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would be permitted to make such undertakings pursuant to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0019"/>
          </w:cols>
          <w:pgMar w:left="440" w:top="1413" w:right="1440" w:bottom="1440" w:gutter="0" w:footer="0" w:header="0"/>
        </w:sectPr>
      </w:pPr>
    </w:p>
    <w:bookmarkStart w:id="125" w:name="page126"/>
    <w:bookmarkEnd w:id="125"/>
    <w:p>
      <w:pPr>
        <w:ind w:left="1300"/>
        <w:spacing w:after="0"/>
        <w:rPr>
          <w:sz w:val="20"/>
          <w:szCs w:val="20"/>
          <w:color w:val="auto"/>
        </w:rPr>
      </w:pPr>
      <w:r>
        <w:rPr>
          <w:rFonts w:ascii="Times New Roman" w:cs="Times New Roman" w:eastAsia="Times New Roman" w:hAnsi="Times New Roman"/>
          <w:sz w:val="20"/>
          <w:szCs w:val="20"/>
          <w:color w:val="010000"/>
        </w:rPr>
        <w:t xml:space="preserve">SECTION 3.16. </w:t>
      </w:r>
      <w:r>
        <w:rPr>
          <w:rFonts w:ascii="Times New Roman" w:cs="Times New Roman" w:eastAsia="Times New Roman" w:hAnsi="Times New Roman"/>
          <w:sz w:val="20"/>
          <w:szCs w:val="20"/>
          <w:u w:val="single" w:color="auto"/>
          <w:color w:val="000000"/>
        </w:rPr>
        <w:t>Affected Financial Institutions</w:t>
      </w:r>
      <w:r>
        <w:rPr>
          <w:rFonts w:ascii="Times New Roman" w:cs="Times New Roman" w:eastAsia="Times New Roman" w:hAnsi="Times New Roman"/>
          <w:sz w:val="20"/>
          <w:szCs w:val="20"/>
          <w:color w:val="000000"/>
        </w:rPr>
        <w:t>. No Borrower is an Affected Financial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Institution.</w:t>
      </w:r>
    </w:p>
    <w:p>
      <w:pPr>
        <w:spacing w:after="0" w:line="30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010000"/>
        </w:rPr>
        <w:t>ARTICLE IV</w:t>
      </w:r>
    </w:p>
    <w:p>
      <w:pPr>
        <w:spacing w:after="0" w:line="25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337" w:lineRule="exact"/>
        <w:rPr>
          <w:sz w:val="20"/>
          <w:szCs w:val="20"/>
          <w:color w:val="auto"/>
        </w:rPr>
      </w:pPr>
    </w:p>
    <w:p>
      <w:pPr>
        <w:jc w:val="both"/>
        <w:ind w:right="25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4.01. </w:t>
      </w:r>
      <w:r>
        <w:rPr>
          <w:rFonts w:ascii="Times New Roman" w:cs="Times New Roman" w:eastAsia="Times New Roman" w:hAnsi="Times New Roman"/>
          <w:sz w:val="20"/>
          <w:szCs w:val="20"/>
          <w:u w:val="single" w:color="auto"/>
          <w:color w:val="000000"/>
        </w:rPr>
        <w:t>Restatement Effective Date</w:t>
      </w:r>
      <w:r>
        <w:rPr>
          <w:rFonts w:ascii="Times New Roman" w:cs="Times New Roman" w:eastAsia="Times New Roman" w:hAnsi="Times New Roman"/>
          <w:sz w:val="20"/>
          <w:szCs w:val="20"/>
          <w:color w:val="000000"/>
        </w:rPr>
        <w:t>. The obligations of the Lenders to make Loans and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Issuing Banks to issue Letters of Credit hereunder shall not become effective until the date on which each of the following conditions is satisfied (or waived in accordance with Section 9.02):</w:t>
      </w:r>
    </w:p>
    <w:p>
      <w:pPr>
        <w:spacing w:after="0" w:line="208" w:lineRule="exact"/>
        <w:rPr>
          <w:sz w:val="20"/>
          <w:szCs w:val="20"/>
          <w:color w:val="auto"/>
        </w:rPr>
      </w:pPr>
    </w:p>
    <w:p>
      <w:pPr>
        <w:jc w:val="both"/>
        <w:ind w:left="640" w:right="239" w:firstLine="651"/>
        <w:spacing w:after="0" w:line="251" w:lineRule="auto"/>
        <w:tabs>
          <w:tab w:leader="none" w:pos="1818" w:val="left"/>
        </w:tabs>
        <w:numPr>
          <w:ilvl w:val="1"/>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(or its counsel) shall have received (i) 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duly executed copies of the Loan Documents and such other legal opinions, certificates, documents, instruments and agreements as the Administrative Agent shall reasonably request in connection with the Transactions, all in form and substance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22" w:lineRule="exact"/>
        <w:rPr>
          <w:rFonts w:ascii="Times New Roman" w:cs="Times New Roman" w:eastAsia="Times New Roman" w:hAnsi="Times New Roman"/>
          <w:sz w:val="20"/>
          <w:szCs w:val="20"/>
          <w:color w:val="010000"/>
        </w:rPr>
      </w:pPr>
    </w:p>
    <w:p>
      <w:pPr>
        <w:jc w:val="both"/>
        <w:ind w:left="640" w:right="239" w:firstLine="651"/>
        <w:spacing w:after="0" w:line="252" w:lineRule="auto"/>
        <w:tabs>
          <w:tab w:leader="none" w:pos="1815" w:val="left"/>
        </w:tabs>
        <w:numPr>
          <w:ilvl w:val="1"/>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favorable written opinions (addressed to the Administrative Agent and the Lenders and dated the Restatement Effective Date) of each of (i) Morgan, Lewis &amp; Bockius LLP, U.S. counsel for the Loan Parties, substantially in the form of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(ii) CMS Cameron McKenna LLP, England and Wales counsel for the Loan Parties, substantially in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(iii) McCarthy Tetrault LLP, Canadian counsel for the Loan Parties, substantially in the form of </w:t>
      </w:r>
      <w:r>
        <w:rPr>
          <w:rFonts w:ascii="Times New Roman" w:cs="Times New Roman" w:eastAsia="Times New Roman" w:hAnsi="Times New Roman"/>
          <w:sz w:val="20"/>
          <w:szCs w:val="20"/>
          <w:u w:val="single" w:color="auto"/>
          <w:color w:val="auto"/>
        </w:rPr>
        <w:t>Exhibit B-3</w:t>
      </w:r>
      <w:r>
        <w:rPr>
          <w:rFonts w:ascii="Times New Roman" w:cs="Times New Roman" w:eastAsia="Times New Roman" w:hAnsi="Times New Roman"/>
          <w:sz w:val="20"/>
          <w:szCs w:val="20"/>
          <w:color w:val="auto"/>
        </w:rPr>
        <w:t xml:space="preserve"> and (iv) CMS Hasche Sigle, German counsel for the Loan Parties, substantially in the form of </w:t>
      </w:r>
      <w:r>
        <w:rPr>
          <w:rFonts w:ascii="Times New Roman" w:cs="Times New Roman" w:eastAsia="Times New Roman" w:hAnsi="Times New Roman"/>
          <w:sz w:val="20"/>
          <w:szCs w:val="20"/>
          <w:u w:val="single" w:color="auto"/>
          <w:color w:val="auto"/>
        </w:rPr>
        <w:t>Exhibit B-4</w:t>
      </w:r>
      <w:r>
        <w:rPr>
          <w:rFonts w:ascii="Times New Roman" w:cs="Times New Roman" w:eastAsia="Times New Roman" w:hAnsi="Times New Roman"/>
          <w:sz w:val="20"/>
          <w:szCs w:val="20"/>
          <w:color w:val="auto"/>
        </w:rPr>
        <w:t>, and in each case covering such other matters relating to the Loan Parties, the Loan Documents or the Transactions as the Administrative Agent shall reasonably request. The Company hereby requests such counsel to deliver such opinions.</w:t>
      </w:r>
    </w:p>
    <w:p>
      <w:pPr>
        <w:spacing w:after="0" w:line="202" w:lineRule="exact"/>
        <w:rPr>
          <w:rFonts w:ascii="Times New Roman" w:cs="Times New Roman" w:eastAsia="Times New Roman" w:hAnsi="Times New Roman"/>
          <w:sz w:val="20"/>
          <w:szCs w:val="20"/>
          <w:color w:val="010000"/>
        </w:rPr>
      </w:pPr>
    </w:p>
    <w:p>
      <w:pPr>
        <w:jc w:val="both"/>
        <w:ind w:left="640" w:right="239" w:firstLine="651"/>
        <w:spacing w:after="0" w:line="253" w:lineRule="auto"/>
        <w:tabs>
          <w:tab w:leader="none" w:pos="1818" w:val="left"/>
        </w:tabs>
        <w:numPr>
          <w:ilvl w:val="1"/>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jc w:val="both"/>
        <w:ind w:left="640" w:right="199" w:firstLine="651"/>
        <w:spacing w:after="0" w:line="268" w:lineRule="auto"/>
        <w:tabs>
          <w:tab w:leader="none" w:pos="1815" w:val="left"/>
        </w:tabs>
        <w:numPr>
          <w:ilvl w:val="1"/>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a certificate, dated the Restatement Effective Date and signed by the President, a Vice President or a Financial Officer of the Company, confirming compliance with the conditions set forth in paragraphs (a) and (b) of Section 4.02.</w:t>
      </w:r>
    </w:p>
    <w:p>
      <w:pPr>
        <w:spacing w:after="0" w:line="201" w:lineRule="exact"/>
        <w:rPr>
          <w:rFonts w:ascii="Times New Roman" w:cs="Times New Roman" w:eastAsia="Times New Roman" w:hAnsi="Times New Roman"/>
          <w:sz w:val="20"/>
          <w:szCs w:val="20"/>
          <w:color w:val="010000"/>
        </w:rPr>
      </w:pPr>
    </w:p>
    <w:p>
      <w:pPr>
        <w:ind w:left="1820" w:hanging="529"/>
        <w:spacing w:after="0"/>
        <w:tabs>
          <w:tab w:leader="none" w:pos="1820" w:val="left"/>
        </w:tabs>
        <w:numPr>
          <w:ilvl w:val="1"/>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Administrative Agent, and any Lender that has so requested, shall have received, at least ten</w:t>
      </w:r>
    </w:p>
    <w:p>
      <w:pPr>
        <w:spacing w:after="0" w:line="28" w:lineRule="exact"/>
        <w:rPr>
          <w:rFonts w:ascii="Times New Roman" w:cs="Times New Roman" w:eastAsia="Times New Roman" w:hAnsi="Times New Roman"/>
          <w:sz w:val="20"/>
          <w:szCs w:val="20"/>
          <w:color w:val="010000"/>
        </w:rPr>
      </w:pPr>
    </w:p>
    <w:p>
      <w:pPr>
        <w:jc w:val="both"/>
        <w:ind w:left="640" w:right="219" w:firstLine="4"/>
        <w:spacing w:after="0" w:line="250" w:lineRule="auto"/>
        <w:tabs>
          <w:tab w:leader="none" w:pos="108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to the Restatement Effective Date, all documentation and other information regarding the Borrowers requested in connection with applicable “know your customer” and Anti-Money Laundering Laws, including the Patriot Act, to the extent requested in writing, of the Company at least ten (10) days prior to the Restatement Effective Date and (ii) to the extent any Borrower qualifies as a “legal entity customer” under the Beneficial Ownership Regulation, at least ten (10) days prior to the Restatement Effective Date, any Lender that has</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0019"/>
          </w:cols>
          <w:pgMar w:left="440" w:top="1413" w:right="1440" w:bottom="1440" w:gutter="0" w:footer="0" w:header="0"/>
          <w:type w:val="continuous"/>
        </w:sectPr>
      </w:pPr>
    </w:p>
    <w:bookmarkStart w:id="126" w:name="page127"/>
    <w:bookmarkEnd w:id="126"/>
    <w:p>
      <w:pPr>
        <w:jc w:val="both"/>
        <w:ind w:left="640" w:right="239"/>
        <w:spacing w:after="0" w:line="258" w:lineRule="auto"/>
        <w:rPr>
          <w:sz w:val="20"/>
          <w:szCs w:val="20"/>
          <w:color w:val="auto"/>
        </w:rPr>
      </w:pPr>
      <w:r>
        <w:rPr>
          <w:rFonts w:ascii="Times New Roman" w:cs="Times New Roman" w:eastAsia="Times New Roman" w:hAnsi="Times New Roman"/>
          <w:sz w:val="20"/>
          <w:szCs w:val="20"/>
          <w:color w:val="auto"/>
        </w:rPr>
        <w:t>requested, in a written notice to the Company at least ten (10) days prior to the Restatement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(e) shall be deemed to be satisfied).</w:t>
      </w:r>
    </w:p>
    <w:p>
      <w:pPr>
        <w:spacing w:after="0" w:line="213" w:lineRule="exact"/>
        <w:rPr>
          <w:sz w:val="20"/>
          <w:szCs w:val="20"/>
          <w:color w:val="auto"/>
        </w:rPr>
      </w:pPr>
    </w:p>
    <w:p>
      <w:pPr>
        <w:jc w:val="both"/>
        <w:ind w:left="640" w:right="239" w:firstLine="652"/>
        <w:spacing w:after="0" w:line="261" w:lineRule="auto"/>
        <w:tabs>
          <w:tab w:leader="none" w:pos="1823"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from the Company, for the benefit of each Term Lender under (and as defined in) the Existing Credit Agreement payment of the outstanding principal amount of all Term Loans under (and as defined in) the Existing Credit Agreement and all accrued interest thereon.</w:t>
      </w:r>
    </w:p>
    <w:p>
      <w:pPr>
        <w:spacing w:after="0" w:line="221" w:lineRule="exact"/>
        <w:rPr>
          <w:rFonts w:ascii="Times New Roman" w:cs="Times New Roman" w:eastAsia="Times New Roman" w:hAnsi="Times New Roman"/>
          <w:sz w:val="20"/>
          <w:szCs w:val="20"/>
          <w:color w:val="010000"/>
        </w:rPr>
      </w:pPr>
    </w:p>
    <w:p>
      <w:pPr>
        <w:jc w:val="both"/>
        <w:ind w:left="640" w:right="239" w:firstLine="651"/>
        <w:spacing w:after="0" w:line="261" w:lineRule="auto"/>
        <w:tabs>
          <w:tab w:leader="none" w:pos="1815"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been paid all fees and other amounts due and payable on or prior to the Restatement Effective Date, including, to the extent invoiced, reimbursement or payment of all out-of-pocket expenses required to be reimbursed or paid by the Company hereunder.</w:t>
      </w:r>
    </w:p>
    <w:p>
      <w:pPr>
        <w:spacing w:after="0" w:line="208" w:lineRule="exact"/>
        <w:rPr>
          <w:sz w:val="20"/>
          <w:szCs w:val="20"/>
          <w:color w:val="auto"/>
        </w:rPr>
      </w:pPr>
    </w:p>
    <w:p>
      <w:pPr>
        <w:ind w:right="259"/>
        <w:spacing w:after="0" w:line="283" w:lineRule="auto"/>
        <w:rPr>
          <w:sz w:val="20"/>
          <w:szCs w:val="20"/>
          <w:color w:val="auto"/>
        </w:rPr>
      </w:pPr>
      <w:r>
        <w:rPr>
          <w:rFonts w:ascii="Times New Roman" w:cs="Times New Roman" w:eastAsia="Times New Roman" w:hAnsi="Times New Roman"/>
          <w:sz w:val="20"/>
          <w:szCs w:val="20"/>
          <w:color w:val="auto"/>
        </w:rPr>
        <w:t>The Administrative Agent shall notify the Company and the Lenders of the Restatement Effective Date, and such notice shall be conclusive and binding.</w:t>
      </w:r>
    </w:p>
    <w:p>
      <w:pPr>
        <w:spacing w:after="0" w:line="187" w:lineRule="exact"/>
        <w:rPr>
          <w:sz w:val="20"/>
          <w:szCs w:val="20"/>
          <w:color w:val="auto"/>
        </w:rPr>
      </w:pPr>
    </w:p>
    <w:p>
      <w:pPr>
        <w:jc w:val="both"/>
        <w:ind w:right="21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4.02. </w:t>
      </w:r>
      <w:r>
        <w:rPr>
          <w:rFonts w:ascii="Times New Roman" w:cs="Times New Roman" w:eastAsia="Times New Roman" w:hAnsi="Times New Roman"/>
          <w:sz w:val="20"/>
          <w:szCs w:val="20"/>
          <w:u w:val="single" w:color="auto"/>
          <w:color w:val="000000"/>
        </w:rPr>
        <w:t>Each Credit Event</w:t>
      </w:r>
      <w:r>
        <w:rPr>
          <w:rFonts w:ascii="Times New Roman" w:cs="Times New Roman" w:eastAsia="Times New Roman" w:hAnsi="Times New Roman"/>
          <w:sz w:val="20"/>
          <w:szCs w:val="20"/>
          <w:color w:val="000000"/>
        </w:rPr>
        <w:t>. The obligation of each Lender to make a Loan on the occasion of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Borrowing, and of the Issuing Banks to issue, amend, renew or extend any Letter of Credit, is subject to the satisfaction of the following conditions:</w:t>
      </w:r>
    </w:p>
    <w:p>
      <w:pPr>
        <w:spacing w:after="0" w:line="208" w:lineRule="exact"/>
        <w:rPr>
          <w:sz w:val="20"/>
          <w:szCs w:val="20"/>
          <w:color w:val="auto"/>
        </w:rPr>
      </w:pPr>
    </w:p>
    <w:p>
      <w:pPr>
        <w:jc w:val="both"/>
        <w:ind w:left="640" w:right="239" w:firstLine="652"/>
        <w:spacing w:after="0" w:line="253" w:lineRule="auto"/>
        <w:tabs>
          <w:tab w:leader="none" w:pos="1818"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of the Borrowers set forth in this Agreement shall be true and correct in all material respects (or, in the case of any representation or warranty qualified by materiality or Material Adverse Effect, in all respects) on and as of the date of such Borrowing or the date of issuance, amendment, renewal or extension of such Letter of Credit (except to the extent any such representation or warranty expressly relates to any earlier and/or specific date, in which case such representation and warranty shall be true and correct in all material respects (or, in the case of any representation or warranty qualified by materiality or Material Adverse Effect, in all respects) as of such earlier and/or specific date), as applicable.</w:t>
      </w:r>
    </w:p>
    <w:p>
      <w:pPr>
        <w:spacing w:after="0" w:line="219" w:lineRule="exact"/>
        <w:rPr>
          <w:rFonts w:ascii="Times New Roman" w:cs="Times New Roman" w:eastAsia="Times New Roman" w:hAnsi="Times New Roman"/>
          <w:sz w:val="20"/>
          <w:szCs w:val="20"/>
          <w:color w:val="010000"/>
        </w:rPr>
      </w:pPr>
    </w:p>
    <w:p>
      <w:pPr>
        <w:ind w:left="640" w:right="259" w:firstLine="652"/>
        <w:spacing w:after="0" w:line="269" w:lineRule="auto"/>
        <w:tabs>
          <w:tab w:leader="none" w:pos="1816"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time of and immediately after giving effect to such Borrowing or the issuance, amendment, renewal or extension of such Letter of Credit, as applicable, no Default or Event of Default shall exist.</w:t>
      </w:r>
    </w:p>
    <w:p>
      <w:pPr>
        <w:spacing w:after="0" w:line="213" w:lineRule="exact"/>
        <w:rPr>
          <w:sz w:val="20"/>
          <w:szCs w:val="20"/>
          <w:color w:val="auto"/>
        </w:rPr>
      </w:pPr>
    </w:p>
    <w:p>
      <w:pPr>
        <w:jc w:val="both"/>
        <w:ind w:right="239"/>
        <w:spacing w:after="0" w:line="261" w:lineRule="auto"/>
        <w:rPr>
          <w:sz w:val="20"/>
          <w:szCs w:val="20"/>
          <w:color w:val="auto"/>
        </w:rPr>
      </w:pPr>
      <w:r>
        <w:rPr>
          <w:rFonts w:ascii="Times New Roman" w:cs="Times New Roman" w:eastAsia="Times New Roman" w:hAnsi="Times New Roman"/>
          <w:sz w:val="20"/>
          <w:szCs w:val="20"/>
          <w:color w:val="auto"/>
        </w:rPr>
        <w:t>Each Borrowing and each issuance, amendment, renewal or extension of a Letter of Credit shall be deemed to constitute a representation and warranty by the Borrowers on the date thereof as to the matters specified in paragraphs (a) and (b) of this Section.</w:t>
      </w:r>
    </w:p>
    <w:p>
      <w:pPr>
        <w:spacing w:after="0" w:line="208"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4.03. </w:t>
      </w:r>
      <w:r>
        <w:rPr>
          <w:rFonts w:ascii="Times New Roman" w:cs="Times New Roman" w:eastAsia="Times New Roman" w:hAnsi="Times New Roman"/>
          <w:sz w:val="20"/>
          <w:szCs w:val="20"/>
          <w:u w:val="single" w:color="auto"/>
          <w:color w:val="000000"/>
        </w:rPr>
        <w:t>Designation of a Foreign Subsidiary Borrower</w:t>
      </w:r>
      <w:r>
        <w:rPr>
          <w:rFonts w:ascii="Times New Roman" w:cs="Times New Roman" w:eastAsia="Times New Roman" w:hAnsi="Times New Roman"/>
          <w:sz w:val="20"/>
          <w:szCs w:val="20"/>
          <w:color w:val="000000"/>
        </w:rPr>
        <w:t>. The designation of a Foreign Subsidiary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Borrower pursuant to Section 2.24 is subject to the condition precedent that the Company or such proposed Foreign Subsidiary Borrower shall have furnished or caused to be furnished to the Administrative Agent:</w:t>
      </w:r>
    </w:p>
    <w:p>
      <w:pPr>
        <w:spacing w:after="0" w:line="208" w:lineRule="exact"/>
        <w:rPr>
          <w:sz w:val="20"/>
          <w:szCs w:val="20"/>
          <w:color w:val="auto"/>
        </w:rPr>
      </w:pPr>
    </w:p>
    <w:p>
      <w:pPr>
        <w:jc w:val="both"/>
        <w:ind w:left="640" w:right="219" w:firstLine="652"/>
        <w:spacing w:after="0" w:line="258" w:lineRule="auto"/>
        <w:tabs>
          <w:tab w:leader="none" w:pos="1818"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Copies, certified by the Secretary or Assistant Secretary of such Subsidiary, of its Board of Directors’ resolutions (and resolutions of other bodies, if any are deemed necessary by counsel for the Administrative Agent) approving the Borrowing Subsidiary Agreement and any other Loan Documents to which such Subsidiary is becoming a party and such documents 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0019"/>
          </w:cols>
          <w:pgMar w:left="440" w:top="1413" w:right="1440" w:bottom="1440" w:gutter="0" w:footer="0" w:header="0"/>
        </w:sectPr>
      </w:pPr>
    </w:p>
    <w:bookmarkStart w:id="127" w:name="page128"/>
    <w:bookmarkEnd w:id="127"/>
    <w:p>
      <w:pPr>
        <w:ind w:left="640" w:right="979"/>
        <w:spacing w:after="0" w:line="283" w:lineRule="auto"/>
        <w:rPr>
          <w:sz w:val="20"/>
          <w:szCs w:val="20"/>
          <w:color w:val="auto"/>
        </w:rPr>
      </w:pPr>
      <w:r>
        <w:rPr>
          <w:rFonts w:ascii="Times New Roman" w:cs="Times New Roman" w:eastAsia="Times New Roman" w:hAnsi="Times New Roman"/>
          <w:sz w:val="20"/>
          <w:szCs w:val="20"/>
          <w:color w:val="auto"/>
        </w:rPr>
        <w:t>certificates as the Administrative Agent or its counsel may reasonably request relating to the organization, existence and good standing of such Subsidiary;</w:t>
      </w:r>
    </w:p>
    <w:p>
      <w:pPr>
        <w:spacing w:after="0" w:line="187" w:lineRule="exact"/>
        <w:rPr>
          <w:sz w:val="20"/>
          <w:szCs w:val="20"/>
          <w:color w:val="auto"/>
        </w:rPr>
      </w:pPr>
    </w:p>
    <w:p>
      <w:pPr>
        <w:jc w:val="both"/>
        <w:ind w:left="640" w:right="219" w:firstLine="651"/>
        <w:spacing w:after="0" w:line="253" w:lineRule="auto"/>
        <w:tabs>
          <w:tab w:leader="none" w:pos="1814"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incumbency certificate, executed by the Secretary or Assistant Secretary of such Subsidiary, which shall identify by name and title and bear the signature of the officers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218" w:lineRule="exact"/>
        <w:rPr>
          <w:rFonts w:ascii="Times New Roman" w:cs="Times New Roman" w:eastAsia="Times New Roman" w:hAnsi="Times New Roman"/>
          <w:sz w:val="20"/>
          <w:szCs w:val="20"/>
          <w:color w:val="010000"/>
        </w:rPr>
      </w:pPr>
    </w:p>
    <w:p>
      <w:pPr>
        <w:jc w:val="both"/>
        <w:ind w:left="640" w:right="239" w:firstLine="652"/>
        <w:spacing w:after="0" w:line="258" w:lineRule="auto"/>
        <w:tabs>
          <w:tab w:leader="none" w:pos="1818"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 and</w:t>
      </w:r>
    </w:p>
    <w:p>
      <w:pPr>
        <w:spacing w:after="0" w:line="212" w:lineRule="exact"/>
        <w:rPr>
          <w:rFonts w:ascii="Times New Roman" w:cs="Times New Roman" w:eastAsia="Times New Roman" w:hAnsi="Times New Roman"/>
          <w:sz w:val="20"/>
          <w:szCs w:val="20"/>
          <w:color w:val="010000"/>
        </w:rPr>
      </w:pPr>
    </w:p>
    <w:p>
      <w:pPr>
        <w:ind w:left="640" w:right="239" w:firstLine="652"/>
        <w:spacing w:after="0" w:line="283" w:lineRule="auto"/>
        <w:tabs>
          <w:tab w:leader="none" w:pos="1816"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promissory notes requested by any Lender, and any other instruments and documents reasonably requested by the Administrative Agent.</w:t>
      </w:r>
    </w:p>
    <w:p>
      <w:pPr>
        <w:spacing w:after="0" w:line="186" w:lineRule="exact"/>
        <w:rPr>
          <w:rFonts w:ascii="Times New Roman" w:cs="Times New Roman" w:eastAsia="Times New Roman" w:hAnsi="Times New Roman"/>
          <w:sz w:val="20"/>
          <w:szCs w:val="20"/>
          <w:color w:val="010000"/>
        </w:rPr>
      </w:pPr>
    </w:p>
    <w:p>
      <w:pPr>
        <w:jc w:val="both"/>
        <w:ind w:left="640" w:right="239" w:firstLine="652"/>
        <w:spacing w:after="0" w:line="261" w:lineRule="auto"/>
        <w:tabs>
          <w:tab w:leader="none" w:pos="1818"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documentation and other information related to such Subsidiary reasonably requested by the Administrative Agent or any Lender under applicable “know your customer” or similar rules and regulations, including the Patriot Act and the Beneficial Ownership Regulation.</w:t>
      </w:r>
    </w:p>
    <w:p>
      <w:pPr>
        <w:spacing w:after="0" w:line="208" w:lineRule="exact"/>
        <w:rPr>
          <w:rFonts w:ascii="Times New Roman" w:cs="Times New Roman" w:eastAsia="Times New Roman" w:hAnsi="Times New Roman"/>
          <w:sz w:val="20"/>
          <w:szCs w:val="20"/>
          <w:color w:val="010000"/>
        </w:rPr>
      </w:pPr>
    </w:p>
    <w:p>
      <w:pPr>
        <w:jc w:val="both"/>
        <w:ind w:left="640" w:right="239" w:firstLine="652"/>
        <w:spacing w:after="0" w:line="254" w:lineRule="auto"/>
        <w:tabs>
          <w:tab w:leader="none" w:pos="1823"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a Foreign Subsidiary Borrower is organized under the laws of Germany, (i) the following constitutional documents of such Foreign Subsidiary Borrower (and, if applicable, its general partner): an electronic commercial register excerpt (not older than two</w:t>
      </w:r>
    </w:p>
    <w:p>
      <w:pPr>
        <w:jc w:val="both"/>
        <w:ind w:left="640" w:right="219" w:firstLine="4"/>
        <w:spacing w:after="0" w:line="250" w:lineRule="auto"/>
        <w:tabs>
          <w:tab w:leader="none" w:pos="116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articles of association (certified by the competent commercial register), shareholders’ list (certified by the competent commercial register) and any by-laws, if applicable and (ii) a copy of a resolution of the shareholders’/partners’ and/or, if required by law or customary for such Foreign Subsidiary Borrower, resolutions of the management and/or supervisory board of such Foreign Subsidiary Borrower, partner’s/other competent corporate body’s (as applicable) meeting of each such Foreign Subsidiary Borrower approving the terms of, and the transactions contemplated by, the Borrowing Subsidiary Agreement, this Agreement and any other Loan Documents to which such Foreign Subsidiary Borrower is becoming a party and such documents and certificates as the Administrative Agent or its counsel may reasonably request and resolving that such Subsidiary executes any such documents to which it is a party.</w:t>
      </w:r>
    </w:p>
    <w:p>
      <w:pPr>
        <w:spacing w:after="0" w:line="20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010000"/>
        </w:rPr>
        <w:t>ARTICLE V</w:t>
      </w:r>
    </w:p>
    <w:p>
      <w:pPr>
        <w:spacing w:after="0" w:line="25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337" w:lineRule="exact"/>
        <w:rPr>
          <w:sz w:val="20"/>
          <w:szCs w:val="20"/>
          <w:color w:val="auto"/>
        </w:rPr>
      </w:pPr>
    </w:p>
    <w:p>
      <w:pPr>
        <w:jc w:val="both"/>
        <w:ind w:right="259" w:firstLine="1295"/>
        <w:spacing w:after="0" w:line="258"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the Company covenants and agrees with the Lenders that:</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5.01. </w:t>
      </w:r>
      <w:r>
        <w:rPr>
          <w:rFonts w:ascii="Times New Roman" w:cs="Times New Roman" w:eastAsia="Times New Roman" w:hAnsi="Times New Roman"/>
          <w:sz w:val="20"/>
          <w:szCs w:val="20"/>
          <w:u w:val="single" w:color="auto"/>
          <w:color w:val="000000"/>
        </w:rPr>
        <w:t>Financial Statements and Other Information</w:t>
      </w:r>
      <w:r>
        <w:rPr>
          <w:rFonts w:ascii="Times New Roman" w:cs="Times New Roman" w:eastAsia="Times New Roman" w:hAnsi="Times New Roman"/>
          <w:sz w:val="20"/>
          <w:szCs w:val="20"/>
          <w:color w:val="000000"/>
        </w:rPr>
        <w:t>. The Company will furnish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each Lender:</w:t>
      </w:r>
    </w:p>
    <w:p>
      <w:pPr>
        <w:spacing w:after="0" w:line="241" w:lineRule="exact"/>
        <w:rPr>
          <w:sz w:val="20"/>
          <w:szCs w:val="20"/>
          <w:color w:val="auto"/>
        </w:rPr>
      </w:pPr>
    </w:p>
    <w:p>
      <w:pPr>
        <w:jc w:val="both"/>
        <w:ind w:left="640" w:right="239" w:firstLine="651"/>
        <w:spacing w:after="0" w:line="261" w:lineRule="auto"/>
        <w:tabs>
          <w:tab w:leader="none" w:pos="1818"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ninety (90) days after the end of each fiscal year of the Company (or, if earlier, by the date that the Annual Report on Form 10-K of the Company for such fiscal year would be required to be filed under the rules and regulations of the SEC, giving effect to any</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0019"/>
          </w:cols>
          <w:pgMar w:left="440" w:top="1413" w:right="1440" w:bottom="1440" w:gutter="0" w:footer="0" w:header="0"/>
          <w:type w:val="continuous"/>
        </w:sectPr>
      </w:pPr>
    </w:p>
    <w:bookmarkStart w:id="128" w:name="page129"/>
    <w:bookmarkEnd w:id="128"/>
    <w:p>
      <w:pPr>
        <w:jc w:val="both"/>
        <w:ind w:right="239"/>
        <w:spacing w:after="0" w:line="251" w:lineRule="auto"/>
        <w:rPr>
          <w:sz w:val="20"/>
          <w:szCs w:val="20"/>
          <w:color w:val="auto"/>
        </w:rPr>
      </w:pPr>
      <w:r>
        <w:rPr>
          <w:rFonts w:ascii="Times New Roman" w:cs="Times New Roman" w:eastAsia="Times New Roman" w:hAnsi="Times New Roman"/>
          <w:sz w:val="20"/>
          <w:szCs w:val="20"/>
          <w:color w:val="auto"/>
        </w:rPr>
        <w:t>automatic extension available thereunder for the filing of such form),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222" w:lineRule="exact"/>
        <w:rPr>
          <w:sz w:val="20"/>
          <w:szCs w:val="20"/>
          <w:color w:val="auto"/>
        </w:rPr>
      </w:pPr>
    </w:p>
    <w:p>
      <w:pPr>
        <w:jc w:val="both"/>
        <w:ind w:right="199" w:firstLine="652"/>
        <w:spacing w:after="0" w:line="250" w:lineRule="auto"/>
        <w:tabs>
          <w:tab w:leader="none" w:pos="1176" w:val="left"/>
        </w:tabs>
        <w:numPr>
          <w:ilvl w:val="1"/>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forty-five (45) days after the end of each of the first three fiscal quarters of each fiscal year of the Company (or, if earlier, by the date that the Quarterly Report on Form 10-Q of the Company for such fiscal quarter would be required to be filed under the rules and regulations of the SEC, giving effect to any automatic extension available thereunder for the filing of such form),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223" w:lineRule="exact"/>
        <w:rPr>
          <w:rFonts w:ascii="Times New Roman" w:cs="Times New Roman" w:eastAsia="Times New Roman" w:hAnsi="Times New Roman"/>
          <w:sz w:val="20"/>
          <w:szCs w:val="20"/>
          <w:color w:val="010000"/>
        </w:rPr>
      </w:pPr>
    </w:p>
    <w:p>
      <w:pPr>
        <w:ind w:left="1300" w:hanging="648"/>
        <w:spacing w:after="0"/>
        <w:tabs>
          <w:tab w:leader="none" w:pos="1300" w:val="left"/>
        </w:tabs>
        <w:numPr>
          <w:ilvl w:val="1"/>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concurrently with any delivery of financial statements under clause (a) or</w:t>
      </w:r>
    </w:p>
    <w:p>
      <w:pPr>
        <w:spacing w:after="0" w:line="21" w:lineRule="exact"/>
        <w:rPr>
          <w:rFonts w:ascii="Times New Roman" w:cs="Times New Roman" w:eastAsia="Times New Roman" w:hAnsi="Times New Roman"/>
          <w:sz w:val="20"/>
          <w:szCs w:val="20"/>
          <w:color w:val="010000"/>
        </w:rPr>
      </w:pPr>
    </w:p>
    <w:p>
      <w:pPr>
        <w:ind w:left="540" w:hanging="536"/>
        <w:spacing w:after="0"/>
        <w:tabs>
          <w:tab w:leader="none" w:pos="54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a certificate of a Financial Officer of the Company (i) certifying as to whether a Default has occurred</w:t>
      </w:r>
    </w:p>
    <w:p>
      <w:pPr>
        <w:spacing w:after="0" w:line="18" w:lineRule="exact"/>
        <w:rPr>
          <w:sz w:val="20"/>
          <w:szCs w:val="20"/>
          <w:color w:val="auto"/>
        </w:rPr>
      </w:pPr>
    </w:p>
    <w:p>
      <w:pPr>
        <w:ind w:right="239"/>
        <w:spacing w:after="0" w:line="250" w:lineRule="auto"/>
        <w:rPr>
          <w:sz w:val="20"/>
          <w:szCs w:val="20"/>
          <w:color w:val="auto"/>
        </w:rPr>
      </w:pPr>
      <w:r>
        <w:rPr>
          <w:rFonts w:ascii="Times New Roman" w:cs="Times New Roman" w:eastAsia="Times New Roman" w:hAnsi="Times New Roman"/>
          <w:sz w:val="20"/>
          <w:szCs w:val="20"/>
          <w:color w:val="auto"/>
        </w:rPr>
        <w:t>and, if a Default has occurred, specifying the details thereof and any action taken or proposed to be taken with respect thereto, (ii) setting forth reasonably detailed calculations demonstrating compliance with Section 6.07 and</w:t>
      </w:r>
    </w:p>
    <w:p>
      <w:pPr>
        <w:jc w:val="both"/>
        <w:ind w:right="239" w:firstLine="4"/>
        <w:spacing w:after="0" w:line="249" w:lineRule="auto"/>
        <w:tabs>
          <w:tab w:leader="none" w:pos="3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220" w:lineRule="exact"/>
        <w:rPr>
          <w:rFonts w:ascii="Times New Roman" w:cs="Times New Roman" w:eastAsia="Times New Roman" w:hAnsi="Times New Roman"/>
          <w:sz w:val="20"/>
          <w:szCs w:val="20"/>
          <w:color w:val="auto"/>
        </w:rPr>
      </w:pPr>
    </w:p>
    <w:p>
      <w:pPr>
        <w:jc w:val="both"/>
        <w:ind w:right="239" w:firstLine="651"/>
        <w:spacing w:after="0" w:line="258" w:lineRule="auto"/>
        <w:tabs>
          <w:tab w:leader="none" w:pos="1174" w:val="left"/>
        </w:tabs>
        <w:numPr>
          <w:ilvl w:val="1"/>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99" w:lineRule="exact"/>
        <w:rPr>
          <w:rFonts w:ascii="Times New Roman" w:cs="Times New Roman" w:eastAsia="Times New Roman" w:hAnsi="Times New Roman"/>
          <w:sz w:val="20"/>
          <w:szCs w:val="20"/>
          <w:color w:val="010000"/>
        </w:rPr>
      </w:pPr>
    </w:p>
    <w:p>
      <w:pPr>
        <w:jc w:val="both"/>
        <w:ind w:right="239" w:firstLine="652"/>
        <w:spacing w:after="0" w:line="258" w:lineRule="auto"/>
        <w:tabs>
          <w:tab w:leader="none" w:pos="1178" w:val="left"/>
        </w:tabs>
        <w:numPr>
          <w:ilvl w:val="1"/>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w:t>
      </w:r>
    </w:p>
    <w:p>
      <w:pPr>
        <w:spacing w:after="0" w:line="212" w:lineRule="exact"/>
        <w:rPr>
          <w:rFonts w:ascii="Times New Roman" w:cs="Times New Roman" w:eastAsia="Times New Roman" w:hAnsi="Times New Roman"/>
          <w:sz w:val="20"/>
          <w:szCs w:val="20"/>
          <w:color w:val="010000"/>
        </w:rPr>
      </w:pPr>
    </w:p>
    <w:p>
      <w:pPr>
        <w:jc w:val="both"/>
        <w:ind w:right="219" w:firstLine="652"/>
        <w:spacing w:after="0" w:line="253" w:lineRule="auto"/>
        <w:tabs>
          <w:tab w:leader="none" w:pos="1183" w:val="left"/>
        </w:tabs>
        <w:numPr>
          <w:ilvl w:val="1"/>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any request therefor, (x) such other information regarding the operations, business affairs and financial condition of the Company or any Subsidiary, or compliance with the terms of this Agreement, as the Administrative Agent or any Lender (through the Administrative Agent) may reasonably request and (y) information and documentation reasonably requested by the Administrative Agent or any Lender for purposes of</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9379"/>
          </w:cols>
          <w:pgMar w:left="1080" w:top="1413" w:right="1440" w:bottom="1440" w:gutter="0" w:footer="0" w:header="0"/>
        </w:sectPr>
      </w:pPr>
    </w:p>
    <w:bookmarkStart w:id="129" w:name="page130"/>
    <w:bookmarkEnd w:id="129"/>
    <w:p>
      <w:pPr>
        <w:ind w:left="640" w:right="259"/>
        <w:spacing w:after="0" w:line="283" w:lineRule="auto"/>
        <w:rPr>
          <w:sz w:val="20"/>
          <w:szCs w:val="20"/>
          <w:color w:val="auto"/>
        </w:rPr>
      </w:pPr>
      <w:r>
        <w:rPr>
          <w:rFonts w:ascii="Times New Roman" w:cs="Times New Roman" w:eastAsia="Times New Roman" w:hAnsi="Times New Roman"/>
          <w:sz w:val="20"/>
          <w:szCs w:val="20"/>
          <w:color w:val="auto"/>
        </w:rPr>
        <w:t>compliance with applicable “know your customer” and Anti-Money Laundering Laws, including the Patriot Act and the Beneficial Ownership Regulation.</w:t>
      </w:r>
    </w:p>
    <w:p>
      <w:pPr>
        <w:spacing w:after="0" w:line="187" w:lineRule="exact"/>
        <w:rPr>
          <w:sz w:val="20"/>
          <w:szCs w:val="20"/>
          <w:color w:val="auto"/>
        </w:rPr>
      </w:pPr>
    </w:p>
    <w:p>
      <w:pPr>
        <w:jc w:val="both"/>
        <w:ind w:left="640" w:right="219"/>
        <w:spacing w:after="0" w:line="253" w:lineRule="auto"/>
        <w:rPr>
          <w:sz w:val="20"/>
          <w:szCs w:val="20"/>
          <w:color w:val="auto"/>
        </w:rPr>
      </w:pPr>
      <w:r>
        <w:rPr>
          <w:rFonts w:ascii="Times New Roman" w:cs="Times New Roman" w:eastAsia="Times New Roman" w:hAnsi="Times New Roman"/>
          <w:sz w:val="20"/>
          <w:szCs w:val="20"/>
          <w:color w:val="auto"/>
        </w:rPr>
        <w:t>Documents required to be delivered pursuant to clauses (a) and (b) of this Section 5.01 may be delivered electronically and if so delivered, shall be deemed to have been delivered on the date on which such documents are filed for public availability on the SEC’s Electronic Data Gathering and Retrieval System. Notwithstanding anything contained herein, in every instance the Company shall be required to provide paper copies of the compliance certificates required by clause (c) of this Section 5.01 to the Administrative Agent.</w:t>
      </w:r>
    </w:p>
    <w:p>
      <w:pPr>
        <w:spacing w:after="0" w:line="219" w:lineRule="exact"/>
        <w:rPr>
          <w:sz w:val="20"/>
          <w:szCs w:val="20"/>
          <w:color w:val="auto"/>
        </w:rPr>
      </w:pPr>
    </w:p>
    <w:p>
      <w:pPr>
        <w:ind w:right="259"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5.02. </w:t>
      </w:r>
      <w:r>
        <w:rPr>
          <w:rFonts w:ascii="Times New Roman" w:cs="Times New Roman" w:eastAsia="Times New Roman" w:hAnsi="Times New Roman"/>
          <w:sz w:val="20"/>
          <w:szCs w:val="20"/>
          <w:u w:val="single" w:color="auto"/>
          <w:color w:val="000000"/>
        </w:rPr>
        <w:t>Notices of Material Events</w:t>
      </w:r>
      <w:r>
        <w:rPr>
          <w:rFonts w:ascii="Times New Roman" w:cs="Times New Roman" w:eastAsia="Times New Roman" w:hAnsi="Times New Roman"/>
          <w:sz w:val="20"/>
          <w:szCs w:val="20"/>
          <w:color w:val="000000"/>
        </w:rPr>
        <w:t>. The Company will furnish to the Administrative Agent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Lender prompt written notice of the following:</w:t>
      </w:r>
    </w:p>
    <w:p>
      <w:pPr>
        <w:spacing w:after="0" w:line="213" w:lineRule="exact"/>
        <w:rPr>
          <w:sz w:val="20"/>
          <w:szCs w:val="20"/>
          <w:color w:val="auto"/>
        </w:rPr>
      </w:pPr>
    </w:p>
    <w:p>
      <w:pPr>
        <w:ind w:left="1920" w:hanging="629"/>
        <w:spacing w:after="0"/>
        <w:tabs>
          <w:tab w:leader="none" w:pos="1920"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Default;</w:t>
      </w:r>
    </w:p>
    <w:p>
      <w:pPr>
        <w:spacing w:after="0" w:line="256" w:lineRule="exact"/>
        <w:rPr>
          <w:rFonts w:ascii="Times New Roman" w:cs="Times New Roman" w:eastAsia="Times New Roman" w:hAnsi="Times New Roman"/>
          <w:sz w:val="20"/>
          <w:szCs w:val="20"/>
          <w:color w:val="010000"/>
        </w:rPr>
      </w:pPr>
    </w:p>
    <w:p>
      <w:pPr>
        <w:jc w:val="both"/>
        <w:ind w:left="640" w:right="239" w:firstLine="651"/>
        <w:spacing w:after="0" w:line="261" w:lineRule="auto"/>
        <w:tabs>
          <w:tab w:leader="none" w:pos="1815"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the Company or any Affiliate thereof that could reasonably be expected to result in a Material Adverse Effect; and</w:t>
      </w:r>
    </w:p>
    <w:p>
      <w:pPr>
        <w:spacing w:after="0" w:line="208" w:lineRule="exact"/>
        <w:rPr>
          <w:rFonts w:ascii="Times New Roman" w:cs="Times New Roman" w:eastAsia="Times New Roman" w:hAnsi="Times New Roman"/>
          <w:sz w:val="20"/>
          <w:szCs w:val="20"/>
          <w:color w:val="010000"/>
        </w:rPr>
      </w:pPr>
    </w:p>
    <w:p>
      <w:pPr>
        <w:jc w:val="both"/>
        <w:ind w:left="640" w:right="219" w:firstLine="651"/>
        <w:spacing w:after="0" w:line="251" w:lineRule="auto"/>
        <w:tabs>
          <w:tab w:leader="none" w:pos="1818"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occurrence of any ERISA Event that could reasonably be expected to result in a Material Adverse Effect or (ii) the occurrence of any of the following to the extent the same could reasonably be expected to result in a Material Adverse Effect: (A) threatened in writing or actual issuance by the Pensions Regulator of a financial support direction or a contribution notice (as those terms are defined in the United Kingdom Pensions Act 2004) or threatened in writing or actual exercise of any Criminal Pension Power by the Pensions Regulator or the CPS in relation to any Non-U.S. Pension Plan, (B) any amount is due to any Non-U.S. Pension Plan pursuant to Section 75 or 75A of the United Kingdom Pensions Act 1995,</w:t>
      </w:r>
    </w:p>
    <w:p>
      <w:pPr>
        <w:spacing w:after="0" w:line="5" w:lineRule="exact"/>
        <w:rPr>
          <w:rFonts w:ascii="Times New Roman" w:cs="Times New Roman" w:eastAsia="Times New Roman" w:hAnsi="Times New Roman"/>
          <w:sz w:val="20"/>
          <w:szCs w:val="20"/>
          <w:color w:val="010000"/>
        </w:rPr>
      </w:pPr>
    </w:p>
    <w:p>
      <w:pPr>
        <w:ind w:left="640" w:right="259" w:firstLine="3"/>
        <w:spacing w:after="0" w:line="253" w:lineRule="auto"/>
        <w:tabs>
          <w:tab w:leader="none" w:pos="117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becomes payable under section 75 or 75A of the United Kingdom Pensions Act 1995 to any Non-U.S. Pension Plan and/or (D) the occurrence of a Notifiable Event in relation to any Non-U.S. Pension Plan.</w:t>
      </w:r>
    </w:p>
    <w:p>
      <w:pPr>
        <w:spacing w:after="0" w:line="229" w:lineRule="exact"/>
        <w:rPr>
          <w:sz w:val="20"/>
          <w:szCs w:val="20"/>
          <w:color w:val="auto"/>
        </w:rPr>
      </w:pPr>
    </w:p>
    <w:p>
      <w:pPr>
        <w:jc w:val="both"/>
        <w:ind w:right="239"/>
        <w:spacing w:after="0" w:line="271" w:lineRule="auto"/>
        <w:rPr>
          <w:sz w:val="20"/>
          <w:szCs w:val="20"/>
          <w:color w:val="auto"/>
        </w:rPr>
      </w:pPr>
      <w:r>
        <w:rPr>
          <w:rFonts w:ascii="Times New Roman" w:cs="Times New Roman" w:eastAsia="Times New Roman" w:hAnsi="Times New Roman"/>
          <w:sz w:val="19"/>
          <w:szCs w:val="19"/>
          <w:color w:val="auto"/>
        </w:rPr>
        <w:t>Each notice delivered under this Section (i) shall be in writing, (ii) shall contain a heading or a reference line that reads “Notice under Section 5.02 of the Ametek Amended and Restated Credit Agreement dated September 22, 2011” and (iii)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215" w:lineRule="exact"/>
        <w:rPr>
          <w:sz w:val="20"/>
          <w:szCs w:val="20"/>
          <w:color w:val="auto"/>
        </w:rPr>
      </w:pPr>
    </w:p>
    <w:p>
      <w:pPr>
        <w:jc w:val="both"/>
        <w:ind w:right="199" w:firstLine="1295"/>
        <w:spacing w:after="0" w:line="250" w:lineRule="auto"/>
        <w:rPr>
          <w:sz w:val="20"/>
          <w:szCs w:val="20"/>
          <w:color w:val="auto"/>
        </w:rPr>
      </w:pPr>
      <w:r>
        <w:rPr>
          <w:rFonts w:ascii="Times New Roman" w:cs="Times New Roman" w:eastAsia="Times New Roman" w:hAnsi="Times New Roman"/>
          <w:sz w:val="20"/>
          <w:szCs w:val="20"/>
          <w:color w:val="010000"/>
        </w:rPr>
        <w:t xml:space="preserve">SECTION 5.03. </w:t>
      </w:r>
      <w:r>
        <w:rPr>
          <w:rFonts w:ascii="Times New Roman" w:cs="Times New Roman" w:eastAsia="Times New Roman" w:hAnsi="Times New Roman"/>
          <w:sz w:val="20"/>
          <w:szCs w:val="20"/>
          <w:u w:val="single" w:color="auto"/>
          <w:color w:val="000000"/>
        </w:rPr>
        <w:t>Existence; Conduct of Business</w:t>
      </w:r>
      <w:r>
        <w:rPr>
          <w:rFonts w:ascii="Times New Roman" w:cs="Times New Roman" w:eastAsia="Times New Roman" w:hAnsi="Times New Roman"/>
          <w:sz w:val="20"/>
          <w:szCs w:val="20"/>
          <w:color w:val="000000"/>
        </w:rPr>
        <w:t>. The Company will, and will cause each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Subsidiaries to, do or cause to be done all things necessary to preserve, renew and keep in full force and effect its legal existence and the rights, qualifications, licenses, permits, privileges, franchises, governmental authorizations and intellectual property rights material to the conduct of its business, and maintain all requisite authority to conduct its business in each jurisdiction in which its business is conducted;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foregoing shall not prohibit any merger, consolidation, amalgamation, Division, liquidation or dissolution permitted under this Agreement. Each Subsidiary organized under the laws of England and Wales and the Netherlands shall cause its registered office and centre of main interests (as that term is used in Article 3(1) of the Regulation) to be situated solely in its jurisdiction of incorporation and shall have an Establishment situated solely in its jurisdiction of incorporation. Each Subsidiary organized under the laws of Germany shall cause its centre of main interests (as defined in Council Regulation (EC) No 1346/2000 of 29 May 2000 on insolvency proceedings (as amended 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0019"/>
          </w:cols>
          <w:pgMar w:left="440" w:top="1413" w:right="1440" w:bottom="1440" w:gutter="0" w:footer="0" w:header="0"/>
        </w:sectPr>
      </w:pPr>
    </w:p>
    <w:bookmarkStart w:id="130" w:name="page131"/>
    <w:bookmarkEnd w:id="130"/>
    <w:p>
      <w:pPr>
        <w:ind w:right="819"/>
        <w:spacing w:after="0" w:line="283" w:lineRule="auto"/>
        <w:rPr>
          <w:sz w:val="20"/>
          <w:szCs w:val="20"/>
          <w:color w:val="auto"/>
        </w:rPr>
      </w:pPr>
      <w:r>
        <w:rPr>
          <w:rFonts w:ascii="Times New Roman" w:cs="Times New Roman" w:eastAsia="Times New Roman" w:hAnsi="Times New Roman"/>
          <w:sz w:val="20"/>
          <w:szCs w:val="20"/>
          <w:color w:val="auto"/>
        </w:rPr>
        <w:t>superseded from time to time, e.g., pursuant to Regulation (EU) No 2015/848 of the European Parliament and of the Council of 20 May 2015 on insolvency proceedings)) to be situated in Germany.</w:t>
      </w:r>
    </w:p>
    <w:p>
      <w:pPr>
        <w:spacing w:after="0" w:line="187" w:lineRule="exact"/>
        <w:rPr>
          <w:sz w:val="20"/>
          <w:szCs w:val="20"/>
          <w:color w:val="auto"/>
        </w:rPr>
      </w:pPr>
    </w:p>
    <w:p>
      <w:pPr>
        <w:jc w:val="both"/>
        <w:ind w:right="23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5.04. </w:t>
      </w:r>
      <w:r>
        <w:rPr>
          <w:rFonts w:ascii="Times New Roman" w:cs="Times New Roman" w:eastAsia="Times New Roman" w:hAnsi="Times New Roman"/>
          <w:sz w:val="20"/>
          <w:szCs w:val="20"/>
          <w:u w:val="single" w:color="auto"/>
          <w:color w:val="000000"/>
        </w:rPr>
        <w:t>Payment of Obligations</w:t>
      </w:r>
      <w:r>
        <w:rPr>
          <w:rFonts w:ascii="Times New Roman" w:cs="Times New Roman" w:eastAsia="Times New Roman" w:hAnsi="Times New Roman"/>
          <w:sz w:val="20"/>
          <w:szCs w:val="20"/>
          <w:color w:val="000000"/>
        </w:rPr>
        <w:t>. The Company will, and will cause each of its Subsidiaries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pay its obligations under the terms of each mortgage indenture, security agreement and other debt instrument that, if not paid, could result in a Material Adverse Effect before the same shall become in default,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 The Company will, and will cause each of its Subsidiaries to, pay and discharge all material Taxes and UK Taxes imposed upon it or its properties prior to the date on which penalties attach thereto,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213" w:lineRule="exact"/>
        <w:rPr>
          <w:sz w:val="20"/>
          <w:szCs w:val="20"/>
          <w:color w:val="auto"/>
        </w:rPr>
      </w:pPr>
    </w:p>
    <w:p>
      <w:pPr>
        <w:jc w:val="both"/>
        <w:ind w:right="199"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5.05. </w:t>
      </w:r>
      <w:r>
        <w:rPr>
          <w:rFonts w:ascii="Times New Roman" w:cs="Times New Roman" w:eastAsia="Times New Roman" w:hAnsi="Times New Roman"/>
          <w:sz w:val="20"/>
          <w:szCs w:val="20"/>
          <w:u w:val="single" w:color="auto"/>
          <w:color w:val="000000"/>
        </w:rPr>
        <w:t>Maintenance of Properties; Insurance</w:t>
      </w:r>
      <w:r>
        <w:rPr>
          <w:rFonts w:ascii="Times New Roman" w:cs="Times New Roman" w:eastAsia="Times New Roman" w:hAnsi="Times New Roman"/>
          <w:sz w:val="20"/>
          <w:szCs w:val="20"/>
          <w:color w:val="000000"/>
        </w:rPr>
        <w:t>. The Company will, and will cause each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Subsidiaries to, (a) keep and maintain all property material to the conduct of its business in good working order and condition, ordinary wear and tear excepted, except where the failure to maintain such property could not reasonably be expected to result in a Material Adverse Effect and (b) maintain insurance in such amounts and against such risks as are customarily maintained by companies engaged in the same or similar businesses operating in the same or similar locations, provided that the Company and its Subsidiaries may self-insure against such risks and in such amounts as are usually self-insured by companies engaged in the same or similar businesses operating in the same or similar locations.</w:t>
      </w:r>
    </w:p>
    <w:p>
      <w:pPr>
        <w:spacing w:after="0" w:line="220" w:lineRule="exact"/>
        <w:rPr>
          <w:sz w:val="20"/>
          <w:szCs w:val="20"/>
          <w:color w:val="auto"/>
        </w:rPr>
      </w:pPr>
    </w:p>
    <w:p>
      <w:pPr>
        <w:jc w:val="both"/>
        <w:ind w:right="239" w:firstLine="1296"/>
        <w:spacing w:after="0" w:line="264" w:lineRule="auto"/>
        <w:rPr>
          <w:sz w:val="20"/>
          <w:szCs w:val="20"/>
          <w:color w:val="auto"/>
        </w:rPr>
      </w:pPr>
      <w:r>
        <w:rPr>
          <w:rFonts w:ascii="Times New Roman" w:cs="Times New Roman" w:eastAsia="Times New Roman" w:hAnsi="Times New Roman"/>
          <w:sz w:val="19"/>
          <w:szCs w:val="19"/>
          <w:color w:val="010000"/>
        </w:rPr>
        <w:t xml:space="preserve">SECTION 5.06. </w:t>
      </w:r>
      <w:r>
        <w:rPr>
          <w:rFonts w:ascii="Times New Roman" w:cs="Times New Roman" w:eastAsia="Times New Roman" w:hAnsi="Times New Roman"/>
          <w:sz w:val="19"/>
          <w:szCs w:val="19"/>
          <w:u w:val="single" w:color="auto"/>
          <w:color w:val="000000"/>
        </w:rPr>
        <w:t>Books and Records; Inspection Rights</w:t>
      </w:r>
      <w:r>
        <w:rPr>
          <w:rFonts w:ascii="Times New Roman" w:cs="Times New Roman" w:eastAsia="Times New Roman" w:hAnsi="Times New Roman"/>
          <w:sz w:val="19"/>
          <w:szCs w:val="19"/>
          <w:color w:val="000000"/>
        </w:rPr>
        <w:t>. The Company will, and will cause each of its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Subsidiaries to, keep proper books of record and account in which full, true and correct entries are made of all dealings and transactions in relation to its business and activities. The Company will, and will cause each of its Subsidiaries to, permit any representatives designated by the Administrative Agent, upon reasonable prior notice, periodically (but no more frequently than annually unless an Event of Default shall be continuing) to visit and inspect its properties, to examine and make extracts from its books and records, and to discuss its affairs, finances and condition with its officers and independent accountants, all at such reasonable times and as often as reasonably requested. The Company acknowledges that the Administrative Agent, after exercising its rights of inspection, may prepare and distribute to the Lenders certain reports pertaining to the Company and its Subsidiaries’ assets for internal use by the Administrative Agent and the Lenders.</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5.07. </w:t>
      </w:r>
      <w:r>
        <w:rPr>
          <w:rFonts w:ascii="Times New Roman" w:cs="Times New Roman" w:eastAsia="Times New Roman" w:hAnsi="Times New Roman"/>
          <w:sz w:val="20"/>
          <w:szCs w:val="20"/>
          <w:u w:val="single" w:color="auto"/>
          <w:color w:val="000000"/>
        </w:rPr>
        <w:t>Compliance with Laws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jc w:val="both"/>
        <w:ind w:left="640" w:right="259" w:firstLine="652"/>
        <w:spacing w:after="0" w:line="253" w:lineRule="auto"/>
        <w:tabs>
          <w:tab w:leader="none" w:pos="1818"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and will cause each of its Subsidiaries to, comply with all laws, rules, regulations and orders of any Governmental Authority applicable to it or its property (including without limitation Environmental Laws), except where the failure to so comply could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and applicable Sanctions.</w:t>
      </w:r>
    </w:p>
    <w:p>
      <w:pPr>
        <w:spacing w:after="0" w:line="219" w:lineRule="exact"/>
        <w:rPr>
          <w:rFonts w:ascii="Times New Roman" w:cs="Times New Roman" w:eastAsia="Times New Roman" w:hAnsi="Times New Roman"/>
          <w:sz w:val="20"/>
          <w:szCs w:val="20"/>
          <w:color w:val="010000"/>
        </w:rPr>
      </w:pPr>
    </w:p>
    <w:p>
      <w:pPr>
        <w:jc w:val="both"/>
        <w:ind w:left="640" w:right="239" w:firstLine="652"/>
        <w:spacing w:after="0" w:line="261" w:lineRule="auto"/>
        <w:tabs>
          <w:tab w:leader="none" w:pos="1816"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affirmative covenants in the last sentence of Section 5.07(a) shall not be made by any German Borrower in so far as they would violate or expose any German Borrower or any of its Subsidiaries or any director, officer or employee thereof to any liability under 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0019"/>
          </w:cols>
          <w:pgMar w:left="440" w:top="1413" w:right="1440" w:bottom="1440" w:gutter="0" w:footer="0" w:header="0"/>
        </w:sectPr>
      </w:pPr>
    </w:p>
    <w:bookmarkStart w:id="131" w:name="page132"/>
    <w:bookmarkEnd w:id="131"/>
    <w:p>
      <w:pPr>
        <w:jc w:val="both"/>
        <w:ind w:left="640" w:right="199"/>
        <w:spacing w:after="0" w:line="261" w:lineRule="auto"/>
        <w:rPr>
          <w:sz w:val="20"/>
          <w:szCs w:val="20"/>
          <w:color w:val="auto"/>
        </w:rPr>
      </w:pPr>
      <w:r>
        <w:rPr>
          <w:rFonts w:ascii="Times New Roman" w:cs="Times New Roman" w:eastAsia="Times New Roman" w:hAnsi="Times New Roman"/>
          <w:sz w:val="20"/>
          <w:szCs w:val="20"/>
          <w:color w:val="auto"/>
        </w:rPr>
        <w:t>anti-boycott or blocking law, regulation or statute that is in force from time to time and applicable to such entity (including without limitation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ind w:left="640" w:right="219" w:firstLine="651"/>
        <w:spacing w:after="0" w:line="253" w:lineRule="auto"/>
        <w:tabs>
          <w:tab w:leader="none" w:pos="1818"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affirmative covenants in the last sentence of Section 5.07(a) given by any Borrower to any Lender that qualifies as a resident party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are made only to the extent that any Lender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would be permitted to make such undertakings pursuant to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5.08.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proceeds of the Loans will be used only to refinance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indebtedness of the Company existing on the Restatement Effective Date, finance the working capital needs, and for general corporate purposes (including acquisitions), of the Company and its Subsidiaries. No part of the proceeds of any Loan will be used, whether directly or indirectly, for any purpose that entails a violation of any of the Regulations of the Board, including Regulations T, U and X.</w:t>
      </w:r>
    </w:p>
    <w:p>
      <w:pPr>
        <w:spacing w:after="0" w:line="21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010000"/>
        </w:rPr>
        <w:t>ARTICLE VI</w:t>
      </w:r>
    </w:p>
    <w:p>
      <w:pPr>
        <w:spacing w:after="0" w:line="25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337" w:lineRule="exact"/>
        <w:rPr>
          <w:sz w:val="20"/>
          <w:szCs w:val="20"/>
          <w:color w:val="auto"/>
        </w:rPr>
      </w:pPr>
    </w:p>
    <w:p>
      <w:pPr>
        <w:jc w:val="both"/>
        <w:ind w:right="259" w:firstLine="1296"/>
        <w:spacing w:after="0" w:line="254" w:lineRule="auto"/>
        <w:rPr>
          <w:sz w:val="20"/>
          <w:szCs w:val="20"/>
          <w:color w:val="auto"/>
        </w:rPr>
      </w:pPr>
      <w:r>
        <w:rPr>
          <w:rFonts w:ascii="Times New Roman" w:cs="Times New Roman" w:eastAsia="Times New Roman" w:hAnsi="Times New Roman"/>
          <w:sz w:val="20"/>
          <w:szCs w:val="20"/>
          <w:color w:val="auto"/>
        </w:rPr>
        <w:t>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the Company covenants and agrees with the Lenders that:</w:t>
      </w:r>
    </w:p>
    <w:p>
      <w:pPr>
        <w:spacing w:after="0" w:line="228" w:lineRule="exact"/>
        <w:rPr>
          <w:sz w:val="20"/>
          <w:szCs w:val="20"/>
          <w:color w:val="auto"/>
        </w:rPr>
      </w:pPr>
    </w:p>
    <w:p>
      <w:pPr>
        <w:ind w:right="219"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6.01. </w:t>
      </w:r>
      <w:r>
        <w:rPr>
          <w:rFonts w:ascii="Times New Roman" w:cs="Times New Roman" w:eastAsia="Times New Roman" w:hAnsi="Times New Roman"/>
          <w:sz w:val="20"/>
          <w:szCs w:val="20"/>
          <w:u w:val="single" w:color="auto"/>
          <w:color w:val="000000"/>
        </w:rPr>
        <w:t>Indebtedness</w:t>
      </w:r>
      <w:r>
        <w:rPr>
          <w:rFonts w:ascii="Times New Roman" w:cs="Times New Roman" w:eastAsia="Times New Roman" w:hAnsi="Times New Roman"/>
          <w:sz w:val="20"/>
          <w:szCs w:val="20"/>
          <w:color w:val="000000"/>
        </w:rPr>
        <w:t>. The Company will not, and will not permit any Subsidiary to, create, incur,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assume or permit to exist any Indebtedness, except:</w:t>
      </w:r>
    </w:p>
    <w:p>
      <w:pPr>
        <w:spacing w:after="0" w:line="213" w:lineRule="exact"/>
        <w:rPr>
          <w:sz w:val="20"/>
          <w:szCs w:val="20"/>
          <w:color w:val="auto"/>
        </w:rPr>
      </w:pPr>
    </w:p>
    <w:p>
      <w:pPr>
        <w:ind w:left="1920" w:hanging="629"/>
        <w:spacing w:after="0"/>
        <w:tabs>
          <w:tab w:leader="none" w:pos="1920"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w:t>
      </w:r>
    </w:p>
    <w:p>
      <w:pPr>
        <w:spacing w:after="0" w:line="256" w:lineRule="exact"/>
        <w:rPr>
          <w:rFonts w:ascii="Times New Roman" w:cs="Times New Roman" w:eastAsia="Times New Roman" w:hAnsi="Times New Roman"/>
          <w:sz w:val="20"/>
          <w:szCs w:val="20"/>
          <w:color w:val="010000"/>
        </w:rPr>
      </w:pPr>
    </w:p>
    <w:p>
      <w:pPr>
        <w:jc w:val="both"/>
        <w:ind w:left="640" w:right="239" w:firstLine="651"/>
        <w:spacing w:after="0" w:line="261" w:lineRule="auto"/>
        <w:tabs>
          <w:tab w:leader="none" w:pos="1815"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extensions, renewals and replacements of any such Indebtedness with Indebtedness of a similar type that does not increase the outstanding principal amount thereof;</w:t>
      </w:r>
    </w:p>
    <w:p>
      <w:pPr>
        <w:spacing w:after="0" w:line="208" w:lineRule="exact"/>
        <w:rPr>
          <w:rFonts w:ascii="Times New Roman" w:cs="Times New Roman" w:eastAsia="Times New Roman" w:hAnsi="Times New Roman"/>
          <w:sz w:val="20"/>
          <w:szCs w:val="20"/>
          <w:color w:val="010000"/>
        </w:rPr>
      </w:pPr>
    </w:p>
    <w:p>
      <w:pPr>
        <w:ind w:left="1820" w:hanging="529"/>
        <w:spacing w:after="0"/>
        <w:tabs>
          <w:tab w:leader="none" w:pos="1820"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to any Subsidiary and of any Subsidiary to the Company or any other</w:t>
      </w:r>
    </w:p>
    <w:p>
      <w:pPr>
        <w:spacing w:after="0" w:line="28" w:lineRule="exact"/>
        <w:rPr>
          <w:rFonts w:ascii="Times New Roman" w:cs="Times New Roman" w:eastAsia="Times New Roman" w:hAnsi="Times New Roman"/>
          <w:sz w:val="20"/>
          <w:szCs w:val="20"/>
          <w:color w:val="010000"/>
        </w:rPr>
      </w:pPr>
    </w:p>
    <w:p>
      <w:pPr>
        <w:ind w:left="64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Subsidiary;</w:t>
      </w:r>
    </w:p>
    <w:p>
      <w:pPr>
        <w:spacing w:after="0" w:line="240" w:lineRule="exact"/>
        <w:rPr>
          <w:rFonts w:ascii="Times New Roman" w:cs="Times New Roman" w:eastAsia="Times New Roman" w:hAnsi="Times New Roman"/>
          <w:sz w:val="20"/>
          <w:szCs w:val="20"/>
          <w:color w:val="010000"/>
        </w:rPr>
      </w:pPr>
    </w:p>
    <w:p>
      <w:pPr>
        <w:ind w:left="640" w:right="259" w:firstLine="651"/>
        <w:spacing w:after="0" w:line="283" w:lineRule="auto"/>
        <w:tabs>
          <w:tab w:leader="none" w:pos="1815"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Guarantees by the Company of Indebtedness of any Subsidiary and by any Subsidiary of Indebtedness of the Company or any other Subsidiary;</w:t>
      </w:r>
    </w:p>
    <w:p>
      <w:pPr>
        <w:spacing w:after="0" w:line="186" w:lineRule="exact"/>
        <w:rPr>
          <w:rFonts w:ascii="Times New Roman" w:cs="Times New Roman" w:eastAsia="Times New Roman" w:hAnsi="Times New Roman"/>
          <w:sz w:val="20"/>
          <w:szCs w:val="20"/>
          <w:color w:val="010000"/>
        </w:rPr>
      </w:pPr>
    </w:p>
    <w:p>
      <w:pPr>
        <w:jc w:val="both"/>
        <w:ind w:left="640" w:right="239" w:firstLine="651"/>
        <w:spacing w:after="0" w:line="253" w:lineRule="auto"/>
        <w:tabs>
          <w:tab w:leader="none" w:pos="1818"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or any Subsidiary incurred to finance the acquisition, construction or improvement of any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(i) such Indebtedness is incurred prior to or within ninety (90) days after such acquisition or the completion of such construction or improvement and (ii) the aggregate</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0019"/>
          </w:cols>
          <w:pgMar w:left="440" w:top="1413" w:right="1440" w:bottom="1440" w:gutter="0" w:footer="0" w:header="0"/>
          <w:type w:val="continuous"/>
        </w:sectPr>
      </w:pPr>
    </w:p>
    <w:bookmarkStart w:id="132" w:name="page133"/>
    <w:bookmarkEnd w:id="132"/>
    <w:p>
      <w:pPr>
        <w:ind w:left="640" w:right="1239"/>
        <w:spacing w:after="0" w:line="283" w:lineRule="auto"/>
        <w:rPr>
          <w:sz w:val="20"/>
          <w:szCs w:val="20"/>
          <w:color w:val="auto"/>
        </w:rPr>
      </w:pPr>
      <w:r>
        <w:rPr>
          <w:rFonts w:ascii="Times New Roman" w:cs="Times New Roman" w:eastAsia="Times New Roman" w:hAnsi="Times New Roman"/>
          <w:sz w:val="20"/>
          <w:szCs w:val="20"/>
          <w:color w:val="auto"/>
        </w:rPr>
        <w:t>principal amount of Indebtedness permitted by this clause (e) shall not exceed $50,000,000 at any time outstanding;</w:t>
      </w:r>
    </w:p>
    <w:p>
      <w:pPr>
        <w:spacing w:after="0" w:line="187" w:lineRule="exact"/>
        <w:rPr>
          <w:sz w:val="20"/>
          <w:szCs w:val="20"/>
          <w:color w:val="auto"/>
        </w:rPr>
      </w:pPr>
    </w:p>
    <w:p>
      <w:pPr>
        <w:jc w:val="both"/>
        <w:ind w:left="640" w:right="199" w:firstLine="651"/>
        <w:spacing w:after="0" w:line="252" w:lineRule="auto"/>
        <w:tabs>
          <w:tab w:leader="none" w:pos="1823"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Indebtedness pursuant to Permitted Receivables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amount of Attributable Receivables Indebtedness thereunder shall not exceed the greater of (A) $125,000,000 and (B) 15% of Consolidated Tangible Assets of the Company and its Subsidiaries (determined by reference to the Company’s most recently delivered Financials or, if prior to the date of delivery of the first Financials to be delivered pursuant hereto, the most recent financial statements referred to in Section 3.04(a)) at such time and (ii) Indebtedness owing to the Company or any other Subsidiary that is a transferor of Permitted Receivables Facility Assets in connection with a Permitted Receivables Facility to the extent such Indebtedness is on account of customary indebtedness incurred to finance a portion of the purchase price of Permitted Receivables Facility Assets in connection with such Permitted Receivables Facility;</w:t>
      </w:r>
    </w:p>
    <w:p>
      <w:pPr>
        <w:spacing w:after="0" w:line="202" w:lineRule="exact"/>
        <w:rPr>
          <w:rFonts w:ascii="Times New Roman" w:cs="Times New Roman" w:eastAsia="Times New Roman" w:hAnsi="Times New Roman"/>
          <w:sz w:val="20"/>
          <w:szCs w:val="20"/>
          <w:color w:val="010000"/>
        </w:rPr>
      </w:pPr>
    </w:p>
    <w:p>
      <w:pPr>
        <w:ind w:left="1820" w:hanging="529"/>
        <w:spacing w:after="0"/>
        <w:tabs>
          <w:tab w:leader="none" w:pos="1820"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or any Subsidiary as an account party in respect of trade letters of</w:t>
      </w:r>
    </w:p>
    <w:p>
      <w:pPr>
        <w:spacing w:after="0" w:line="28" w:lineRule="exact"/>
        <w:rPr>
          <w:rFonts w:ascii="Times New Roman" w:cs="Times New Roman" w:eastAsia="Times New Roman" w:hAnsi="Times New Roman"/>
          <w:sz w:val="20"/>
          <w:szCs w:val="20"/>
          <w:color w:val="010000"/>
        </w:rPr>
      </w:pPr>
    </w:p>
    <w:p>
      <w:pPr>
        <w:ind w:left="64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credit;</w:t>
      </w:r>
    </w:p>
    <w:p>
      <w:pPr>
        <w:spacing w:after="0" w:line="240" w:lineRule="exact"/>
        <w:rPr>
          <w:rFonts w:ascii="Times New Roman" w:cs="Times New Roman" w:eastAsia="Times New Roman" w:hAnsi="Times New Roman"/>
          <w:sz w:val="20"/>
          <w:szCs w:val="20"/>
          <w:color w:val="010000"/>
        </w:rPr>
      </w:pPr>
    </w:p>
    <w:p>
      <w:pPr>
        <w:ind w:left="1920" w:hanging="629"/>
        <w:spacing w:after="0"/>
        <w:tabs>
          <w:tab w:leader="none" w:pos="1920"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under any Swap Agreement permitted by Section 6.04;</w:t>
      </w:r>
    </w:p>
    <w:p>
      <w:pPr>
        <w:spacing w:after="0" w:line="256" w:lineRule="exact"/>
        <w:rPr>
          <w:rFonts w:ascii="Times New Roman" w:cs="Times New Roman" w:eastAsia="Times New Roman" w:hAnsi="Times New Roman"/>
          <w:sz w:val="20"/>
          <w:szCs w:val="20"/>
          <w:color w:val="010000"/>
        </w:rPr>
      </w:pPr>
    </w:p>
    <w:p>
      <w:pPr>
        <w:jc w:val="both"/>
        <w:ind w:left="640" w:right="239" w:firstLine="651"/>
        <w:spacing w:after="0" w:line="276" w:lineRule="auto"/>
        <w:tabs>
          <w:tab w:leader="none" w:pos="1826" w:val="left"/>
        </w:tabs>
        <w:numPr>
          <w:ilvl w:val="0"/>
          <w:numId w:val="1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of the Company or any Subsidiary arising in connection with the entering into of any take-or-pay contract for supplies, packaging materials or other similar materials entered into in the ordinary course of business, consistent with the practices of the Company and its Subsidiaries prior to the Restatement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payable under such take-or-pay contract shall not exceed $20,000,000;</w:t>
      </w:r>
    </w:p>
    <w:p>
      <w:pPr>
        <w:spacing w:after="0" w:line="210" w:lineRule="exact"/>
        <w:rPr>
          <w:rFonts w:ascii="Times New Roman" w:cs="Times New Roman" w:eastAsia="Times New Roman" w:hAnsi="Times New Roman"/>
          <w:sz w:val="19"/>
          <w:szCs w:val="19"/>
          <w:color w:val="010000"/>
        </w:rPr>
      </w:pPr>
    </w:p>
    <w:p>
      <w:pPr>
        <w:ind w:left="1820" w:hanging="529"/>
        <w:spacing w:after="0"/>
        <w:tabs>
          <w:tab w:leader="none" w:pos="1820"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Borrowers consisting of borrowings against the cash value of COLI Policies;</w:t>
      </w:r>
    </w:p>
    <w:p>
      <w:pPr>
        <w:spacing w:after="0" w:line="256" w:lineRule="exact"/>
        <w:rPr>
          <w:rFonts w:ascii="Times New Roman" w:cs="Times New Roman" w:eastAsia="Times New Roman" w:hAnsi="Times New Roman"/>
          <w:sz w:val="20"/>
          <w:szCs w:val="20"/>
          <w:color w:val="010000"/>
        </w:rPr>
      </w:pPr>
    </w:p>
    <w:p>
      <w:pPr>
        <w:jc w:val="both"/>
        <w:ind w:left="640" w:right="239" w:firstLine="652"/>
        <w:spacing w:after="0" w:line="258" w:lineRule="auto"/>
        <w:tabs>
          <w:tab w:leader="none" w:pos="1816"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or any Subsidiary which constitutes Permitted Earn-Out Indebtedness and, unless the amount of such Indebtedness is in dispute, only to the extent that any such Permitted Earn-Out Indebtedness is paid in full within six months after the date upon which such Permitted Earn-Out Indebtedness is determinable;</w:t>
      </w:r>
    </w:p>
    <w:p>
      <w:pPr>
        <w:spacing w:after="0" w:line="212" w:lineRule="exact"/>
        <w:rPr>
          <w:rFonts w:ascii="Times New Roman" w:cs="Times New Roman" w:eastAsia="Times New Roman" w:hAnsi="Times New Roman"/>
          <w:sz w:val="20"/>
          <w:szCs w:val="20"/>
          <w:color w:val="010000"/>
        </w:rPr>
      </w:pPr>
    </w:p>
    <w:p>
      <w:pPr>
        <w:jc w:val="both"/>
        <w:ind w:left="640" w:right="199" w:firstLine="652"/>
        <w:spacing w:after="0" w:line="253" w:lineRule="auto"/>
        <w:tabs>
          <w:tab w:leader="none" w:pos="1826"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permitted by this clause (l) shall not in the aggregate exceed 15% of Consolidated Total Assets of the Company (determined by reference to the Company’s most recently delivered Financials or, if prior to the date of delivery of the first Financials to be delivered pursuant hereto, the most recent financial statements referred to in Section 3.04(a)) at any time; and</w:t>
      </w:r>
    </w:p>
    <w:p>
      <w:pPr>
        <w:spacing w:after="0" w:line="218" w:lineRule="exact"/>
        <w:rPr>
          <w:rFonts w:ascii="Times New Roman" w:cs="Times New Roman" w:eastAsia="Times New Roman" w:hAnsi="Times New Roman"/>
          <w:sz w:val="20"/>
          <w:szCs w:val="20"/>
          <w:color w:val="010000"/>
        </w:rPr>
      </w:pPr>
    </w:p>
    <w:p>
      <w:pPr>
        <w:ind w:left="1920" w:hanging="628"/>
        <w:spacing w:after="0"/>
        <w:tabs>
          <w:tab w:leader="none" w:pos="1920"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Qualifying Indebtedness.</w:t>
      </w:r>
    </w:p>
    <w:p>
      <w:pPr>
        <w:spacing w:after="0" w:line="256"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6.02.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The Company will not, and will not permit any Subsidiary to, create, incur, assume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permit to exist any Lien on any property or asset now owned or hereafter acquired by it, or assign or sell any income (including accounts receivable) in respect of any thereof, except:</w:t>
      </w:r>
    </w:p>
    <w:p>
      <w:pPr>
        <w:spacing w:after="0" w:line="222" w:lineRule="exact"/>
        <w:rPr>
          <w:sz w:val="20"/>
          <w:szCs w:val="20"/>
          <w:color w:val="auto"/>
        </w:rPr>
      </w:pPr>
    </w:p>
    <w:p>
      <w:pPr>
        <w:ind w:left="1940" w:hanging="648"/>
        <w:spacing w:after="0"/>
        <w:tabs>
          <w:tab w:leader="none" w:pos="1940"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Encumbrances;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0019"/>
          </w:cols>
          <w:pgMar w:left="440" w:top="1413" w:right="1440" w:bottom="1440" w:gutter="0" w:footer="0" w:header="0"/>
        </w:sectPr>
      </w:pPr>
    </w:p>
    <w:bookmarkStart w:id="133" w:name="page134"/>
    <w:bookmarkEnd w:id="133"/>
    <w:p>
      <w:pPr>
        <w:jc w:val="both"/>
        <w:ind w:left="-4" w:right="239" w:firstLine="651"/>
        <w:spacing w:after="0" w:line="253" w:lineRule="auto"/>
        <w:tabs>
          <w:tab w:leader="none" w:pos="1171"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on any property or asset of the Company or any Subsidiary existing on the date hereof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232" w:lineRule="exact"/>
        <w:rPr>
          <w:rFonts w:ascii="Times New Roman" w:cs="Times New Roman" w:eastAsia="Times New Roman" w:hAnsi="Times New Roman"/>
          <w:sz w:val="20"/>
          <w:szCs w:val="20"/>
          <w:color w:val="010000"/>
        </w:rPr>
      </w:pPr>
    </w:p>
    <w:p>
      <w:pPr>
        <w:jc w:val="both"/>
        <w:ind w:left="-4" w:right="219" w:firstLine="652"/>
        <w:spacing w:after="0" w:line="254" w:lineRule="auto"/>
        <w:tabs>
          <w:tab w:leader="none" w:pos="1174"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jc w:val="both"/>
        <w:ind w:left="-4" w:right="239" w:firstLine="4"/>
        <w:spacing w:after="0" w:line="249" w:lineRule="auto"/>
        <w:tabs>
          <w:tab w:leader="none" w:pos="24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209" w:lineRule="exact"/>
        <w:rPr>
          <w:rFonts w:ascii="Times New Roman" w:cs="Times New Roman" w:eastAsia="Times New Roman" w:hAnsi="Times New Roman"/>
          <w:sz w:val="20"/>
          <w:szCs w:val="20"/>
          <w:color w:val="auto"/>
        </w:rPr>
      </w:pPr>
    </w:p>
    <w:p>
      <w:pPr>
        <w:ind w:left="1176" w:hanging="528"/>
        <w:spacing w:after="0"/>
        <w:tabs>
          <w:tab w:leader="none" w:pos="1176" w:val="left"/>
        </w:tabs>
        <w:numPr>
          <w:ilvl w:val="1"/>
          <w:numId w:val="1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on assets acquired, constructed or improved by the Company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39" w:lineRule="exact"/>
        <w:rPr>
          <w:rFonts w:ascii="Times New Roman" w:cs="Times New Roman" w:eastAsia="Times New Roman" w:hAnsi="Times New Roman"/>
          <w:sz w:val="19"/>
          <w:szCs w:val="19"/>
          <w:color w:val="010000"/>
        </w:rPr>
      </w:pPr>
    </w:p>
    <w:p>
      <w:pPr>
        <w:jc w:val="both"/>
        <w:ind w:left="-4" w:right="199" w:firstLine="4"/>
        <w:spacing w:after="0" w:line="249" w:lineRule="auto"/>
        <w:tabs>
          <w:tab w:leader="none" w:pos="25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security interests secure Indebtedness permitted by clause (e) of Section 6.01, (ii) such security interests and the Indebtedness secured thereby are incurred prior to or within ninety (90) days after such acquisition or the completion of such construction or improvement, (iii) the Indebtedness secured thereby does not exceed the cost of acquiring, constructing or improving such assets and (iv) such security interests shall not apply to any other property or assets of the Company or any Subsidiary;</w:t>
      </w:r>
    </w:p>
    <w:p>
      <w:pPr>
        <w:spacing w:after="0" w:line="222" w:lineRule="exact"/>
        <w:rPr>
          <w:rFonts w:ascii="Times New Roman" w:cs="Times New Roman" w:eastAsia="Times New Roman" w:hAnsi="Times New Roman"/>
          <w:sz w:val="20"/>
          <w:szCs w:val="20"/>
          <w:color w:val="auto"/>
        </w:rPr>
      </w:pPr>
    </w:p>
    <w:p>
      <w:pPr>
        <w:ind w:left="1176" w:hanging="528"/>
        <w:spacing w:after="0"/>
        <w:tabs>
          <w:tab w:leader="none" w:pos="1176" w:val="left"/>
        </w:tabs>
        <w:numPr>
          <w:ilvl w:val="1"/>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Permitted Receivables Facility Assets arising under Permitted Receivables Facilities;</w:t>
      </w:r>
    </w:p>
    <w:p>
      <w:pPr>
        <w:spacing w:after="0" w:line="256" w:lineRule="exact"/>
        <w:rPr>
          <w:rFonts w:ascii="Times New Roman" w:cs="Times New Roman" w:eastAsia="Times New Roman" w:hAnsi="Times New Roman"/>
          <w:sz w:val="20"/>
          <w:szCs w:val="20"/>
          <w:color w:val="010000"/>
        </w:rPr>
      </w:pPr>
    </w:p>
    <w:p>
      <w:pPr>
        <w:ind w:left="-4" w:right="239" w:firstLine="652"/>
        <w:spacing w:after="0" w:line="283" w:lineRule="auto"/>
        <w:tabs>
          <w:tab w:leader="none" w:pos="1179" w:val="left"/>
        </w:tabs>
        <w:numPr>
          <w:ilvl w:val="1"/>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from precautionary UCC (or other similar recording or notice statutes) financing statement filings regarding operating leases permitted pursuant to this Agreement;</w:t>
      </w:r>
    </w:p>
    <w:p>
      <w:pPr>
        <w:spacing w:after="0" w:line="186" w:lineRule="exact"/>
        <w:rPr>
          <w:rFonts w:ascii="Times New Roman" w:cs="Times New Roman" w:eastAsia="Times New Roman" w:hAnsi="Times New Roman"/>
          <w:sz w:val="20"/>
          <w:szCs w:val="20"/>
          <w:color w:val="010000"/>
        </w:rPr>
      </w:pPr>
    </w:p>
    <w:p>
      <w:pPr>
        <w:jc w:val="both"/>
        <w:ind w:left="-4" w:right="199" w:firstLine="652"/>
        <w:spacing w:after="0" w:line="257" w:lineRule="auto"/>
        <w:tabs>
          <w:tab w:leader="none" w:pos="1172" w:val="left"/>
        </w:tabs>
        <w:numPr>
          <w:ilvl w:val="1"/>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existing on assets of a Subsidiary at the time the Company acquires such Subsidiary (so long as such Liens were not created in connection with or in contemplation of such Subsidiary’s acquisition by the Company), and in an amount not to exceed 15% of Consolidated Tangible Assets of the Company (determined by reference to the Company’s most recently delivered Financials or, if prior to the date of delivery of the first Financials to be delivered pursuant hereto, the most recent financial statements referred to in Section 3.04(a));</w:t>
      </w:r>
    </w:p>
    <w:p>
      <w:pPr>
        <w:spacing w:after="0" w:line="199" w:lineRule="exact"/>
        <w:rPr>
          <w:rFonts w:ascii="Times New Roman" w:cs="Times New Roman" w:eastAsia="Times New Roman" w:hAnsi="Times New Roman"/>
          <w:sz w:val="20"/>
          <w:szCs w:val="20"/>
          <w:color w:val="010000"/>
        </w:rPr>
      </w:pPr>
    </w:p>
    <w:p>
      <w:pPr>
        <w:ind w:left="1276" w:hanging="628"/>
        <w:spacing w:after="0"/>
        <w:tabs>
          <w:tab w:leader="none" w:pos="1276" w:val="left"/>
        </w:tabs>
        <w:numPr>
          <w:ilvl w:val="1"/>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if any, created by any Loan Documents;</w:t>
      </w:r>
    </w:p>
    <w:p>
      <w:pPr>
        <w:spacing w:after="0" w:line="252" w:lineRule="exact"/>
        <w:rPr>
          <w:rFonts w:ascii="Times New Roman" w:cs="Times New Roman" w:eastAsia="Times New Roman" w:hAnsi="Times New Roman"/>
          <w:sz w:val="20"/>
          <w:szCs w:val="20"/>
          <w:color w:val="010000"/>
        </w:rPr>
      </w:pPr>
    </w:p>
    <w:p>
      <w:pPr>
        <w:ind w:left="-4" w:right="259" w:firstLine="652"/>
        <w:spacing w:after="0" w:line="287" w:lineRule="auto"/>
        <w:tabs>
          <w:tab w:leader="none" w:pos="1182" w:val="left"/>
        </w:tabs>
        <w:numPr>
          <w:ilvl w:val="1"/>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under the general terms and conditions (</w:t>
      </w:r>
      <w:r>
        <w:rPr>
          <w:rFonts w:ascii="Times New Roman" w:cs="Times New Roman" w:eastAsia="Times New Roman" w:hAnsi="Times New Roman"/>
          <w:sz w:val="20"/>
          <w:szCs w:val="20"/>
          <w:i w:val="1"/>
          <w:iCs w:val="1"/>
          <w:color w:val="auto"/>
        </w:rPr>
        <w:t>Allgemeine Geschäftsbedingungen 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Banken und Sparkassen</w:t>
      </w:r>
      <w:r>
        <w:rPr>
          <w:rFonts w:ascii="Times New Roman" w:cs="Times New Roman" w:eastAsia="Times New Roman" w:hAnsi="Times New Roman"/>
          <w:sz w:val="20"/>
          <w:szCs w:val="20"/>
          <w:color w:val="auto"/>
        </w:rPr>
        <w:t>) in relation to bank accounts held in Germany;</w:t>
      </w:r>
    </w:p>
    <w:p>
      <w:pPr>
        <w:spacing w:after="0" w:line="182" w:lineRule="exact"/>
        <w:rPr>
          <w:rFonts w:ascii="Times New Roman" w:cs="Times New Roman" w:eastAsia="Times New Roman" w:hAnsi="Times New Roman"/>
          <w:sz w:val="20"/>
          <w:szCs w:val="20"/>
          <w:color w:val="010000"/>
        </w:rPr>
      </w:pPr>
    </w:p>
    <w:p>
      <w:pPr>
        <w:ind w:left="-4" w:right="239" w:firstLine="652"/>
        <w:spacing w:after="0" w:line="283" w:lineRule="auto"/>
        <w:tabs>
          <w:tab w:leader="none" w:pos="1182" w:val="left"/>
        </w:tabs>
        <w:numPr>
          <w:ilvl w:val="1"/>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out of conditional sale, title retention (including extended retention of title), consignment or similar arrangements for the sale of goods;</w:t>
      </w:r>
    </w:p>
    <w:p>
      <w:pPr>
        <w:spacing w:after="0" w:line="186" w:lineRule="exact"/>
        <w:rPr>
          <w:rFonts w:ascii="Times New Roman" w:cs="Times New Roman" w:eastAsia="Times New Roman" w:hAnsi="Times New Roman"/>
          <w:sz w:val="20"/>
          <w:szCs w:val="20"/>
          <w:color w:val="010000"/>
        </w:rPr>
      </w:pPr>
    </w:p>
    <w:p>
      <w:pPr>
        <w:jc w:val="both"/>
        <w:ind w:left="-4" w:right="239" w:firstLine="652"/>
        <w:spacing w:after="0" w:line="261" w:lineRule="auto"/>
        <w:tabs>
          <w:tab w:leader="none" w:pos="1172" w:val="left"/>
        </w:tabs>
        <w:numPr>
          <w:ilvl w:val="1"/>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lien required to be granted under mandatory law in favor of creditors as a consequence of a merger or a conversion permitted under this Agreement due to Section 22 and 204 of the German Reorganization Act (</w:t>
      </w:r>
      <w:r>
        <w:rPr>
          <w:rFonts w:ascii="Times New Roman" w:cs="Times New Roman" w:eastAsia="Times New Roman" w:hAnsi="Times New Roman"/>
          <w:sz w:val="20"/>
          <w:szCs w:val="20"/>
          <w:i w:val="1"/>
          <w:iCs w:val="1"/>
          <w:color w:val="auto"/>
        </w:rPr>
        <w:t>Umwandlungsgesetz</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9375"/>
          </w:cols>
          <w:pgMar w:left="1084" w:top="1413" w:right="1440" w:bottom="1440" w:gutter="0" w:footer="0" w:header="0"/>
        </w:sectPr>
      </w:pPr>
    </w:p>
    <w:bookmarkStart w:id="134" w:name="page135"/>
    <w:bookmarkEnd w:id="134"/>
    <w:p>
      <w:pPr>
        <w:jc w:val="both"/>
        <w:ind w:left="640" w:right="219" w:firstLine="651"/>
        <w:spacing w:after="0" w:line="261" w:lineRule="auto"/>
        <w:tabs>
          <w:tab w:leader="none" w:pos="1826"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assets of the Company and its Subsidiaries not otherwise permitted above so long as the aggregate principal amount of the Indebtedness and other obligations subject to such Liens does not at any time exceed $50,000,000.</w:t>
      </w:r>
    </w:p>
    <w:p>
      <w:pPr>
        <w:spacing w:after="0" w:line="208"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6.03. </w:t>
      </w:r>
      <w:r>
        <w:rPr>
          <w:rFonts w:ascii="Times New Roman" w:cs="Times New Roman" w:eastAsia="Times New Roman" w:hAnsi="Times New Roman"/>
          <w:sz w:val="20"/>
          <w:szCs w:val="20"/>
          <w:u w:val="single" w:color="auto"/>
          <w:color w:val="000000"/>
        </w:rPr>
        <w:t>Fundamental Changes and Asset Sales</w:t>
      </w:r>
      <w:r>
        <w:rPr>
          <w:rFonts w:ascii="Times New Roman" w:cs="Times New Roman" w:eastAsia="Times New Roman" w:hAnsi="Times New Roman"/>
          <w:sz w:val="20"/>
          <w:szCs w:val="20"/>
          <w:color w:val="000000"/>
        </w:rPr>
        <w:t>. (a) The Company will not, and will not permit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Subsidiary to, merge into or consolidate or amalgamate with any other Person, consummate a Division as the Dividing Person, or sell, transfer, lease or otherwise dispose of (in one transaction or in a series of transactions and whether effected pursuant to a Division or otherwise) any of its assets, (including pursuant to a Sale and Leaseback Transaction), or any of the Equity Interests of any of its Subsidiaries (in each case, whether now owned or hereafter acquired), or liquidate or dissolve, except that:</w:t>
      </w:r>
    </w:p>
    <w:p>
      <w:pPr>
        <w:spacing w:after="0" w:line="219" w:lineRule="exact"/>
        <w:rPr>
          <w:sz w:val="20"/>
          <w:szCs w:val="20"/>
          <w:color w:val="auto"/>
        </w:rPr>
      </w:pPr>
    </w:p>
    <w:p>
      <w:pPr>
        <w:ind w:left="1300" w:right="239" w:firstLine="640"/>
        <w:spacing w:after="0" w:line="283" w:lineRule="auto"/>
        <w:tabs>
          <w:tab w:leader="none" w:pos="2486" w:val="left"/>
        </w:tabs>
        <w:numPr>
          <w:ilvl w:val="1"/>
          <w:numId w:val="1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Person may merge into the Company in a transaction in which the Company is the surviving corporation;</w:t>
      </w:r>
    </w:p>
    <w:p>
      <w:pPr>
        <w:spacing w:after="0" w:line="186" w:lineRule="exact"/>
        <w:rPr>
          <w:rFonts w:ascii="Times New Roman" w:cs="Times New Roman" w:eastAsia="Times New Roman" w:hAnsi="Times New Roman"/>
          <w:sz w:val="20"/>
          <w:szCs w:val="20"/>
          <w:color w:val="010000"/>
        </w:rPr>
      </w:pPr>
    </w:p>
    <w:p>
      <w:pPr>
        <w:ind w:left="2580" w:hanging="641"/>
        <w:spacing w:after="0"/>
        <w:tabs>
          <w:tab w:leader="none" w:pos="2580" w:val="left"/>
        </w:tabs>
        <w:numPr>
          <w:ilvl w:val="1"/>
          <w:numId w:val="1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any Subsidiary may merge or amalgamate with any other Subsidiary,</w:t>
      </w:r>
    </w:p>
    <w:p>
      <w:pPr>
        <w:spacing w:after="0" w:line="28" w:lineRule="exact"/>
        <w:rPr>
          <w:rFonts w:ascii="Times New Roman" w:cs="Times New Roman" w:eastAsia="Times New Roman" w:hAnsi="Times New Roman"/>
          <w:sz w:val="20"/>
          <w:szCs w:val="20"/>
          <w:color w:val="010000"/>
        </w:rPr>
      </w:pPr>
    </w:p>
    <w:p>
      <w:pPr>
        <w:jc w:val="both"/>
        <w:ind w:left="1300" w:right="239" w:hanging="8"/>
        <w:spacing w:after="0" w:line="249" w:lineRule="auto"/>
        <w:tabs>
          <w:tab w:leader="none" w:pos="165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merge into or amalgamate with a Loan Party in a transaction in which the surviving entity is such Loan Party (provided that any such merger involving the Company must result in the Company as the surviving entity), (C) any Subsidiary may sell, transfer, lease or otherwise dispose of its assets to a Loan Party or (D) any Subsidiary that is an LLC may consummate a Division as the Dividing Person if, immediately upon the consummation of the Division, the assets of the applicable Dividing Person are held by one or more Subsidiaries at such time, or, with respect to assets not so held by one or more Subsidiaries, such Division, in the aggregate, would otherwise result in a Disposition permitted by Section 6.03(a)(v)(D);</w:t>
      </w:r>
    </w:p>
    <w:p>
      <w:pPr>
        <w:spacing w:after="0" w:line="208" w:lineRule="exact"/>
        <w:rPr>
          <w:rFonts w:ascii="Times New Roman" w:cs="Times New Roman" w:eastAsia="Times New Roman" w:hAnsi="Times New Roman"/>
          <w:sz w:val="20"/>
          <w:szCs w:val="20"/>
          <w:color w:val="auto"/>
        </w:rPr>
      </w:pPr>
    </w:p>
    <w:p>
      <w:pPr>
        <w:ind w:left="2480" w:hanging="540"/>
        <w:spacing w:after="0"/>
        <w:tabs>
          <w:tab w:leader="none" w:pos="2480" w:val="left"/>
        </w:tabs>
        <w:numPr>
          <w:ilvl w:val="1"/>
          <w:numId w:val="1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Subsidiary may sell, transfer, lease or otherwise dispose of its assets to a Loan Party;</w:t>
      </w:r>
    </w:p>
    <w:p>
      <w:pPr>
        <w:spacing w:after="0" w:line="269" w:lineRule="exact"/>
        <w:rPr>
          <w:rFonts w:ascii="Times New Roman" w:cs="Times New Roman" w:eastAsia="Times New Roman" w:hAnsi="Times New Roman"/>
          <w:sz w:val="20"/>
          <w:szCs w:val="20"/>
          <w:color w:val="010000"/>
        </w:rPr>
      </w:pPr>
    </w:p>
    <w:p>
      <w:pPr>
        <w:ind w:left="1300" w:right="239" w:firstLine="640"/>
        <w:spacing w:after="0" w:line="269" w:lineRule="auto"/>
        <w:tabs>
          <w:tab w:leader="none" w:pos="2477" w:val="left"/>
        </w:tabs>
        <w:numPr>
          <w:ilvl w:val="1"/>
          <w:numId w:val="1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Subsidiary may sell Permitted Receivables Facility Assets and Permitted Receivables Related Assets under Permitted Receivables Facilities;</w:t>
      </w:r>
    </w:p>
    <w:p>
      <w:pPr>
        <w:spacing w:after="0" w:line="199" w:lineRule="exact"/>
        <w:rPr>
          <w:rFonts w:ascii="Times New Roman" w:cs="Times New Roman" w:eastAsia="Times New Roman" w:hAnsi="Times New Roman"/>
          <w:sz w:val="20"/>
          <w:szCs w:val="20"/>
          <w:color w:val="010000"/>
        </w:rPr>
      </w:pPr>
    </w:p>
    <w:p>
      <w:pPr>
        <w:ind w:left="2460" w:hanging="520"/>
        <w:spacing w:after="0"/>
        <w:tabs>
          <w:tab w:leader="none" w:pos="2460" w:val="left"/>
        </w:tabs>
        <w:numPr>
          <w:ilvl w:val="1"/>
          <w:numId w:val="1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(A) sell inventory in the ordinary course of business,</w:t>
      </w:r>
    </w:p>
    <w:p>
      <w:pPr>
        <w:spacing w:after="0" w:line="28" w:lineRule="exact"/>
        <w:rPr>
          <w:rFonts w:ascii="Times New Roman" w:cs="Times New Roman" w:eastAsia="Times New Roman" w:hAnsi="Times New Roman"/>
          <w:sz w:val="20"/>
          <w:szCs w:val="20"/>
          <w:color w:val="010000"/>
        </w:rPr>
      </w:pPr>
    </w:p>
    <w:p>
      <w:pPr>
        <w:jc w:val="both"/>
        <w:ind w:left="1300" w:right="199" w:hanging="8"/>
        <w:spacing w:after="0" w:line="249" w:lineRule="auto"/>
        <w:tabs>
          <w:tab w:leader="none" w:pos="16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sales, leases, trade-ins or dispositions of used equipment for value in the ordinary course of business consistent with past practice, (C) enter into licenses of technology in the ordinary course of business, and (D) make any other sales, transfers, leases or dispositions that, together with all other property of the Company and its Subsidiaries previously leased, sold or disposed of as permitted by this clause (D) during any fiscal year of the Company, does not exceed 15% of Consolidated Total Assets (determined by reference to the Company’s most recently delivered Financials or, if prior to the date of delivery of the first Financials to be delivered pursuant hereto, the most recent financial statements referred to in Section 3.04(a));</w:t>
      </w:r>
    </w:p>
    <w:p>
      <w:pPr>
        <w:spacing w:after="0" w:line="222" w:lineRule="exact"/>
        <w:rPr>
          <w:rFonts w:ascii="Times New Roman" w:cs="Times New Roman" w:eastAsia="Times New Roman" w:hAnsi="Times New Roman"/>
          <w:sz w:val="20"/>
          <w:szCs w:val="20"/>
          <w:color w:val="auto"/>
        </w:rPr>
      </w:pPr>
    </w:p>
    <w:p>
      <w:pPr>
        <w:jc w:val="both"/>
        <w:ind w:left="1300" w:right="259" w:firstLine="640"/>
        <w:spacing w:after="0" w:line="261" w:lineRule="auto"/>
        <w:tabs>
          <w:tab w:leader="none" w:pos="2477" w:val="left"/>
        </w:tabs>
        <w:numPr>
          <w:ilvl w:val="1"/>
          <w:numId w:val="1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Subsidiary that is not a Loan Party may liquidate or dissolve if the Company determines in good faith that such liquidation or dissolution is in the best interests of the Company and after giving effect to such transaction, no Default shall exist;</w:t>
      </w:r>
    </w:p>
    <w:p>
      <w:pPr>
        <w:spacing w:after="0" w:line="208" w:lineRule="exact"/>
        <w:rPr>
          <w:rFonts w:ascii="Times New Roman" w:cs="Times New Roman" w:eastAsia="Times New Roman" w:hAnsi="Times New Roman"/>
          <w:sz w:val="20"/>
          <w:szCs w:val="20"/>
          <w:color w:val="010000"/>
        </w:rPr>
      </w:pPr>
    </w:p>
    <w:p>
      <w:pPr>
        <w:ind w:left="1300" w:right="239" w:firstLine="640"/>
        <w:spacing w:after="0" w:line="283" w:lineRule="auto"/>
        <w:tabs>
          <w:tab w:leader="none" w:pos="2477" w:val="left"/>
        </w:tabs>
        <w:numPr>
          <w:ilvl w:val="1"/>
          <w:numId w:val="1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Consolidated Capital Expenditures in the ordinary course of their respective businesses;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0019"/>
          </w:cols>
          <w:pgMar w:left="440" w:top="1413" w:right="1440" w:bottom="1440" w:gutter="0" w:footer="0" w:header="0"/>
        </w:sectPr>
      </w:pPr>
    </w:p>
    <w:bookmarkStart w:id="135" w:name="page136"/>
    <w:bookmarkEnd w:id="135"/>
    <w:p>
      <w:pPr>
        <w:ind w:left="2460" w:hanging="521"/>
        <w:spacing w:after="0"/>
        <w:tabs>
          <w:tab w:leader="none" w:pos="2460" w:val="left"/>
        </w:tabs>
        <w:numPr>
          <w:ilvl w:val="1"/>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advances, investments and loans in and to</w:t>
      </w:r>
    </w:p>
    <w:p>
      <w:pPr>
        <w:spacing w:after="0" w:line="28" w:lineRule="exact"/>
        <w:rPr>
          <w:rFonts w:ascii="Times New Roman" w:cs="Times New Roman" w:eastAsia="Times New Roman" w:hAnsi="Times New Roman"/>
          <w:sz w:val="20"/>
          <w:szCs w:val="20"/>
          <w:color w:val="010000"/>
        </w:rPr>
      </w:pPr>
    </w:p>
    <w:p>
      <w:pPr>
        <w:ind w:left="130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third parties;</w:t>
      </w:r>
    </w:p>
    <w:p>
      <w:pPr>
        <w:spacing w:after="0" w:line="240" w:lineRule="exact"/>
        <w:rPr>
          <w:rFonts w:ascii="Times New Roman" w:cs="Times New Roman" w:eastAsia="Times New Roman" w:hAnsi="Times New Roman"/>
          <w:sz w:val="20"/>
          <w:szCs w:val="20"/>
          <w:color w:val="010000"/>
        </w:rPr>
      </w:pPr>
    </w:p>
    <w:p>
      <w:pPr>
        <w:ind w:left="2580" w:hanging="641"/>
        <w:spacing w:after="0"/>
        <w:tabs>
          <w:tab w:leader="none" w:pos="2580" w:val="left"/>
        </w:tabs>
        <w:numPr>
          <w:ilvl w:val="1"/>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Restricted Payments;</w:t>
      </w:r>
    </w:p>
    <w:p>
      <w:pPr>
        <w:spacing w:after="0" w:line="256" w:lineRule="exact"/>
        <w:rPr>
          <w:rFonts w:ascii="Times New Roman" w:cs="Times New Roman" w:eastAsia="Times New Roman" w:hAnsi="Times New Roman"/>
          <w:sz w:val="20"/>
          <w:szCs w:val="20"/>
          <w:color w:val="010000"/>
        </w:rPr>
      </w:pPr>
    </w:p>
    <w:p>
      <w:pPr>
        <w:jc w:val="both"/>
        <w:ind w:left="1300" w:right="239" w:firstLine="639"/>
        <w:spacing w:after="0" w:line="258" w:lineRule="auto"/>
        <w:tabs>
          <w:tab w:leader="none" w:pos="2475" w:val="left"/>
        </w:tabs>
        <w:numPr>
          <w:ilvl w:val="1"/>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dispositions of assets received in connection with the bankruptcy or reorganization of suppliers and customers and in settlement of delinquent obligations of, and other disputes with, customers and suppliers arising in the ordinary course of business; and</w:t>
      </w:r>
    </w:p>
    <w:p>
      <w:pPr>
        <w:spacing w:after="0" w:line="212" w:lineRule="exact"/>
        <w:rPr>
          <w:rFonts w:ascii="Times New Roman" w:cs="Times New Roman" w:eastAsia="Times New Roman" w:hAnsi="Times New Roman"/>
          <w:sz w:val="20"/>
          <w:szCs w:val="20"/>
          <w:color w:val="010000"/>
        </w:rPr>
      </w:pPr>
    </w:p>
    <w:p>
      <w:pPr>
        <w:jc w:val="both"/>
        <w:ind w:left="1300" w:right="239" w:firstLine="639"/>
        <w:spacing w:after="0" w:line="261" w:lineRule="auto"/>
        <w:tabs>
          <w:tab w:leader="none" w:pos="2477" w:val="left"/>
        </w:tabs>
        <w:numPr>
          <w:ilvl w:val="1"/>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lease (as lessor) real or personal property not interfering with the ordinary course of business of the Company and otherwise in compliance with this Agreement.</w:t>
      </w:r>
    </w:p>
    <w:p>
      <w:pPr>
        <w:spacing w:after="0" w:line="221" w:lineRule="exact"/>
        <w:rPr>
          <w:rFonts w:ascii="Times New Roman" w:cs="Times New Roman" w:eastAsia="Times New Roman" w:hAnsi="Times New Roman"/>
          <w:sz w:val="20"/>
          <w:szCs w:val="20"/>
          <w:color w:val="010000"/>
        </w:rPr>
      </w:pPr>
    </w:p>
    <w:p>
      <w:pPr>
        <w:jc w:val="both"/>
        <w:ind w:left="640" w:right="239" w:firstLine="651"/>
        <w:spacing w:after="0" w:line="253" w:lineRule="auto"/>
        <w:tabs>
          <w:tab w:leader="none" w:pos="1815"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not, and will not permit any of its Subsidiaries to, engage to any material extent in any business other than (i) businesses of the type conducted by the Company and its Subsidiaries on the date of execution of this Agreement and businesses reasonably related thereto, (ii) reasonable extensions thereof and (iii) any other manufacturing business, including, without limitation, the distribution and/or resale of manufactured products and other reasonable extensions of the manufacturing business.</w:t>
      </w:r>
    </w:p>
    <w:p>
      <w:pPr>
        <w:spacing w:after="0" w:line="218" w:lineRule="exact"/>
        <w:rPr>
          <w:rFonts w:ascii="Times New Roman" w:cs="Times New Roman" w:eastAsia="Times New Roman" w:hAnsi="Times New Roman"/>
          <w:sz w:val="20"/>
          <w:szCs w:val="20"/>
          <w:color w:val="010000"/>
        </w:rPr>
      </w:pPr>
    </w:p>
    <w:p>
      <w:pPr>
        <w:ind w:left="1820" w:hanging="529"/>
        <w:spacing w:after="0"/>
        <w:tabs>
          <w:tab w:leader="none" w:pos="1820"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not change its fiscal year from the basis in effect on the Restatement Effective</w:t>
      </w:r>
    </w:p>
    <w:p>
      <w:pPr>
        <w:spacing w:after="0" w:line="28" w:lineRule="exact"/>
        <w:rPr>
          <w:rFonts w:ascii="Times New Roman" w:cs="Times New Roman" w:eastAsia="Times New Roman" w:hAnsi="Times New Roman"/>
          <w:sz w:val="20"/>
          <w:szCs w:val="20"/>
          <w:color w:val="010000"/>
        </w:rPr>
      </w:pPr>
    </w:p>
    <w:p>
      <w:pPr>
        <w:ind w:left="64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Date.</w:t>
      </w:r>
    </w:p>
    <w:p>
      <w:pPr>
        <w:spacing w:after="0" w:line="241" w:lineRule="exact"/>
        <w:rPr>
          <w:sz w:val="20"/>
          <w:szCs w:val="20"/>
          <w:color w:val="auto"/>
        </w:rPr>
      </w:pPr>
    </w:p>
    <w:p>
      <w:pPr>
        <w:jc w:val="both"/>
        <w:ind w:right="199" w:firstLine="1295"/>
        <w:spacing w:after="0" w:line="253" w:lineRule="auto"/>
        <w:rPr>
          <w:sz w:val="20"/>
          <w:szCs w:val="20"/>
          <w:color w:val="auto"/>
        </w:rPr>
      </w:pPr>
      <w:r>
        <w:rPr>
          <w:rFonts w:ascii="Times New Roman" w:cs="Times New Roman" w:eastAsia="Times New Roman" w:hAnsi="Times New Roman"/>
          <w:sz w:val="20"/>
          <w:szCs w:val="20"/>
          <w:color w:val="010000"/>
        </w:rPr>
        <w:t xml:space="preserve">SECTION 6.04. </w:t>
      </w:r>
      <w:r>
        <w:rPr>
          <w:rFonts w:ascii="Times New Roman" w:cs="Times New Roman" w:eastAsia="Times New Roman" w:hAnsi="Times New Roman"/>
          <w:sz w:val="20"/>
          <w:szCs w:val="20"/>
          <w:u w:val="single" w:color="auto"/>
          <w:color w:val="000000"/>
        </w:rPr>
        <w:t>Speculative Swap Agreements</w:t>
      </w:r>
      <w:r>
        <w:rPr>
          <w:rFonts w:ascii="Times New Roman" w:cs="Times New Roman" w:eastAsia="Times New Roman" w:hAnsi="Times New Roman"/>
          <w:sz w:val="20"/>
          <w:szCs w:val="20"/>
          <w:color w:val="000000"/>
        </w:rPr>
        <w:t>. The Company will not, and will not permit any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Subsidiaries to, enter into any Swap Agreement, except (a) Swap Agreements entered into to hedge or mitigate risks, including the potential purchase price of acquisitions in a foreign currency, of the Company or any Subsidiary (other than those in respect of Equity Interests of the Company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233" w:lineRule="exact"/>
        <w:rPr>
          <w:sz w:val="20"/>
          <w:szCs w:val="20"/>
          <w:color w:val="auto"/>
        </w:rPr>
      </w:pPr>
    </w:p>
    <w:p>
      <w:pPr>
        <w:jc w:val="both"/>
        <w:ind w:right="21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6.05. </w:t>
      </w:r>
      <w:r>
        <w:rPr>
          <w:rFonts w:ascii="Times New Roman" w:cs="Times New Roman" w:eastAsia="Times New Roman" w:hAnsi="Times New Roman"/>
          <w:sz w:val="20"/>
          <w:szCs w:val="20"/>
          <w:u w:val="single" w:color="auto"/>
          <w:color w:val="000000"/>
        </w:rPr>
        <w:t>Transactions with Affiliates</w:t>
      </w:r>
      <w:r>
        <w:rPr>
          <w:rFonts w:ascii="Times New Roman" w:cs="Times New Roman" w:eastAsia="Times New Roman" w:hAnsi="Times New Roman"/>
          <w:sz w:val="20"/>
          <w:szCs w:val="20"/>
          <w:color w:val="000000"/>
        </w:rPr>
        <w:t>. The Company will not, and will not permit any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Subsidiaries to, sell, lease or otherwise transfer any property or assets to, or purchase, lease or otherwise acquire any property or assets from, or otherwise engage in any other transactions with, any of its Affiliates, except (a) at prices and on terms and conditions not less favorable to the Company or such Subsidiary than could be obtained on an arm’s-length basis from unrelated third parties, (b) transactions between or among the Company and its wholly owned Subsidiaries not involving any other Affiliate (including transfers of inventory), (c) Restricted Payments, (d) Intercompany Loans, (e) each of the Company and any Subsidiary may, in the ordinary course of business, charge each other for services provided to the other, (f) the payment of reasonable and customary fees, compensation and employee benefits to directors of the Company or any Subsidiary who are not employees of the Company or any Subsidiary in the ordinary course of business, (g) any issuances of securities or other payments, awards or grants in cash, securities or otherwise pursuant to, stock options, stock ownership or any other equity incentive plans approved by the Company’s board of directors (or any committee thereof) and (h) employment and severance arrangements entered into in the ordinary course of business between the Company or any Subsidiary and any employee thereof.</w:t>
      </w:r>
    </w:p>
    <w:p>
      <w:pPr>
        <w:spacing w:after="0" w:line="207" w:lineRule="exact"/>
        <w:rPr>
          <w:sz w:val="20"/>
          <w:szCs w:val="20"/>
          <w:color w:val="auto"/>
        </w:rPr>
      </w:pPr>
    </w:p>
    <w:p>
      <w:pPr>
        <w:jc w:val="both"/>
        <w:ind w:right="239"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6.06. </w:t>
      </w:r>
      <w:r>
        <w:rPr>
          <w:rFonts w:ascii="Times New Roman" w:cs="Times New Roman" w:eastAsia="Times New Roman" w:hAnsi="Times New Roman"/>
          <w:sz w:val="20"/>
          <w:szCs w:val="20"/>
          <w:u w:val="single" w:color="auto"/>
          <w:color w:val="000000"/>
        </w:rPr>
        <w:t>Sale and Leaseback Transactions</w:t>
      </w:r>
      <w:r>
        <w:rPr>
          <w:rFonts w:ascii="Times New Roman" w:cs="Times New Roman" w:eastAsia="Times New Roman" w:hAnsi="Times New Roman"/>
          <w:sz w:val="20"/>
          <w:szCs w:val="20"/>
          <w:color w:val="000000"/>
        </w:rPr>
        <w:t>. The Company shall not, nor shall it permit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Subsidiary to, enter into any Sale and Leaseback Transaction, other than Sale and Leaseback Transactions in respect of which the net cash proceeds received in connection therewith does not exceed</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0019"/>
          </w:cols>
          <w:pgMar w:left="440" w:top="1413" w:right="1440" w:bottom="1440" w:gutter="0" w:footer="0" w:header="0"/>
          <w:type w:val="continuous"/>
        </w:sectPr>
      </w:pPr>
    </w:p>
    <w:bookmarkStart w:id="136" w:name="page137"/>
    <w:bookmarkEnd w:id="136"/>
    <w:p>
      <w:pPr>
        <w:ind w:right="379"/>
        <w:spacing w:after="0" w:line="283" w:lineRule="auto"/>
        <w:rPr>
          <w:sz w:val="20"/>
          <w:szCs w:val="20"/>
          <w:color w:val="auto"/>
        </w:rPr>
      </w:pPr>
      <w:r>
        <w:rPr>
          <w:rFonts w:ascii="Times New Roman" w:cs="Times New Roman" w:eastAsia="Times New Roman" w:hAnsi="Times New Roman"/>
          <w:sz w:val="20"/>
          <w:szCs w:val="20"/>
          <w:color w:val="auto"/>
        </w:rPr>
        <w:t>$50,000,000 in the aggregate during any fiscal year of the Company, determined on a consolidated basis for the Company and its Subsidiaries.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6.07. </w:t>
      </w:r>
      <w:r>
        <w:rPr>
          <w:rFonts w:ascii="Times New Roman" w:cs="Times New Roman" w:eastAsia="Times New Roman" w:hAnsi="Times New Roman"/>
          <w:sz w:val="20"/>
          <w:szCs w:val="20"/>
          <w:u w:val="single" w:color="auto"/>
          <w:color w:val="000000"/>
        </w:rPr>
        <w:t>Financial Covenants</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jc w:val="both"/>
        <w:ind w:left="640" w:right="219" w:firstLine="651"/>
        <w:spacing w:after="0" w:line="263" w:lineRule="auto"/>
        <w:tabs>
          <w:tab w:leader="none" w:pos="1584"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Total Net Leverage Ratio</w:t>
      </w:r>
      <w:r>
        <w:rPr>
          <w:rFonts w:ascii="Times New Roman" w:cs="Times New Roman" w:eastAsia="Times New Roman" w:hAnsi="Times New Roman"/>
          <w:sz w:val="19"/>
          <w:szCs w:val="19"/>
          <w:color w:val="auto"/>
        </w:rPr>
        <w:t>. The Company will not permit the Total Net Leverage Ratio, determined as of the end of each of its fiscal quarters ending on and after March 31, 2022, to be greater than 3.50 to 1.00. Notwithstanding the foregoing, the Company shall be permitted, but in no event on more than two occasions during the term of this Agreement, to allow the maximum Total Net Leverage Ratio permitted under this Section 6.07(a) to be increased to 4.00 to 1.00 for a period of four consecutive fiscal quarters (such period, an “</w:t>
      </w:r>
      <w:r>
        <w:rPr>
          <w:rFonts w:ascii="Times New Roman" w:cs="Times New Roman" w:eastAsia="Times New Roman" w:hAnsi="Times New Roman"/>
          <w:sz w:val="19"/>
          <w:szCs w:val="19"/>
          <w:u w:val="single" w:color="auto"/>
          <w:color w:val="auto"/>
        </w:rPr>
        <w:t>Adjusted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Covenant Period</w:t>
      </w:r>
      <w:r>
        <w:rPr>
          <w:rFonts w:ascii="Times New Roman" w:cs="Times New Roman" w:eastAsia="Times New Roman" w:hAnsi="Times New Roman"/>
          <w:sz w:val="19"/>
          <w:szCs w:val="19"/>
          <w:color w:val="auto"/>
        </w:rPr>
        <w:t xml:space="preserve">”) in connection with a Qualifying Material Acquisition occurring during the first of such four fiscal quarters (and in respect of which the Company shall provide notice in writing to the Administrative Agent (for distribution to the Lenders) of such increase and a transaction description of such Qualifying Material Acquisition (including the name of the person or summary description of the assets being acquired and the approximate purchase price)), so long as the Company is in compliance on a pro forma basis with the maximum Total Net Leverage Ratio of 4.00 to 1.00 on the closing date of such Qualifying Material Acquisition immediately after giving effect (including giving effect on a pro forma basis) to such Qualifying Material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it is understood and agreed that the maximum Total Net Leverage Ratio permitted under this Section 6.07(a) shall revert to 3.50 to 1.00 as of the end of such Adjusted Covenant Period and thereafter until another Adjusted Covenant Period (if any) is elected pursuant to the terms and conditions described above.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6.08. </w:t>
      </w:r>
      <w:r>
        <w:rPr>
          <w:rFonts w:ascii="Times New Roman" w:cs="Times New Roman" w:eastAsia="Times New Roman" w:hAnsi="Times New Roman"/>
          <w:sz w:val="20"/>
          <w:szCs w:val="20"/>
          <w:u w:val="single" w:color="auto"/>
          <w:color w:val="000000"/>
        </w:rPr>
        <w:t>Anti-Corruption Laws and Sanctions</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jc w:val="both"/>
        <w:ind w:left="640" w:right="219" w:firstLine="651"/>
        <w:spacing w:after="0" w:line="253" w:lineRule="auto"/>
        <w:tabs>
          <w:tab w:leader="none" w:pos="1818"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Borrower will request any Borrowing or Letter of Credit, and no Borrower shall use, and the Company shall procure that its Subsidiaries and its or their respective directors, officers, employees and agents shall not use, the proceeds of any Borrowing or Letter of Credit directly or indirectly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219" w:lineRule="exact"/>
        <w:rPr>
          <w:rFonts w:ascii="Times New Roman" w:cs="Times New Roman" w:eastAsia="Times New Roman" w:hAnsi="Times New Roman"/>
          <w:sz w:val="20"/>
          <w:szCs w:val="20"/>
          <w:color w:val="010000"/>
        </w:rPr>
      </w:pPr>
    </w:p>
    <w:p>
      <w:pPr>
        <w:jc w:val="both"/>
        <w:ind w:left="640" w:right="239" w:firstLine="651"/>
        <w:spacing w:after="0" w:line="253" w:lineRule="auto"/>
        <w:tabs>
          <w:tab w:leader="none" w:pos="1815"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negative covenants in this Section 6.08 shall not be made by any German Borrower in so far as they would violate or expose any German Borrower or any of its Subsidiaries or any director, officer or employee thereof to any liability under any anti-boycott or blocking law, regulation or statute that is in force from time to time and applicable to such entity (including without limitation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010000"/>
        </w:rPr>
      </w:pPr>
    </w:p>
    <w:p>
      <w:pPr>
        <w:jc w:val="both"/>
        <w:ind w:left="640" w:right="239" w:firstLine="651"/>
        <w:spacing w:after="0" w:line="253" w:lineRule="auto"/>
        <w:tabs>
          <w:tab w:leader="none" w:pos="1818"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negative covenants in this Section 6.08 given by any Borrower to any Lender that qualifies as a resident party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are made only to the extent that any Lender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would be permitted to make such undertakings pursuant to EU Regulation (EC) 2271/96 and Section 7 of the German Foreign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0019"/>
          </w:cols>
          <w:pgMar w:left="440" w:top="1413" w:right="1440" w:bottom="1440" w:gutter="0" w:footer="0" w:header="0"/>
        </w:sectPr>
      </w:pPr>
    </w:p>
    <w:bookmarkStart w:id="137" w:name="page138"/>
    <w:bookmarkEnd w:id="137"/>
    <w:p>
      <w:pPr>
        <w:ind w:left="640" w:right="2219"/>
        <w:spacing w:after="0" w:line="283" w:lineRule="auto"/>
        <w:rPr>
          <w:sz w:val="20"/>
          <w:szCs w:val="20"/>
          <w:color w:val="auto"/>
        </w:rPr>
      </w:pPr>
      <w:r>
        <w:rPr>
          <w:rFonts w:ascii="Times New Roman" w:cs="Times New Roman" w:eastAsia="Times New Roman" w:hAnsi="Times New Roman"/>
          <w:sz w:val="20"/>
          <w:szCs w:val="20"/>
          <w:color w:val="auto"/>
        </w:rPr>
        <w:t>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6.09. </w:t>
      </w:r>
      <w:r>
        <w:rPr>
          <w:rFonts w:ascii="Times New Roman" w:cs="Times New Roman" w:eastAsia="Times New Roman" w:hAnsi="Times New Roman"/>
          <w:sz w:val="20"/>
          <w:szCs w:val="20"/>
          <w:u w:val="single" w:color="auto"/>
          <w:color w:val="000000"/>
        </w:rPr>
        <w:t>UK Pensions</w:t>
      </w:r>
      <w:r>
        <w:rPr>
          <w:rFonts w:ascii="Times New Roman" w:cs="Times New Roman" w:eastAsia="Times New Roman" w:hAnsi="Times New Roman"/>
          <w:sz w:val="20"/>
          <w:szCs w:val="20"/>
          <w:color w:val="000000"/>
        </w:rPr>
        <w:t>. The Company will ensure it is not a party, and will procure that no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Subsidiary is a party, to any act or omission in relation to any Non-U.S. Pension Plan that could reasonably be expected to result in a Material Adverse Effect.</w:t>
      </w:r>
    </w:p>
    <w:p>
      <w:pPr>
        <w:spacing w:after="0" w:line="20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010000"/>
        </w:rPr>
        <w:t>ARTICLE VII</w:t>
      </w:r>
    </w:p>
    <w:p>
      <w:pPr>
        <w:spacing w:after="0" w:line="25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3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256" w:lineRule="exact"/>
        <w:rPr>
          <w:sz w:val="20"/>
          <w:szCs w:val="20"/>
          <w:color w:val="auto"/>
        </w:rPr>
      </w:pPr>
    </w:p>
    <w:p>
      <w:pPr>
        <w:jc w:val="both"/>
        <w:ind w:left="640" w:right="239" w:firstLine="651"/>
        <w:spacing w:after="0" w:line="261" w:lineRule="auto"/>
        <w:tabs>
          <w:tab w:leader="none" w:pos="1818"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208" w:lineRule="exact"/>
        <w:rPr>
          <w:rFonts w:ascii="Times New Roman" w:cs="Times New Roman" w:eastAsia="Times New Roman" w:hAnsi="Times New Roman"/>
          <w:sz w:val="20"/>
          <w:szCs w:val="20"/>
          <w:color w:val="010000"/>
        </w:rPr>
      </w:pPr>
    </w:p>
    <w:p>
      <w:pPr>
        <w:jc w:val="both"/>
        <w:ind w:left="640" w:right="239" w:firstLine="651"/>
        <w:spacing w:after="0" w:line="258" w:lineRule="auto"/>
        <w:tabs>
          <w:tab w:leader="none" w:pos="1814"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(5) Business Days;</w:t>
      </w:r>
    </w:p>
    <w:p>
      <w:pPr>
        <w:spacing w:after="0" w:line="212" w:lineRule="exact"/>
        <w:rPr>
          <w:rFonts w:ascii="Times New Roman" w:cs="Times New Roman" w:eastAsia="Times New Roman" w:hAnsi="Times New Roman"/>
          <w:sz w:val="20"/>
          <w:szCs w:val="20"/>
          <w:color w:val="010000"/>
        </w:rPr>
      </w:pPr>
    </w:p>
    <w:p>
      <w:pPr>
        <w:jc w:val="both"/>
        <w:ind w:left="640" w:right="219" w:firstLine="652"/>
        <w:spacing w:after="0" w:line="253" w:lineRule="auto"/>
        <w:tabs>
          <w:tab w:leader="none" w:pos="1818"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representation or warranty made or deemed made by or on behalf of any Borrower or any Subsidiary in or in connection with this Agreement or any other Loan Document or any amendment or modification hereof or thereof or waiver hereunder or thereunder, or in any certificate required to be delivered pursuant to or in connection with this Agreement or any other Loan Document or any amendment or modification thereof or waiver thereunder, shall prove to have been incorrect in any material respect on the date when made or deemed made;</w:t>
      </w:r>
    </w:p>
    <w:p>
      <w:pPr>
        <w:spacing w:after="0" w:line="232" w:lineRule="exact"/>
        <w:rPr>
          <w:rFonts w:ascii="Times New Roman" w:cs="Times New Roman" w:eastAsia="Times New Roman" w:hAnsi="Times New Roman"/>
          <w:sz w:val="20"/>
          <w:szCs w:val="20"/>
          <w:color w:val="010000"/>
        </w:rPr>
      </w:pPr>
    </w:p>
    <w:p>
      <w:pPr>
        <w:ind w:left="640" w:right="259" w:firstLine="651"/>
        <w:spacing w:after="0" w:line="269" w:lineRule="auto"/>
        <w:tabs>
          <w:tab w:leader="none" w:pos="1814"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Borrower shall fail to observe or perform any covenant, condition or agreement contained in Section 5.02, 5.03 (with respect to any Borrower’s existence) or 5.08,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0"/>
          <w:szCs w:val="20"/>
          <w:color w:val="010000"/>
        </w:rPr>
      </w:pPr>
    </w:p>
    <w:p>
      <w:pPr>
        <w:jc w:val="both"/>
        <w:ind w:left="640" w:right="239" w:firstLine="651"/>
        <w:spacing w:after="0" w:line="254" w:lineRule="auto"/>
        <w:tabs>
          <w:tab w:leader="none" w:pos="1817"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Borrower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w:t>
      </w:r>
    </w:p>
    <w:p>
      <w:pPr>
        <w:spacing w:after="0" w:line="227" w:lineRule="exact"/>
        <w:rPr>
          <w:rFonts w:ascii="Times New Roman" w:cs="Times New Roman" w:eastAsia="Times New Roman" w:hAnsi="Times New Roman"/>
          <w:sz w:val="20"/>
          <w:szCs w:val="20"/>
          <w:color w:val="010000"/>
        </w:rPr>
      </w:pPr>
    </w:p>
    <w:p>
      <w:pPr>
        <w:jc w:val="both"/>
        <w:ind w:left="640" w:right="239" w:firstLine="652"/>
        <w:spacing w:after="0" w:line="258" w:lineRule="auto"/>
        <w:tabs>
          <w:tab w:leader="none" w:pos="1823"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Subsidiary shall fail to make any payment (whether of principal or interest and regardless of amount) in respect of any Material Indebtedness, when and as the same shall become due and payable and such failure continues after the applicable grace or notice period, if any, specified in the relevant document on the date of such failure;</w:t>
      </w:r>
    </w:p>
    <w:p>
      <w:pPr>
        <w:spacing w:after="0" w:line="212" w:lineRule="exact"/>
        <w:rPr>
          <w:rFonts w:ascii="Times New Roman" w:cs="Times New Roman" w:eastAsia="Times New Roman" w:hAnsi="Times New Roman"/>
          <w:sz w:val="20"/>
          <w:szCs w:val="20"/>
          <w:color w:val="010000"/>
        </w:rPr>
      </w:pPr>
    </w:p>
    <w:p>
      <w:pPr>
        <w:jc w:val="both"/>
        <w:ind w:left="640" w:right="199" w:firstLine="652"/>
        <w:spacing w:after="0" w:line="253" w:lineRule="auto"/>
        <w:tabs>
          <w:tab w:leader="none" w:pos="1816"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w:t>
      </w:r>
    </w:p>
    <w:p>
      <w:pPr>
        <w:sectPr>
          <w:pgSz w:w="11900" w:h="16838" w:orient="portrait"/>
          <w:cols w:equalWidth="0" w:num="1">
            <w:col w:w="10019"/>
          </w:cols>
          <w:pgMar w:left="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0019"/>
          </w:cols>
          <w:pgMar w:left="440" w:top="1413" w:right="1440" w:bottom="1440" w:gutter="0" w:footer="0" w:header="0"/>
          <w:type w:val="continuous"/>
        </w:sectPr>
      </w:pPr>
    </w:p>
    <w:bookmarkStart w:id="138" w:name="page139"/>
    <w:bookmarkEnd w:id="138"/>
    <w:p>
      <w:pPr>
        <w:ind w:right="439"/>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secured Indebtedness that becomes due as a result of the voluntary sale or transfer of the property or assets securing such Indebtedness;</w:t>
      </w:r>
    </w:p>
    <w:p>
      <w:pPr>
        <w:spacing w:after="0" w:line="38" w:lineRule="exact"/>
        <w:rPr>
          <w:sz w:val="20"/>
          <w:szCs w:val="20"/>
          <w:color w:val="auto"/>
        </w:rPr>
      </w:pPr>
    </w:p>
    <w:p>
      <w:pPr>
        <w:jc w:val="both"/>
        <w:ind w:right="199" w:firstLine="652"/>
        <w:spacing w:after="0" w:line="253" w:lineRule="auto"/>
        <w:tabs>
          <w:tab w:leader="none" w:pos="1176"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the Company or any Significant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Significant Subsidiary or for a substantial part of its assets, and, in any such case, such proceeding or petition shall continue undismissed for sixty (60) days or an order or decree approving or ordering any of the foregoing shall be entered;</w:t>
      </w:r>
    </w:p>
    <w:p>
      <w:pPr>
        <w:spacing w:after="0" w:line="17" w:lineRule="exact"/>
        <w:rPr>
          <w:rFonts w:ascii="Times New Roman" w:cs="Times New Roman" w:eastAsia="Times New Roman" w:hAnsi="Times New Roman"/>
          <w:sz w:val="20"/>
          <w:szCs w:val="20"/>
          <w:color w:val="010000"/>
        </w:rPr>
      </w:pPr>
    </w:p>
    <w:p>
      <w:pPr>
        <w:jc w:val="both"/>
        <w:ind w:right="239" w:firstLine="652"/>
        <w:spacing w:after="0" w:line="253" w:lineRule="auto"/>
        <w:tabs>
          <w:tab w:leader="none" w:pos="1186"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Significant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Significant Subsidiary or for a substantial part of its assets, (iv) make a general assignment for the benefit of creditors or (v) take any action for the purpose of effecting any of the foregoing;</w:t>
      </w:r>
    </w:p>
    <w:p>
      <w:pPr>
        <w:spacing w:after="0" w:line="30" w:lineRule="exact"/>
        <w:rPr>
          <w:rFonts w:ascii="Times New Roman" w:cs="Times New Roman" w:eastAsia="Times New Roman" w:hAnsi="Times New Roman"/>
          <w:sz w:val="20"/>
          <w:szCs w:val="20"/>
          <w:color w:val="010000"/>
        </w:rPr>
      </w:pPr>
    </w:p>
    <w:p>
      <w:pPr>
        <w:ind w:left="1300" w:hanging="648"/>
        <w:spacing w:after="0"/>
        <w:tabs>
          <w:tab w:leader="none" w:pos="1300"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UK Insolvency Event shall occur in respect of any UK Relevant Entity;</w:t>
      </w:r>
    </w:p>
    <w:p>
      <w:pPr>
        <w:spacing w:after="0" w:line="53" w:lineRule="exact"/>
        <w:rPr>
          <w:rFonts w:ascii="Times New Roman" w:cs="Times New Roman" w:eastAsia="Times New Roman" w:hAnsi="Times New Roman"/>
          <w:sz w:val="20"/>
          <w:szCs w:val="20"/>
          <w:color w:val="010000"/>
        </w:rPr>
      </w:pPr>
    </w:p>
    <w:p>
      <w:pPr>
        <w:jc w:val="both"/>
        <w:ind w:right="219" w:firstLine="651"/>
        <w:spacing w:after="0" w:line="249" w:lineRule="auto"/>
        <w:tabs>
          <w:tab w:leader="none" w:pos="1175"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the Company or any Significant Subsidiary, in each case having its center of main interest (in the meaning of section 3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article 3 para. 1 of Council Regulation (EC) No. 1346/2000 of May 29, 2000 on insolvency proceedings (as amended or superseded from time to time, e.g., pursuant to Regulation (EU) No 2015/848 of the European Parliament and of the Council of 20 May 2015 on insolvency proceedings)) in Germany, (i) the Company or such Significant Subsidiary is unable to pay its debts as they fall due (</w:t>
      </w:r>
      <w:r>
        <w:rPr>
          <w:rFonts w:ascii="Times New Roman" w:cs="Times New Roman" w:eastAsia="Times New Roman" w:hAnsi="Times New Roman"/>
          <w:sz w:val="20"/>
          <w:szCs w:val="20"/>
          <w:i w:val="1"/>
          <w:iCs w:val="1"/>
          <w:color w:val="auto"/>
        </w:rPr>
        <w:t>zahlungsunfähig</w:t>
      </w:r>
      <w:r>
        <w:rPr>
          <w:rFonts w:ascii="Times New Roman" w:cs="Times New Roman" w:eastAsia="Times New Roman" w:hAnsi="Times New Roman"/>
          <w:sz w:val="20"/>
          <w:szCs w:val="20"/>
          <w:color w:val="auto"/>
        </w:rPr>
        <w:t>), is over indebted (</w:t>
      </w:r>
      <w:r>
        <w:rPr>
          <w:rFonts w:ascii="Times New Roman" w:cs="Times New Roman" w:eastAsia="Times New Roman" w:hAnsi="Times New Roman"/>
          <w:sz w:val="20"/>
          <w:szCs w:val="20"/>
          <w:i w:val="1"/>
          <w:iCs w:val="1"/>
          <w:color w:val="auto"/>
        </w:rPr>
        <w:t>überschuldet</w:t>
      </w:r>
      <w:r>
        <w:rPr>
          <w:rFonts w:ascii="Times New Roman" w:cs="Times New Roman" w:eastAsia="Times New Roman" w:hAnsi="Times New Roman"/>
          <w:sz w:val="20"/>
          <w:szCs w:val="20"/>
          <w:color w:val="auto"/>
        </w:rPr>
        <w:t>), imminent illiquid (</w:t>
      </w:r>
      <w:r>
        <w:rPr>
          <w:rFonts w:ascii="Times New Roman" w:cs="Times New Roman" w:eastAsia="Times New Roman" w:hAnsi="Times New Roman"/>
          <w:sz w:val="20"/>
          <w:szCs w:val="20"/>
          <w:i w:val="1"/>
          <w:iCs w:val="1"/>
          <w:color w:val="auto"/>
        </w:rPr>
        <w:t>drohende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Zahlungsunfähigkeit</w:t>
      </w:r>
      <w:r>
        <w:rPr>
          <w:rFonts w:ascii="Times New Roman" w:cs="Times New Roman" w:eastAsia="Times New Roman" w:hAnsi="Times New Roman"/>
          <w:sz w:val="20"/>
          <w:szCs w:val="20"/>
          <w:color w:val="auto"/>
        </w:rPr>
        <w:t>), or, for any reasons set out in Section 17 or 19 (inclusive) of the German Insolvency Code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(ii) a Person making an application for the opening of insolvency proceedings for the reasons set out in sections 17 to 19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Antrag auf Eröffnung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eines Insolvenzverfahrens</w:t>
      </w:r>
      <w:r>
        <w:rPr>
          <w:rFonts w:ascii="Times New Roman" w:cs="Times New Roman" w:eastAsia="Times New Roman" w:hAnsi="Times New Roman"/>
          <w:sz w:val="20"/>
          <w:szCs w:val="20"/>
          <w:color w:val="auto"/>
        </w:rPr>
        <w:t>) or any competent court taking actions pursuant to section 21 of the German Insolvency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Anordnung von Sicherungsmaßnahmen</w:t>
      </w:r>
      <w:r>
        <w:rPr>
          <w:rFonts w:ascii="Times New Roman" w:cs="Times New Roman" w:eastAsia="Times New Roman" w:hAnsi="Times New Roman"/>
          <w:sz w:val="20"/>
          <w:szCs w:val="20"/>
          <w:color w:val="auto"/>
        </w:rPr>
        <w:t>) unless, in case of an application for the opening of insolvency proceedings by any Person (other than the Company, any of its Subsidiaries or its direct or indirect shareholders), such application is dismissed by the competent court (for any reason other than for lack of assets (</w:t>
      </w:r>
      <w:r>
        <w:rPr>
          <w:rFonts w:ascii="Times New Roman" w:cs="Times New Roman" w:eastAsia="Times New Roman" w:hAnsi="Times New Roman"/>
          <w:sz w:val="20"/>
          <w:szCs w:val="20"/>
          <w:i w:val="1"/>
          <w:iCs w:val="1"/>
          <w:color w:val="auto"/>
        </w:rPr>
        <w:t>mangels Masse</w:t>
      </w:r>
      <w:r>
        <w:rPr>
          <w:rFonts w:ascii="Times New Roman" w:cs="Times New Roman" w:eastAsia="Times New Roman" w:hAnsi="Times New Roman"/>
          <w:sz w:val="20"/>
          <w:szCs w:val="20"/>
          <w:color w:val="auto"/>
        </w:rPr>
        <w:t>)) or successfully withdrawn by such Person, in each case within 10 Business Days after such application;</w:t>
      </w:r>
    </w:p>
    <w:p>
      <w:pPr>
        <w:spacing w:after="0" w:line="38" w:lineRule="exact"/>
        <w:rPr>
          <w:rFonts w:ascii="Times New Roman" w:cs="Times New Roman" w:eastAsia="Times New Roman" w:hAnsi="Times New Roman"/>
          <w:sz w:val="20"/>
          <w:szCs w:val="20"/>
          <w:color w:val="010000"/>
        </w:rPr>
      </w:pPr>
    </w:p>
    <w:p>
      <w:pPr>
        <w:ind w:right="259" w:firstLine="651"/>
        <w:spacing w:after="0" w:line="274" w:lineRule="auto"/>
        <w:tabs>
          <w:tab w:leader="none" w:pos="1186"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Significant Subsidiary shall admit in writing its inability to pay its debts as they become due;</w:t>
      </w:r>
    </w:p>
    <w:p>
      <w:pPr>
        <w:spacing w:after="0" w:line="1" w:lineRule="exact"/>
        <w:rPr>
          <w:rFonts w:ascii="Times New Roman" w:cs="Times New Roman" w:eastAsia="Times New Roman" w:hAnsi="Times New Roman"/>
          <w:sz w:val="20"/>
          <w:szCs w:val="20"/>
          <w:color w:val="010000"/>
        </w:rPr>
      </w:pPr>
    </w:p>
    <w:p>
      <w:pPr>
        <w:jc w:val="both"/>
        <w:ind w:right="239" w:firstLine="651"/>
        <w:spacing w:after="0" w:line="253" w:lineRule="auto"/>
        <w:tabs>
          <w:tab w:leader="none" w:pos="1177"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one or more judgments for the payment of money in an aggregate amount in excess of $100,000,000 (excluding any amounts paid or covered by an unaffiliated insurance policy with a reputable and solvent insurance company that has not denied coverage) shall be rendered against the Company, any Significant Subsidiary or any combination thereof and the same shall remain undischarged for a period of thirty (30) consecutive days during which execution shall not be effectively stayed, or any action shall be legally taken by a judgment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9379"/>
          </w:cols>
          <w:pgMar w:left="1080" w:top="1413" w:right="1440" w:bottom="1440" w:gutter="0" w:footer="0" w:header="0"/>
        </w:sectPr>
      </w:pPr>
    </w:p>
    <w:bookmarkStart w:id="139" w:name="page140"/>
    <w:bookmarkEnd w:id="139"/>
    <w:p>
      <w:pPr>
        <w:ind w:left="644" w:right="859"/>
        <w:spacing w:after="0" w:line="283" w:lineRule="auto"/>
        <w:rPr>
          <w:sz w:val="20"/>
          <w:szCs w:val="20"/>
          <w:color w:val="auto"/>
        </w:rPr>
      </w:pPr>
      <w:r>
        <w:rPr>
          <w:rFonts w:ascii="Times New Roman" w:cs="Times New Roman" w:eastAsia="Times New Roman" w:hAnsi="Times New Roman"/>
          <w:sz w:val="20"/>
          <w:szCs w:val="20"/>
          <w:color w:val="auto"/>
        </w:rPr>
        <w:t>creditor to attach or levy upon any assets of the Company or any Significant Subsidiary to enforce any such judgment;</w:t>
      </w:r>
    </w:p>
    <w:p>
      <w:pPr>
        <w:spacing w:after="0" w:line="187" w:lineRule="exact"/>
        <w:rPr>
          <w:sz w:val="20"/>
          <w:szCs w:val="20"/>
          <w:color w:val="auto"/>
        </w:rPr>
      </w:pPr>
    </w:p>
    <w:p>
      <w:pPr>
        <w:ind w:left="644" w:right="239" w:firstLine="651"/>
        <w:spacing w:after="0" w:line="269" w:lineRule="auto"/>
        <w:tabs>
          <w:tab w:leader="none" w:pos="1818" w:val="left"/>
        </w:tabs>
        <w:numPr>
          <w:ilvl w:val="0"/>
          <w:numId w:val="1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ERISA Event shall have occurred that could reasonably be expected to result in a Material Adverse Effect;</w:t>
      </w:r>
    </w:p>
    <w:p>
      <w:pPr>
        <w:spacing w:after="0" w:line="213" w:lineRule="exact"/>
        <w:rPr>
          <w:rFonts w:ascii="Times New Roman" w:cs="Times New Roman" w:eastAsia="Times New Roman" w:hAnsi="Times New Roman"/>
          <w:sz w:val="20"/>
          <w:szCs w:val="20"/>
          <w:color w:val="010000"/>
        </w:rPr>
      </w:pPr>
    </w:p>
    <w:p>
      <w:pPr>
        <w:jc w:val="both"/>
        <w:ind w:left="644" w:right="239" w:firstLine="651"/>
        <w:spacing w:after="0" w:line="253" w:lineRule="auto"/>
        <w:tabs>
          <w:tab w:leader="none" w:pos="1818" w:val="left"/>
        </w:tabs>
        <w:numPr>
          <w:ilvl w:val="0"/>
          <w:numId w:val="1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of its Subsidiaries shall have been notified that any of them has, in relation to a Non-U.S. Pension Plan, incurred a debt or other liability under section 75 or 75A of the United Kingdom Pensions Act 1995, or has been issued with a contribution notice or financial support direction (as those terms are defined in the United Kingdom Pensions Act 2004) or has been subject to the exercise of any Criminal Pension Power, or otherwise is liable to pay any other amount in respect of Non-U.S. Pension Plans, in each case that could reasonably be expected to result in a Material Adverse Effect; or</w:t>
      </w:r>
    </w:p>
    <w:p>
      <w:pPr>
        <w:spacing w:after="0" w:line="205" w:lineRule="exact"/>
        <w:rPr>
          <w:rFonts w:ascii="Times New Roman" w:cs="Times New Roman" w:eastAsia="Times New Roman" w:hAnsi="Times New Roman"/>
          <w:sz w:val="20"/>
          <w:szCs w:val="20"/>
          <w:color w:val="010000"/>
        </w:rPr>
      </w:pPr>
    </w:p>
    <w:p>
      <w:pPr>
        <w:ind w:left="1924" w:hanging="629"/>
        <w:spacing w:after="0"/>
        <w:tabs>
          <w:tab w:leader="none" w:pos="1924" w:val="left"/>
        </w:tabs>
        <w:numPr>
          <w:ilvl w:val="0"/>
          <w:numId w:val="1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Change in Control shall occur;</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then, and in every such event (other than an event with respect to any Borrower described in clause (h) or</w:t>
      </w:r>
    </w:p>
    <w:p>
      <w:pPr>
        <w:spacing w:after="0" w:line="22" w:lineRule="exact"/>
        <w:rPr>
          <w:sz w:val="20"/>
          <w:szCs w:val="20"/>
          <w:color w:val="auto"/>
        </w:rPr>
      </w:pPr>
    </w:p>
    <w:p>
      <w:pPr>
        <w:jc w:val="both"/>
        <w:ind w:left="4" w:right="219" w:hanging="4"/>
        <w:spacing w:after="0" w:line="247" w:lineRule="auto"/>
        <w:tabs>
          <w:tab w:leader="none" w:pos="54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Article), and at any time thereafter during the continuance of such event, the Administrative Agent may, and at the request of the Required Lenders shall, by notice to the Company,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each Borrower, (iii) require cash collateral for the LC Exposure as required in Section 2.06(j), and (iv) exercise on behalf of itself, the Lenders and the Issuing Banks all rights and remedies available to it, the Lenders and the Issuing Banks under the Loan Documents and applicable law; and in case of any event with respect to any Borrower described in clause (h) or (i) of this Article, the Commitments shall automatically terminate and the principal of the Loans then outstanding and cash collateral for the LC Exposure, together with accrued interest thereon and all fees and other Obligations accrued hereunder and under the other Loan Documents, shall automatically become due and payable, and the obligation of the Company to cash collateralize the LC Exposure as provided in clause (iii) above shall automatically become effective, in each case, without presentment, demand, protest or other notice of any kind, all of which are hereby waived by each Borrower.</w:t>
      </w:r>
    </w:p>
    <w:p>
      <w:pPr>
        <w:spacing w:after="0" w:line="13"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20"/>
          <w:szCs w:val="20"/>
          <w:color w:val="010000"/>
        </w:rPr>
        <w:t>ARTICLE VIII</w:t>
      </w:r>
    </w:p>
    <w:p>
      <w:pPr>
        <w:spacing w:after="0" w:line="92"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121"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010000"/>
        </w:rPr>
        <w:t xml:space="preserve">SECTION 8.01. </w:t>
      </w:r>
      <w:r>
        <w:rPr>
          <w:rFonts w:ascii="Times New Roman" w:cs="Times New Roman" w:eastAsia="Times New Roman" w:hAnsi="Times New Roman"/>
          <w:sz w:val="20"/>
          <w:szCs w:val="20"/>
          <w:u w:val="single" w:color="auto"/>
          <w:color w:val="000000"/>
        </w:rPr>
        <w:t>Authorization and Action</w:t>
      </w:r>
      <w:r>
        <w:rPr>
          <w:rFonts w:ascii="Times New Roman" w:cs="Times New Roman" w:eastAsia="Times New Roman" w:hAnsi="Times New Roman"/>
          <w:sz w:val="20"/>
          <w:szCs w:val="20"/>
          <w:color w:val="000000"/>
        </w:rPr>
        <w:t>.</w:t>
      </w:r>
    </w:p>
    <w:p>
      <w:pPr>
        <w:spacing w:after="0" w:line="121" w:lineRule="exact"/>
        <w:rPr>
          <w:sz w:val="20"/>
          <w:szCs w:val="20"/>
          <w:color w:val="auto"/>
        </w:rPr>
      </w:pPr>
    </w:p>
    <w:p>
      <w:pPr>
        <w:jc w:val="both"/>
        <w:ind w:left="4" w:right="199" w:firstLine="1291"/>
        <w:spacing w:after="0" w:line="251" w:lineRule="auto"/>
        <w:tabs>
          <w:tab w:leader="none" w:pos="1830" w:val="left"/>
        </w:tabs>
        <w:numPr>
          <w:ilvl w:val="0"/>
          <w:numId w:val="1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hereby irrevocably appoints the entity named as Administrative Agent in the heading of this Agreement and its successors and assigns to serve as the administrative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0023"/>
          </w:cols>
          <w:pgMar w:left="436" w:top="1413" w:right="1440" w:bottom="1440" w:gutter="0" w:footer="0" w:header="0"/>
        </w:sectPr>
      </w:pPr>
    </w:p>
    <w:bookmarkStart w:id="140" w:name="page141"/>
    <w:bookmarkEnd w:id="140"/>
    <w:p>
      <w:pPr>
        <w:ind w:right="379"/>
        <w:spacing w:after="0" w:line="283" w:lineRule="auto"/>
        <w:rPr>
          <w:sz w:val="20"/>
          <w:szCs w:val="20"/>
          <w:color w:val="auto"/>
        </w:rPr>
      </w:pPr>
      <w:r>
        <w:rPr>
          <w:rFonts w:ascii="Times New Roman" w:cs="Times New Roman" w:eastAsia="Times New Roman" w:hAnsi="Times New Roman"/>
          <w:sz w:val="20"/>
          <w:szCs w:val="20"/>
          <w:color w:val="auto"/>
        </w:rPr>
        <w:t>Agent is a party, and to exercise all rights, powers and remedies that the Administrative Agent may have under such Loan Documents.</w:t>
      </w:r>
    </w:p>
    <w:p>
      <w:pPr>
        <w:spacing w:after="0" w:line="187" w:lineRule="exact"/>
        <w:rPr>
          <w:sz w:val="20"/>
          <w:szCs w:val="20"/>
          <w:color w:val="auto"/>
        </w:rPr>
      </w:pPr>
    </w:p>
    <w:p>
      <w:pPr>
        <w:jc w:val="both"/>
        <w:ind w:right="199" w:firstLine="1291"/>
        <w:spacing w:after="0" w:line="249" w:lineRule="auto"/>
        <w:tabs>
          <w:tab w:leader="none" w:pos="1823" w:val="left"/>
        </w:tabs>
        <w:numPr>
          <w:ilvl w:val="0"/>
          <w:numId w:val="1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each Issuing Bank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27" w:lineRule="exact"/>
        <w:rPr>
          <w:rFonts w:ascii="Times New Roman" w:cs="Times New Roman" w:eastAsia="Times New Roman" w:hAnsi="Times New Roman"/>
          <w:sz w:val="20"/>
          <w:szCs w:val="20"/>
          <w:color w:val="010000"/>
        </w:rPr>
      </w:pPr>
    </w:p>
    <w:p>
      <w:pPr>
        <w:jc w:val="both"/>
        <w:ind w:right="239" w:firstLine="1292"/>
        <w:spacing w:after="0" w:line="254" w:lineRule="auto"/>
        <w:tabs>
          <w:tab w:leader="none" w:pos="1826" w:val="left"/>
        </w:tabs>
        <w:numPr>
          <w:ilvl w:val="0"/>
          <w:numId w:val="1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227" w:lineRule="exact"/>
        <w:rPr>
          <w:rFonts w:ascii="Times New Roman" w:cs="Times New Roman" w:eastAsia="Times New Roman" w:hAnsi="Times New Roman"/>
          <w:sz w:val="20"/>
          <w:szCs w:val="20"/>
          <w:color w:val="010000"/>
        </w:rPr>
      </w:pPr>
    </w:p>
    <w:p>
      <w:pPr>
        <w:jc w:val="both"/>
        <w:ind w:left="1300" w:right="219" w:firstLine="639"/>
        <w:spacing w:after="0" w:line="250" w:lineRule="auto"/>
        <w:tabs>
          <w:tab w:leader="none" w:pos="2486" w:val="left"/>
        </w:tabs>
        <w:numPr>
          <w:ilvl w:val="1"/>
          <w:numId w:val="1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any Issuing Bank or any other holder of Obligations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0019"/>
          </w:cols>
          <w:pgMar w:left="440" w:top="1413" w:right="1440" w:bottom="1440" w:gutter="0" w:footer="0" w:header="0"/>
        </w:sectPr>
      </w:pPr>
    </w:p>
    <w:bookmarkStart w:id="141" w:name="page142"/>
    <w:bookmarkEnd w:id="141"/>
    <w:p>
      <w:pPr>
        <w:jc w:val="both"/>
        <w:ind w:left="1300" w:right="259" w:firstLine="639"/>
        <w:spacing w:after="0" w:line="261" w:lineRule="auto"/>
        <w:tabs>
          <w:tab w:leader="none" w:pos="2486" w:val="left"/>
        </w:tabs>
        <w:numPr>
          <w:ilvl w:val="1"/>
          <w:numId w:val="1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208" w:lineRule="exact"/>
        <w:rPr>
          <w:rFonts w:ascii="Times New Roman" w:cs="Times New Roman" w:eastAsia="Times New Roman" w:hAnsi="Times New Roman"/>
          <w:sz w:val="20"/>
          <w:szCs w:val="20"/>
          <w:color w:val="010000"/>
        </w:rPr>
      </w:pPr>
    </w:p>
    <w:p>
      <w:pPr>
        <w:jc w:val="both"/>
        <w:ind w:right="239" w:firstLine="1291"/>
        <w:spacing w:after="0" w:line="252" w:lineRule="auto"/>
        <w:tabs>
          <w:tab w:leader="none" w:pos="1823" w:val="left"/>
        </w:tabs>
        <w:numPr>
          <w:ilvl w:val="0"/>
          <w:numId w:val="1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16" w:lineRule="exact"/>
        <w:rPr>
          <w:rFonts w:ascii="Times New Roman" w:cs="Times New Roman" w:eastAsia="Times New Roman" w:hAnsi="Times New Roman"/>
          <w:sz w:val="20"/>
          <w:szCs w:val="20"/>
          <w:color w:val="010000"/>
        </w:rPr>
      </w:pPr>
    </w:p>
    <w:p>
      <w:pPr>
        <w:jc w:val="both"/>
        <w:ind w:right="239" w:firstLine="1291"/>
        <w:spacing w:after="0" w:line="258" w:lineRule="auto"/>
        <w:tabs>
          <w:tab w:leader="none" w:pos="1826" w:val="left"/>
        </w:tabs>
        <w:numPr>
          <w:ilvl w:val="0"/>
          <w:numId w:val="1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any Co-Syndication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212" w:lineRule="exact"/>
        <w:rPr>
          <w:rFonts w:ascii="Times New Roman" w:cs="Times New Roman" w:eastAsia="Times New Roman" w:hAnsi="Times New Roman"/>
          <w:sz w:val="20"/>
          <w:szCs w:val="20"/>
          <w:color w:val="010000"/>
        </w:rPr>
      </w:pPr>
    </w:p>
    <w:p>
      <w:pPr>
        <w:jc w:val="both"/>
        <w:ind w:right="219" w:firstLine="1291"/>
        <w:spacing w:after="0" w:line="253" w:lineRule="auto"/>
        <w:tabs>
          <w:tab w:leader="none" w:pos="1830" w:val="left"/>
        </w:tabs>
        <w:numPr>
          <w:ilvl w:val="0"/>
          <w:numId w:val="1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case of the pendency of any proceeding with respect to any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219" w:lineRule="exact"/>
        <w:rPr>
          <w:rFonts w:ascii="Times New Roman" w:cs="Times New Roman" w:eastAsia="Times New Roman" w:hAnsi="Times New Roman"/>
          <w:sz w:val="20"/>
          <w:szCs w:val="20"/>
          <w:color w:val="010000"/>
        </w:rPr>
      </w:pPr>
    </w:p>
    <w:p>
      <w:pPr>
        <w:jc w:val="both"/>
        <w:ind w:left="1300" w:right="239" w:firstLine="640"/>
        <w:spacing w:after="0" w:line="253" w:lineRule="auto"/>
        <w:tabs>
          <w:tab w:leader="none" w:pos="2486" w:val="left"/>
        </w:tabs>
        <w:numPr>
          <w:ilvl w:val="1"/>
          <w:numId w:val="1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the Administrative Agent (including any claim under Sections 2.12, 2.13, 2.15, 2.17 and 9.03) allowed in such judicial proceeding; and</w:t>
      </w:r>
    </w:p>
    <w:p>
      <w:pPr>
        <w:spacing w:after="0" w:line="219" w:lineRule="exact"/>
        <w:rPr>
          <w:sz w:val="20"/>
          <w:szCs w:val="20"/>
          <w:color w:val="auto"/>
        </w:rPr>
      </w:pPr>
    </w:p>
    <w:p>
      <w:pPr>
        <w:ind w:left="1300" w:right="239" w:firstLine="640"/>
        <w:spacing w:after="0" w:line="269" w:lineRule="auto"/>
        <w:tabs>
          <w:tab w:leader="none" w:pos="2487" w:val="left"/>
        </w:tabs>
        <w:numPr>
          <w:ilvl w:val="0"/>
          <w:numId w:val="1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00" w:lineRule="exact"/>
        <w:rPr>
          <w:sz w:val="20"/>
          <w:szCs w:val="20"/>
          <w:color w:val="auto"/>
        </w:rPr>
      </w:pPr>
    </w:p>
    <w:p>
      <w:pPr>
        <w:jc w:val="both"/>
        <w:ind w:right="219"/>
        <w:spacing w:after="0" w:line="252"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the Issuing Bank and each other holder of Obligations to make such payments to the Administrative Agent and, in the event that the Administrative Agent shall consent to the making of such payments directly to the Lenders, the Issuing Banks or the other holders of Obligations,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0019"/>
          </w:cols>
          <w:pgMar w:left="440" w:top="1413" w:right="1440" w:bottom="1440" w:gutter="0" w:footer="0" w:header="0"/>
        </w:sectPr>
      </w:pPr>
    </w:p>
    <w:bookmarkStart w:id="142" w:name="page143"/>
    <w:bookmarkEnd w:id="142"/>
    <w:p>
      <w:pPr>
        <w:jc w:val="both"/>
        <w:ind w:left="5" w:right="199" w:firstLine="1292"/>
        <w:spacing w:after="0" w:line="253" w:lineRule="auto"/>
        <w:tabs>
          <w:tab w:leader="none" w:pos="1829" w:val="left"/>
        </w:tabs>
        <w:numPr>
          <w:ilvl w:val="0"/>
          <w:numId w:val="1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are solely for the benefit of the Administrative Agent, the Lenders and the Issuing Banks, and, except solely to the extent of the Company’s rights to consent pursuant to and subject to the conditions set forth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none of the Company or any Subsidiary, or any of their respective Affiliates, shall have any rights as a third party beneficiary under any such provisions. Each holder of Obligations, whether or not a party hereto, will be deemed, by its acceptance of the benefits of the Guarantees of the Obligations provided under the Loan Documents, to have agreed to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left="1305"/>
        <w:spacing w:after="0"/>
        <w:rPr>
          <w:sz w:val="20"/>
          <w:szCs w:val="20"/>
          <w:color w:val="auto"/>
        </w:rPr>
      </w:pPr>
      <w:r>
        <w:rPr>
          <w:rFonts w:ascii="Times New Roman" w:cs="Times New Roman" w:eastAsia="Times New Roman" w:hAnsi="Times New Roman"/>
          <w:sz w:val="20"/>
          <w:szCs w:val="20"/>
          <w:color w:val="010000"/>
        </w:rPr>
        <w:t xml:space="preserve">SECTION 8.02. </w:t>
      </w:r>
      <w:r>
        <w:rPr>
          <w:rFonts w:ascii="Times New Roman" w:cs="Times New Roman" w:eastAsia="Times New Roman" w:hAnsi="Times New Roman"/>
          <w:sz w:val="20"/>
          <w:szCs w:val="20"/>
          <w:u w:val="single" w:color="auto"/>
          <w:color w:val="000000"/>
        </w:rPr>
        <w:t>Administrative Agent’s Reliance, Indemnification, Etc</w:t>
      </w:r>
      <w:r>
        <w:rPr>
          <w:rFonts w:ascii="Times New Roman" w:cs="Times New Roman" w:eastAsia="Times New Roman" w:hAnsi="Times New Roman"/>
          <w:sz w:val="20"/>
          <w:szCs w:val="20"/>
          <w:color w:val="000000"/>
        </w:rPr>
        <w:t>.</w:t>
      </w:r>
    </w:p>
    <w:p>
      <w:pPr>
        <w:spacing w:after="0" w:line="270" w:lineRule="exact"/>
        <w:rPr>
          <w:sz w:val="20"/>
          <w:szCs w:val="20"/>
          <w:color w:val="auto"/>
        </w:rPr>
      </w:pPr>
    </w:p>
    <w:p>
      <w:pPr>
        <w:jc w:val="both"/>
        <w:ind w:left="5" w:right="199" w:firstLine="1291"/>
        <w:spacing w:after="0" w:line="249" w:lineRule="auto"/>
        <w:tabs>
          <w:tab w:leader="none" w:pos="1831" w:val="left"/>
        </w:tabs>
        <w:numPr>
          <w:ilvl w:val="1"/>
          <w:numId w:val="1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Borrower to perform its obligations hereunder or thereunder.</w:t>
      </w:r>
    </w:p>
    <w:p>
      <w:pPr>
        <w:spacing w:after="0" w:line="223" w:lineRule="exact"/>
        <w:rPr>
          <w:rFonts w:ascii="Times New Roman" w:cs="Times New Roman" w:eastAsia="Times New Roman" w:hAnsi="Times New Roman"/>
          <w:sz w:val="20"/>
          <w:szCs w:val="20"/>
          <w:color w:val="010000"/>
        </w:rPr>
      </w:pPr>
    </w:p>
    <w:p>
      <w:pPr>
        <w:jc w:val="both"/>
        <w:ind w:left="5" w:right="199" w:firstLine="1291"/>
        <w:spacing w:after="0" w:line="264" w:lineRule="auto"/>
        <w:tabs>
          <w:tab w:leader="none" w:pos="1828" w:val="left"/>
        </w:tabs>
        <w:numPr>
          <w:ilvl w:val="1"/>
          <w:numId w:val="1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Company or (ii) notice of any Default or Event of Default unless and until written notice thereof (stating that it is a “notice of Default” or a “notice of an Event of Default”) is given to the Administrative Agent by the Company, a Lender or an Issuing Bank. Further, the Administrative Agent shall not be responsible for or have any duty to ascertain or inquire into (i) any statement, warranty or representation made in or in connection with any Loan Document,</w:t>
      </w:r>
    </w:p>
    <w:p>
      <w:pPr>
        <w:ind w:left="325" w:hanging="325"/>
        <w:spacing w:after="0"/>
        <w:tabs>
          <w:tab w:leader="none" w:pos="32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contents of any certificate, report or other document delivered thereunder or in connection therewith, (iii) the</w:t>
      </w:r>
    </w:p>
    <w:p>
      <w:pPr>
        <w:spacing w:after="0" w:line="6" w:lineRule="exact"/>
        <w:rPr>
          <w:sz w:val="20"/>
          <w:szCs w:val="20"/>
          <w:color w:val="auto"/>
        </w:rPr>
      </w:pPr>
    </w:p>
    <w:p>
      <w:pPr>
        <w:jc w:val="both"/>
        <w:ind w:left="5" w:right="199"/>
        <w:spacing w:after="0" w:line="248" w:lineRule="auto"/>
        <w:rPr>
          <w:sz w:val="20"/>
          <w:szCs w:val="20"/>
          <w:color w:val="auto"/>
        </w:rPr>
      </w:pPr>
      <w:r>
        <w:rPr>
          <w:rFonts w:ascii="Times New Roman" w:cs="Times New Roman" w:eastAsia="Times New Roman" w:hAnsi="Times New Roman"/>
          <w:sz w:val="20"/>
          <w:szCs w:val="20"/>
          <w:color w:val="auto"/>
        </w:rPr>
        <w:t xml:space="preserve">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claim, liability, loss, cost or expense suffered by the Company, any Subsidiary, any Lender or any Issuing Bank as a result of, any determination of the Revolving Credit Exposure, any of the component amounts thereof or any portion thereof attributable to each Lender or each Issuing Bank or any Dollar Amount thereof.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365"/>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0024"/>
          </w:cols>
          <w:pgMar w:left="435" w:top="1413" w:right="1440" w:bottom="1440" w:gutter="0" w:footer="0" w:header="0"/>
        </w:sectPr>
      </w:pPr>
    </w:p>
    <w:bookmarkStart w:id="143" w:name="page144"/>
    <w:bookmarkEnd w:id="143"/>
    <w:p>
      <w:pPr>
        <w:jc w:val="both"/>
        <w:ind w:left="-1000" w:right="239" w:firstLine="1291"/>
        <w:spacing w:after="0" w:line="249" w:lineRule="auto"/>
        <w:tabs>
          <w:tab w:leader="none" w:pos="826" w:val="left"/>
        </w:tabs>
        <w:numPr>
          <w:ilvl w:val="0"/>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any Issuing Bank and shall not be responsible to any Lender or any Issuing Bank for any statements, warranties or representations made by or on behalf of any Borrower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such Issuing Bank unless the Administrative Agent shall have received 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 w:lineRule="exact"/>
        <w:rPr>
          <w:rFonts w:ascii="Times New Roman" w:cs="Times New Roman" w:eastAsia="Times New Roman" w:hAnsi="Times New Roman"/>
          <w:sz w:val="20"/>
          <w:szCs w:val="20"/>
          <w:color w:val="010000"/>
        </w:rPr>
      </w:pPr>
    </w:p>
    <w:p>
      <w:pPr>
        <w:ind w:left="30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010000"/>
        </w:rPr>
        <w:t xml:space="preserve">SECTION 8.03. </w:t>
      </w:r>
      <w:r>
        <w:rPr>
          <w:rFonts w:ascii="Times New Roman" w:cs="Times New Roman" w:eastAsia="Times New Roman" w:hAnsi="Times New Roman"/>
          <w:sz w:val="20"/>
          <w:szCs w:val="20"/>
          <w:u w:val="single" w:color="auto"/>
          <w:color w:val="000000"/>
        </w:rPr>
        <w:t>Posting of Communications</w:t>
      </w:r>
      <w:r>
        <w:rPr>
          <w:rFonts w:ascii="Times New Roman" w:cs="Times New Roman" w:eastAsia="Times New Roman" w:hAnsi="Times New Roman"/>
          <w:sz w:val="20"/>
          <w:szCs w:val="20"/>
          <w:color w:val="000000"/>
        </w:rPr>
        <w:t>.</w:t>
      </w:r>
    </w:p>
    <w:p>
      <w:pPr>
        <w:spacing w:after="0" w:line="99" w:lineRule="exact"/>
        <w:rPr>
          <w:sz w:val="20"/>
          <w:szCs w:val="20"/>
          <w:color w:val="auto"/>
        </w:rPr>
      </w:pPr>
    </w:p>
    <w:p>
      <w:pPr>
        <w:jc w:val="both"/>
        <w:ind w:left="-1000" w:right="239" w:firstLine="1291"/>
        <w:spacing w:after="0" w:line="258" w:lineRule="auto"/>
        <w:tabs>
          <w:tab w:leader="none" w:pos="826"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Borrowers agree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64" w:lineRule="exact"/>
        <w:rPr>
          <w:rFonts w:ascii="Times New Roman" w:cs="Times New Roman" w:eastAsia="Times New Roman" w:hAnsi="Times New Roman"/>
          <w:sz w:val="20"/>
          <w:szCs w:val="20"/>
          <w:color w:val="010000"/>
        </w:rPr>
      </w:pPr>
    </w:p>
    <w:p>
      <w:pPr>
        <w:jc w:val="both"/>
        <w:ind w:left="-1000" w:right="239" w:firstLine="1291"/>
        <w:spacing w:after="0" w:line="250" w:lineRule="auto"/>
        <w:tabs>
          <w:tab w:leader="none" w:pos="823"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Restatement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Borrowers hereby approve distribution of the Communications through the Approved Electronic Platform and understands and assumes the risks of such distribution.</w:t>
      </w:r>
    </w:p>
    <w:p>
      <w:pPr>
        <w:spacing w:after="0" w:line="88" w:lineRule="exact"/>
        <w:rPr>
          <w:rFonts w:ascii="Times New Roman" w:cs="Times New Roman" w:eastAsia="Times New Roman" w:hAnsi="Times New Roman"/>
          <w:sz w:val="20"/>
          <w:szCs w:val="20"/>
          <w:color w:val="010000"/>
        </w:rPr>
      </w:pPr>
    </w:p>
    <w:p>
      <w:pPr>
        <w:jc w:val="both"/>
        <w:ind w:left="-1000" w:right="239" w:firstLine="1291"/>
        <w:spacing w:after="0" w:line="251" w:lineRule="auto"/>
        <w:tabs>
          <w:tab w:leader="none" w:pos="826"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9019"/>
          </w:cols>
          <w:pgMar w:left="1440" w:top="1413" w:right="1440" w:bottom="1440" w:gutter="0" w:footer="0" w:header="0"/>
        </w:sectPr>
      </w:pPr>
    </w:p>
    <w:bookmarkStart w:id="144" w:name="page145"/>
    <w:bookmarkEnd w:id="144"/>
    <w:p>
      <w:pPr>
        <w:jc w:val="both"/>
        <w:ind w:right="219"/>
        <w:spacing w:after="0" w:line="249" w:lineRule="auto"/>
        <w:rPr>
          <w:sz w:val="20"/>
          <w:szCs w:val="20"/>
          <w:color w:val="auto"/>
        </w:rPr>
      </w:pPr>
      <w:r>
        <w:rPr>
          <w:rFonts w:ascii="Times New Roman" w:cs="Times New Roman" w:eastAsia="Times New Roman" w:hAnsi="Times New Roman"/>
          <w:sz w:val="20"/>
          <w:szCs w:val="20"/>
          <w:color w:val="auto"/>
        </w:rPr>
        <w:t>BY THE APPLICABLE PARTIES IN CONNECTION WITH THE COMMUNICATIONS OR THE APPROVED ELECTRONIC PLATFORM. IN NO EVENT SHALL THE ADMINISTRATIVE AGENT, ANY ARRANGER, ANY CO-SYNDICATION AGENT OR ANY CO-DOCUMENTATION AGENT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BORROWER, ANY LENDER, ANY ISSUING BANK OR ANY OTHER PERSON OR ENTITY FOR DAMAGES OF ANY KIND, INCLUDING DIRECT OR INDIRECT, SPECIAL, INCIDENTAL OR CONSEQUENTIAL DAMAGES, LOSSES OR EXPENSES (WHETHER IN TORT, CONTRACT OR OTHERWISE) ARISING OUT OF ANY BORROWER’S OR THE ADMINISTRATIVE AGENT’S TRANSMISSION OF COMMUNICATIONS THROUGH THE INTERNET OR THE APPROVED ELECTRONIC PLATFORM.</w:t>
      </w:r>
    </w:p>
    <w:p>
      <w:pPr>
        <w:spacing w:after="0" w:line="8" w:lineRule="exact"/>
        <w:rPr>
          <w:sz w:val="20"/>
          <w:szCs w:val="20"/>
          <w:color w:val="auto"/>
        </w:rPr>
      </w:pPr>
    </w:p>
    <w:p>
      <w:pPr>
        <w:jc w:val="both"/>
        <w:ind w:right="239" w:firstLine="1292"/>
        <w:spacing w:after="0" w:line="249" w:lineRule="auto"/>
        <w:tabs>
          <w:tab w:leader="none" w:pos="1824"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85" w:lineRule="exact"/>
        <w:rPr>
          <w:rFonts w:ascii="Times New Roman" w:cs="Times New Roman" w:eastAsia="Times New Roman" w:hAnsi="Times New Roman"/>
          <w:sz w:val="20"/>
          <w:szCs w:val="20"/>
          <w:color w:val="010000"/>
        </w:rPr>
      </w:pPr>
    </w:p>
    <w:p>
      <w:pPr>
        <w:jc w:val="both"/>
        <w:ind w:right="239" w:firstLine="1292"/>
        <w:spacing w:after="0" w:line="258" w:lineRule="auto"/>
        <w:tabs>
          <w:tab w:leader="none" w:pos="1826"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the Issuing Banks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64" w:lineRule="exact"/>
        <w:rPr>
          <w:rFonts w:ascii="Times New Roman" w:cs="Times New Roman" w:eastAsia="Times New Roman" w:hAnsi="Times New Roman"/>
          <w:sz w:val="20"/>
          <w:szCs w:val="20"/>
          <w:color w:val="010000"/>
        </w:rPr>
      </w:pPr>
    </w:p>
    <w:p>
      <w:pPr>
        <w:jc w:val="both"/>
        <w:ind w:right="239" w:firstLine="1292"/>
        <w:spacing w:after="0" w:line="268" w:lineRule="auto"/>
        <w:tabs>
          <w:tab w:leader="none" w:pos="1831"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53" w:lineRule="exact"/>
        <w:rPr>
          <w:sz w:val="20"/>
          <w:szCs w:val="20"/>
          <w:color w:val="auto"/>
        </w:rPr>
      </w:pPr>
    </w:p>
    <w:p>
      <w:pPr>
        <w:jc w:val="both"/>
        <w:ind w:right="23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8.04. </w:t>
      </w:r>
      <w:r>
        <w:rPr>
          <w:rFonts w:ascii="Times New Roman" w:cs="Times New Roman" w:eastAsia="Times New Roman" w:hAnsi="Times New Roman"/>
          <w:sz w:val="20"/>
          <w:szCs w:val="20"/>
          <w:u w:val="single" w:color="auto"/>
          <w:color w:val="000000"/>
        </w:rPr>
        <w:t>The Administrative Agent Individually</w:t>
      </w:r>
      <w:r>
        <w:rPr>
          <w:rFonts w:ascii="Times New Roman" w:cs="Times New Roman" w:eastAsia="Times New Roman" w:hAnsi="Times New Roman"/>
          <w:sz w:val="20"/>
          <w:szCs w:val="20"/>
          <w:color w:val="000000"/>
        </w:rPr>
        <w:t>. With respect to its Commitments, Loans, Letter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Credit Commitments and Letters of Credit, the Person serving as the Administrative Agent shall have and may exercise the same rights and powers hereunder and is subject to the same obligations and liabilities as and to the extent set forth herein for any other Lender or any Issuing Bank, as the case may be. The terms “Issuing Bank”, “Lenders”, “Required Lenders” and any similar terms shall, unless the context clearly otherwise indicates, include the Administrative Agent in its individual capacity as a Lender, the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Company, any Subsidiary or any Affiliate of any of the foregoing as if such Person was not acting as the Administrative Agent and without any duty to account therefor to the Lenders or the Issuing Bank.</w:t>
      </w:r>
    </w:p>
    <w:p>
      <w:pPr>
        <w:spacing w:after="0" w:line="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8.05. </w:t>
      </w:r>
      <w:r>
        <w:rPr>
          <w:rFonts w:ascii="Times New Roman" w:cs="Times New Roman" w:eastAsia="Times New Roman" w:hAnsi="Times New Roman"/>
          <w:sz w:val="20"/>
          <w:szCs w:val="20"/>
          <w:u w:val="single" w:color="auto"/>
          <w:color w:val="000000"/>
        </w:rPr>
        <w:t>Successor Administrative Agent</w:t>
      </w:r>
      <w:r>
        <w:rPr>
          <w:rFonts w:ascii="Times New Roman" w:cs="Times New Roman" w:eastAsia="Times New Roman" w:hAnsi="Times New Roman"/>
          <w:sz w:val="20"/>
          <w:szCs w:val="20"/>
          <w:color w:val="000000"/>
        </w:rPr>
        <w:t>.</w:t>
      </w:r>
    </w:p>
    <w:p>
      <w:pPr>
        <w:spacing w:after="0" w:line="121" w:lineRule="exact"/>
        <w:rPr>
          <w:sz w:val="20"/>
          <w:szCs w:val="20"/>
          <w:color w:val="auto"/>
        </w:rPr>
      </w:pPr>
    </w:p>
    <w:p>
      <w:pPr>
        <w:jc w:val="both"/>
        <w:ind w:right="239" w:firstLine="1291"/>
        <w:spacing w:after="0" w:line="251" w:lineRule="auto"/>
        <w:tabs>
          <w:tab w:leader="none" w:pos="1826" w:val="left"/>
        </w:tabs>
        <w:numPr>
          <w:ilvl w:val="0"/>
          <w:numId w:val="1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resign at any time by giving 30 days’ prior written notice thereof to the Lenders, the Issuing Banks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0019"/>
          </w:cols>
          <w:pgMar w:left="440" w:top="1413" w:right="1440" w:bottom="1440" w:gutter="0" w:footer="0" w:header="0"/>
        </w:sectPr>
      </w:pPr>
    </w:p>
    <w:bookmarkStart w:id="145" w:name="page146"/>
    <w:bookmarkEnd w:id="145"/>
    <w:p>
      <w:pPr>
        <w:jc w:val="both"/>
        <w:ind w:right="199"/>
        <w:spacing w:after="0" w:line="249" w:lineRule="auto"/>
        <w:rPr>
          <w:sz w:val="20"/>
          <w:szCs w:val="20"/>
          <w:color w:val="auto"/>
        </w:rPr>
      </w:pPr>
      <w:r>
        <w:rPr>
          <w:rFonts w:ascii="Times New Roman" w:cs="Times New Roman" w:eastAsia="Times New Roman" w:hAnsi="Times New Roman"/>
          <w:sz w:val="20"/>
          <w:szCs w:val="20"/>
          <w:color w:val="auto"/>
        </w:rPr>
        <w:t xml:space="preserve">case, such appointment shall be subject to the prior written approval of the Company (which approval may not be unreasonably withheld and shall not be required while an Event of Default under clause (a), (b), (h), (i), (j), (k) or (l)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5" w:lineRule="exact"/>
        <w:rPr>
          <w:sz w:val="20"/>
          <w:szCs w:val="20"/>
          <w:color w:val="auto"/>
        </w:rPr>
      </w:pPr>
    </w:p>
    <w:p>
      <w:pPr>
        <w:jc w:val="both"/>
        <w:ind w:right="219" w:firstLine="1291"/>
        <w:spacing w:after="0" w:line="248" w:lineRule="auto"/>
        <w:tabs>
          <w:tab w:leader="none" w:pos="1823" w:val="left"/>
        </w:tabs>
        <w:numPr>
          <w:ilvl w:val="0"/>
          <w:numId w:val="1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8.06. </w:t>
      </w:r>
      <w:r>
        <w:rPr>
          <w:rFonts w:ascii="Times New Roman" w:cs="Times New Roman" w:eastAsia="Times New Roman" w:hAnsi="Times New Roman"/>
          <w:sz w:val="20"/>
          <w:szCs w:val="20"/>
          <w:u w:val="single" w:color="auto"/>
          <w:color w:val="000000"/>
        </w:rPr>
        <w:t>Acknowledgements of Lenders and Issuing Bank</w:t>
      </w:r>
      <w:r>
        <w:rPr>
          <w:rFonts w:ascii="Times New Roman" w:cs="Times New Roman" w:eastAsia="Times New Roman" w:hAnsi="Times New Roman"/>
          <w:sz w:val="20"/>
          <w:szCs w:val="20"/>
          <w:color w:val="000000"/>
        </w:rPr>
        <w:t>.</w:t>
      </w:r>
    </w:p>
    <w:p>
      <w:pPr>
        <w:spacing w:after="0" w:line="108" w:lineRule="exact"/>
        <w:rPr>
          <w:sz w:val="20"/>
          <w:szCs w:val="20"/>
          <w:color w:val="auto"/>
        </w:rPr>
      </w:pPr>
    </w:p>
    <w:p>
      <w:pPr>
        <w:jc w:val="both"/>
        <w:ind w:right="199" w:firstLine="1291"/>
        <w:spacing w:after="0" w:line="250" w:lineRule="auto"/>
        <w:tabs>
          <w:tab w:leader="none" w:pos="1826" w:val="left"/>
        </w:tabs>
        <w:numPr>
          <w:ilvl w:val="0"/>
          <w:numId w:val="1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such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any other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any other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0019"/>
          </w:cols>
          <w:pgMar w:left="440" w:top="1413" w:right="1440" w:bottom="1440" w:gutter="0" w:footer="0" w:header="0"/>
        </w:sectPr>
      </w:pPr>
    </w:p>
    <w:bookmarkStart w:id="146" w:name="page147"/>
    <w:bookmarkEnd w:id="146"/>
    <w:p>
      <w:pPr>
        <w:ind w:right="199"/>
        <w:spacing w:after="0" w:line="283" w:lineRule="auto"/>
        <w:rPr>
          <w:sz w:val="20"/>
          <w:szCs w:val="20"/>
          <w:color w:val="auto"/>
        </w:rPr>
      </w:pPr>
      <w:r>
        <w:rPr>
          <w:rFonts w:ascii="Times New Roman" w:cs="Times New Roman" w:eastAsia="Times New Roman" w:hAnsi="Times New Roman"/>
          <w:sz w:val="20"/>
          <w:szCs w:val="20"/>
          <w:color w:val="auto"/>
        </w:rPr>
        <w:t>make its own decisions in taking or not taking action under or based upon this Agreement, any other Loan Document or any related agreement or any document furnished hereunder or thereunder.</w:t>
      </w:r>
    </w:p>
    <w:p>
      <w:pPr>
        <w:spacing w:after="0" w:line="187" w:lineRule="exact"/>
        <w:rPr>
          <w:sz w:val="20"/>
          <w:szCs w:val="20"/>
          <w:color w:val="auto"/>
        </w:rPr>
      </w:pPr>
    </w:p>
    <w:p>
      <w:pPr>
        <w:jc w:val="both"/>
        <w:ind w:right="239" w:firstLine="1291"/>
        <w:spacing w:after="0" w:line="253" w:lineRule="auto"/>
        <w:tabs>
          <w:tab w:leader="none" w:pos="1822" w:val="left"/>
        </w:tabs>
        <w:numPr>
          <w:ilvl w:val="0"/>
          <w:numId w:val="1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by delivering its signature page to this Agreement on the Restatement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Restatement Effective Date.</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(c)</w:t>
      </w:r>
    </w:p>
    <w:p>
      <w:pPr>
        <w:spacing w:after="0" w:line="256" w:lineRule="exact"/>
        <w:rPr>
          <w:sz w:val="20"/>
          <w:szCs w:val="20"/>
          <w:color w:val="auto"/>
        </w:rPr>
      </w:pPr>
    </w:p>
    <w:p>
      <w:pPr>
        <w:jc w:val="both"/>
        <w:ind w:left="1300" w:right="239" w:firstLine="639"/>
        <w:spacing w:after="0" w:line="251" w:lineRule="auto"/>
        <w:tabs>
          <w:tab w:leader="none" w:pos="2486" w:val="left"/>
        </w:tabs>
        <w:numPr>
          <w:ilvl w:val="1"/>
          <w:numId w:val="1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w:t>
      </w:r>
    </w:p>
    <w:p>
      <w:pPr>
        <w:spacing w:after="0" w:line="3" w:lineRule="exact"/>
        <w:rPr>
          <w:rFonts w:ascii="Times New Roman" w:cs="Times New Roman" w:eastAsia="Times New Roman" w:hAnsi="Times New Roman"/>
          <w:sz w:val="20"/>
          <w:szCs w:val="20"/>
          <w:color w:val="010000"/>
        </w:rPr>
      </w:pPr>
    </w:p>
    <w:p>
      <w:pPr>
        <w:jc w:val="both"/>
        <w:ind w:left="1300" w:right="199" w:hanging="9"/>
        <w:spacing w:after="0" w:line="249" w:lineRule="auto"/>
        <w:tabs>
          <w:tab w:leader="none" w:pos="1621"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208" w:lineRule="exact"/>
        <w:rPr>
          <w:rFonts w:ascii="Times New Roman" w:cs="Times New Roman" w:eastAsia="Times New Roman" w:hAnsi="Times New Roman"/>
          <w:sz w:val="20"/>
          <w:szCs w:val="20"/>
          <w:color w:val="auto"/>
        </w:rPr>
      </w:pPr>
    </w:p>
    <w:p>
      <w:pPr>
        <w:jc w:val="both"/>
        <w:ind w:left="1300" w:right="219" w:firstLine="639"/>
        <w:spacing w:after="0" w:line="250" w:lineRule="auto"/>
        <w:tabs>
          <w:tab w:leader="none" w:pos="2486" w:val="left"/>
        </w:tabs>
        <w:numPr>
          <w:ilvl w:val="1"/>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0019"/>
          </w:cols>
          <w:pgMar w:left="440" w:top="1413" w:right="1440" w:bottom="1440" w:gutter="0" w:footer="0" w:header="0"/>
        </w:sectPr>
      </w:pPr>
    </w:p>
    <w:bookmarkStart w:id="147" w:name="page148"/>
    <w:bookmarkEnd w:id="147"/>
    <w:p>
      <w:pPr>
        <w:jc w:val="both"/>
        <w:ind w:left="300" w:right="199" w:firstLine="639"/>
        <w:spacing w:after="0" w:line="251" w:lineRule="auto"/>
        <w:tabs>
          <w:tab w:leader="none" w:pos="1488" w:val="left"/>
        </w:tabs>
        <w:numPr>
          <w:ilvl w:val="0"/>
          <w:numId w:val="1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Company or any other Loan Party, except, in the case of clause (y), to the extent such erroneous Payment is, and solely with respect to the amount of such erroneous Payment that is, comprised of funds received by the Administrative Agent from the Company or any other Loan Party for the purposes of satisfying an Obligation.</w:t>
      </w:r>
    </w:p>
    <w:p>
      <w:pPr>
        <w:spacing w:after="0" w:line="222" w:lineRule="exact"/>
        <w:rPr>
          <w:rFonts w:ascii="Times New Roman" w:cs="Times New Roman" w:eastAsia="Times New Roman" w:hAnsi="Times New Roman"/>
          <w:sz w:val="20"/>
          <w:szCs w:val="20"/>
          <w:color w:val="010000"/>
        </w:rPr>
      </w:pPr>
    </w:p>
    <w:p>
      <w:pPr>
        <w:jc w:val="both"/>
        <w:ind w:left="300" w:right="239" w:firstLine="639"/>
        <w:spacing w:after="0" w:line="258" w:lineRule="auto"/>
        <w:tabs>
          <w:tab w:leader="none" w:pos="1477" w:val="left"/>
        </w:tabs>
        <w:numPr>
          <w:ilvl w:val="0"/>
          <w:numId w:val="1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010000"/>
        </w:rPr>
        <w:t xml:space="preserve">SECTION 8.07. </w:t>
      </w:r>
      <w:r>
        <w:rPr>
          <w:rFonts w:ascii="Times New Roman" w:cs="Times New Roman" w:eastAsia="Times New Roman" w:hAnsi="Times New Roman"/>
          <w:sz w:val="20"/>
          <w:szCs w:val="20"/>
          <w:u w:val="single" w:color="auto"/>
          <w:color w:val="000000"/>
        </w:rPr>
        <w:t>Certain ERISA Matters</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jc w:val="both"/>
        <w:ind w:left="-1000" w:right="239" w:firstLine="1291"/>
        <w:spacing w:after="0" w:line="258" w:lineRule="auto"/>
        <w:tabs>
          <w:tab w:leader="none" w:pos="826"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Borrowers, that at least one of the following is and will be true:</w:t>
      </w:r>
    </w:p>
    <w:p>
      <w:pPr>
        <w:spacing w:after="0" w:line="212" w:lineRule="exact"/>
        <w:rPr>
          <w:rFonts w:ascii="Times New Roman" w:cs="Times New Roman" w:eastAsia="Times New Roman" w:hAnsi="Times New Roman"/>
          <w:sz w:val="20"/>
          <w:szCs w:val="20"/>
          <w:color w:val="010000"/>
        </w:rPr>
      </w:pPr>
    </w:p>
    <w:p>
      <w:pPr>
        <w:ind w:left="-360" w:right="239" w:firstLine="1300"/>
        <w:spacing w:after="0" w:line="269" w:lineRule="auto"/>
        <w:tabs>
          <w:tab w:leader="none" w:pos="1474" w:val="left"/>
        </w:tabs>
        <w:numPr>
          <w:ilvl w:val="1"/>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or the Commitments,</w:t>
      </w:r>
    </w:p>
    <w:p>
      <w:pPr>
        <w:spacing w:after="0" w:line="199" w:lineRule="exact"/>
        <w:rPr>
          <w:rFonts w:ascii="Times New Roman" w:cs="Times New Roman" w:eastAsia="Times New Roman" w:hAnsi="Times New Roman"/>
          <w:sz w:val="20"/>
          <w:szCs w:val="20"/>
          <w:color w:val="010000"/>
        </w:rPr>
      </w:pPr>
    </w:p>
    <w:p>
      <w:pPr>
        <w:jc w:val="both"/>
        <w:ind w:left="-360" w:right="219" w:firstLine="1300"/>
        <w:spacing w:after="0" w:line="253" w:lineRule="auto"/>
        <w:tabs>
          <w:tab w:leader="none" w:pos="1475" w:val="left"/>
        </w:tabs>
        <w:numPr>
          <w:ilvl w:val="1"/>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7" w:lineRule="exact"/>
        <w:rPr>
          <w:rFonts w:ascii="Times New Roman" w:cs="Times New Roman" w:eastAsia="Times New Roman" w:hAnsi="Times New Roman"/>
          <w:sz w:val="20"/>
          <w:szCs w:val="20"/>
          <w:color w:val="010000"/>
        </w:rPr>
      </w:pPr>
    </w:p>
    <w:p>
      <w:pPr>
        <w:jc w:val="both"/>
        <w:ind w:left="-360" w:right="199" w:firstLine="1300"/>
        <w:spacing w:after="0" w:line="252" w:lineRule="auto"/>
        <w:tabs>
          <w:tab w:leader="none" w:pos="1476" w:val="left"/>
        </w:tabs>
        <w:numPr>
          <w:ilvl w:val="1"/>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16" w:lineRule="exact"/>
        <w:rPr>
          <w:rFonts w:ascii="Times New Roman" w:cs="Times New Roman" w:eastAsia="Times New Roman" w:hAnsi="Times New Roman"/>
          <w:sz w:val="20"/>
          <w:szCs w:val="20"/>
          <w:color w:val="010000"/>
        </w:rPr>
      </w:pPr>
    </w:p>
    <w:p>
      <w:pPr>
        <w:ind w:left="-360" w:right="239" w:firstLine="1300"/>
        <w:spacing w:after="0" w:line="269" w:lineRule="auto"/>
        <w:tabs>
          <w:tab w:leader="none" w:pos="1465" w:val="left"/>
        </w:tabs>
        <w:numPr>
          <w:ilvl w:val="1"/>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8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9019"/>
          </w:cols>
          <w:pgMar w:left="1440" w:top="1413" w:right="1440" w:bottom="1440" w:gutter="0" w:footer="0" w:header="0"/>
        </w:sectPr>
      </w:pPr>
    </w:p>
    <w:bookmarkStart w:id="148" w:name="page149"/>
    <w:bookmarkEnd w:id="148"/>
    <w:p>
      <w:pPr>
        <w:jc w:val="both"/>
        <w:ind w:right="239" w:firstLine="1291"/>
        <w:spacing w:after="0" w:line="249" w:lineRule="auto"/>
        <w:tabs>
          <w:tab w:leader="none" w:pos="1823" w:val="left"/>
        </w:tabs>
        <w:numPr>
          <w:ilvl w:val="0"/>
          <w:numId w:val="1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any of their respective Affiliates, and not, for the avoidance of doubt, to or for the benefit of the Borrowers or any other Loan Party, that none of the Administrative Agent, or the Arrangers, any Co-Syndication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5" w:lineRule="exact"/>
        <w:rPr>
          <w:rFonts w:ascii="Times New Roman" w:cs="Times New Roman" w:eastAsia="Times New Roman" w:hAnsi="Times New Roman"/>
          <w:sz w:val="20"/>
          <w:szCs w:val="20"/>
          <w:color w:val="010000"/>
        </w:rPr>
      </w:pPr>
    </w:p>
    <w:p>
      <w:pPr>
        <w:jc w:val="both"/>
        <w:ind w:right="199" w:firstLine="1291"/>
        <w:spacing w:after="0" w:line="248" w:lineRule="auto"/>
        <w:tabs>
          <w:tab w:leader="none" w:pos="1825" w:val="left"/>
        </w:tabs>
        <w:numPr>
          <w:ilvl w:val="0"/>
          <w:numId w:val="1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and each Arranger, each Co-Syndication Agent and each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010000"/>
        </w:rPr>
        <w:t>ARTICLE IX</w:t>
      </w:r>
    </w:p>
    <w:p>
      <w:pPr>
        <w:spacing w:after="0" w:line="10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21" w:lineRule="exact"/>
        <w:rPr>
          <w:sz w:val="20"/>
          <w:szCs w:val="20"/>
          <w:color w:val="auto"/>
        </w:rPr>
      </w:pPr>
    </w:p>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9.01. </w:t>
      </w:r>
      <w:r>
        <w:rPr>
          <w:rFonts w:ascii="Times New Roman" w:cs="Times New Roman" w:eastAsia="Times New Roman" w:hAnsi="Times New Roman"/>
          <w:sz w:val="20"/>
          <w:szCs w:val="20"/>
          <w:u w:val="single" w:color="auto"/>
          <w:color w:val="000000"/>
        </w:rPr>
        <w:t>Notices</w:t>
      </w:r>
      <w:r>
        <w:rPr>
          <w:rFonts w:ascii="Times New Roman" w:cs="Times New Roman" w:eastAsia="Times New Roman" w:hAnsi="Times New Roman"/>
          <w:sz w:val="20"/>
          <w:szCs w:val="20"/>
          <w:color w:val="000000"/>
        </w:rPr>
        <w:t>. (a) Except in the case of notices and other communications expressly permitted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64" w:lineRule="exact"/>
        <w:rPr>
          <w:sz w:val="20"/>
          <w:szCs w:val="20"/>
          <w:color w:val="auto"/>
        </w:rPr>
      </w:pPr>
    </w:p>
    <w:p>
      <w:pPr>
        <w:jc w:val="both"/>
        <w:ind w:left="1300" w:right="219" w:firstLine="639"/>
        <w:spacing w:after="0" w:line="269" w:lineRule="auto"/>
        <w:tabs>
          <w:tab w:leader="none" w:pos="2486" w:val="left"/>
        </w:tabs>
        <w:numPr>
          <w:ilvl w:val="1"/>
          <w:numId w:val="2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any Borrower, to it c/o the Company, 1100 Cassatt Road, Berwyn, Pennsylvania 19312, Attention of Kevin Coleman, Vice President, Investor Relations and Treasurer (Telecopy No. 215-323-9350; Telephone No. 610-889-5247),; with a copy (in the case of a notice of an actual or potential Default, Event of Default, non-compliance with this Agreement or any other similar matter) to (which copy shall not constitute notice): Morgan, Lewis &amp; Bockius LLP, 1701 Market Street, Philadelphia, Pennsylvania 19103, Attention of Michael J. Pedrick, (Telecopy No. (215) 963-5001; Telephone No. (215) 963-4808);</w:t>
      </w:r>
    </w:p>
    <w:p>
      <w:pPr>
        <w:spacing w:after="0" w:line="69" w:lineRule="exact"/>
        <w:rPr>
          <w:rFonts w:ascii="Times New Roman" w:cs="Times New Roman" w:eastAsia="Times New Roman" w:hAnsi="Times New Roman"/>
          <w:sz w:val="19"/>
          <w:szCs w:val="19"/>
          <w:color w:val="010000"/>
        </w:rPr>
      </w:pPr>
    </w:p>
    <w:p>
      <w:pPr>
        <w:jc w:val="both"/>
        <w:ind w:left="1300" w:right="239" w:firstLine="639"/>
        <w:spacing w:after="0" w:line="267" w:lineRule="auto"/>
        <w:tabs>
          <w:tab w:leader="none" w:pos="2486" w:val="left"/>
        </w:tabs>
        <w:numPr>
          <w:ilvl w:val="1"/>
          <w:numId w:val="2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the Administrative Agent, (A) in the case of Borrowings to JPMorgan Chase Bank, N.A., 10 South Dearborn, Floor L2, Suite IL1-0480, Chicago, Illinois 60603, Attention of Charitra Shetty (Telecopy No. (844) 490-5663; charitra.shetty@chase.com with a copy to jpm.agency.cri@chase.com) and</w:t>
      </w:r>
    </w:p>
    <w:p>
      <w:pPr>
        <w:spacing w:after="0" w:line="1" w:lineRule="exact"/>
        <w:rPr>
          <w:rFonts w:ascii="Times New Roman" w:cs="Times New Roman" w:eastAsia="Times New Roman" w:hAnsi="Times New Roman"/>
          <w:sz w:val="19"/>
          <w:szCs w:val="19"/>
          <w:color w:val="010000"/>
        </w:rPr>
      </w:pPr>
    </w:p>
    <w:p>
      <w:pPr>
        <w:ind w:left="1600" w:hanging="309"/>
        <w:spacing w:after="0"/>
        <w:tabs>
          <w:tab w:leader="none" w:pos="16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notices, to JPMorgan Chase Bank, N.A., 8181 Communications Pkwy, Plano,</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0019"/>
          </w:cols>
          <w:pgMar w:left="440" w:top="1413" w:right="1440" w:bottom="1440" w:gutter="0" w:footer="0" w:header="0"/>
        </w:sectPr>
      </w:pPr>
    </w:p>
    <w:bookmarkStart w:id="149" w:name="page150"/>
    <w:bookmarkEnd w:id="149"/>
    <w:p>
      <w:pPr>
        <w:ind w:left="1300" w:right="239"/>
        <w:spacing w:after="0" w:line="269" w:lineRule="auto"/>
        <w:rPr>
          <w:sz w:val="20"/>
          <w:szCs w:val="20"/>
          <w:color w:val="auto"/>
        </w:rPr>
      </w:pPr>
      <w:r>
        <w:rPr>
          <w:rFonts w:ascii="Times New Roman" w:cs="Times New Roman" w:eastAsia="Times New Roman" w:hAnsi="Times New Roman"/>
          <w:sz w:val="20"/>
          <w:szCs w:val="20"/>
          <w:color w:val="auto"/>
        </w:rPr>
        <w:t>Texas 75024, Attention of Jonathan Bennett (jonathan.r.bennett@jpmorgan.com; Telephone No. (972) 324-9048);</w:t>
      </w:r>
    </w:p>
    <w:p>
      <w:pPr>
        <w:spacing w:after="0" w:line="200" w:lineRule="exact"/>
        <w:rPr>
          <w:sz w:val="20"/>
          <w:szCs w:val="20"/>
          <w:color w:val="auto"/>
        </w:rPr>
      </w:pPr>
    </w:p>
    <w:p>
      <w:pPr>
        <w:jc w:val="both"/>
        <w:ind w:left="1300" w:right="239" w:firstLine="640"/>
        <w:spacing w:after="0" w:line="257" w:lineRule="auto"/>
        <w:tabs>
          <w:tab w:leader="none" w:pos="2488" w:val="left"/>
        </w:tabs>
        <w:numPr>
          <w:ilvl w:val="0"/>
          <w:numId w:val="2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JPMorgan Chase Bank, N.A., 10 South Dearborn, Floor L2, Suite IL1-0480, Chicago, Illinois 60603, Attention of LC Agency Team (Telecopy No. (856) 294-5267; Chicago.lc.agency.activity.team@jpmchase.com with a copy to charitra.shetty@chase.com), or in the case of any other Issuing Bank, to it at the address and telecopy number specified from time to time by such Issuing Bank to the Company and the Administrative Agent; and</w:t>
      </w:r>
    </w:p>
    <w:p>
      <w:pPr>
        <w:spacing w:after="0" w:line="199" w:lineRule="exact"/>
        <w:rPr>
          <w:rFonts w:ascii="Times New Roman" w:cs="Times New Roman" w:eastAsia="Times New Roman" w:hAnsi="Times New Roman"/>
          <w:sz w:val="20"/>
          <w:szCs w:val="20"/>
          <w:color w:val="010000"/>
        </w:rPr>
      </w:pPr>
    </w:p>
    <w:p>
      <w:pPr>
        <w:ind w:left="1300" w:right="239" w:firstLine="640"/>
        <w:spacing w:after="0" w:line="283" w:lineRule="auto"/>
        <w:tabs>
          <w:tab w:leader="none" w:pos="2477" w:val="left"/>
        </w:tabs>
        <w:numPr>
          <w:ilvl w:val="0"/>
          <w:numId w:val="2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other Lender, to it at its address (or telecopy number) set forth in its Administrative Questionnaire.</w:t>
      </w:r>
    </w:p>
    <w:p>
      <w:pPr>
        <w:spacing w:after="0" w:line="187" w:lineRule="exact"/>
        <w:rPr>
          <w:sz w:val="20"/>
          <w:szCs w:val="20"/>
          <w:color w:val="auto"/>
        </w:rPr>
      </w:pPr>
    </w:p>
    <w:p>
      <w:pPr>
        <w:jc w:val="both"/>
        <w:ind w:right="239"/>
        <w:spacing w:after="0" w:line="257"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200" w:lineRule="exact"/>
        <w:rPr>
          <w:sz w:val="20"/>
          <w:szCs w:val="20"/>
          <w:color w:val="auto"/>
        </w:rPr>
      </w:pPr>
    </w:p>
    <w:p>
      <w:pPr>
        <w:jc w:val="both"/>
        <w:ind w:left="640" w:right="239" w:firstLine="651"/>
        <w:spacing w:after="0" w:line="253" w:lineRule="auto"/>
        <w:tabs>
          <w:tab w:leader="none" w:pos="1815" w:val="left"/>
        </w:tabs>
        <w:numPr>
          <w:ilvl w:val="0"/>
          <w:numId w:val="2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Notices and other communications to any Loan Party, the Lenders and the Issuing Banks hereunder may be delivered or furnished by using Approved Electronic Platforms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206" w:lineRule="exact"/>
        <w:rPr>
          <w:rFonts w:ascii="Times New Roman" w:cs="Times New Roman" w:eastAsia="Times New Roman" w:hAnsi="Times New Roman"/>
          <w:sz w:val="20"/>
          <w:szCs w:val="20"/>
          <w:color w:val="010000"/>
        </w:rPr>
      </w:pPr>
    </w:p>
    <w:p>
      <w:pPr>
        <w:jc w:val="both"/>
        <w:ind w:left="640" w:right="239" w:firstLine="652"/>
        <w:spacing w:after="0" w:line="252" w:lineRule="auto"/>
        <w:tabs>
          <w:tab w:leader="none" w:pos="1818" w:val="left"/>
        </w:tabs>
        <w:numPr>
          <w:ilvl w:val="0"/>
          <w:numId w:val="2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16" w:lineRule="exact"/>
        <w:rPr>
          <w:rFonts w:ascii="Times New Roman" w:cs="Times New Roman" w:eastAsia="Times New Roman" w:hAnsi="Times New Roman"/>
          <w:sz w:val="20"/>
          <w:szCs w:val="20"/>
          <w:color w:val="010000"/>
        </w:rPr>
      </w:pPr>
    </w:p>
    <w:p>
      <w:pPr>
        <w:ind w:left="640" w:right="239" w:firstLine="652"/>
        <w:spacing w:after="0" w:line="269" w:lineRule="auto"/>
        <w:tabs>
          <w:tab w:leader="none" w:pos="1816" w:val="left"/>
        </w:tabs>
        <w:numPr>
          <w:ilvl w:val="0"/>
          <w:numId w:val="2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w:t>
      </w:r>
    </w:p>
    <w:p>
      <w:pPr>
        <w:spacing w:after="0" w:line="213"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9.02. </w:t>
      </w:r>
      <w:r>
        <w:rPr>
          <w:rFonts w:ascii="Times New Roman" w:cs="Times New Roman" w:eastAsia="Times New Roman" w:hAnsi="Times New Roman"/>
          <w:sz w:val="20"/>
          <w:szCs w:val="20"/>
          <w:u w:val="single" w:color="auto"/>
          <w:color w:val="000000"/>
        </w:rPr>
        <w:t>Waivers; Amendments</w:t>
      </w:r>
      <w:r>
        <w:rPr>
          <w:rFonts w:ascii="Times New Roman" w:cs="Times New Roman" w:eastAsia="Times New Roman" w:hAnsi="Times New Roman"/>
          <w:sz w:val="20"/>
          <w:szCs w:val="20"/>
          <w:color w:val="000000"/>
        </w:rPr>
        <w:t>. (a) No failure or delay by the Administrative Agent, any Issuing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w:t>
      </w:r>
    </w:p>
    <w:p>
      <w:pPr>
        <w:spacing w:after="0" w:line="200" w:lineRule="exact"/>
        <w:rPr>
          <w:sz w:val="20"/>
          <w:szCs w:val="20"/>
          <w:color w:val="auto"/>
        </w:rPr>
      </w:pPr>
    </w:p>
    <w:p>
      <w:pPr>
        <w:spacing w:after="0" w:line="38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0019"/>
          </w:cols>
          <w:pgMar w:left="440" w:top="1170" w:right="1440" w:bottom="1440" w:gutter="0" w:footer="0" w:header="0"/>
        </w:sectPr>
      </w:pPr>
    </w:p>
    <w:bookmarkStart w:id="150" w:name="page151"/>
    <w:bookmarkEnd w:id="150"/>
    <w:p>
      <w:pPr>
        <w:jc w:val="both"/>
        <w:ind w:right="239"/>
        <w:spacing w:after="0" w:line="253" w:lineRule="auto"/>
        <w:rPr>
          <w:sz w:val="20"/>
          <w:szCs w:val="20"/>
          <w:color w:val="auto"/>
        </w:rPr>
      </w:pPr>
      <w:r>
        <w:rPr>
          <w:rFonts w:ascii="Times New Roman" w:cs="Times New Roman" w:eastAsia="Times New Roman" w:hAnsi="Times New Roman"/>
          <w:sz w:val="20"/>
          <w:szCs w:val="20"/>
          <w:color w:val="auto"/>
        </w:rPr>
        <w:t>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219" w:lineRule="exact"/>
        <w:rPr>
          <w:sz w:val="20"/>
          <w:szCs w:val="20"/>
          <w:color w:val="auto"/>
        </w:rPr>
      </w:pPr>
    </w:p>
    <w:p>
      <w:pPr>
        <w:jc w:val="both"/>
        <w:ind w:left="640" w:right="219" w:firstLine="651"/>
        <w:spacing w:after="0" w:line="261" w:lineRule="auto"/>
        <w:tabs>
          <w:tab w:leader="none" w:pos="1815" w:val="left"/>
        </w:tabs>
        <w:numPr>
          <w:ilvl w:val="1"/>
          <w:numId w:val="2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provided in Section 2.21 with respect to an Incremental Term Loan Amendment or as provided in Section 2.14(b) and Section 2.14(c),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provided that no such agreement shall (i) increase or extend the Commitment of any Lender without the written consent of such Lender, (ii) reduce the principal amount of any Loan or LC Disbursement or reduce the rate of interest thereon, or reduce any fees or other amounts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or other amounts for purposes of this clause (ii)), (iii) postpone the scheduled date of payment of the principal amount of any Loan or LC Disbursement, or any interest thereon, or any fees or other amounts payable hereunder, or reduce the amount of, waive or excuse any such payment, or postpone the scheduled date of expiration of any Commitment, without the written consent of each Lender directly affected thereby, (iv) change Section 2.09(c) or Section 2.19(b) or (d) in a manner that would alter the ratable reduction of Commitments or the pro rata sharing of payments required thereby, without the written consent of each Lender, (v) change the payment waterfall provisions of Section 2.25(b)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2.21 to be parties to an Incremental Term Loan Amendment, Incremental Term Loans may be included in the determination of Required Lenders on substantially the same basis as the Commitments and the Revolving Loans are included on the Restatement Effective Date) or</w:t>
      </w:r>
    </w:p>
    <w:p>
      <w:pPr>
        <w:spacing w:after="0" w:line="12" w:lineRule="exact"/>
        <w:rPr>
          <w:rFonts w:ascii="Times New Roman" w:cs="Times New Roman" w:eastAsia="Times New Roman" w:hAnsi="Times New Roman"/>
          <w:sz w:val="19"/>
          <w:szCs w:val="19"/>
          <w:color w:val="010000"/>
        </w:rPr>
      </w:pPr>
    </w:p>
    <w:p>
      <w:pPr>
        <w:jc w:val="both"/>
        <w:ind w:left="640" w:right="219" w:firstLine="3"/>
        <w:spacing w:after="0" w:line="263" w:lineRule="auto"/>
        <w:tabs>
          <w:tab w:leader="none" w:pos="1074"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release the Company from its obligations under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without the written consent of each Lender; provided further that no such agreement shall amend, modify or otherwise affect the rights or duties of the Administrative Agent or any Issuing Bank hereunder without the prior written consent of the Administrative Agent or such Issuing Bank, as the case may be (it being understood that any change to Section 2.25 shall require the consent of the Administrative Agent and each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no such agreement shall amend or modify the provisions of Section 2.06 or any letter of credit application and any bilateral agreement between the Company and any Issuing Bank regarding such Issuing Bank’s Letter of Credit Commitment or the respective rights and obligations between the Company and such Issuing Bank in connection with the issuance of Letters of Credit without the prior written consent of the Administrative Agent and such Issuing Bank, respectively.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200" w:lineRule="exact"/>
        <w:rPr>
          <w:sz w:val="20"/>
          <w:szCs w:val="20"/>
          <w:color w:val="auto"/>
        </w:rPr>
      </w:pPr>
    </w:p>
    <w:p>
      <w:pPr>
        <w:spacing w:after="0" w:line="3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0019"/>
          </w:cols>
          <w:pgMar w:left="440" w:top="1170" w:right="1440" w:bottom="1440" w:gutter="0" w:footer="0" w:header="0"/>
        </w:sectPr>
      </w:pPr>
    </w:p>
    <w:bookmarkStart w:id="151" w:name="page152"/>
    <w:bookmarkEnd w:id="151"/>
    <w:p>
      <w:pPr>
        <w:jc w:val="both"/>
        <w:ind w:right="219" w:firstLine="651"/>
        <w:spacing w:after="0" w:line="251" w:lineRule="auto"/>
        <w:tabs>
          <w:tab w:leader="none" w:pos="1177"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this Agreement and any other Loan Document may be amended (or amended and restated) with the written consent of the Required Lenders, the Administrative Agent and the Borrowers to each relevant Loan Document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the Incremental Term Loans and the accrued interest and fees in respect thereof and (y) to include appropriately the Lenders holding such credit facilities in any determination of the Required Lenders and Lenders.</w:t>
      </w:r>
    </w:p>
    <w:p>
      <w:pPr>
        <w:spacing w:after="0" w:line="208" w:lineRule="exact"/>
        <w:rPr>
          <w:rFonts w:ascii="Times New Roman" w:cs="Times New Roman" w:eastAsia="Times New Roman" w:hAnsi="Times New Roman"/>
          <w:sz w:val="20"/>
          <w:szCs w:val="20"/>
          <w:color w:val="010000"/>
        </w:rPr>
      </w:pPr>
    </w:p>
    <w:p>
      <w:pPr>
        <w:jc w:val="both"/>
        <w:ind w:right="239" w:firstLine="651"/>
        <w:spacing w:after="0" w:line="263" w:lineRule="auto"/>
        <w:tabs>
          <w:tab w:leader="none" w:pos="1175" w:val="left"/>
        </w:tabs>
        <w:numPr>
          <w:ilvl w:val="0"/>
          <w:numId w:val="2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clause (b) of Section 9.04,</w:t>
      </w:r>
    </w:p>
    <w:p>
      <w:pPr>
        <w:spacing w:after="0" w:line="6" w:lineRule="exact"/>
        <w:rPr>
          <w:sz w:val="20"/>
          <w:szCs w:val="20"/>
          <w:color w:val="auto"/>
        </w:rPr>
      </w:pPr>
    </w:p>
    <w:p>
      <w:pPr>
        <w:ind w:left="540" w:hanging="537"/>
        <w:spacing w:after="0"/>
        <w:tabs>
          <w:tab w:leader="none" w:pos="5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shall pay to such Non-Consenting Lender in same day funds on the day of such replacement</w:t>
      </w:r>
    </w:p>
    <w:p>
      <w:pPr>
        <w:spacing w:after="0" w:line="6" w:lineRule="exact"/>
        <w:rPr>
          <w:rFonts w:ascii="Times New Roman" w:cs="Times New Roman" w:eastAsia="Times New Roman" w:hAnsi="Times New Roman"/>
          <w:sz w:val="20"/>
          <w:szCs w:val="20"/>
          <w:color w:val="auto"/>
        </w:rPr>
      </w:pPr>
    </w:p>
    <w:p>
      <w:pPr>
        <w:jc w:val="both"/>
        <w:ind w:right="239"/>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all interest, fees and other amounts then accrued but unpaid to such Non-Consenting Lender by such Borrower hereunder to and including the date of termination, including without limitation payments due to such Non-Consenting Lender under Sections 2.15,</w:t>
      </w:r>
    </w:p>
    <w:p>
      <w:pPr>
        <w:spacing w:after="0" w:line="2" w:lineRule="exact"/>
        <w:rPr>
          <w:rFonts w:ascii="Times New Roman" w:cs="Times New Roman" w:eastAsia="Times New Roman" w:hAnsi="Times New Roman"/>
          <w:sz w:val="20"/>
          <w:szCs w:val="20"/>
          <w:color w:val="auto"/>
        </w:rPr>
      </w:pPr>
    </w:p>
    <w:p>
      <w:pPr>
        <w:jc w:val="both"/>
        <w:ind w:right="199"/>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2.17 and 2.18, and (2) an amount, if any, equal to the payment which would have been due to such Lender on the day of such replacement under Section 2.16 had the Loans of such Non-Consenting Lender been prepaid on such date rather than sold to the replacement Lender and</w:t>
      </w:r>
    </w:p>
    <w:p>
      <w:pPr>
        <w:spacing w:after="0" w:line="2" w:lineRule="exact"/>
        <w:rPr>
          <w:rFonts w:ascii="Times New Roman" w:cs="Times New Roman" w:eastAsia="Times New Roman" w:hAnsi="Times New Roman"/>
          <w:sz w:val="20"/>
          <w:szCs w:val="20"/>
          <w:color w:val="auto"/>
        </w:rPr>
      </w:pPr>
    </w:p>
    <w:p>
      <w:pPr>
        <w:jc w:val="both"/>
        <w:ind w:right="239" w:firstLine="3"/>
        <w:spacing w:after="0" w:line="249" w:lineRule="auto"/>
        <w:tabs>
          <w:tab w:leader="none" w:pos="5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Non-Consenting Lender shall have received the outstanding principal amount of its Loans and participations in LC Disbursements. Each party hereto agrees that (a)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08" w:lineRule="exact"/>
        <w:rPr>
          <w:rFonts w:ascii="Times New Roman" w:cs="Times New Roman" w:eastAsia="Times New Roman" w:hAnsi="Times New Roman"/>
          <w:sz w:val="20"/>
          <w:szCs w:val="20"/>
          <w:color w:val="auto"/>
        </w:rPr>
      </w:pPr>
    </w:p>
    <w:p>
      <w:pPr>
        <w:jc w:val="both"/>
        <w:ind w:right="199" w:firstLine="651"/>
        <w:spacing w:after="0" w:line="253" w:lineRule="auto"/>
        <w:tabs>
          <w:tab w:leader="none" w:pos="1178" w:val="left"/>
        </w:tabs>
        <w:numPr>
          <w:ilvl w:val="1"/>
          <w:numId w:val="2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herein to the contrary, as to any amendment or amendment and restatement otherwise approved in 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200" w:lineRule="exact"/>
        <w:rPr>
          <w:sz w:val="20"/>
          <w:szCs w:val="20"/>
          <w:color w:val="auto"/>
        </w:rPr>
      </w:pPr>
    </w:p>
    <w:p>
      <w:pPr>
        <w:spacing w:after="0" w:line="38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9379"/>
          </w:cols>
          <w:pgMar w:left="1080" w:top="1170" w:right="1440" w:bottom="1440" w:gutter="0" w:footer="0" w:header="0"/>
        </w:sectPr>
      </w:pPr>
    </w:p>
    <w:bookmarkStart w:id="152" w:name="page153"/>
    <w:bookmarkEnd w:id="152"/>
    <w:p>
      <w:pPr>
        <w:jc w:val="both"/>
        <w:ind w:left="644" w:right="259" w:firstLine="651"/>
        <w:spacing w:after="0" w:line="261" w:lineRule="auto"/>
        <w:tabs>
          <w:tab w:leader="none" w:pos="1827" w:val="left"/>
        </w:tabs>
        <w:numPr>
          <w:ilvl w:val="0"/>
          <w:numId w:val="2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the Administrative Agent may, with the consent of the Borrowers only, amend, modify or supplement this Agreement or any of the other Loan Documents to cure any ambiguity, omission, mistake, defect or inconsistency.</w:t>
      </w:r>
    </w:p>
    <w:p>
      <w:pPr>
        <w:spacing w:after="0" w:line="6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010000"/>
        </w:rPr>
        <w:t xml:space="preserve">SECTION 9.03. </w:t>
      </w:r>
      <w:r>
        <w:rPr>
          <w:rFonts w:ascii="Times New Roman" w:cs="Times New Roman" w:eastAsia="Times New Roman" w:hAnsi="Times New Roman"/>
          <w:sz w:val="20"/>
          <w:szCs w:val="20"/>
          <w:u w:val="single" w:color="auto"/>
          <w:color w:val="000000"/>
        </w:rPr>
        <w:t>Expenses; Indemnity; Damage Waiver</w:t>
      </w:r>
      <w:r>
        <w:rPr>
          <w:rFonts w:ascii="Times New Roman" w:cs="Times New Roman" w:eastAsia="Times New Roman" w:hAnsi="Times New Roman"/>
          <w:sz w:val="20"/>
          <w:szCs w:val="20"/>
          <w:color w:val="000000"/>
        </w:rPr>
        <w:t>. (a) The Company shall pay</w:t>
      </w:r>
    </w:p>
    <w:p>
      <w:pPr>
        <w:spacing w:after="0" w:line="28" w:lineRule="exact"/>
        <w:rPr>
          <w:sz w:val="20"/>
          <w:szCs w:val="20"/>
          <w:color w:val="auto"/>
        </w:rPr>
      </w:pPr>
    </w:p>
    <w:p>
      <w:pPr>
        <w:jc w:val="both"/>
        <w:ind w:left="4" w:right="199" w:hanging="4"/>
        <w:spacing w:after="0" w:line="251" w:lineRule="auto"/>
        <w:tabs>
          <w:tab w:leader="none" w:pos="542"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and documented out-of-pocket expenses incurred by the Administrative Agent and its Affiliates, including the reasonable and documented fees, charges and disbursements of one primary counsel for the Administrative Agent and of one counsel in each relevant jurisdiction,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w:t>
      </w:r>
    </w:p>
    <w:p>
      <w:pPr>
        <w:spacing w:after="0" w:line="69" w:lineRule="exact"/>
        <w:rPr>
          <w:rFonts w:ascii="Times New Roman" w:cs="Times New Roman" w:eastAsia="Times New Roman" w:hAnsi="Times New Roman"/>
          <w:sz w:val="20"/>
          <w:szCs w:val="20"/>
          <w:color w:val="auto"/>
        </w:rPr>
      </w:pPr>
    </w:p>
    <w:p>
      <w:pPr>
        <w:jc w:val="both"/>
        <w:ind w:left="4" w:right="239" w:hanging="4"/>
        <w:spacing w:after="0" w:line="251" w:lineRule="auto"/>
        <w:tabs>
          <w:tab w:leader="none" w:pos="54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and documented out-of-pocket expenses incurred by any Issuing Bank in connection with the issuance, amendment, renewal or extension of any Letter of Credit or any demand for payment thereunder and (iii) if an Event of Default occurs, all reasonable out-of-pocket expenses incurred by the Administrative Agent, any Issuing Bank or any Lender, including the reasonable fees, charges and disbursements of any counsel for the Administrative Agent, any Issuing Bank or any Lender, in connection with such Event of Default and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87" w:lineRule="exact"/>
        <w:rPr>
          <w:rFonts w:ascii="Times New Roman" w:cs="Times New Roman" w:eastAsia="Times New Roman" w:hAnsi="Times New Roman"/>
          <w:sz w:val="20"/>
          <w:szCs w:val="20"/>
          <w:color w:val="auto"/>
        </w:rPr>
      </w:pPr>
    </w:p>
    <w:p>
      <w:pPr>
        <w:jc w:val="both"/>
        <w:ind w:left="644" w:right="219" w:firstLine="652"/>
        <w:spacing w:after="0" w:line="249" w:lineRule="auto"/>
        <w:tabs>
          <w:tab w:leader="none" w:pos="1820"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indemnify the Administrative Agent, each Arranger, each Issuing Bank and each Lender, and each Related Party of any of the foregoing Persons (each such Person being called an “Indemnitee”)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Section 9.03(b) shall not apply with respect to Taxes or UK Taxes other than any Taxes or UK Taxes that represent losses or damages arising from any non-Tax or non-UK Tax claim.</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0023"/>
          </w:cols>
          <w:pgMar w:left="436" w:top="1170" w:right="1440" w:bottom="1440" w:gutter="0" w:footer="0" w:header="0"/>
        </w:sectPr>
      </w:pPr>
    </w:p>
    <w:bookmarkStart w:id="153" w:name="page154"/>
    <w:bookmarkEnd w:id="153"/>
    <w:p>
      <w:pPr>
        <w:jc w:val="both"/>
        <w:ind w:left="640" w:right="239" w:firstLine="652"/>
        <w:spacing w:after="0" w:line="250" w:lineRule="auto"/>
        <w:tabs>
          <w:tab w:leader="none" w:pos="1818" w:val="left"/>
        </w:tabs>
        <w:numPr>
          <w:ilvl w:val="0"/>
          <w:numId w:val="2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extent that the Company fails to pay any amount required to be paid by it to the Administrative Agent or any Issuing Bank under paragraph (a) or (b) of this Section, each Lender severally agrees to pay to the Administrative Agent or any Issuing Bank, as the case may be, such Lender’s Applicable Percentage (determined as of the time that the applicable unreimbursed expense or indemnity payment is sought) of such unpaid amount (it being understood that the Company’s failure to pay any such amount shall not relieve the Company of any default in the payment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Issuing Bank in its capacity as such.</w:t>
      </w:r>
    </w:p>
    <w:p>
      <w:pPr>
        <w:spacing w:after="0" w:line="2" w:lineRule="exact"/>
        <w:rPr>
          <w:rFonts w:ascii="Times New Roman" w:cs="Times New Roman" w:eastAsia="Times New Roman" w:hAnsi="Times New Roman"/>
          <w:sz w:val="20"/>
          <w:szCs w:val="20"/>
          <w:color w:val="010000"/>
        </w:rPr>
      </w:pPr>
    </w:p>
    <w:p>
      <w:pPr>
        <w:jc w:val="both"/>
        <w:ind w:left="640" w:right="239" w:firstLine="651"/>
        <w:spacing w:after="0" w:line="251" w:lineRule="auto"/>
        <w:tabs>
          <w:tab w:leader="none" w:pos="1815" w:val="left"/>
        </w:tabs>
        <w:numPr>
          <w:ilvl w:val="0"/>
          <w:numId w:val="2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permitted by applicable law, no Borrower shall assert, and each Borrower hereby waives, any claim against any Lender-Related Person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69" w:lineRule="exact"/>
        <w:rPr>
          <w:rFonts w:ascii="Times New Roman" w:cs="Times New Roman" w:eastAsia="Times New Roman" w:hAnsi="Times New Roman"/>
          <w:sz w:val="20"/>
          <w:szCs w:val="20"/>
          <w:color w:val="010000"/>
        </w:rPr>
      </w:pPr>
    </w:p>
    <w:p>
      <w:pPr>
        <w:ind w:left="640" w:right="259" w:firstLine="651"/>
        <w:spacing w:after="0" w:line="283" w:lineRule="auto"/>
        <w:tabs>
          <w:tab w:leader="none" w:pos="1818" w:val="left"/>
        </w:tabs>
        <w:numPr>
          <w:ilvl w:val="0"/>
          <w:numId w:val="2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due under this Section shall be payable not later than fifteen (15) days after written demand therefor.</w:t>
      </w:r>
    </w:p>
    <w:p>
      <w:pPr>
        <w:spacing w:after="0" w:line="38" w:lineRule="exact"/>
        <w:rPr>
          <w:sz w:val="20"/>
          <w:szCs w:val="20"/>
          <w:color w:val="auto"/>
        </w:rPr>
      </w:pPr>
    </w:p>
    <w:p>
      <w:pPr>
        <w:jc w:val="both"/>
        <w:ind w:right="19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9.04. </w:t>
      </w:r>
      <w:r>
        <w:rPr>
          <w:rFonts w:ascii="Times New Roman" w:cs="Times New Roman" w:eastAsia="Times New Roman" w:hAnsi="Times New Roman"/>
          <w:sz w:val="20"/>
          <w:szCs w:val="20"/>
          <w:u w:val="single" w:color="auto"/>
          <w:color w:val="000000"/>
        </w:rPr>
        <w:t>Successors and Assigns</w:t>
      </w:r>
      <w:r>
        <w:rPr>
          <w:rFonts w:ascii="Times New Roman" w:cs="Times New Roman" w:eastAsia="Times New Roman" w:hAnsi="Times New Roman"/>
          <w:sz w:val="20"/>
          <w:szCs w:val="20"/>
          <w:color w:val="000000"/>
        </w:rPr>
        <w:t>. (a) The provisions of this Agreement shall be binding upon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inure to the benefit of the parties hereto and their respective successors and assigns permitted hereby (including any Affiliate of the relevant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92" w:lineRule="exact"/>
        <w:rPr>
          <w:sz w:val="20"/>
          <w:szCs w:val="20"/>
          <w:color w:val="auto"/>
        </w:rPr>
      </w:pPr>
    </w:p>
    <w:p>
      <w:pPr>
        <w:jc w:val="both"/>
        <w:ind w:left="640" w:right="199" w:firstLine="652"/>
        <w:spacing w:after="0" w:line="276" w:lineRule="auto"/>
        <w:tabs>
          <w:tab w:leader="none" w:pos="1816" w:val="left"/>
        </w:tabs>
        <w:numPr>
          <w:ilvl w:val="0"/>
          <w:numId w:val="2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 Subject to the conditions set forth in paragraph (b)(ii) below, any Lender may assign to one or more Persons (other than an Ineligible Institution) all or a portion of its rights and obligations under this Agreement (including all or a portion of its Commitments, participations in Letters of Credit and the Loans at the time owing to it) with the prior written consent (such consent not to be unreasonably withheld, conditioned or delayed) of:</w:t>
      </w:r>
    </w:p>
    <w:p>
      <w:pPr>
        <w:spacing w:after="0" w:line="48" w:lineRule="exact"/>
        <w:rPr>
          <w:rFonts w:ascii="Times New Roman" w:cs="Times New Roman" w:eastAsia="Times New Roman" w:hAnsi="Times New Roman"/>
          <w:sz w:val="19"/>
          <w:szCs w:val="19"/>
          <w:color w:val="010000"/>
        </w:rPr>
      </w:pPr>
    </w:p>
    <w:p>
      <w:pPr>
        <w:jc w:val="both"/>
        <w:ind w:left="1940" w:right="239" w:firstLine="647"/>
        <w:spacing w:after="0" w:line="253" w:lineRule="auto"/>
        <w:tabs>
          <w:tab w:leader="none" w:pos="3119" w:val="left"/>
        </w:tabs>
        <w:numPr>
          <w:ilvl w:val="1"/>
          <w:numId w:val="2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(provided that the Company shall be deemed to have consented to any such assignment unless it shall object thereto by written notice to the Administrative Agent within five (5)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consent of the Company shall be required for an assignment to a Lender, an Affiliate of a Lender, an Approved Fund or, if an Event of Default under clause (a), (b), (h), (i), (j), (k) or (l) of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has occurred and is continuing, any other assignee;</w:t>
      </w:r>
    </w:p>
    <w:p>
      <w:pPr>
        <w:spacing w:after="0" w:line="84" w:lineRule="exact"/>
        <w:rPr>
          <w:rFonts w:ascii="Times New Roman" w:cs="Times New Roman" w:eastAsia="Times New Roman" w:hAnsi="Times New Roman"/>
          <w:sz w:val="20"/>
          <w:szCs w:val="20"/>
          <w:color w:val="010000"/>
        </w:rPr>
      </w:pPr>
    </w:p>
    <w:p>
      <w:pPr>
        <w:ind w:left="3220" w:hanging="632"/>
        <w:spacing w:after="0"/>
        <w:tabs>
          <w:tab w:leader="none" w:pos="3220" w:val="left"/>
        </w:tabs>
        <w:numPr>
          <w:ilvl w:val="1"/>
          <w:numId w:val="2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and</w:t>
      </w:r>
    </w:p>
    <w:p>
      <w:pPr>
        <w:spacing w:after="0" w:line="107" w:lineRule="exact"/>
        <w:rPr>
          <w:rFonts w:ascii="Times New Roman" w:cs="Times New Roman" w:eastAsia="Times New Roman" w:hAnsi="Times New Roman"/>
          <w:sz w:val="20"/>
          <w:szCs w:val="20"/>
          <w:color w:val="010000"/>
        </w:rPr>
      </w:pPr>
    </w:p>
    <w:p>
      <w:pPr>
        <w:ind w:left="3220" w:hanging="632"/>
        <w:spacing w:after="0"/>
        <w:tabs>
          <w:tab w:leader="none" w:pos="3220" w:val="left"/>
        </w:tabs>
        <w:numPr>
          <w:ilvl w:val="1"/>
          <w:numId w:val="2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Issuing Banks.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0019"/>
          </w:cols>
          <w:pgMar w:left="440" w:top="1089" w:right="1440" w:bottom="1440" w:gutter="0" w:footer="0" w:header="0"/>
        </w:sectPr>
      </w:pPr>
    </w:p>
    <w:bookmarkStart w:id="154" w:name="page155"/>
    <w:bookmarkEnd w:id="154"/>
    <w:p>
      <w:pPr>
        <w:ind w:left="2580" w:hanging="640"/>
        <w:spacing w:after="0"/>
        <w:tabs>
          <w:tab w:leader="none" w:pos="2580" w:val="left"/>
        </w:tabs>
        <w:numPr>
          <w:ilvl w:val="0"/>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256" w:lineRule="exact"/>
        <w:rPr>
          <w:rFonts w:ascii="Times New Roman" w:cs="Times New Roman" w:eastAsia="Times New Roman" w:hAnsi="Times New Roman"/>
          <w:sz w:val="20"/>
          <w:szCs w:val="20"/>
          <w:color w:val="010000"/>
        </w:rPr>
      </w:pPr>
    </w:p>
    <w:p>
      <w:pPr>
        <w:jc w:val="both"/>
        <w:ind w:left="1940" w:right="239" w:firstLine="648"/>
        <w:spacing w:after="0" w:line="250" w:lineRule="auto"/>
        <w:tabs>
          <w:tab w:leader="none" w:pos="3119" w:val="left"/>
        </w:tabs>
        <w:numPr>
          <w:ilvl w:val="1"/>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w:t>
      </w:r>
    </w:p>
    <w:p>
      <w:pPr>
        <w:spacing w:after="0" w:line="2" w:lineRule="exact"/>
        <w:rPr>
          <w:rFonts w:ascii="Times New Roman" w:cs="Times New Roman" w:eastAsia="Times New Roman" w:hAnsi="Times New Roman"/>
          <w:sz w:val="20"/>
          <w:szCs w:val="20"/>
          <w:color w:val="010000"/>
        </w:rPr>
      </w:pPr>
    </w:p>
    <w:p>
      <w:pPr>
        <w:jc w:val="both"/>
        <w:ind w:left="1940" w:right="239"/>
        <w:spacing w:after="0" w:line="256"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$5,000,000 unless each of the Company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Company shall be required if an Event of Default under clause (a), (b), (h), (i), (j), (k) or (l)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w:t>
      </w:r>
    </w:p>
    <w:p>
      <w:pPr>
        <w:spacing w:after="0" w:line="214" w:lineRule="exact"/>
        <w:rPr>
          <w:rFonts w:ascii="Times New Roman" w:cs="Times New Roman" w:eastAsia="Times New Roman" w:hAnsi="Times New Roman"/>
          <w:sz w:val="20"/>
          <w:szCs w:val="20"/>
          <w:color w:val="010000"/>
        </w:rPr>
      </w:pPr>
    </w:p>
    <w:p>
      <w:pPr>
        <w:jc w:val="both"/>
        <w:ind w:left="1940" w:right="239" w:firstLine="648"/>
        <w:spacing w:after="0" w:line="258" w:lineRule="auto"/>
        <w:tabs>
          <w:tab w:leader="none" w:pos="3122" w:val="left"/>
        </w:tabs>
        <w:numPr>
          <w:ilvl w:val="1"/>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212" w:lineRule="exact"/>
        <w:rPr>
          <w:rFonts w:ascii="Times New Roman" w:cs="Times New Roman" w:eastAsia="Times New Roman" w:hAnsi="Times New Roman"/>
          <w:sz w:val="20"/>
          <w:szCs w:val="20"/>
          <w:color w:val="010000"/>
        </w:rPr>
      </w:pPr>
    </w:p>
    <w:p>
      <w:pPr>
        <w:ind w:left="3120" w:hanging="532"/>
        <w:spacing w:after="0"/>
        <w:tabs>
          <w:tab w:leader="none" w:pos="3120" w:val="left"/>
        </w:tabs>
        <w:numPr>
          <w:ilvl w:val="1"/>
          <w:numId w:val="2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to each assignment shall execute and deliver to the Administrative Agent</w:t>
      </w:r>
    </w:p>
    <w:p>
      <w:pPr>
        <w:spacing w:after="0" w:line="39" w:lineRule="exact"/>
        <w:rPr>
          <w:rFonts w:ascii="Times New Roman" w:cs="Times New Roman" w:eastAsia="Times New Roman" w:hAnsi="Times New Roman"/>
          <w:sz w:val="19"/>
          <w:szCs w:val="19"/>
          <w:color w:val="010000"/>
        </w:rPr>
      </w:pPr>
    </w:p>
    <w:p>
      <w:pPr>
        <w:jc w:val="both"/>
        <w:ind w:left="1940" w:right="219"/>
        <w:spacing w:after="0" w:line="249" w:lineRule="auto"/>
        <w:tabs>
          <w:tab w:leader="none" w:pos="2232"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222" w:lineRule="exact"/>
        <w:rPr>
          <w:rFonts w:ascii="Times New Roman" w:cs="Times New Roman" w:eastAsia="Times New Roman" w:hAnsi="Times New Roman"/>
          <w:sz w:val="20"/>
          <w:szCs w:val="20"/>
          <w:color w:val="auto"/>
        </w:rPr>
      </w:pPr>
    </w:p>
    <w:p>
      <w:pPr>
        <w:jc w:val="both"/>
        <w:ind w:left="1940" w:right="239" w:firstLine="648"/>
        <w:spacing w:after="0" w:line="253" w:lineRule="auto"/>
        <w:tabs>
          <w:tab w:leader="none" w:pos="3119" w:val="left"/>
        </w:tabs>
        <w:numPr>
          <w:ilvl w:val="1"/>
          <w:numId w:val="2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206" w:lineRule="exact"/>
        <w:rPr>
          <w:sz w:val="20"/>
          <w:szCs w:val="20"/>
          <w:color w:val="auto"/>
        </w:rPr>
      </w:pPr>
    </w:p>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For the purposes of this Section 9.04(b), the terms “Approved Fund” and “Ineligible Institution” have the following meanings:</w:t>
      </w:r>
    </w:p>
    <w:p>
      <w:pPr>
        <w:spacing w:after="0" w:line="187" w:lineRule="exact"/>
        <w:rPr>
          <w:sz w:val="20"/>
          <w:szCs w:val="20"/>
          <w:color w:val="auto"/>
        </w:rPr>
      </w:pPr>
    </w:p>
    <w:p>
      <w:pPr>
        <w:jc w:val="both"/>
        <w:ind w:right="239"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an entity or an Affiliate of an entity that administers or manages a Lender.</w:t>
      </w:r>
    </w:p>
    <w:p>
      <w:pPr>
        <w:spacing w:after="0" w:line="241"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a Defaulting Lender or its Lender Parent, (c) the Company, any of its Subsidiaries or any of its Affiliates, or (d) a company, investment vehicle or trust for, or owned and operated for the primary benefit of, a natural person or relative(s) thereof.</w:t>
      </w:r>
    </w:p>
    <w:p>
      <w:pPr>
        <w:spacing w:after="0" w:line="200" w:lineRule="exact"/>
        <w:rPr>
          <w:sz w:val="20"/>
          <w:szCs w:val="20"/>
          <w:color w:val="auto"/>
        </w:rPr>
      </w:pPr>
    </w:p>
    <w:p>
      <w:pPr>
        <w:spacing w:after="0" w:line="3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0019"/>
          </w:cols>
          <w:pgMar w:left="440" w:top="1170" w:right="1440" w:bottom="1440" w:gutter="0" w:footer="0" w:header="0"/>
        </w:sectPr>
      </w:pPr>
    </w:p>
    <w:bookmarkStart w:id="155" w:name="page156"/>
    <w:bookmarkEnd w:id="155"/>
    <w:p>
      <w:pPr>
        <w:jc w:val="both"/>
        <w:ind w:left="300" w:right="219" w:firstLine="639"/>
        <w:spacing w:after="0" w:line="250" w:lineRule="auto"/>
        <w:tabs>
          <w:tab w:leader="none" w:pos="1487" w:val="left"/>
        </w:tabs>
        <w:numPr>
          <w:ilvl w:val="1"/>
          <w:numId w:val="2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2.18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213" w:lineRule="exact"/>
        <w:rPr>
          <w:rFonts w:ascii="Times New Roman" w:cs="Times New Roman" w:eastAsia="Times New Roman" w:hAnsi="Times New Roman"/>
          <w:sz w:val="20"/>
          <w:szCs w:val="20"/>
          <w:color w:val="010000"/>
        </w:rPr>
      </w:pPr>
    </w:p>
    <w:p>
      <w:pPr>
        <w:jc w:val="both"/>
        <w:ind w:left="300" w:right="199" w:firstLine="640"/>
        <w:spacing w:after="0" w:line="252" w:lineRule="auto"/>
        <w:tabs>
          <w:tab w:leader="none" w:pos="1477" w:val="left"/>
        </w:tabs>
        <w:numPr>
          <w:ilvl w:val="1"/>
          <w:numId w:val="2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204" w:lineRule="exact"/>
        <w:rPr>
          <w:rFonts w:ascii="Times New Roman" w:cs="Times New Roman" w:eastAsia="Times New Roman" w:hAnsi="Times New Roman"/>
          <w:sz w:val="20"/>
          <w:szCs w:val="20"/>
          <w:color w:val="010000"/>
        </w:rPr>
      </w:pPr>
    </w:p>
    <w:p>
      <w:pPr>
        <w:jc w:val="both"/>
        <w:ind w:left="300" w:right="219" w:firstLine="639"/>
        <w:spacing w:after="0" w:line="250" w:lineRule="auto"/>
        <w:tabs>
          <w:tab w:leader="none" w:pos="1475" w:val="left"/>
        </w:tabs>
        <w:numPr>
          <w:ilvl w:val="1"/>
          <w:numId w:val="2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2.06(d) or (e), 2.07(b), 2.19(e)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23" w:lineRule="exact"/>
        <w:rPr>
          <w:rFonts w:ascii="Times New Roman" w:cs="Times New Roman" w:eastAsia="Times New Roman" w:hAnsi="Times New Roman"/>
          <w:sz w:val="20"/>
          <w:szCs w:val="20"/>
          <w:color w:val="010000"/>
        </w:rPr>
      </w:pPr>
    </w:p>
    <w:p>
      <w:pPr>
        <w:jc w:val="both"/>
        <w:ind w:left="-360" w:right="239" w:firstLine="651"/>
        <w:spacing w:after="0" w:line="253" w:lineRule="auto"/>
        <w:tabs>
          <w:tab w:leader="none" w:pos="818"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without the consent of, or notice to, any Borrower, the Administrative Agent or the Issuing Banks,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Borrowers, the Administrative Agent,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9019"/>
          </w:cols>
          <w:pgMar w:left="1440" w:top="1413" w:right="1440" w:bottom="1440" w:gutter="0" w:footer="0" w:header="0"/>
        </w:sectPr>
      </w:pPr>
    </w:p>
    <w:bookmarkStart w:id="156" w:name="page157"/>
    <w:bookmarkEnd w:id="156"/>
    <w:p>
      <w:pPr>
        <w:jc w:val="both"/>
        <w:ind w:left="640" w:right="199"/>
        <w:spacing w:after="0" w:line="261" w:lineRule="auto"/>
        <w:rPr>
          <w:sz w:val="20"/>
          <w:szCs w:val="20"/>
          <w:color w:val="auto"/>
        </w:rPr>
      </w:pPr>
      <w:r>
        <w:rPr>
          <w:rFonts w:ascii="Times New Roman" w:cs="Times New Roman" w:eastAsia="Times New Roman" w:hAnsi="Times New Roman"/>
          <w:sz w:val="19"/>
          <w:szCs w:val="19"/>
          <w:color w:val="auto"/>
        </w:rPr>
        <w:t>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2.17 and 2.18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2.19 and 2.20 as if it were an assignee under paragraph (b) of this Section; and (B) shall not be entitled to receive any greater payment under Sections 2.15, 2.17 or 2.18,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2.20(b) with respect to any Participant. To the extent permitted by law, each Participant also shall be entitled to the benefits of Section 9.08 as though it were a Lender, provided such Participant agrees to be subject to Section 2.19(d)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35" w:lineRule="exact"/>
        <w:rPr>
          <w:sz w:val="20"/>
          <w:szCs w:val="20"/>
          <w:color w:val="auto"/>
        </w:rPr>
      </w:pPr>
    </w:p>
    <w:p>
      <w:pPr>
        <w:jc w:val="both"/>
        <w:ind w:left="640" w:right="239" w:firstLine="651"/>
        <w:spacing w:after="0" w:line="257" w:lineRule="auto"/>
        <w:tabs>
          <w:tab w:leader="none" w:pos="1815" w:val="left"/>
        </w:tabs>
        <w:numPr>
          <w:ilvl w:val="0"/>
          <w:numId w:val="2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jc w:val="both"/>
        <w:ind w:right="239"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9.05. </w:t>
      </w:r>
      <w:r>
        <w:rPr>
          <w:rFonts w:ascii="Times New Roman" w:cs="Times New Roman" w:eastAsia="Times New Roman" w:hAnsi="Times New Roman"/>
          <w:sz w:val="20"/>
          <w:szCs w:val="20"/>
          <w:u w:val="single" w:color="auto"/>
          <w:color w:val="000000"/>
        </w:rPr>
        <w:t>Survival</w:t>
      </w:r>
      <w:r>
        <w:rPr>
          <w:rFonts w:ascii="Times New Roman" w:cs="Times New Roman" w:eastAsia="Times New Roman" w:hAnsi="Times New Roman"/>
          <w:sz w:val="20"/>
          <w:szCs w:val="20"/>
          <w:color w:val="000000"/>
        </w:rPr>
        <w:t>. All covenants, agreements, representations and warranties made by the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w:t>
      </w:r>
    </w:p>
    <w:p>
      <w:pPr>
        <w:spacing w:after="0" w:line="200" w:lineRule="exact"/>
        <w:rPr>
          <w:sz w:val="20"/>
          <w:szCs w:val="20"/>
          <w:color w:val="auto"/>
        </w:rPr>
      </w:pPr>
    </w:p>
    <w:p>
      <w:pPr>
        <w:spacing w:after="0" w:line="37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0019"/>
          </w:cols>
          <w:pgMar w:left="440" w:top="1170" w:right="1440" w:bottom="1440" w:gutter="0" w:footer="0" w:header="0"/>
        </w:sectPr>
      </w:pPr>
    </w:p>
    <w:bookmarkStart w:id="157" w:name="page158"/>
    <w:bookmarkEnd w:id="157"/>
    <w:p>
      <w:pPr>
        <w:jc w:val="both"/>
        <w:ind w:right="239"/>
        <w:spacing w:after="0" w:line="250" w:lineRule="auto"/>
        <w:rPr>
          <w:sz w:val="20"/>
          <w:szCs w:val="20"/>
          <w:color w:val="auto"/>
        </w:rPr>
      </w:pPr>
      <w:r>
        <w:rPr>
          <w:rFonts w:ascii="Times New Roman" w:cs="Times New Roman" w:eastAsia="Times New Roman" w:hAnsi="Times New Roman"/>
          <w:sz w:val="20"/>
          <w:szCs w:val="20"/>
          <w:color w:val="auto"/>
        </w:rPr>
        <w:t xml:space="preserve">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2.18 and 9.03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85" w:lineRule="exact"/>
        <w:rPr>
          <w:sz w:val="20"/>
          <w:szCs w:val="20"/>
          <w:color w:val="auto"/>
        </w:rPr>
      </w:pPr>
    </w:p>
    <w:p>
      <w:pPr>
        <w:jc w:val="both"/>
        <w:ind w:right="239" w:firstLine="1296"/>
        <w:spacing w:after="0" w:line="262" w:lineRule="auto"/>
        <w:rPr>
          <w:sz w:val="20"/>
          <w:szCs w:val="20"/>
          <w:color w:val="auto"/>
        </w:rPr>
      </w:pPr>
      <w:r>
        <w:rPr>
          <w:rFonts w:ascii="Times New Roman" w:cs="Times New Roman" w:eastAsia="Times New Roman" w:hAnsi="Times New Roman"/>
          <w:sz w:val="19"/>
          <w:szCs w:val="19"/>
          <w:color w:val="010000"/>
        </w:rPr>
        <w:t xml:space="preserve">SECTION 9.06. </w:t>
      </w:r>
      <w:r>
        <w:rPr>
          <w:rFonts w:ascii="Times New Roman" w:cs="Times New Roman" w:eastAsia="Times New Roman" w:hAnsi="Times New Roman"/>
          <w:sz w:val="19"/>
          <w:szCs w:val="19"/>
          <w:u w:val="single" w:color="auto"/>
          <w:color w:val="000000"/>
        </w:rPr>
        <w:t>Counterparts; Integration; Effectiveness; Electronic Execution</w:t>
      </w:r>
      <w:r>
        <w:rPr>
          <w:rFonts w:ascii="Times New Roman" w:cs="Times New Roman" w:eastAsia="Times New Roman" w:hAnsi="Times New Roman"/>
          <w:sz w:val="19"/>
          <w:szCs w:val="19"/>
          <w:color w:val="000000"/>
        </w:rPr>
        <w:t>. This Agreement may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9"/>
          <w:szCs w:val="19"/>
          <w:u w:val="single" w:color="auto"/>
          <w:color w:val="000000"/>
        </w:rPr>
        <w:t>Ancillary Document</w:t>
      </w:r>
      <w:r>
        <w:rPr>
          <w:rFonts w:ascii="Times New Roman" w:cs="Times New Roman" w:eastAsia="Times New Roman" w:hAnsi="Times New Roman"/>
          <w:sz w:val="19"/>
          <w:szCs w:val="19"/>
          <w:color w:val="000000"/>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Borrowers without further verification thereof and without any obligation to review the appearance or form of any such Electronic Signature and (i) upon the request of the Administrative Agent or any Lender, any Electronic Signature shall be promptly followed by a manually executed counterpart. Without limiting the generality of the foregoing, each Borrower hereby (i) agrees that, for all purposes, including without limitation, in connection with any workout, restructuring, enforcement of remedies, bankruptcy proceedings or litigation among the Administrative Agent, the Lenders and the Borrowers,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0019"/>
          </w:cols>
          <w:pgMar w:left="440" w:top="1170" w:right="1440" w:bottom="1440" w:gutter="0" w:footer="0" w:header="0"/>
        </w:sectPr>
      </w:pPr>
    </w:p>
    <w:bookmarkStart w:id="158" w:name="page159"/>
    <w:bookmarkEnd w:id="158"/>
    <w:p>
      <w:pPr>
        <w:jc w:val="both"/>
        <w:ind w:right="199"/>
        <w:spacing w:after="0" w:line="265" w:lineRule="auto"/>
        <w:rPr>
          <w:sz w:val="20"/>
          <w:szCs w:val="20"/>
          <w:color w:val="auto"/>
        </w:rPr>
      </w:pPr>
      <w:r>
        <w:rPr>
          <w:rFonts w:ascii="Times New Roman" w:cs="Times New Roman" w:eastAsia="Times New Roman" w:hAnsi="Times New Roman"/>
          <w:sz w:val="19"/>
          <w:szCs w:val="19"/>
          <w:color w:val="auto"/>
        </w:rPr>
        <w:t>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to use any available security measures in connection with the execution, delivery or transmission of any Electronic Signature.</w:t>
      </w:r>
    </w:p>
    <w:p>
      <w:pPr>
        <w:spacing w:after="0" w:line="60" w:lineRule="exact"/>
        <w:rPr>
          <w:sz w:val="20"/>
          <w:szCs w:val="20"/>
          <w:color w:val="auto"/>
        </w:rPr>
      </w:pPr>
    </w:p>
    <w:p>
      <w:pPr>
        <w:jc w:val="both"/>
        <w:ind w:right="239" w:firstLine="1295"/>
        <w:spacing w:after="0" w:line="258" w:lineRule="auto"/>
        <w:rPr>
          <w:sz w:val="20"/>
          <w:szCs w:val="20"/>
          <w:color w:val="auto"/>
        </w:rPr>
      </w:pPr>
      <w:r>
        <w:rPr>
          <w:rFonts w:ascii="Times New Roman" w:cs="Times New Roman" w:eastAsia="Times New Roman" w:hAnsi="Times New Roman"/>
          <w:sz w:val="20"/>
          <w:szCs w:val="20"/>
          <w:color w:val="010000"/>
        </w:rPr>
        <w:t xml:space="preserve">SECTION 9.07. </w:t>
      </w:r>
      <w:r>
        <w:rPr>
          <w:rFonts w:ascii="Times New Roman" w:cs="Times New Roman" w:eastAsia="Times New Roman" w:hAnsi="Times New Roman"/>
          <w:sz w:val="20"/>
          <w:szCs w:val="20"/>
          <w:u w:val="single" w:color="auto"/>
          <w:color w:val="000000"/>
        </w:rPr>
        <w:t>Severability</w:t>
      </w:r>
      <w:r>
        <w:rPr>
          <w:rFonts w:ascii="Times New Roman" w:cs="Times New Roman" w:eastAsia="Times New Roman" w:hAnsi="Times New Roman"/>
          <w:sz w:val="20"/>
          <w:szCs w:val="20"/>
          <w:color w:val="000000"/>
        </w:rPr>
        <w:t>. Any provision of any Loan Document held to be invalid, illegal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64" w:lineRule="exact"/>
        <w:rPr>
          <w:sz w:val="20"/>
          <w:szCs w:val="20"/>
          <w:color w:val="auto"/>
        </w:rPr>
      </w:pPr>
    </w:p>
    <w:p>
      <w:pPr>
        <w:jc w:val="both"/>
        <w:ind w:right="23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9.08. </w:t>
      </w:r>
      <w:r>
        <w:rPr>
          <w:rFonts w:ascii="Times New Roman" w:cs="Times New Roman" w:eastAsia="Times New Roman" w:hAnsi="Times New Roman"/>
          <w:sz w:val="20"/>
          <w:szCs w:val="20"/>
          <w:u w:val="single" w:color="auto"/>
          <w:color w:val="000000"/>
        </w:rPr>
        <w:t>Right of Setoff</w:t>
      </w:r>
      <w:r>
        <w:rPr>
          <w:rFonts w:ascii="Times New Roman" w:cs="Times New Roman" w:eastAsia="Times New Roman" w:hAnsi="Times New Roman"/>
          <w:sz w:val="20"/>
          <w:szCs w:val="20"/>
          <w:color w:val="000000"/>
        </w:rPr>
        <w:t>. If an Event of Default shall have occurred and be continuing, each Lender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against any of and all of the Obligations held by such Lender, irrespective of whether or not such Lender shall have made any demand under the Loan Documents and although such obligations may be unmatured;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no amounts attributable to a Foreign Subsidiary shall be set off against, or in any way reduce, any obligation of the Company or any Domestic Subsidiary. The rights of each Lender under this Section are in addition to other rights and remedies (including other rights of setoff) which such Lender may have. Each Lender and each Issuing Bank agrees to notify the Company and the Administrative Agent promptly after any such setoff and application;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failure to give such notice shall not affect the validity of such setoff and application.</w:t>
      </w:r>
    </w:p>
    <w:p>
      <w:pPr>
        <w:spacing w:after="0" w:line="92" w:lineRule="exact"/>
        <w:rPr>
          <w:sz w:val="20"/>
          <w:szCs w:val="20"/>
          <w:color w:val="auto"/>
        </w:rPr>
      </w:pPr>
    </w:p>
    <w:p>
      <w:pPr>
        <w:jc w:val="both"/>
        <w:ind w:right="259"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9.09. </w:t>
      </w:r>
      <w:r>
        <w:rPr>
          <w:rFonts w:ascii="Times New Roman" w:cs="Times New Roman" w:eastAsia="Times New Roman" w:hAnsi="Times New Roman"/>
          <w:sz w:val="20"/>
          <w:szCs w:val="20"/>
          <w:u w:val="single" w:color="auto"/>
          <w:color w:val="000000"/>
        </w:rPr>
        <w:t>Governing Law; Jurisdiction; Consent to Service of Process</w:t>
      </w:r>
      <w:r>
        <w:rPr>
          <w:rFonts w:ascii="Times New Roman" w:cs="Times New Roman" w:eastAsia="Times New Roman" w:hAnsi="Times New Roman"/>
          <w:sz w:val="20"/>
          <w:szCs w:val="20"/>
          <w:color w:val="000000"/>
        </w:rPr>
        <w:t>. (a) This Agreement shall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construed in accordance with and governed by the law of the State of New York.</w:t>
      </w:r>
    </w:p>
    <w:p>
      <w:pPr>
        <w:spacing w:after="0" w:line="38" w:lineRule="exact"/>
        <w:rPr>
          <w:sz w:val="20"/>
          <w:szCs w:val="20"/>
          <w:color w:val="auto"/>
        </w:rPr>
      </w:pPr>
    </w:p>
    <w:p>
      <w:pPr>
        <w:jc w:val="both"/>
        <w:ind w:left="640" w:right="219" w:firstLine="652"/>
        <w:spacing w:after="0" w:line="257" w:lineRule="auto"/>
        <w:tabs>
          <w:tab w:leader="none" w:pos="1816" w:val="left"/>
        </w:tabs>
        <w:numPr>
          <w:ilvl w:val="0"/>
          <w:numId w:val="2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holder of Obligations relating to this Agreement, any other Loan Document or the consummation or administration of the transactions contemplated hereby or thereby shall be construed in accordance with and governed by the law of the State of New York.</w:t>
      </w:r>
    </w:p>
    <w:p>
      <w:pPr>
        <w:spacing w:after="0" w:line="64" w:lineRule="exact"/>
        <w:rPr>
          <w:rFonts w:ascii="Times New Roman" w:cs="Times New Roman" w:eastAsia="Times New Roman" w:hAnsi="Times New Roman"/>
          <w:sz w:val="20"/>
          <w:szCs w:val="20"/>
          <w:color w:val="010000"/>
        </w:rPr>
      </w:pPr>
    </w:p>
    <w:p>
      <w:pPr>
        <w:jc w:val="both"/>
        <w:ind w:left="640" w:right="239" w:firstLine="652"/>
        <w:spacing w:after="0" w:line="253" w:lineRule="auto"/>
        <w:tabs>
          <w:tab w:leader="none" w:pos="1818" w:val="left"/>
        </w:tabs>
        <w:numPr>
          <w:ilvl w:val="0"/>
          <w:numId w:val="2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w:t>
      </w:r>
    </w:p>
    <w:p>
      <w:pPr>
        <w:spacing w:after="0" w:line="1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0019"/>
          </w:cols>
          <w:pgMar w:left="440" w:top="1413" w:right="1440" w:bottom="1440" w:gutter="0" w:footer="0" w:header="0"/>
        </w:sectPr>
      </w:pPr>
    </w:p>
    <w:bookmarkStart w:id="159" w:name="page160"/>
    <w:bookmarkEnd w:id="159"/>
    <w:p>
      <w:pPr>
        <w:jc w:val="both"/>
        <w:ind w:right="219"/>
        <w:spacing w:after="0" w:line="251" w:lineRule="auto"/>
        <w:rPr>
          <w:sz w:val="20"/>
          <w:szCs w:val="20"/>
          <w:color w:val="auto"/>
        </w:rPr>
      </w:pPr>
      <w:r>
        <w:rPr>
          <w:rFonts w:ascii="Times New Roman" w:cs="Times New Roman" w:eastAsia="Times New Roman" w:hAnsi="Times New Roman"/>
          <w:sz w:val="20"/>
          <w:szCs w:val="20"/>
          <w:color w:val="auto"/>
        </w:rPr>
        <w:t>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209" w:lineRule="exact"/>
        <w:rPr>
          <w:sz w:val="20"/>
          <w:szCs w:val="20"/>
          <w:color w:val="auto"/>
        </w:rPr>
      </w:pPr>
    </w:p>
    <w:p>
      <w:pPr>
        <w:jc w:val="both"/>
        <w:ind w:right="239" w:firstLine="651"/>
        <w:spacing w:after="0" w:line="253" w:lineRule="auto"/>
        <w:tabs>
          <w:tab w:leader="none" w:pos="1174" w:val="left"/>
        </w:tabs>
        <w:numPr>
          <w:ilvl w:val="0"/>
          <w:numId w:val="2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219" w:lineRule="exact"/>
        <w:rPr>
          <w:rFonts w:ascii="Times New Roman" w:cs="Times New Roman" w:eastAsia="Times New Roman" w:hAnsi="Times New Roman"/>
          <w:sz w:val="20"/>
          <w:szCs w:val="20"/>
          <w:color w:val="010000"/>
        </w:rPr>
      </w:pPr>
    </w:p>
    <w:p>
      <w:pPr>
        <w:jc w:val="both"/>
        <w:ind w:right="199" w:firstLine="652"/>
        <w:spacing w:after="0" w:line="248" w:lineRule="auto"/>
        <w:tabs>
          <w:tab w:leader="none" w:pos="1178" w:val="left"/>
        </w:tabs>
        <w:numPr>
          <w:ilvl w:val="0"/>
          <w:numId w:val="2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Section 9.01. Each Foreign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2.24. Each Foreign Subsidiary Borrower hereby consents to process being served in any suit, action or proceeding of the nature referred to in Section 9.09(b) in any federal or New York State court sitting in New York City by service of process upon the Company as provided in this Section 9.09(d);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lawful and possible, notice of said service upon such agent shall be mailed by registered or certified air mail, postage prepaid, return receipt requested, to the Company and (if applicable to) such Foreign Subsidiary Borrower at its address set forth in the Borrowing Subsidiary Agreement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2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9379"/>
          </w:cols>
          <w:pgMar w:left="1080" w:top="1413" w:right="1440" w:bottom="1440" w:gutter="0" w:footer="0" w:header="0"/>
        </w:sectPr>
      </w:pPr>
    </w:p>
    <w:bookmarkStart w:id="160" w:name="page161"/>
    <w:bookmarkEnd w:id="160"/>
    <w:p>
      <w:pPr>
        <w:jc w:val="both"/>
        <w:ind w:right="239"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9.10. </w:t>
      </w:r>
      <w:r>
        <w:rPr>
          <w:rFonts w:ascii="Times New Roman" w:cs="Times New Roman" w:eastAsia="Times New Roman" w:hAnsi="Times New Roman"/>
          <w:sz w:val="20"/>
          <w:szCs w:val="20"/>
          <w:u w:val="single" w:color="auto"/>
          <w:color w:val="000000"/>
        </w:rPr>
        <w:t>WAIVER OF JURY TRIAL</w:t>
      </w:r>
      <w:r>
        <w:rPr>
          <w:rFonts w:ascii="Times New Roman" w:cs="Times New Roman" w:eastAsia="Times New Roman" w:hAnsi="Times New Roman"/>
          <w:sz w:val="20"/>
          <w:szCs w:val="20"/>
          <w:color w:val="000000"/>
        </w:rPr>
        <w:t>. EACH PARTY HERETO HEREBY WAIVES, TO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5" w:lineRule="exact"/>
        <w:rPr>
          <w:sz w:val="20"/>
          <w:szCs w:val="20"/>
          <w:color w:val="auto"/>
        </w:rPr>
      </w:pPr>
    </w:p>
    <w:p>
      <w:pPr>
        <w:jc w:val="both"/>
        <w:ind w:right="239"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9.11.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Article and Section headings and the Table of Contents used herein are for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convenience of reference only, are not part of this Agreement and shall not affect the construction of, or be taken into consideration in interpreting, this Agreement.</w:t>
      </w:r>
    </w:p>
    <w:p>
      <w:pPr>
        <w:spacing w:after="0" w:line="67" w:lineRule="exact"/>
        <w:rPr>
          <w:sz w:val="20"/>
          <w:szCs w:val="20"/>
          <w:color w:val="auto"/>
        </w:rPr>
      </w:pPr>
    </w:p>
    <w:p>
      <w:pPr>
        <w:jc w:val="both"/>
        <w:ind w:right="239" w:firstLine="1296"/>
        <w:spacing w:after="0" w:line="262" w:lineRule="auto"/>
        <w:rPr>
          <w:sz w:val="20"/>
          <w:szCs w:val="20"/>
          <w:color w:val="auto"/>
        </w:rPr>
      </w:pPr>
      <w:r>
        <w:rPr>
          <w:rFonts w:ascii="Times New Roman" w:cs="Times New Roman" w:eastAsia="Times New Roman" w:hAnsi="Times New Roman"/>
          <w:sz w:val="19"/>
          <w:szCs w:val="19"/>
          <w:color w:val="010000"/>
        </w:rPr>
        <w:t xml:space="preserve">SECTION 9.12. </w:t>
      </w:r>
      <w:r>
        <w:rPr>
          <w:rFonts w:ascii="Times New Roman" w:cs="Times New Roman" w:eastAsia="Times New Roman" w:hAnsi="Times New Roman"/>
          <w:sz w:val="19"/>
          <w:szCs w:val="19"/>
          <w:u w:val="single" w:color="auto"/>
          <w:color w:val="000000"/>
        </w:rPr>
        <w:t>Confidentiality</w:t>
      </w:r>
      <w:r>
        <w:rPr>
          <w:rFonts w:ascii="Times New Roman" w:cs="Times New Roman" w:eastAsia="Times New Roman" w:hAnsi="Times New Roman"/>
          <w:sz w:val="19"/>
          <w:szCs w:val="19"/>
          <w:color w:val="000000"/>
        </w:rPr>
        <w:t>. Each of the Administrative Agent, the Issuing Banks and the Lenders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agrees to maintain the confidentiality of the Information (as defined below), except that Information may be disclosed (a) to its and its Affiliates’ directors, officers, employees and agents, including accountants, legal counsel and other advisors who need the information in connection with the Transactions (it being understood that the Persons to whom such disclosure is made will be informed of the confidential nature of such Information and instructed to keep such Information confidential and not to use the Information for any purposes other than in connection with the Transactions), (b) to the extent requested by any regulatory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any Borrower and its obligations, (g) with the consent of the Company or (h) to the extent such Information (i) becomes publicly available other than as a result of a breach of this Section or (ii) becomes available to the Administrative Agent, any Issuing Bank or any Lender on a nonconfidential basis from a source other than the Company. For the purposes of this Section, “</w:t>
      </w:r>
      <w:r>
        <w:rPr>
          <w:rFonts w:ascii="Times New Roman" w:cs="Times New Roman" w:eastAsia="Times New Roman" w:hAnsi="Times New Roman"/>
          <w:sz w:val="19"/>
          <w:szCs w:val="19"/>
          <w:u w:val="single" w:color="auto"/>
          <w:color w:val="000000"/>
        </w:rPr>
        <w:t>Information</w:t>
      </w:r>
      <w:r>
        <w:rPr>
          <w:rFonts w:ascii="Times New Roman" w:cs="Times New Roman" w:eastAsia="Times New Roman" w:hAnsi="Times New Roman"/>
          <w:sz w:val="19"/>
          <w:szCs w:val="19"/>
          <w:color w:val="000000"/>
        </w:rPr>
        <w:t>” means all information received from the Company relating to the Company or its business, other 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86" w:lineRule="exact"/>
        <w:rPr>
          <w:sz w:val="20"/>
          <w:szCs w:val="20"/>
          <w:color w:val="auto"/>
        </w:rPr>
      </w:pPr>
    </w:p>
    <w:p>
      <w:pPr>
        <w:jc w:val="both"/>
        <w:ind w:right="239" w:firstLine="648"/>
        <w:spacing w:after="0" w:line="271" w:lineRule="auto"/>
        <w:rPr>
          <w:sz w:val="20"/>
          <w:szCs w:val="20"/>
          <w:color w:val="auto"/>
        </w:rPr>
      </w:pPr>
      <w:r>
        <w:rPr>
          <w:rFonts w:ascii="Times New Roman" w:cs="Times New Roman" w:eastAsia="Times New Roman" w:hAnsi="Times New Roman"/>
          <w:sz w:val="19"/>
          <w:szCs w:val="19"/>
          <w:b w:val="1"/>
          <w:bCs w:val="1"/>
          <w:color w:val="auto"/>
        </w:rPr>
        <w:t>EACH LENDER ACKNOWLEDGES THAT INFORMATION AS DEFINED IN THE IMMEDIATELY PRECEDING PARAGRAPH FURNISHED TO IT PURSUANT TO THIS AGREEMENT MAY INCLUDE MATERIAL NON-PUBLIC INFORMATION CONCERNING THE COMPANY, THE OTHER LOAN PARTIES AND THEIR RESPECTIVE RELATED PARTIES OR THEIR RESPECTIVE SECURITIES, AND CONFIRMS THAT IT HAS DEVELOPED COMPLIANCE PROCEDURES REGARDING THE USE OF MATERIAL</w:t>
      </w:r>
    </w:p>
    <w:p>
      <w:pPr>
        <w:spacing w:after="0" w:line="3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0019"/>
          </w:cols>
          <w:pgMar w:left="440" w:top="1413" w:right="1440" w:bottom="1440" w:gutter="0" w:footer="0" w:header="0"/>
        </w:sectPr>
      </w:pPr>
    </w:p>
    <w:bookmarkStart w:id="161" w:name="page162"/>
    <w:bookmarkEnd w:id="161"/>
    <w:p>
      <w:pPr>
        <w:jc w:val="both"/>
        <w:ind w:right="239"/>
        <w:spacing w:after="0" w:line="263" w:lineRule="auto"/>
        <w:rPr>
          <w:sz w:val="20"/>
          <w:szCs w:val="20"/>
          <w:color w:val="auto"/>
        </w:rPr>
      </w:pPr>
      <w:r>
        <w:rPr>
          <w:rFonts w:ascii="Times New Roman" w:cs="Times New Roman" w:eastAsia="Times New Roman" w:hAnsi="Times New Roman"/>
          <w:sz w:val="20"/>
          <w:szCs w:val="20"/>
          <w:b w:val="1"/>
          <w:bCs w:val="1"/>
          <w:color w:val="auto"/>
        </w:rPr>
        <w:t>NON-PUBLIC INFORMATION AND THAT IT WILL HANDLE SUCH MATERIAL NON-PUBLIC INFORMATION IN ACCORDANCE WITH THOSE PROCEDURES AND APPLICABLE LAW, INCLUDING FEDERAL AND STATE SECURITIES LAWS.</w:t>
      </w:r>
    </w:p>
    <w:p>
      <w:pPr>
        <w:spacing w:after="0" w:line="54" w:lineRule="exact"/>
        <w:rPr>
          <w:sz w:val="20"/>
          <w:szCs w:val="20"/>
          <w:color w:val="auto"/>
        </w:rPr>
      </w:pPr>
    </w:p>
    <w:p>
      <w:pPr>
        <w:jc w:val="both"/>
        <w:ind w:right="199"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85" w:lineRule="exact"/>
        <w:rPr>
          <w:sz w:val="20"/>
          <w:szCs w:val="20"/>
          <w:color w:val="auto"/>
        </w:rPr>
      </w:pPr>
    </w:p>
    <w:p>
      <w:pPr>
        <w:jc w:val="both"/>
        <w:ind w:right="23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9.13. </w:t>
      </w:r>
      <w:r>
        <w:rPr>
          <w:rFonts w:ascii="Times New Roman" w:cs="Times New Roman" w:eastAsia="Times New Roman" w:hAnsi="Times New Roman"/>
          <w:sz w:val="20"/>
          <w:szCs w:val="20"/>
          <w:u w:val="single" w:color="auto"/>
          <w:color w:val="000000"/>
        </w:rPr>
        <w:t>USA PATRIOT Act</w:t>
      </w:r>
      <w:r>
        <w:rPr>
          <w:rFonts w:ascii="Times New Roman" w:cs="Times New Roman" w:eastAsia="Times New Roman" w:hAnsi="Times New Roman"/>
          <w:sz w:val="20"/>
          <w:szCs w:val="20"/>
          <w:color w:val="000000"/>
        </w:rPr>
        <w:t>. Each Lender that is subject to the requirements of the USA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PATRIOT Act (Title III of Pub. L. 107-56 (signed into law October 26, 2001)) (the “</w:t>
      </w:r>
      <w:r>
        <w:rPr>
          <w:rFonts w:ascii="Times New Roman" w:cs="Times New Roman" w:eastAsia="Times New Roman" w:hAnsi="Times New Roman"/>
          <w:sz w:val="20"/>
          <w:szCs w:val="20"/>
          <w:u w:val="single" w:color="auto"/>
          <w:color w:val="000000"/>
        </w:rPr>
        <w:t>Patriot Act</w:t>
      </w:r>
      <w:r>
        <w:rPr>
          <w:rFonts w:ascii="Times New Roman" w:cs="Times New Roman" w:eastAsia="Times New Roman" w:hAnsi="Times New Roman"/>
          <w:sz w:val="20"/>
          <w:szCs w:val="20"/>
          <w:color w:val="000000"/>
        </w:rPr>
        <w:t xml:space="preserve">”) and the requirements of the Beneficial Ownership Regulation hereby notifies each Borrower and each other Loan Party that, pursuant to the requirements of the Patriot Act and the Beneficial Ownership Regulation, it is required to obtain, verify and record information that identifies the such Borrower or such Loan Party, which information includes the name, address and tax identification number of such Borrower and such Loan Party and other information that will allow such Lender to identify such Borrower and such Loan Party in accordance with the Patriot Act and the Beneficial Ownership Regulation and other applicable “know your customer” and anti-money laundering rules and regulations. Each Borrower acknowledges that, pursuant to the </w:t>
      </w:r>
      <w:r>
        <w:rPr>
          <w:rFonts w:ascii="Times New Roman" w:cs="Times New Roman" w:eastAsia="Times New Roman" w:hAnsi="Times New Roman"/>
          <w:sz w:val="20"/>
          <w:szCs w:val="20"/>
          <w:i w:val="1"/>
          <w:iCs w:val="1"/>
          <w:color w:val="000000"/>
        </w:rPr>
        <w:t>Proceeds of Crime (Money Laundering) and Terrorist Financing Act (Canada)</w:t>
      </w:r>
      <w:r>
        <w:rPr>
          <w:rFonts w:ascii="Times New Roman" w:cs="Times New Roman" w:eastAsia="Times New Roman" w:hAnsi="Times New Roman"/>
          <w:sz w:val="20"/>
          <w:szCs w:val="20"/>
          <w:color w:val="000000"/>
        </w:rPr>
        <w:t xml:space="preserve"> and other applicable Canadian anti-money laundering, anti-terrorist financing, government sanction and “know your client” laws, the Lenders and the Administrative Agent may be required to obtain, verify and record information regarding such Borrower, its directors, authorized signing officers, direct or indirect shareholders or other Persons in Control of such Borrower, and the transactions contemplated hereby.</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SECTION 9.14.</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u w:val="single" w:color="auto"/>
          <w:color w:val="000000"/>
        </w:rPr>
        <w:t>Intentionally Omitted</w:t>
      </w:r>
      <w:r>
        <w:rPr>
          <w:rFonts w:ascii="Times New Roman" w:cs="Times New Roman" w:eastAsia="Times New Roman" w:hAnsi="Times New Roman"/>
          <w:sz w:val="20"/>
          <w:szCs w:val="20"/>
          <w:color w:val="000000"/>
        </w:rPr>
        <w:t>].</w:t>
      </w:r>
    </w:p>
    <w:p>
      <w:pPr>
        <w:spacing w:after="0" w:line="121" w:lineRule="exact"/>
        <w:rPr>
          <w:sz w:val="20"/>
          <w:szCs w:val="20"/>
          <w:color w:val="auto"/>
        </w:rPr>
      </w:pPr>
    </w:p>
    <w:p>
      <w:pPr>
        <w:jc w:val="both"/>
        <w:ind w:right="23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9.15. </w:t>
      </w:r>
      <w:r>
        <w:rPr>
          <w:rFonts w:ascii="Times New Roman" w:cs="Times New Roman" w:eastAsia="Times New Roman" w:hAnsi="Times New Roman"/>
          <w:sz w:val="20"/>
          <w:szCs w:val="20"/>
          <w:u w:val="single" w:color="auto"/>
          <w:color w:val="000000"/>
        </w:rPr>
        <w:t>Interest Rate Limitation</w:t>
      </w:r>
      <w:r>
        <w:rPr>
          <w:rFonts w:ascii="Times New Roman" w:cs="Times New Roman" w:eastAsia="Times New Roman" w:hAnsi="Times New Roman"/>
          <w:sz w:val="20"/>
          <w:szCs w:val="20"/>
          <w:color w:val="000000"/>
        </w:rPr>
        <w:t>. Notwithstanding anything herein to the contrary, if at any time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000000"/>
        </w:rPr>
        <w:t>Charges</w:t>
      </w:r>
      <w:r>
        <w:rPr>
          <w:rFonts w:ascii="Times New Roman" w:cs="Times New Roman" w:eastAsia="Times New Roman" w:hAnsi="Times New Roman"/>
          <w:sz w:val="20"/>
          <w:szCs w:val="20"/>
          <w:color w:val="000000"/>
        </w:rPr>
        <w:t>”), shall exceed the maximum lawful rate (the “</w:t>
      </w:r>
      <w:r>
        <w:rPr>
          <w:rFonts w:ascii="Times New Roman" w:cs="Times New Roman" w:eastAsia="Times New Roman" w:hAnsi="Times New Roman"/>
          <w:sz w:val="20"/>
          <w:szCs w:val="20"/>
          <w:u w:val="single" w:color="auto"/>
          <w:color w:val="000000"/>
        </w:rPr>
        <w:t>Maximum Rate</w:t>
      </w:r>
      <w:r>
        <w:rPr>
          <w:rFonts w:ascii="Times New Roman" w:cs="Times New Roman" w:eastAsia="Times New Roman" w:hAnsi="Times New Roman"/>
          <w:sz w:val="20"/>
          <w:szCs w:val="20"/>
          <w:color w:val="00000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9.16. </w:t>
      </w:r>
      <w:r>
        <w:rPr>
          <w:rFonts w:ascii="Times New Roman" w:cs="Times New Roman" w:eastAsia="Times New Roman" w:hAnsi="Times New Roman"/>
          <w:sz w:val="20"/>
          <w:szCs w:val="20"/>
          <w:u w:val="single" w:color="auto"/>
          <w:color w:val="000000"/>
        </w:rPr>
        <w:t>No Fiduciary Duty, etc</w:t>
      </w:r>
      <w:r>
        <w:rPr>
          <w:rFonts w:ascii="Times New Roman" w:cs="Times New Roman" w:eastAsia="Times New Roman" w:hAnsi="Times New Roman"/>
          <w:sz w:val="20"/>
          <w:szCs w:val="20"/>
          <w:color w:val="000000"/>
        </w:rPr>
        <w:t>.</w:t>
      </w:r>
    </w:p>
    <w:p>
      <w:pPr>
        <w:spacing w:after="0" w:line="121" w:lineRule="exact"/>
        <w:rPr>
          <w:sz w:val="20"/>
          <w:szCs w:val="20"/>
          <w:color w:val="auto"/>
        </w:rPr>
      </w:pPr>
    </w:p>
    <w:p>
      <w:pPr>
        <w:jc w:val="both"/>
        <w:ind w:left="640" w:right="259" w:firstLine="652"/>
        <w:spacing w:after="0" w:line="261" w:lineRule="auto"/>
        <w:tabs>
          <w:tab w:leader="none" w:pos="1818" w:val="left"/>
        </w:tabs>
        <w:numPr>
          <w:ilvl w:val="0"/>
          <w:numId w:val="2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acknowledges and agrees, and acknowledges its Subsidiaries’ understanding, that no Credit Party will have any obligations except those obligations expressly set forth herein and in the other Loan Documents and each Credit Party is acting solely in the</w:t>
      </w:r>
    </w:p>
    <w:p>
      <w:pPr>
        <w:spacing w:after="0" w:line="3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0019"/>
          </w:cols>
          <w:pgMar w:left="440" w:top="1409" w:right="1440" w:bottom="1440" w:gutter="0" w:footer="0" w:header="0"/>
        </w:sectPr>
      </w:pPr>
    </w:p>
    <w:bookmarkStart w:id="162" w:name="page163"/>
    <w:bookmarkEnd w:id="162"/>
    <w:p>
      <w:pPr>
        <w:ind w:left="640" w:right="299"/>
        <w:spacing w:after="0" w:line="250" w:lineRule="auto"/>
        <w:rPr>
          <w:sz w:val="20"/>
          <w:szCs w:val="20"/>
          <w:color w:val="auto"/>
        </w:rPr>
      </w:pPr>
      <w:r>
        <w:rPr>
          <w:rFonts w:ascii="Times New Roman" w:cs="Times New Roman" w:eastAsia="Times New Roman" w:hAnsi="Times New Roman"/>
          <w:sz w:val="20"/>
          <w:szCs w:val="20"/>
          <w:color w:val="auto"/>
        </w:rPr>
        <w:t>capacity of an arm’s length contractual counterparty to such Borrower with respect to the Loan Documents and the transaction contemplated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w:t>
      </w:r>
    </w:p>
    <w:p>
      <w:pPr>
        <w:spacing w:after="0" w:line="220" w:lineRule="exact"/>
        <w:rPr>
          <w:sz w:val="20"/>
          <w:szCs w:val="20"/>
          <w:color w:val="auto"/>
        </w:rPr>
      </w:pPr>
    </w:p>
    <w:p>
      <w:pPr>
        <w:jc w:val="both"/>
        <w:ind w:left="640" w:right="239" w:firstLine="651"/>
        <w:spacing w:after="0" w:line="250" w:lineRule="auto"/>
        <w:tabs>
          <w:tab w:leader="none" w:pos="1815" w:val="left"/>
        </w:tabs>
        <w:numPr>
          <w:ilvl w:val="0"/>
          <w:numId w:val="2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23" w:lineRule="exact"/>
        <w:rPr>
          <w:rFonts w:ascii="Times New Roman" w:cs="Times New Roman" w:eastAsia="Times New Roman" w:hAnsi="Times New Roman"/>
          <w:sz w:val="20"/>
          <w:szCs w:val="20"/>
          <w:color w:val="010000"/>
        </w:rPr>
      </w:pPr>
    </w:p>
    <w:p>
      <w:pPr>
        <w:jc w:val="both"/>
        <w:ind w:left="640" w:right="239" w:firstLine="651"/>
        <w:spacing w:after="0" w:line="250" w:lineRule="auto"/>
        <w:tabs>
          <w:tab w:leader="none" w:pos="1818" w:val="left"/>
        </w:tabs>
        <w:numPr>
          <w:ilvl w:val="0"/>
          <w:numId w:val="2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such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w:t>
      </w:r>
    </w:p>
    <w:p>
      <w:pPr>
        <w:spacing w:after="0" w:line="223" w:lineRule="exact"/>
        <w:rPr>
          <w:sz w:val="20"/>
          <w:szCs w:val="20"/>
          <w:color w:val="auto"/>
        </w:rPr>
      </w:pPr>
    </w:p>
    <w:p>
      <w:pPr>
        <w:jc w:val="both"/>
        <w:ind w:right="239"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9.17. </w:t>
      </w:r>
      <w:r>
        <w:rPr>
          <w:rFonts w:ascii="Times New Roman" w:cs="Times New Roman" w:eastAsia="Times New Roman" w:hAnsi="Times New Roman"/>
          <w:sz w:val="20"/>
          <w:szCs w:val="20"/>
          <w:u w:val="single" w:color="auto"/>
          <w:color w:val="000000"/>
        </w:rPr>
        <w:t>Several Liability</w:t>
      </w:r>
      <w:r>
        <w:rPr>
          <w:rFonts w:ascii="Times New Roman" w:cs="Times New Roman" w:eastAsia="Times New Roman" w:hAnsi="Times New Roman"/>
          <w:sz w:val="20"/>
          <w:szCs w:val="20"/>
          <w:color w:val="000000"/>
        </w:rPr>
        <w:t>. Notwithstanding anything to the contrary herein or in any other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 the Obligations of each Foreign Subsidiary Borrower are several and not joint and no Foreign Subsidiary Borrower shall be responsible for any other Borrower’s failure to pay its Obligations hereunder.</w:t>
      </w:r>
    </w:p>
    <w:p>
      <w:pPr>
        <w:spacing w:after="0" w:line="208" w:lineRule="exact"/>
        <w:rPr>
          <w:sz w:val="20"/>
          <w:szCs w:val="20"/>
          <w:color w:val="auto"/>
        </w:rPr>
      </w:pPr>
    </w:p>
    <w:p>
      <w:pPr>
        <w:jc w:val="both"/>
        <w:ind w:right="239"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9.18. </w:t>
      </w:r>
      <w:r>
        <w:rPr>
          <w:rFonts w:ascii="Times New Roman" w:cs="Times New Roman" w:eastAsia="Times New Roman" w:hAnsi="Times New Roman"/>
          <w:sz w:val="20"/>
          <w:szCs w:val="20"/>
          <w:u w:val="single" w:color="auto"/>
          <w:color w:val="000000"/>
        </w:rPr>
        <w:t>Acknowledgement and Consent to Bail-In of Affected Financial Institutions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0019"/>
          </w:cols>
          <w:pgMar w:left="440" w:top="1413" w:right="1440" w:bottom="1440" w:gutter="0" w:footer="0" w:header="0"/>
        </w:sectPr>
      </w:pPr>
    </w:p>
    <w:bookmarkStart w:id="163" w:name="page164"/>
    <w:bookmarkEnd w:id="163"/>
    <w:p>
      <w:pPr>
        <w:jc w:val="both"/>
        <w:ind w:right="239" w:firstLine="1291"/>
        <w:spacing w:after="0" w:line="261" w:lineRule="auto"/>
        <w:tabs>
          <w:tab w:leader="none" w:pos="1826" w:val="left"/>
        </w:tabs>
        <w:numPr>
          <w:ilvl w:val="0"/>
          <w:numId w:val="2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8" w:lineRule="exact"/>
        <w:rPr>
          <w:rFonts w:ascii="Times New Roman" w:cs="Times New Roman" w:eastAsia="Times New Roman" w:hAnsi="Times New Roman"/>
          <w:sz w:val="20"/>
          <w:szCs w:val="20"/>
          <w:color w:val="010000"/>
        </w:rPr>
      </w:pPr>
    </w:p>
    <w:p>
      <w:pPr>
        <w:ind w:left="1920" w:hanging="628"/>
        <w:spacing w:after="0"/>
        <w:tabs>
          <w:tab w:leader="none" w:pos="1920" w:val="left"/>
        </w:tabs>
        <w:numPr>
          <w:ilvl w:val="0"/>
          <w:numId w:val="2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56" w:lineRule="exact"/>
        <w:rPr>
          <w:rFonts w:ascii="Times New Roman" w:cs="Times New Roman" w:eastAsia="Times New Roman" w:hAnsi="Times New Roman"/>
          <w:sz w:val="20"/>
          <w:szCs w:val="20"/>
          <w:color w:val="010000"/>
        </w:rPr>
      </w:pPr>
    </w:p>
    <w:p>
      <w:pPr>
        <w:ind w:left="2580" w:hanging="640"/>
        <w:spacing w:after="0"/>
        <w:tabs>
          <w:tab w:leader="none" w:pos="2580" w:val="left"/>
        </w:tabs>
        <w:numPr>
          <w:ilvl w:val="1"/>
          <w:numId w:val="2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269" w:lineRule="exact"/>
        <w:rPr>
          <w:rFonts w:ascii="Times New Roman" w:cs="Times New Roman" w:eastAsia="Times New Roman" w:hAnsi="Times New Roman"/>
          <w:sz w:val="20"/>
          <w:szCs w:val="20"/>
          <w:color w:val="010000"/>
        </w:rPr>
      </w:pPr>
    </w:p>
    <w:p>
      <w:pPr>
        <w:jc w:val="both"/>
        <w:ind w:left="640" w:right="259" w:firstLine="1299"/>
        <w:spacing w:after="0" w:line="254" w:lineRule="auto"/>
        <w:tabs>
          <w:tab w:leader="none" w:pos="2474" w:val="left"/>
        </w:tabs>
        <w:numPr>
          <w:ilvl w:val="1"/>
          <w:numId w:val="2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27" w:lineRule="exact"/>
        <w:rPr>
          <w:rFonts w:ascii="Times New Roman" w:cs="Times New Roman" w:eastAsia="Times New Roman" w:hAnsi="Times New Roman"/>
          <w:sz w:val="20"/>
          <w:szCs w:val="20"/>
          <w:color w:val="010000"/>
        </w:rPr>
      </w:pPr>
    </w:p>
    <w:p>
      <w:pPr>
        <w:ind w:left="640" w:right="219" w:firstLine="1299"/>
        <w:spacing w:after="0" w:line="269" w:lineRule="auto"/>
        <w:tabs>
          <w:tab w:leader="none" w:pos="2476" w:val="left"/>
        </w:tabs>
        <w:numPr>
          <w:ilvl w:val="1"/>
          <w:numId w:val="2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213" w:lineRule="exact"/>
        <w:rPr>
          <w:sz w:val="20"/>
          <w:szCs w:val="20"/>
          <w:color w:val="auto"/>
        </w:rPr>
      </w:pPr>
    </w:p>
    <w:p>
      <w:pPr>
        <w:jc w:val="both"/>
        <w:ind w:right="219"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9.19. </w:t>
      </w:r>
      <w:r>
        <w:rPr>
          <w:rFonts w:ascii="Times New Roman" w:cs="Times New Roman" w:eastAsia="Times New Roman" w:hAnsi="Times New Roman"/>
          <w:sz w:val="20"/>
          <w:szCs w:val="20"/>
          <w:u w:val="single" w:color="auto"/>
          <w:color w:val="000000"/>
        </w:rPr>
        <w:t>Acknowledgement Regarding Any Supported QFCs</w:t>
      </w:r>
      <w:r>
        <w:rPr>
          <w:rFonts w:ascii="Times New Roman" w:cs="Times New Roman" w:eastAsia="Times New Roman" w:hAnsi="Times New Roman"/>
          <w:sz w:val="20"/>
          <w:szCs w:val="20"/>
          <w:color w:val="000000"/>
        </w:rPr>
        <w:t>. To the extent that the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Documents provide 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000000"/>
        </w:rPr>
        <w:t>QFC Credit Support</w:t>
      </w:r>
      <w:r>
        <w:rPr>
          <w:rFonts w:ascii="Times New Roman" w:cs="Times New Roman" w:eastAsia="Times New Roman" w:hAnsi="Times New Roman"/>
          <w:sz w:val="20"/>
          <w:szCs w:val="20"/>
          <w:color w:val="000000"/>
        </w:rPr>
        <w:t>” and each such QFC a “</w:t>
      </w:r>
      <w:r>
        <w:rPr>
          <w:rFonts w:ascii="Times New Roman" w:cs="Times New Roman" w:eastAsia="Times New Roman" w:hAnsi="Times New Roman"/>
          <w:sz w:val="20"/>
          <w:szCs w:val="20"/>
          <w:u w:val="single" w:color="auto"/>
          <w:color w:val="000000"/>
        </w:rPr>
        <w:t>Supported QFC</w:t>
      </w:r>
      <w:r>
        <w:rPr>
          <w:rFonts w:ascii="Times New Roman" w:cs="Times New Roman" w:eastAsia="Times New Roman" w:hAnsi="Times New Roman"/>
          <w:sz w:val="20"/>
          <w:szCs w:val="20"/>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000000"/>
        </w:rPr>
        <w:t>U.S. Special Resolution Regimes</w:t>
      </w:r>
      <w:r>
        <w:rPr>
          <w:rFonts w:ascii="Times New Roman" w:cs="Times New Roman" w:eastAsia="Times New Roman" w:hAnsi="Times New Roman"/>
          <w:sz w:val="20"/>
          <w:szCs w:val="20"/>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20" w:lineRule="exact"/>
        <w:rPr>
          <w:sz w:val="20"/>
          <w:szCs w:val="20"/>
          <w:color w:val="auto"/>
        </w:rPr>
      </w:pPr>
    </w:p>
    <w:p>
      <w:pPr>
        <w:jc w:val="both"/>
        <w:ind w:right="199" w:firstLine="1296"/>
        <w:spacing w:after="0" w:line="250"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1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010000"/>
        </w:rPr>
        <w:t>ARTICLE X</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u w:val="single" w:color="auto"/>
          <w:color w:val="auto"/>
        </w:rPr>
        <w:t>Company Guarantee</w:t>
      </w:r>
    </w:p>
    <w:p>
      <w:pPr>
        <w:spacing w:after="0" w:line="337" w:lineRule="exact"/>
        <w:rPr>
          <w:sz w:val="20"/>
          <w:szCs w:val="20"/>
          <w:color w:val="auto"/>
        </w:rPr>
      </w:pPr>
    </w:p>
    <w:p>
      <w:pPr>
        <w:ind w:right="639" w:firstLine="1296"/>
        <w:spacing w:after="0" w:line="269" w:lineRule="auto"/>
        <w:rPr>
          <w:sz w:val="20"/>
          <w:szCs w:val="20"/>
          <w:color w:val="auto"/>
        </w:rPr>
      </w:pPr>
      <w:r>
        <w:rPr>
          <w:rFonts w:ascii="Times New Roman" w:cs="Times New Roman" w:eastAsia="Times New Roman" w:hAnsi="Times New Roman"/>
          <w:sz w:val="20"/>
          <w:szCs w:val="20"/>
          <w:color w:val="auto"/>
        </w:rPr>
        <w:t>In order to induce the Lenders to extend credit to the other Borrowers hereunder, the Company hereby irrevocably and unconditionally guarantees, as a primary obligor and not merely as a</w:t>
      </w:r>
    </w:p>
    <w:p>
      <w:pPr>
        <w:spacing w:after="0" w:line="24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0019"/>
          </w:cols>
          <w:pgMar w:left="440" w:top="1413" w:right="1440" w:bottom="1440" w:gutter="0" w:footer="0" w:header="0"/>
        </w:sectPr>
      </w:pPr>
    </w:p>
    <w:bookmarkStart w:id="164" w:name="page165"/>
    <w:bookmarkEnd w:id="164"/>
    <w:p>
      <w:pPr>
        <w:jc w:val="both"/>
        <w:ind w:right="199"/>
        <w:spacing w:after="0" w:line="254" w:lineRule="auto"/>
        <w:rPr>
          <w:sz w:val="20"/>
          <w:szCs w:val="20"/>
          <w:color w:val="auto"/>
        </w:rPr>
      </w:pPr>
      <w:r>
        <w:rPr>
          <w:rFonts w:ascii="Times New Roman" w:cs="Times New Roman" w:eastAsia="Times New Roman" w:hAnsi="Times New Roman"/>
          <w:sz w:val="20"/>
          <w:szCs w:val="20"/>
          <w:color w:val="auto"/>
        </w:rPr>
        <w:t>surety, the payment when and as due of the Obligations of such other Borrowers.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79" w:lineRule="exact"/>
        <w:rPr>
          <w:sz w:val="20"/>
          <w:szCs w:val="20"/>
          <w:color w:val="auto"/>
        </w:rPr>
      </w:pPr>
    </w:p>
    <w:p>
      <w:pPr>
        <w:jc w:val="both"/>
        <w:ind w:right="199" w:firstLine="1296"/>
        <w:spacing w:after="0" w:line="249" w:lineRule="auto"/>
        <w:rPr>
          <w:sz w:val="20"/>
          <w:szCs w:val="20"/>
          <w:color w:val="auto"/>
        </w:rPr>
      </w:pPr>
      <w:r>
        <w:rPr>
          <w:rFonts w:ascii="Times New Roman" w:cs="Times New Roman" w:eastAsia="Times New Roman" w:hAnsi="Times New Roman"/>
          <w:sz w:val="20"/>
          <w:szCs w:val="20"/>
          <w:color w:val="auto"/>
        </w:rPr>
        <w:t>The Company waives presentment to, demand of payment from and protest to any other Borrower of any of the Obligations, and also waives notice of acceptance of its obligations and notice of protest for nonpayment. The obligations of the Company hereunder shall not be affected by (a) the failure of the Administrative Agent, any Issuing Bank or any Lender to assert any claim or demand or to enforce any right or remedy against any other Borrower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(d) any default, failure or delay, willful or otherwise, in the performance of any of the Obligations; (e) the failure of the Administrative Agent to take any steps to perfect and maintain any security interest in, or to preserve any rights to, any security or collateral for the Obligations, if any; (f) any change in the corporate, partnership or other existence, structure or ownership of any other Borrower or any other guarantor of any of the Obligations; (g) the enforceability or validity of the Obligations or any part thereof or the genuineness, enforceability or validity of any agreement relating thereto or with respect to any collateral securing the Obligations or any part thereof, or any other invalidity or unenforceability relating to or against any other Borrower or any other guarantor of any of the Obligations, for any reason related to this Agreement, any Swap Agreement, any other Loan Document, or any provision of applicable law, decree, order or regulation of any jurisdiction purporting to prohibit the payment by such other Borrower or any other guarantor of the Obligations, of any of the Obligations or otherwise affecting any term of any of the Obligations; or (h)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84" w:lineRule="exact"/>
        <w:rPr>
          <w:sz w:val="20"/>
          <w:szCs w:val="20"/>
          <w:color w:val="auto"/>
        </w:rPr>
      </w:pPr>
    </w:p>
    <w:p>
      <w:pPr>
        <w:jc w:val="both"/>
        <w:ind w:right="239" w:firstLine="1296"/>
        <w:spacing w:after="0" w:line="257" w:lineRule="auto"/>
        <w:rPr>
          <w:sz w:val="20"/>
          <w:szCs w:val="20"/>
          <w:color w:val="auto"/>
        </w:rPr>
      </w:pPr>
      <w:r>
        <w:rPr>
          <w:rFonts w:ascii="Times New Roman" w:cs="Times New Roman" w:eastAsia="Times New Roman" w:hAnsi="Times New Roman"/>
          <w:sz w:val="20"/>
          <w:szCs w:val="20"/>
          <w:color w:val="auto"/>
        </w:rPr>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other Borrower or any other Person.</w:t>
      </w:r>
    </w:p>
    <w:p>
      <w:pPr>
        <w:spacing w:after="0" w:line="65" w:lineRule="exact"/>
        <w:rPr>
          <w:sz w:val="20"/>
          <w:szCs w:val="20"/>
          <w:color w:val="auto"/>
        </w:rPr>
      </w:pPr>
    </w:p>
    <w:p>
      <w:pPr>
        <w:jc w:val="both"/>
        <w:ind w:right="239" w:firstLine="1296"/>
        <w:spacing w:after="0" w:line="258" w:lineRule="auto"/>
        <w:rPr>
          <w:sz w:val="20"/>
          <w:szCs w:val="20"/>
          <w:color w:val="auto"/>
        </w:rPr>
      </w:pPr>
      <w:r>
        <w:rPr>
          <w:rFonts w:ascii="Times New Roman" w:cs="Times New Roman" w:eastAsia="Times New Roman" w:hAnsi="Times New Roman"/>
          <w:sz w:val="20"/>
          <w:szCs w:val="20"/>
          <w:color w:val="auto"/>
        </w:rPr>
        <w:t>The obligations of the Company hereunder shall not be subject to any reduction, limitation, impairment or termination for any reason, and shall not be subject to any defense or set-off, counterclaim, recoupment or termination whatsoever, by reason of the invalidity, illegality or unenforceability of any of the Obligations, any impossibility in the performance of any of the Obligations or otherwise.</w:t>
      </w:r>
    </w:p>
    <w:p>
      <w:pPr>
        <w:spacing w:after="0" w:line="78" w:lineRule="exact"/>
        <w:rPr>
          <w:sz w:val="20"/>
          <w:szCs w:val="20"/>
          <w:color w:val="auto"/>
        </w:rPr>
      </w:pPr>
    </w:p>
    <w:p>
      <w:pPr>
        <w:jc w:val="both"/>
        <w:ind w:right="219" w:firstLine="1296"/>
        <w:spacing w:after="0" w:line="253" w:lineRule="auto"/>
        <w:rPr>
          <w:sz w:val="20"/>
          <w:szCs w:val="20"/>
          <w:color w:val="auto"/>
        </w:rPr>
      </w:pPr>
      <w:r>
        <w:rPr>
          <w:rFonts w:ascii="Times New Roman" w:cs="Times New Roman" w:eastAsia="Times New Roman" w:hAnsi="Times New Roman"/>
          <w:sz w:val="20"/>
          <w:szCs w:val="20"/>
          <w:color w:val="auto"/>
        </w:rPr>
        <w:t>The Company further agrees that its obligations hereunder shall constitute a continuing and irrevocable guarantee of all Obligations now or hereafter existing and shall continue to be effective or be reinstated, as the case may be, if at any time payment, or any part thereof, of any Obligation (including a payment effected through exercise of a right of setoff) is rescinded, or is or must otherwise be restored or returned by the Administrative Agent, any Issuing Bank or any Lender upon the insolvency, bankruptcy or reorganization of any other Borrower or otherwise (including pursuant to any settlement entered into by a holder of Obligations in its discretion).</w:t>
      </w:r>
    </w:p>
    <w:p>
      <w:pPr>
        <w:spacing w:after="0" w:line="71" w:lineRule="exact"/>
        <w:rPr>
          <w:sz w:val="20"/>
          <w:szCs w:val="20"/>
          <w:color w:val="auto"/>
        </w:rPr>
      </w:pPr>
    </w:p>
    <w:p>
      <w:pPr>
        <w:jc w:val="both"/>
        <w:ind w:right="239" w:firstLine="1296"/>
        <w:spacing w:after="0" w:line="283" w:lineRule="auto"/>
        <w:rPr>
          <w:sz w:val="20"/>
          <w:szCs w:val="20"/>
          <w:color w:val="auto"/>
        </w:rPr>
      </w:pPr>
      <w:r>
        <w:rPr>
          <w:rFonts w:ascii="Times New Roman" w:cs="Times New Roman" w:eastAsia="Times New Roman" w:hAnsi="Times New Roman"/>
          <w:sz w:val="20"/>
          <w:szCs w:val="20"/>
          <w:color w:val="auto"/>
        </w:rPr>
        <w:t>In furtherance of the foregoing and not in limitation of any other right which the Administrative Agent, any Issuing Bank or any Lender may have at law or in equity against the Company</w:t>
      </w:r>
    </w:p>
    <w:p>
      <w:pPr>
        <w:spacing w:after="0" w:line="33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0019"/>
          </w:cols>
          <w:pgMar w:left="440" w:top="1413" w:right="1440" w:bottom="1440" w:gutter="0" w:footer="0" w:header="0"/>
        </w:sectPr>
      </w:pPr>
    </w:p>
    <w:bookmarkStart w:id="165" w:name="page166"/>
    <w:bookmarkEnd w:id="165"/>
    <w:p>
      <w:pPr>
        <w:jc w:val="both"/>
        <w:ind w:right="199"/>
        <w:spacing w:after="0" w:line="249" w:lineRule="auto"/>
        <w:rPr>
          <w:sz w:val="20"/>
          <w:szCs w:val="20"/>
          <w:color w:val="auto"/>
        </w:rPr>
      </w:pPr>
      <w:r>
        <w:rPr>
          <w:rFonts w:ascii="Times New Roman" w:cs="Times New Roman" w:eastAsia="Times New Roman" w:hAnsi="Times New Roman"/>
          <w:sz w:val="20"/>
          <w:szCs w:val="20"/>
          <w:color w:val="auto"/>
        </w:rPr>
        <w:t>by virtue hereof, upon the failure of any other Borrower to pay any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any Issuing Bank or any Lender in cash an amount equal to the unpaid principal amount of such Obligations then due, together with accrued and unpaid interest thereon. The Company further agrees that if payment in respect of any Obligation shall be due in a currency other than Dollars and/or at a place of payment other than New York, Chicago or any other Foreign Currency Payment Office and if, by reason of any Change in Law, disruption of currency or foreign exchange markets, war or civil disturbance or other event, payment of such Obligation in such currency or at such place of payment shall be impossible or, in the reasonable judgment of the Administrative Agent, any Issuing Bank or any Lender, disadvantageous to the Administrative Agent, any Issuing Bank or any Lender in any material respect, then, at the election of the Administrative Agent, the Company shall make payment of such Obligation in Dollars (based upon the Dollar Amount of such Obligation on the date of payment) and/or in New York, Chicago or such other Foreign Currency Payment Office as is designated by the Administrative Agent and, as a separate and independent obligation, shall indemnify the Administrative Agent, any Issuing Bank and any Lender against any losses or reasonable out-of-pocket expenses that it shall sustain as a result of such alternative payment.</w:t>
      </w:r>
    </w:p>
    <w:p>
      <w:pPr>
        <w:spacing w:after="0" w:line="228" w:lineRule="exact"/>
        <w:rPr>
          <w:sz w:val="20"/>
          <w:szCs w:val="20"/>
          <w:color w:val="auto"/>
        </w:rPr>
      </w:pPr>
    </w:p>
    <w:p>
      <w:pPr>
        <w:jc w:val="both"/>
        <w:ind w:right="239" w:firstLine="1296"/>
        <w:spacing w:after="0" w:line="254" w:lineRule="auto"/>
        <w:rPr>
          <w:sz w:val="20"/>
          <w:szCs w:val="20"/>
          <w:color w:val="auto"/>
        </w:rPr>
      </w:pPr>
      <w:r>
        <w:rPr>
          <w:rFonts w:ascii="Times New Roman" w:cs="Times New Roman" w:eastAsia="Times New Roman" w:hAnsi="Times New Roman"/>
          <w:sz w:val="20"/>
          <w:szCs w:val="20"/>
          <w:color w:val="auto"/>
        </w:rPr>
        <w:t>Upon payment by the Company of any sums as provided above, all rights of the Company against any other Borrower arising as a result thereof by way of right of subrogation or otherwise shall in all respects be subordinated and junior in right of payment to the prior indefeasible payment in full in cash of all the Obligations owed by such other Borrower to the Administrative Agent, the Issuing Banks and the Lenders.</w:t>
      </w:r>
    </w:p>
    <w:p>
      <w:pPr>
        <w:spacing w:after="0" w:line="228" w:lineRule="exact"/>
        <w:rPr>
          <w:sz w:val="20"/>
          <w:szCs w:val="20"/>
          <w:color w:val="auto"/>
        </w:rPr>
      </w:pPr>
    </w:p>
    <w:p>
      <w:pPr>
        <w:jc w:val="both"/>
        <w:ind w:right="259" w:firstLine="1296"/>
        <w:spacing w:after="0" w:line="269" w:lineRule="auto"/>
        <w:rPr>
          <w:sz w:val="20"/>
          <w:szCs w:val="20"/>
          <w:color w:val="auto"/>
        </w:rPr>
      </w:pPr>
      <w:r>
        <w:rPr>
          <w:rFonts w:ascii="Times New Roman" w:cs="Times New Roman" w:eastAsia="Times New Roman" w:hAnsi="Times New Roman"/>
          <w:sz w:val="20"/>
          <w:szCs w:val="20"/>
          <w:color w:val="auto"/>
        </w:rPr>
        <w:t>Nothing shall discharge or satisfy the liability of the Company hereunder except the full performance and payment of the Obligations.</w:t>
      </w:r>
    </w:p>
    <w:p>
      <w:pPr>
        <w:spacing w:after="0" w:line="21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5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0019"/>
          </w:cols>
          <w:pgMar w:left="440" w:top="1413"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Dalip M. Puri,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June 30, 2024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June 30, 2024 as filed with the Securities and Exchange Commission on the date hereof (the “Report”), I, Dalip M. Puri, Executive Vice President –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1)"/>
      <w:numFmt w:val="decimal"/>
      <w:start w:val="1"/>
    </w:lvl>
  </w:abstractNum>
  <w:abstractNum w:abstractNumId="3">
    <w:nsid w:val="3C5991AA"/>
    <w:multiLevelType w:val="hybridMultilevel"/>
    <w:lvl w:ilvl="0">
      <w:lvlJc w:val="left"/>
      <w:lvlText w:val="(%1)"/>
      <w:numFmt w:val="decimal"/>
      <w:start w:val="1"/>
    </w:lvl>
  </w:abstractNum>
  <w:abstractNum w:abstractNumId="4">
    <w:nsid w:val="4BD8591A"/>
    <w:multiLevelType w:val="hybridMultilevel"/>
    <w:lvl w:ilvl="0">
      <w:lvlJc w:val="left"/>
      <w:lvlText w:val="%1."/>
      <w:numFmt w:val="decimal"/>
      <w:start w:val="11"/>
    </w:lvl>
  </w:abstractNum>
  <w:abstractNum w:abstractNumId="5">
    <w:nsid w:val="78DF6A55"/>
    <w:multiLevelType w:val="hybridMultilevel"/>
    <w:lvl w:ilvl="0">
      <w:lvlJc w:val="left"/>
      <w:lvlText w:val="$"/>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1"/>
      <w:numFmt w:val="bullet"/>
      <w:start w:val="1"/>
    </w:lvl>
  </w:abstractNum>
  <w:abstractNum w:abstractNumId="8">
    <w:nsid w:val="6C80EC70"/>
    <w:multiLevelType w:val="hybridMultilevel"/>
    <w:lvl w:ilvl="0">
      <w:lvlJc w:val="left"/>
      <w:lvlText w:val="(%1)"/>
      <w:numFmt w:val="decimal"/>
      <w:start w:val="1"/>
    </w:lvl>
  </w:abstractNum>
  <w:abstractNum w:abstractNumId="9">
    <w:nsid w:val="379E21B5"/>
    <w:multiLevelType w:val="hybridMultilevel"/>
    <w:lvl w:ilvl="0">
      <w:lvlJc w:val="left"/>
      <w:lvlText w:val="%1"/>
      <w:numFmt w:val="decimal"/>
      <w:start w:val="104"/>
    </w:lvl>
  </w:abstractNum>
  <w:abstractNum w:abstractNumId="10">
    <w:nsid w:val="69E373"/>
    <w:multiLevelType w:val="hybridMultilevel"/>
    <w:lvl w:ilvl="0">
      <w:lvlJc w:val="left"/>
      <w:lvlText w:val="%1."/>
      <w:numFmt w:val="decimal"/>
      <w:start w:val="1"/>
    </w:lvl>
  </w:abstractNum>
  <w:abstractNum w:abstractNumId="11">
    <w:nsid w:val="2C2717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2">
    <w:nsid w:val="4C9B0904"/>
    <w:multiLevelType w:val="hybridMultilevel"/>
    <w:lvl w:ilvl="0">
      <w:lvlJc w:val="left"/>
      <w:lvlText w:val="(%1)"/>
      <w:numFmt w:val="decimal"/>
      <w:start w:val="2"/>
    </w:lvl>
    <w:lvl w:ilvl="1">
      <w:lvlJc w:val="left"/>
      <w:lvlText w:val="(%2)"/>
      <w:numFmt w:val="lowerLetter"/>
    </w:lvl>
    <w:lvl w:ilvl="2">
      <w:lvlJc w:val="left"/>
      <w:lvlText w:val="%3."/>
      <w:numFmt w:val="decimal"/>
      <w:start w:val="1"/>
    </w:lvl>
  </w:abstractNum>
  <w:abstractNum w:abstractNumId="13">
    <w:nsid w:val="6AA7B75C"/>
    <w:multiLevelType w:val="hybridMultilevel"/>
    <w:lvl w:ilvl="0">
      <w:lvlJc w:val="left"/>
      <w:lvlText w:val="(%1)"/>
      <w:numFmt w:val="lowerLetter"/>
      <w:start w:val="3"/>
    </w:lvl>
  </w:abstractNum>
  <w:abstractNum w:abstractNumId="14">
    <w:nsid w:val="1DF029D3"/>
    <w:multiLevelType w:val="hybridMultilevel"/>
    <w:lvl w:ilvl="0">
      <w:lvlJc w:val="left"/>
      <w:lvlText w:val="%1."/>
      <w:numFmt w:val="decimal"/>
      <w:start w:val="1"/>
    </w:lvl>
  </w:abstractNum>
  <w:abstractNum w:abstractNumId="15">
    <w:nsid w:val="5675FF36"/>
    <w:multiLevelType w:val="hybridMultilevel"/>
    <w:lvl w:ilvl="0">
      <w:lvlJc w:val="left"/>
      <w:lvlText w:val="%1"/>
      <w:numFmt w:val="decimal"/>
      <w:start w:val="1"/>
    </w:lvl>
    <w:lvl w:ilvl="1">
      <w:lvlJc w:val="left"/>
      <w:lvlText w:val="(%2)"/>
      <w:numFmt w:val="lowerLetter"/>
      <w:start w:val="1"/>
    </w:lvl>
  </w:abstractNum>
  <w:abstractNum w:abstractNumId="16">
    <w:nsid w:val="3DD15094"/>
    <w:multiLevelType w:val="hybridMultilevel"/>
    <w:lvl w:ilvl="0">
      <w:lvlJc w:val="left"/>
      <w:lvlText w:val="%1."/>
      <w:numFmt w:val="decimal"/>
      <w:start w:val="1"/>
    </w:lvl>
    <w:lvl w:ilvl="1">
      <w:lvlJc w:val="left"/>
      <w:lvlText w:val="%2"/>
      <w:numFmt w:val="lowerLetter"/>
      <w:start w:val="1"/>
    </w:lvl>
  </w:abstractNum>
  <w:abstractNum w:abstractNumId="17">
    <w:nsid w:val="3DB012B3"/>
    <w:multiLevelType w:val="hybridMultilevel"/>
    <w:lvl w:ilvl="0">
      <w:lvlJc w:val="left"/>
      <w:lvlText w:val="%1."/>
      <w:numFmt w:val="decimal"/>
      <w:start w:val="3"/>
    </w:lvl>
  </w:abstractNum>
  <w:abstractNum w:abstractNumId="18">
    <w:nsid w:val="2708C9AF"/>
    <w:multiLevelType w:val="hybridMultilevel"/>
    <w:lvl w:ilvl="0">
      <w:lvlJc w:val="left"/>
      <w:lvlText w:val="(%1)"/>
      <w:numFmt w:val="lowerLetter"/>
      <w:start w:val="1"/>
    </w:lvl>
  </w:abstractNum>
  <w:abstractNum w:abstractNumId="19">
    <w:nsid w:val="5B25ACE2"/>
    <w:multiLevelType w:val="hybridMultilevel"/>
    <w:lvl w:ilvl="0">
      <w:lvlJc w:val="left"/>
      <w:lvlText w:val="(%1)"/>
      <w:numFmt w:val="lowerLetter"/>
      <w:start w:val="1"/>
    </w:lvl>
  </w:abstractNum>
  <w:abstractNum w:abstractNumId="20">
    <w:nsid w:val="175DFCF0"/>
    <w:multiLevelType w:val="hybridMultilevel"/>
    <w:lvl w:ilvl="0">
      <w:lvlJc w:val="left"/>
      <w:lvlText w:val="(%1)"/>
      <w:numFmt w:val="lowerRoman"/>
      <w:start w:val="1"/>
    </w:lvl>
  </w:abstractNum>
  <w:abstractNum w:abstractNumId="21">
    <w:nsid w:val="4F97E3E4"/>
    <w:multiLevelType w:val="hybridMultilevel"/>
    <w:lvl w:ilvl="0">
      <w:lvlJc w:val="left"/>
      <w:lvlText w:val="(%1)"/>
      <w:numFmt w:val="decimal"/>
      <w:start w:val="1"/>
    </w:lvl>
  </w:abstractNum>
  <w:abstractNum w:abstractNumId="22">
    <w:nsid w:val="53B0A9E"/>
    <w:multiLevelType w:val="hybridMultilevel"/>
    <w:lvl w:ilvl="0">
      <w:lvlJc w:val="left"/>
      <w:lvlText w:val="(%1)"/>
      <w:numFmt w:val="decimal"/>
      <w:start w:val="1"/>
    </w:lvl>
  </w:abstractNum>
  <w:abstractNum w:abstractNumId="23">
    <w:nsid w:val="34FD6B4F"/>
    <w:multiLevelType w:val="hybridMultilevel"/>
    <w:lvl w:ilvl="0">
      <w:lvlJc w:val="left"/>
      <w:lvlText w:val="(%1)"/>
      <w:numFmt w:val="decimal"/>
      <w:start w:val="3"/>
    </w:lvl>
  </w:abstractNum>
  <w:abstractNum w:abstractNumId="24">
    <w:nsid w:val="5915FF32"/>
    <w:multiLevelType w:val="hybridMultilevel"/>
    <w:lvl w:ilvl="0">
      <w:lvlJc w:val="left"/>
      <w:lvlText w:val="(%1)"/>
      <w:numFmt w:val="decimal"/>
      <w:start w:val="1"/>
    </w:lvl>
  </w:abstractNum>
  <w:abstractNum w:abstractNumId="25">
    <w:nsid w:val="56438D15"/>
    <w:multiLevelType w:val="hybridMultilevel"/>
    <w:lvl w:ilvl="0">
      <w:lvlJc w:val="left"/>
      <w:lvlText w:val="(%1)"/>
      <w:numFmt w:val="decimal"/>
      <w:start w:val="1"/>
    </w:lvl>
  </w:abstractNum>
  <w:abstractNum w:abstractNumId="26">
    <w:nsid w:val="519E3149"/>
    <w:multiLevelType w:val="hybridMultilevel"/>
    <w:lvl w:ilvl="0">
      <w:lvlJc w:val="left"/>
      <w:lvlText w:val="(%1)"/>
      <w:numFmt w:val="lowerLetter"/>
      <w:start w:val="1"/>
    </w:lvl>
  </w:abstractNum>
  <w:abstractNum w:abstractNumId="27">
    <w:nsid w:val="2C6E4AFD"/>
    <w:multiLevelType w:val="hybridMultilevel"/>
    <w:lvl w:ilvl="0">
      <w:lvlJc w:val="left"/>
      <w:lvlText w:val="%1"/>
      <w:numFmt w:val="lowerLetter"/>
      <w:start w:val="1"/>
    </w:lvl>
    <w:lvl w:ilvl="1">
      <w:lvlJc w:val="left"/>
      <w:lvlText w:val="(%2)"/>
      <w:numFmt w:val="lowerLetter"/>
      <w:start w:val="2"/>
    </w:lvl>
  </w:abstractNum>
  <w:abstractNum w:abstractNumId="28">
    <w:nsid w:val="17A1B582"/>
    <w:multiLevelType w:val="hybridMultilevel"/>
    <w:lvl w:ilvl="0">
      <w:lvlJc w:val="left"/>
      <w:lvlText w:val="(%1)"/>
      <w:numFmt w:val="lowerLetter"/>
      <w:start w:val="9"/>
    </w:lvl>
    <w:lvl w:ilvl="1">
      <w:lvlJc w:val="left"/>
      <w:lvlText w:val="%2"/>
      <w:numFmt w:val="lowerLetter"/>
      <w:start w:val="1"/>
    </w:lvl>
  </w:abstractNum>
  <w:abstractNum w:abstractNumId="29">
    <w:nsid w:val="4DF72E4E"/>
    <w:multiLevelType w:val="hybridMultilevel"/>
    <w:lvl w:ilvl="0">
      <w:lvlJc w:val="left"/>
      <w:lvlText w:val="(%1)"/>
      <w:numFmt w:val="lowerLetter"/>
      <w:start w:val="4"/>
    </w:lvl>
  </w:abstractNum>
  <w:abstractNum w:abstractNumId="30">
    <w:nsid w:val="5046B5A9"/>
    <w:multiLevelType w:val="hybridMultilevel"/>
    <w:lvl w:ilvl="0">
      <w:lvlJc w:val="left"/>
      <w:lvlText w:val="(%1)"/>
      <w:numFmt w:val="upperLetter"/>
      <w:start w:val="2"/>
    </w:lvl>
  </w:abstractNum>
  <w:abstractNum w:abstractNumId="31">
    <w:nsid w:val="5D888A08"/>
    <w:multiLevelType w:val="hybridMultilevel"/>
    <w:lvl w:ilvl="0">
      <w:lvlJc w:val="left"/>
      <w:lvlText w:val="(%1)"/>
      <w:numFmt w:val="lowerRoman"/>
      <w:start w:val="2"/>
    </w:lvl>
  </w:abstractNum>
  <w:abstractNum w:abstractNumId="32">
    <w:nsid w:val="2A082C70"/>
    <w:multiLevelType w:val="hybridMultilevel"/>
    <w:lvl w:ilvl="0">
      <w:lvlJc w:val="left"/>
      <w:lvlText w:val="(%1)"/>
      <w:numFmt w:val="lowerRoman"/>
      <w:start w:val="1"/>
    </w:lvl>
  </w:abstractNum>
  <w:abstractNum w:abstractNumId="33">
    <w:nsid w:val="5EC6AFD4"/>
    <w:multiLevelType w:val="hybridMultilevel"/>
    <w:lvl w:ilvl="0">
      <w:lvlJc w:val="left"/>
      <w:lvlText w:val="(%1)"/>
      <w:numFmt w:val="decimal"/>
      <w:start w:val="5"/>
    </w:lvl>
  </w:abstractNum>
  <w:abstractNum w:abstractNumId="34">
    <w:nsid w:val="19E21BB2"/>
    <w:multiLevelType w:val="hybridMultilevel"/>
    <w:lvl w:ilvl="0">
      <w:lvlJc w:val="left"/>
      <w:lvlText w:val="(%1)"/>
      <w:numFmt w:val="lowerRoman"/>
      <w:start w:val="1"/>
    </w:lvl>
  </w:abstractNum>
  <w:abstractNum w:abstractNumId="35">
    <w:nsid w:val="75E0858A"/>
    <w:multiLevelType w:val="hybridMultilevel"/>
    <w:lvl w:ilvl="0">
      <w:lvlJc w:val="left"/>
      <w:lvlText w:val="(%1)"/>
      <w:numFmt w:val="lowerLetter"/>
      <w:start w:val="6"/>
    </w:lvl>
  </w:abstractNum>
  <w:abstractNum w:abstractNumId="36">
    <w:nsid w:val="57A61A29"/>
    <w:multiLevelType w:val="hybridMultilevel"/>
    <w:lvl w:ilvl="0">
      <w:lvlJc w:val="left"/>
      <w:lvlText w:val="(%1)"/>
      <w:numFmt w:val="lowerRoman"/>
      <w:start w:val="1"/>
    </w:lvl>
  </w:abstractNum>
  <w:abstractNum w:abstractNumId="37">
    <w:nsid w:val="5399C654"/>
    <w:multiLevelType w:val="hybridMultilevel"/>
    <w:lvl w:ilvl="0">
      <w:lvlJc w:val="left"/>
      <w:lvlText w:val="(%1)"/>
      <w:numFmt w:val="lowerRoman"/>
      <w:start w:val="2"/>
    </w:lvl>
  </w:abstractNum>
  <w:abstractNum w:abstractNumId="38">
    <w:nsid w:val="20EE1348"/>
    <w:multiLevelType w:val="hybridMultilevel"/>
    <w:lvl w:ilvl="0">
      <w:lvlJc w:val="left"/>
      <w:lvlText w:val="(%1)"/>
      <w:numFmt w:val="lowerLetter"/>
      <w:start w:val="25"/>
    </w:lvl>
  </w:abstractNum>
  <w:abstractNum w:abstractNumId="39">
    <w:nsid w:val="4427069A"/>
    <w:multiLevelType w:val="hybridMultilevel"/>
    <w:lvl w:ilvl="0">
      <w:lvlJc w:val="left"/>
      <w:lvlText w:val="(%1)"/>
      <w:numFmt w:val="lowerLetter"/>
      <w:start w:val="1"/>
    </w:lvl>
  </w:abstractNum>
  <w:abstractNum w:abstractNumId="40">
    <w:nsid w:val="B37E80A"/>
    <w:multiLevelType w:val="hybridMultilevel"/>
    <w:lvl w:ilvl="0">
      <w:lvlJc w:val="left"/>
      <w:lvlText w:val="(%1)"/>
      <w:numFmt w:val="lowerLetter"/>
      <w:start w:val="2"/>
    </w:lvl>
  </w:abstractNum>
  <w:abstractNum w:abstractNumId="41">
    <w:nsid w:val="2157F6BC"/>
    <w:multiLevelType w:val="hybridMultilevel"/>
    <w:lvl w:ilvl="0">
      <w:lvlJc w:val="left"/>
      <w:lvlText w:val="(%1)"/>
      <w:numFmt w:val="lowerLetter"/>
      <w:start w:val="7"/>
    </w:lvl>
  </w:abstractNum>
  <w:abstractNum w:abstractNumId="42">
    <w:nsid w:val="704E1DD5"/>
    <w:multiLevelType w:val="hybridMultilevel"/>
    <w:lvl w:ilvl="0">
      <w:lvlJc w:val="left"/>
      <w:lvlText w:val="(%1)"/>
      <w:numFmt w:val="lowerRoman"/>
      <w:start w:val="1"/>
    </w:lvl>
  </w:abstractNum>
  <w:abstractNum w:abstractNumId="43">
    <w:nsid w:val="57D2F10E"/>
    <w:multiLevelType w:val="hybridMultilevel"/>
    <w:lvl w:ilvl="0">
      <w:lvlJc w:val="left"/>
      <w:lvlText w:val="(%1)"/>
      <w:numFmt w:val="lowerRoman"/>
      <w:start w:val="1"/>
    </w:lvl>
  </w:abstractNum>
  <w:abstractNum w:abstractNumId="44">
    <w:nsid w:val="BFFAE18"/>
    <w:multiLevelType w:val="hybridMultilevel"/>
    <w:lvl w:ilvl="0">
      <w:lvlJc w:val="left"/>
      <w:lvlText w:val="(%1)"/>
      <w:numFmt w:val="lowerLetter"/>
      <w:start w:val="1"/>
    </w:lvl>
    <w:lvl w:ilvl="1">
      <w:lvlJc w:val="left"/>
      <w:lvlText w:val="(%2)"/>
      <w:numFmt w:val="decimal"/>
      <w:start w:val="1"/>
    </w:lvl>
  </w:abstractNum>
  <w:abstractNum w:abstractNumId="45">
    <w:nsid w:val="E3E47A8"/>
    <w:multiLevelType w:val="hybridMultilevel"/>
    <w:lvl w:ilvl="0">
      <w:lvlJc w:val="left"/>
      <w:lvlText w:val="(%1)"/>
      <w:numFmt w:val="decimal"/>
      <w:start w:val="2"/>
    </w:lvl>
  </w:abstractNum>
  <w:abstractNum w:abstractNumId="46">
    <w:nsid w:val="2E48F04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5"/>
    </w:lvl>
    <w:lvl w:ilvl="3">
      <w:lvlJc w:val="left"/>
      <w:lvlText w:val="(%4)"/>
      <w:numFmt w:val="lowerLetter"/>
      <w:start w:val="24"/>
    </w:lvl>
  </w:abstractNum>
  <w:abstractNum w:abstractNumId="47">
    <w:nsid w:val="49D0FEAC"/>
    <w:multiLevelType w:val="hybridMultilevel"/>
    <w:lvl w:ilvl="0">
      <w:lvlJc w:val="left"/>
      <w:lvlText w:val="(%1)"/>
      <w:numFmt w:val="lowerRoman"/>
      <w:start w:val="1"/>
    </w:lvl>
  </w:abstractNum>
  <w:abstractNum w:abstractNumId="48">
    <w:nsid w:val="4BEE5A5B"/>
    <w:multiLevelType w:val="hybridMultilevel"/>
    <w:lvl w:ilvl="0">
      <w:lvlJc w:val="left"/>
      <w:lvlText w:val="(%1)"/>
      <w:numFmt w:val="lowerLetter"/>
      <w:start w:val="1"/>
    </w:lvl>
  </w:abstractNum>
  <w:abstractNum w:abstractNumId="49">
    <w:nsid w:val="5551B9F3"/>
    <w:multiLevelType w:val="hybridMultilevel"/>
    <w:lvl w:ilvl="0">
      <w:lvlJc w:val="left"/>
      <w:lvlText w:val="(%1)"/>
      <w:numFmt w:val="lowerLetter"/>
      <w:start w:val="3"/>
    </w:lvl>
  </w:abstractNum>
  <w:abstractNum w:abstractNumId="50">
    <w:nsid w:val="24F6AB8E"/>
    <w:multiLevelType w:val="hybridMultilevel"/>
    <w:lvl w:ilvl="0">
      <w:lvlJc w:val="left"/>
      <w:lvlText w:val="(%1)"/>
      <w:numFmt w:val="lowerLetter"/>
      <w:start w:val="1"/>
    </w:lvl>
    <w:lvl w:ilvl="1">
      <w:lvlJc w:val="left"/>
      <w:lvlText w:val="(%2)"/>
      <w:numFmt w:val="decimal"/>
      <w:start w:val="1"/>
    </w:lvl>
  </w:abstractNum>
  <w:abstractNum w:abstractNumId="51">
    <w:nsid w:val="634C574C"/>
    <w:multiLevelType w:val="hybridMultilevel"/>
    <w:lvl w:ilvl="0">
      <w:lvlJc w:val="left"/>
      <w:lvlText w:val="(%1)"/>
      <w:numFmt w:val="lowerLetter"/>
      <w:start w:val="2"/>
    </w:lvl>
  </w:abstractNum>
  <w:abstractNum w:abstractNumId="52">
    <w:nsid w:val="24E99DD7"/>
    <w:multiLevelType w:val="hybridMultilevel"/>
    <w:lvl w:ilvl="0">
      <w:lvlJc w:val="left"/>
      <w:lvlText w:val="(%1)"/>
      <w:numFmt w:val="lowerRoman"/>
      <w:start w:val="1"/>
    </w:lvl>
  </w:abstractNum>
  <w:abstractNum w:abstractNumId="53">
    <w:nsid w:val="2A31B62D"/>
    <w:multiLevelType w:val="hybridMultilevel"/>
    <w:lvl w:ilvl="0">
      <w:lvlJc w:val="left"/>
      <w:lvlText w:val="(%1)"/>
      <w:numFmt w:val="lowerRoman"/>
      <w:start w:val="1"/>
    </w:lvl>
  </w:abstractNum>
  <w:abstractNum w:abstractNumId="54">
    <w:nsid w:val="1849C29B"/>
    <w:multiLevelType w:val="hybridMultilevel"/>
    <w:lvl w:ilvl="0">
      <w:lvlJc w:val="left"/>
      <w:lvlText w:val="(%1)"/>
      <w:numFmt w:val="lowerLetter"/>
      <w:start w:val="1"/>
    </w:lvl>
  </w:abstractNum>
  <w:abstractNum w:abstractNumId="55">
    <w:nsid w:val="7DFF9D09"/>
    <w:multiLevelType w:val="hybridMultilevel"/>
    <w:lvl w:ilvl="0">
      <w:lvlJc w:val="left"/>
      <w:lvlText w:val="(%1)"/>
      <w:numFmt w:val="lowerRoman"/>
      <w:start w:val="1"/>
    </w:lvl>
  </w:abstractNum>
  <w:abstractNum w:abstractNumId="56">
    <w:nsid w:val="754342"/>
    <w:multiLevelType w:val="hybridMultilevel"/>
    <w:lvl w:ilvl="0">
      <w:lvlJc w:val="left"/>
      <w:lvlText w:val="(%1)"/>
      <w:numFmt w:val="lowerRoman"/>
      <w:start w:val="2"/>
    </w:lvl>
  </w:abstractNum>
  <w:abstractNum w:abstractNumId="57">
    <w:nsid w:val="69E7F3E5"/>
    <w:multiLevelType w:val="hybridMultilevel"/>
    <w:lvl w:ilvl="0">
      <w:lvlJc w:val="left"/>
      <w:lvlText w:val="(%1)"/>
      <w:numFmt w:val="lowerLetter"/>
      <w:start w:val="4"/>
    </w:lvl>
    <w:lvl w:ilvl="1">
      <w:lvlJc w:val="left"/>
      <w:lvlText w:val="(%2)"/>
      <w:numFmt w:val="lowerLetter"/>
      <w:start w:val="5"/>
    </w:lvl>
  </w:abstractNum>
  <w:abstractNum w:abstractNumId="58">
    <w:nsid w:val="2A6DE806"/>
    <w:multiLevelType w:val="hybridMultilevel"/>
    <w:lvl w:ilvl="0">
      <w:lvlJc w:val="left"/>
      <w:lvlText w:val="(%1)"/>
      <w:numFmt w:val="lowerRoman"/>
      <w:start w:val="2"/>
    </w:lvl>
  </w:abstractNum>
  <w:abstractNum w:abstractNumId="59">
    <w:nsid w:val="1816F8C4"/>
    <w:multiLevelType w:val="hybridMultilevel"/>
    <w:lvl w:ilvl="0">
      <w:lvlJc w:val="left"/>
      <w:lvlText w:val="(%1)"/>
      <w:numFmt w:val="lowerRoman"/>
      <w:start w:val="1"/>
    </w:lvl>
  </w:abstractNum>
  <w:abstractNum w:abstractNumId="60">
    <w:nsid w:val="37DF2233"/>
    <w:multiLevelType w:val="hybridMultilevel"/>
    <w:lvl w:ilvl="0">
      <w:lvlJc w:val="left"/>
      <w:lvlText w:val="(%1)"/>
      <w:numFmt w:val="lowerLetter"/>
      <w:start w:val="1"/>
    </w:lvl>
  </w:abstractNum>
  <w:abstractNum w:abstractNumId="61">
    <w:nsid w:val="7AB49DAF"/>
    <w:multiLevelType w:val="hybridMultilevel"/>
    <w:lvl w:ilvl="0">
      <w:lvlJc w:val="left"/>
      <w:lvlText w:val="(%1)"/>
      <w:numFmt w:val="lowerLetter"/>
      <w:start w:val="2"/>
    </w:lvl>
  </w:abstractNum>
  <w:abstractNum w:abstractNumId="62">
    <w:nsid w:val="759F82CD"/>
    <w:multiLevelType w:val="hybridMultilevel"/>
    <w:lvl w:ilvl="0">
      <w:lvlJc w:val="left"/>
      <w:lvlText w:val="(%1)"/>
      <w:numFmt w:val="lowerLetter"/>
      <w:start w:val="4"/>
    </w:lvl>
  </w:abstractNum>
  <w:abstractNum w:abstractNumId="63">
    <w:nsid w:val="61E74EA3"/>
    <w:multiLevelType w:val="hybridMultilevel"/>
    <w:lvl w:ilvl="0">
      <w:lvlJc w:val="left"/>
      <w:lvlText w:val="(%1)"/>
      <w:numFmt w:val="lowerRoman"/>
      <w:start w:val="1"/>
    </w:lvl>
  </w:abstractNum>
  <w:abstractNum w:abstractNumId="64">
    <w:nsid w:val="597B4D84"/>
    <w:multiLevelType w:val="hybridMultilevel"/>
    <w:lvl w:ilvl="0">
      <w:lvlJc w:val="left"/>
      <w:lvlText w:val="%1"/>
      <w:numFmt w:val="upperLetter"/>
      <w:start w:val="1"/>
    </w:lvl>
    <w:lvl w:ilvl="1">
      <w:lvlJc w:val="left"/>
      <w:lvlText w:val="(%2)"/>
      <w:numFmt w:val="lowerLetter"/>
      <w:start w:val="1"/>
    </w:lvl>
  </w:abstractNum>
  <w:abstractNum w:abstractNumId="65">
    <w:nsid w:val="F819E7F"/>
    <w:multiLevelType w:val="hybridMultilevel"/>
    <w:lvl w:ilvl="0">
      <w:lvlJc w:val="left"/>
      <w:lvlText w:val="(%1)"/>
      <w:numFmt w:val="upperLetter"/>
      <w:start w:val="2"/>
    </w:lvl>
    <w:lvl w:ilvl="1">
      <w:lvlJc w:val="left"/>
      <w:lvlText w:val="%2"/>
      <w:numFmt w:val="lowerLetter"/>
      <w:start w:val="1"/>
    </w:lvl>
  </w:abstractNum>
  <w:abstractNum w:abstractNumId="66">
    <w:nsid w:val="57C7D42D"/>
    <w:multiLevelType w:val="hybridMultilevel"/>
    <w:lvl w:ilvl="0">
      <w:lvlJc w:val="left"/>
      <w:lvlText w:val="(%1)"/>
      <w:numFmt w:val="lowerLetter"/>
      <w:start w:val="2"/>
    </w:lvl>
  </w:abstractNum>
  <w:abstractNum w:abstractNumId="67">
    <w:nsid w:val="312167AD"/>
    <w:multiLevelType w:val="hybridMultilevel"/>
    <w:lvl w:ilvl="0">
      <w:lvlJc w:val="left"/>
      <w:lvlText w:val="(%1)"/>
      <w:numFmt w:val="lowerRoman"/>
      <w:start w:val="1"/>
    </w:lvl>
  </w:abstractNum>
  <w:abstractNum w:abstractNumId="68">
    <w:nsid w:val="631B64D4"/>
    <w:multiLevelType w:val="hybridMultilevel"/>
    <w:lvl w:ilvl="0">
      <w:lvlJc w:val="left"/>
      <w:lvlText w:val="%1"/>
      <w:numFmt w:val="lowerLetter"/>
      <w:start w:val="1"/>
    </w:lvl>
    <w:lvl w:ilvl="1">
      <w:lvlJc w:val="left"/>
      <w:lvlText w:val="(%2)"/>
      <w:numFmt w:val="lowerLetter"/>
      <w:start w:val="2"/>
    </w:lvl>
  </w:abstractNum>
  <w:abstractNum w:abstractNumId="69">
    <w:nsid w:val="78B5E776"/>
    <w:multiLevelType w:val="hybridMultilevel"/>
    <w:lvl w:ilvl="0">
      <w:lvlJc w:val="left"/>
      <w:lvlText w:val="(%1)"/>
      <w:numFmt w:val="lowerLetter"/>
      <w:start w:val="61"/>
    </w:lvl>
    <w:lvl w:ilvl="1">
      <w:lvlJc w:val="left"/>
      <w:lvlText w:val="(%2)"/>
      <w:numFmt w:val="lowerLetter"/>
      <w:start w:val="3"/>
    </w:lvl>
  </w:abstractNum>
  <w:abstractNum w:abstractNumId="70">
    <w:nsid w:val="75486E47"/>
    <w:multiLevelType w:val="hybridMultilevel"/>
    <w:lvl w:ilvl="0">
      <w:lvlJc w:val="left"/>
      <w:lvlText w:val="(%1)"/>
      <w:numFmt w:val="lowerLetter"/>
      <w:start w:val="5"/>
    </w:lvl>
  </w:abstractNum>
  <w:abstractNum w:abstractNumId="71">
    <w:nsid w:val="6E534CDE"/>
    <w:multiLevelType w:val="hybridMultilevel"/>
    <w:lvl w:ilvl="0">
      <w:lvlJc w:val="left"/>
      <w:lvlText w:val="(%1)"/>
      <w:numFmt w:val="lowerLetter"/>
      <w:start w:val="6"/>
    </w:lvl>
  </w:abstractNum>
  <w:abstractNum w:abstractNumId="72">
    <w:nsid w:val="1A0DDE32"/>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abstractNum>
  <w:abstractNum w:abstractNumId="73">
    <w:nsid w:val="65968C1C"/>
    <w:multiLevelType w:val="hybridMultilevel"/>
    <w:lvl w:ilvl="0">
      <w:lvlJc w:val="left"/>
      <w:lvlText w:val="(%1)"/>
      <w:numFmt w:val="lowerLetter"/>
      <w:start w:val="35"/>
    </w:lvl>
    <w:lvl w:ilvl="1">
      <w:lvlJc w:val="left"/>
      <w:lvlText w:val="(%2)"/>
      <w:numFmt w:val="lowerLetter"/>
      <w:start w:val="9"/>
    </w:lvl>
    <w:lvl w:ilvl="2">
      <w:lvlJc w:val="left"/>
      <w:lvlText w:val="(%3)"/>
      <w:numFmt w:val="upperLetter"/>
      <w:start w:val="2"/>
    </w:lvl>
  </w:abstractNum>
  <w:abstractNum w:abstractNumId="74">
    <w:nsid w:val="46263DEC"/>
    <w:multiLevelType w:val="hybridMultilevel"/>
    <w:lvl w:ilvl="0">
      <w:lvlJc w:val="left"/>
      <w:lvlText w:val="(%1)"/>
      <w:numFmt w:val="decimal"/>
      <w:start w:val="3"/>
    </w:lvl>
    <w:lvl w:ilvl="1">
      <w:lvlJc w:val="left"/>
      <w:lvlText w:val="(%2)"/>
      <w:numFmt w:val="lowerLetter"/>
      <w:start w:val="11"/>
    </w:lvl>
  </w:abstractNum>
  <w:abstractNum w:abstractNumId="75">
    <w:nsid w:val="260D8C4A"/>
    <w:multiLevelType w:val="hybridMultilevel"/>
    <w:lvl w:ilvl="0">
      <w:lvlJc w:val="left"/>
      <w:lvlText w:val="(%1)"/>
      <w:numFmt w:val="lowerLetter"/>
      <w:start w:val="9"/>
    </w:lvl>
    <w:lvl w:ilvl="1">
      <w:lvlJc w:val="left"/>
      <w:lvlText w:val="(%2)"/>
      <w:numFmt w:val="lowerLetter"/>
      <w:start w:val="2"/>
    </w:lvl>
  </w:abstractNum>
  <w:abstractNum w:abstractNumId="76">
    <w:nsid w:val="73D4D3C4"/>
    <w:multiLevelType w:val="hybridMultilevel"/>
    <w:lvl w:ilvl="0">
      <w:lvlJc w:val="left"/>
      <w:lvlText w:val="(%1)"/>
      <w:numFmt w:val="lowerLetter"/>
      <w:start w:val="2"/>
    </w:lvl>
  </w:abstractNum>
  <w:abstractNum w:abstractNumId="77">
    <w:nsid w:val="746F2E30"/>
    <w:multiLevelType w:val="hybridMultilevel"/>
    <w:lvl w:ilvl="0">
      <w:lvlJc w:val="left"/>
      <w:lvlText w:val="(%1)"/>
      <w:numFmt w:val="lowerLetter"/>
      <w:start w:val="3"/>
    </w:lvl>
    <w:lvl w:ilvl="1">
      <w:lvlJc w:val="left"/>
      <w:lvlText w:val="(%2)"/>
      <w:numFmt w:val="lowerRoman"/>
      <w:start w:val="1"/>
    </w:lvl>
  </w:abstractNum>
  <w:abstractNum w:abstractNumId="78">
    <w:nsid w:val="6FDE8AF6"/>
    <w:multiLevelType w:val="hybridMultilevel"/>
    <w:lvl w:ilvl="0">
      <w:lvlJc w:val="left"/>
      <w:lvlText w:val="(%1)"/>
      <w:numFmt w:val="lowerLetter"/>
      <w:start w:val="4"/>
    </w:lvl>
  </w:abstractNum>
  <w:abstractNum w:abstractNumId="79">
    <w:nsid w:val="3FC32E20"/>
    <w:multiLevelType w:val="hybridMultilevel"/>
    <w:lvl w:ilvl="0">
      <w:lvlJc w:val="left"/>
      <w:lvlText w:val="(%1)"/>
      <w:numFmt w:val="lowerLetter"/>
      <w:start w:val="2"/>
    </w:lvl>
  </w:abstractNum>
  <w:abstractNum w:abstractNumId="80">
    <w:nsid w:val="49C0E823"/>
    <w:multiLevelType w:val="hybridMultilevel"/>
    <w:lvl w:ilvl="0">
      <w:lvlJc w:val="left"/>
      <w:lvlText w:val="(%1)"/>
      <w:numFmt w:val="lowerLetter"/>
      <w:start w:val="1"/>
    </w:lvl>
  </w:abstractNum>
  <w:abstractNum w:abstractNumId="81">
    <w:nsid w:val="14D53685"/>
    <w:multiLevelType w:val="hybridMultilevel"/>
    <w:lvl w:ilvl="0">
      <w:lvlJc w:val="left"/>
      <w:lvlText w:val="(%1)"/>
      <w:numFmt w:val="lowerLetter"/>
      <w:start w:val="1"/>
    </w:lvl>
  </w:abstractNum>
  <w:abstractNum w:abstractNumId="82">
    <w:nsid w:val="230F856C"/>
    <w:multiLevelType w:val="hybridMultilevel"/>
    <w:lvl w:ilvl="0">
      <w:lvlJc w:val="left"/>
      <w:lvlText w:val="%1"/>
      <w:numFmt w:val="upperLetter"/>
      <w:start w:val="1"/>
    </w:lvl>
    <w:lvl w:ilvl="1">
      <w:lvlJc w:val="left"/>
      <w:lvlText w:val="(%2)"/>
      <w:numFmt w:val="lowerLetter"/>
      <w:start w:val="2"/>
    </w:lvl>
  </w:abstractNum>
  <w:abstractNum w:abstractNumId="83">
    <w:nsid w:val="6EAA85FB"/>
    <w:multiLevelType w:val="hybridMultilevel"/>
    <w:lvl w:ilvl="0">
      <w:lvlJc w:val="left"/>
      <w:lvlText w:val="(%1)"/>
      <w:numFmt w:val="upperLetter"/>
      <w:start w:val="1"/>
    </w:lvl>
    <w:lvl w:ilvl="1">
      <w:lvlJc w:val="left"/>
      <w:lvlText w:val="%2"/>
      <w:numFmt w:val="lowerLetter"/>
      <w:start w:val="1"/>
    </w:lvl>
  </w:abstractNum>
  <w:abstractNum w:abstractNumId="84">
    <w:nsid w:val="3F06ECB2"/>
    <w:multiLevelType w:val="hybridMultilevel"/>
    <w:lvl w:ilvl="0">
      <w:lvlJc w:val="left"/>
      <w:lvlText w:val="(%1)"/>
      <w:numFmt w:val="lowerLetter"/>
      <w:start w:val="2"/>
    </w:lvl>
  </w:abstractNum>
  <w:abstractNum w:abstractNumId="85">
    <w:nsid w:val="3B594807"/>
    <w:multiLevelType w:val="hybridMultilevel"/>
    <w:lvl w:ilvl="0">
      <w:lvlJc w:val="left"/>
      <w:lvlText w:val="(%1)"/>
      <w:numFmt w:val="lowerLetter"/>
      <w:start w:val="3"/>
    </w:lvl>
  </w:abstractNum>
  <w:abstractNum w:abstractNumId="86">
    <w:nsid w:val="6CAA2304"/>
    <w:multiLevelType w:val="hybridMultilevel"/>
    <w:lvl w:ilvl="0">
      <w:lvlJc w:val="left"/>
      <w:lvlText w:val="(%1)"/>
      <w:numFmt w:val="lowerLetter"/>
      <w:start w:val="2"/>
    </w:lvl>
  </w:abstractNum>
  <w:abstractNum w:abstractNumId="87">
    <w:nsid w:val="3F7C2FF4"/>
    <w:multiLevelType w:val="hybridMultilevel"/>
    <w:lvl w:ilvl="0">
      <w:lvlJc w:val="left"/>
      <w:lvlText w:val="(%1)"/>
      <w:numFmt w:val="lowerLetter"/>
      <w:start w:val="9"/>
    </w:lvl>
    <w:lvl w:ilvl="1">
      <w:lvlJc w:val="left"/>
      <w:lvlText w:val="(%2)"/>
      <w:numFmt w:val="lowerLetter"/>
      <w:start w:val="5"/>
    </w:lvl>
  </w:abstractNum>
  <w:abstractNum w:abstractNumId="88">
    <w:nsid w:val="25413BEC"/>
    <w:multiLevelType w:val="hybridMultilevel"/>
    <w:lvl w:ilvl="0">
      <w:lvlJc w:val="left"/>
      <w:lvlText w:val="(%1)"/>
      <w:numFmt w:val="lowerLetter"/>
      <w:start w:val="6"/>
    </w:lvl>
  </w:abstractNum>
  <w:abstractNum w:abstractNumId="89">
    <w:nsid w:val="17180B0B"/>
    <w:multiLevelType w:val="hybridMultilevel"/>
    <w:lvl w:ilvl="0">
      <w:lvlJc w:val="left"/>
      <w:lvlText w:val="%1"/>
      <w:numFmt w:val="lowerLetter"/>
      <w:start w:val="1"/>
    </w:lvl>
    <w:lvl w:ilvl="1">
      <w:lvlJc w:val="left"/>
      <w:lvlText w:val="(%2)"/>
      <w:numFmt w:val="lowerRoman"/>
      <w:start w:val="1"/>
    </w:lvl>
  </w:abstractNum>
  <w:abstractNum w:abstractNumId="90">
    <w:nsid w:val="579328B9"/>
    <w:multiLevelType w:val="hybridMultilevel"/>
    <w:lvl w:ilvl="0">
      <w:lvlJc w:val="left"/>
      <w:lvlText w:val="(%1)"/>
      <w:numFmt w:val="lowerLetter"/>
      <w:start w:val="11"/>
    </w:lvl>
    <w:lvl w:ilvl="1">
      <w:lvlJc w:val="left"/>
      <w:lvlText w:val="%2"/>
      <w:numFmt w:val="lowerRoman"/>
      <w:start w:val="1"/>
    </w:lvl>
  </w:abstractNum>
  <w:abstractNum w:abstractNumId="91">
    <w:nsid w:val="5D205E20"/>
    <w:multiLevelType w:val="hybridMultilevel"/>
    <w:lvl w:ilvl="0">
      <w:lvlJc w:val="left"/>
      <w:lvlText w:val="(%1)"/>
      <w:numFmt w:val="lowerLetter"/>
      <w:start w:val="1"/>
    </w:lvl>
    <w:lvl w:ilvl="1">
      <w:lvlJc w:val="left"/>
      <w:lvlText w:val="(%2)"/>
      <w:numFmt w:val="lowerRoman"/>
      <w:start w:val="1"/>
    </w:lvl>
  </w:abstractNum>
  <w:abstractNum w:abstractNumId="92">
    <w:nsid w:val="11CCA8BA"/>
    <w:multiLevelType w:val="hybridMultilevel"/>
    <w:lvl w:ilvl="0">
      <w:lvlJc w:val="left"/>
      <w:lvlText w:val="(%1)"/>
      <w:numFmt w:val="lowerRoman"/>
      <w:start w:val="10"/>
    </w:lvl>
  </w:abstractNum>
  <w:abstractNum w:abstractNumId="93">
    <w:nsid w:val="4D32AB86"/>
    <w:multiLevelType w:val="hybridMultilevel"/>
    <w:lvl w:ilvl="0">
      <w:lvlJc w:val="left"/>
      <w:lvlText w:val="(%1)"/>
      <w:numFmt w:val="lowerLetter"/>
      <w:start w:val="2"/>
    </w:lvl>
  </w:abstractNum>
  <w:abstractNum w:abstractNumId="94">
    <w:nsid w:val="3F07ACC3"/>
    <w:multiLevelType w:val="hybridMultilevel"/>
    <w:lvl w:ilvl="0">
      <w:lvlJc w:val="left"/>
      <w:lvlText w:val="%1"/>
      <w:numFmt w:val="lowerLetter"/>
      <w:start w:val="1"/>
    </w:lvl>
    <w:lvl w:ilvl="1">
      <w:lvlJc w:val="left"/>
      <w:lvlText w:val="(%2)"/>
      <w:numFmt w:val="lowerLetter"/>
      <w:start w:val="3"/>
    </w:lvl>
  </w:abstractNum>
  <w:abstractNum w:abstractNumId="95">
    <w:nsid w:val="6B47F63E"/>
    <w:multiLevelType w:val="hybridMultilevel"/>
    <w:lvl w:ilvl="0">
      <w:lvlJc w:val="left"/>
      <w:lvlText w:val="(%1)"/>
      <w:numFmt w:val="lowerLetter"/>
      <w:start w:val="9"/>
    </w:lvl>
    <w:lvl w:ilvl="1">
      <w:lvlJc w:val="left"/>
      <w:lvlText w:val="%2"/>
      <w:numFmt w:val="lowerLetter"/>
      <w:start w:val="1"/>
    </w:lvl>
  </w:abstractNum>
  <w:abstractNum w:abstractNumId="96">
    <w:nsid w:val="5CB44A05"/>
    <w:multiLevelType w:val="hybridMultilevel"/>
    <w:lvl w:ilvl="0">
      <w:lvlJc w:val="left"/>
      <w:lvlText w:val="(%1)"/>
      <w:numFmt w:val="lowerLetter"/>
      <w:start w:val="5"/>
    </w:lvl>
  </w:abstractNum>
  <w:abstractNum w:abstractNumId="97">
    <w:nsid w:val="16CF80F1"/>
    <w:multiLevelType w:val="hybridMultilevel"/>
    <w:lvl w:ilvl="0">
      <w:lvlJc w:val="left"/>
      <w:lvlText w:val="%1"/>
      <w:numFmt w:val="upperLetter"/>
      <w:start w:val="1"/>
    </w:lvl>
    <w:lvl w:ilvl="1">
      <w:lvlJc w:val="left"/>
      <w:lvlText w:val="(%2)"/>
      <w:numFmt w:val="lowerLetter"/>
      <w:start w:val="6"/>
    </w:lvl>
  </w:abstractNum>
  <w:abstractNum w:abstractNumId="98">
    <w:nsid w:val="1C695DEC"/>
    <w:multiLevelType w:val="hybridMultilevel"/>
    <w:lvl w:ilvl="0">
      <w:lvlJc w:val="left"/>
      <w:lvlText w:val="(%1)"/>
      <w:numFmt w:val="upperLetter"/>
      <w:start w:val="2"/>
    </w:lvl>
    <w:lvl w:ilvl="1">
      <w:lvlJc w:val="left"/>
      <w:lvlText w:val="%2"/>
      <w:numFmt w:val="lowerLetter"/>
      <w:start w:val="1"/>
    </w:lvl>
  </w:abstractNum>
  <w:abstractNum w:abstractNumId="99">
    <w:nsid w:val="3FCFAED9"/>
    <w:multiLevelType w:val="hybridMultilevel"/>
    <w:lvl w:ilvl="0">
      <w:lvlJc w:val="left"/>
      <w:lvlText w:val="(%1)"/>
      <w:numFmt w:val="decimal"/>
      <w:start w:val="1"/>
    </w:lvl>
  </w:abstractNum>
  <w:abstractNum w:abstractNumId="100">
    <w:nsid w:val="F856867"/>
    <w:multiLevelType w:val="hybridMultilevel"/>
    <w:lvl w:ilvl="0">
      <w:lvlJc w:val="left"/>
      <w:lvlText w:val="%1"/>
      <w:numFmt w:val="upperLetter"/>
      <w:start w:val="1"/>
    </w:lvl>
    <w:lvl w:ilvl="1">
      <w:lvlJc w:val="left"/>
      <w:lvlText w:val="(%2)"/>
      <w:numFmt w:val="lowerRoman"/>
      <w:start w:val="1"/>
    </w:lvl>
  </w:abstractNum>
  <w:abstractNum w:abstractNumId="101">
    <w:nsid w:val="11B1CC33"/>
    <w:multiLevelType w:val="hybridMultilevel"/>
    <w:lvl w:ilvl="0">
      <w:lvlJc w:val="left"/>
      <w:lvlText w:val="(%1)"/>
      <w:numFmt w:val="upperLetter"/>
      <w:start w:val="2"/>
    </w:lvl>
    <w:lvl w:ilvl="1">
      <w:lvlJc w:val="left"/>
      <w:lvlText w:val="%2"/>
      <w:numFmt w:val="lowerRoman"/>
      <w:start w:val="1"/>
    </w:lvl>
  </w:abstractNum>
  <w:abstractNum w:abstractNumId="102">
    <w:nsid w:val="2E22FBB7"/>
    <w:multiLevelType w:val="hybridMultilevel"/>
    <w:lvl w:ilvl="0">
      <w:lvlJc w:val="left"/>
      <w:lvlText w:val="(%1)"/>
      <w:numFmt w:val="lowerLetter"/>
      <w:start w:val="2"/>
    </w:lvl>
  </w:abstractNum>
  <w:abstractNum w:abstractNumId="103">
    <w:nsid w:val="29934699"/>
    <w:multiLevelType w:val="hybridMultilevel"/>
    <w:lvl w:ilvl="0">
      <w:lvlJc w:val="left"/>
      <w:lvlText w:val="(%1)"/>
      <w:numFmt w:val="lowerLetter"/>
      <w:start w:val="1"/>
    </w:lvl>
  </w:abstractNum>
  <w:abstractNum w:abstractNumId="104">
    <w:nsid w:val="77485850"/>
    <w:multiLevelType w:val="hybridMultilevel"/>
    <w:lvl w:ilvl="0">
      <w:lvlJc w:val="left"/>
      <w:lvlText w:val="(%1)"/>
      <w:numFmt w:val="lowerLetter"/>
      <w:start w:val="2"/>
    </w:lvl>
  </w:abstractNum>
  <w:abstractNum w:abstractNumId="105">
    <w:nsid w:val="744939A3"/>
    <w:multiLevelType w:val="hybridMultilevel"/>
    <w:lvl w:ilvl="0">
      <w:lvlJc w:val="left"/>
      <w:lvlText w:val="(%1)"/>
      <w:numFmt w:val="lowerLetter"/>
      <w:start w:val="2"/>
    </w:lvl>
  </w:abstractNum>
  <w:abstractNum w:abstractNumId="106">
    <w:nsid w:val="4FA0D2E3"/>
    <w:multiLevelType w:val="hybridMultilevel"/>
    <w:lvl w:ilvl="0">
      <w:lvlJc w:val="left"/>
      <w:lvlText w:val="(%1)"/>
      <w:numFmt w:val="lowerLetter"/>
      <w:start w:val="5"/>
    </w:lvl>
  </w:abstractNum>
  <w:abstractNum w:abstractNumId="107">
    <w:nsid w:val="6B1D2C14"/>
    <w:multiLevelType w:val="hybridMultilevel"/>
    <w:lvl w:ilvl="0">
      <w:lvlJc w:val="left"/>
      <w:lvlText w:val="(%1)"/>
      <w:numFmt w:val="lowerRoman"/>
      <w:start w:val="2"/>
    </w:lvl>
    <w:lvl w:ilvl="1">
      <w:lvlJc w:val="left"/>
      <w:lvlText w:val="(%2)"/>
      <w:numFmt w:val="upperLetter"/>
      <w:start w:val="1"/>
    </w:lvl>
  </w:abstractNum>
  <w:abstractNum w:abstractNumId="108">
    <w:nsid w:val="68B867D3"/>
    <w:multiLevelType w:val="hybridMultilevel"/>
    <w:lvl w:ilvl="0">
      <w:lvlJc w:val="left"/>
      <w:lvlText w:val="%1"/>
      <w:numFmt w:val="upperLetter"/>
      <w:start w:val="1"/>
    </w:lvl>
    <w:lvl w:ilvl="1">
      <w:lvlJc w:val="left"/>
      <w:lvlText w:val="(%2)"/>
      <w:numFmt w:val="decimal"/>
      <w:start w:val="1"/>
    </w:lvl>
  </w:abstractNum>
  <w:abstractNum w:abstractNumId="109">
    <w:nsid w:val="3F7F5DD9"/>
    <w:multiLevelType w:val="hybridMultilevel"/>
    <w:lvl w:ilvl="0">
      <w:lvlJc w:val="left"/>
      <w:lvlText w:val="(%1)"/>
      <w:numFmt w:val="upperLetter"/>
      <w:start w:val="3"/>
    </w:lvl>
    <w:lvl w:ilvl="1">
      <w:lvlJc w:val="left"/>
      <w:lvlText w:val="%2"/>
      <w:numFmt w:val="decimal"/>
      <w:start w:val="1"/>
    </w:lvl>
  </w:abstractNum>
  <w:abstractNum w:abstractNumId="110">
    <w:nsid w:val="2AE05A34"/>
    <w:multiLevelType w:val="hybridMultilevel"/>
    <w:lvl w:ilvl="0">
      <w:lvlJc w:val="left"/>
      <w:lvlText w:val="(%1)"/>
      <w:numFmt w:val="lowerLetter"/>
      <w:start w:val="7"/>
    </w:lvl>
  </w:abstractNum>
  <w:abstractNum w:abstractNumId="111">
    <w:nsid w:val="32794FF7"/>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112">
    <w:nsid w:val="5454945E"/>
    <w:multiLevelType w:val="hybridMultilevel"/>
    <w:lvl w:ilvl="0">
      <w:lvlJc w:val="left"/>
      <w:lvlText w:val="%1."/>
      <w:numFmt w:val="decimal"/>
      <w:start w:val="1"/>
    </w:lvl>
  </w:abstractNum>
  <w:abstractNum w:abstractNumId="113">
    <w:nsid w:val="4DEFDFA0"/>
    <w:multiLevelType w:val="hybridMultilevel"/>
    <w:lvl w:ilvl="0">
      <w:lvlJc w:val="left"/>
      <w:lvlText w:val="%1"/>
      <w:numFmt w:val="lowerLetter"/>
      <w:start w:val="1"/>
    </w:lvl>
    <w:lvl w:ilvl="1">
      <w:lvlJc w:val="left"/>
      <w:lvlText w:val="%2."/>
      <w:numFmt w:val="decimal"/>
      <w:start w:val="2"/>
    </w:lvl>
  </w:abstractNum>
  <w:abstractNum w:abstractNumId="114">
    <w:nsid w:val="2123D5F2"/>
    <w:multiLevelType w:val="hybridMultilevel"/>
    <w:lvl w:ilvl="0">
      <w:lvlJc w:val="left"/>
      <w:lvlText w:val="(%1)"/>
      <w:numFmt w:val="lowerLetter"/>
      <w:start w:val="6"/>
    </w:lvl>
    <w:lvl w:ilvl="1">
      <w:lvlJc w:val="left"/>
      <w:lvlText w:val="%2"/>
      <w:numFmt w:val="decimal"/>
      <w:start w:val="1"/>
    </w:lvl>
  </w:abstractNum>
  <w:abstractNum w:abstractNumId="115">
    <w:nsid w:val="135B8110"/>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116">
    <w:nsid w:val="94927A8"/>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abstractNum>
  <w:abstractNum w:abstractNumId="117">
    <w:nsid w:val="DCDF8F6"/>
    <w:multiLevelType w:val="hybridMultilevel"/>
    <w:lvl w:ilvl="0">
      <w:lvlJc w:val="left"/>
      <w:lvlText w:val="(%1)"/>
      <w:numFmt w:val="upperLetter"/>
      <w:start w:val="1"/>
    </w:lvl>
  </w:abstractNum>
  <w:abstractNum w:abstractNumId="118">
    <w:nsid w:val="52D7B105"/>
    <w:multiLevelType w:val="hybridMultilevel"/>
    <w:lvl w:ilvl="0">
      <w:lvlJc w:val="left"/>
      <w:lvlText w:val="(%1)"/>
      <w:numFmt w:val="lowerLetter"/>
      <w:start w:val="11"/>
    </w:lvl>
  </w:abstractNum>
  <w:abstractNum w:abstractNumId="119">
    <w:nsid w:val="2E8A6394"/>
    <w:multiLevelType w:val="hybridMultilevel"/>
    <w:lvl w:ilvl="0">
      <w:lvlJc w:val="left"/>
      <w:lvlText w:val="(%1)"/>
      <w:numFmt w:val="upperLetter"/>
      <w:start w:val="1"/>
    </w:lvl>
  </w:abstractNum>
  <w:abstractNum w:abstractNumId="120">
    <w:nsid w:val="24E60401"/>
    <w:multiLevelType w:val="hybridMultilevel"/>
    <w:lvl w:ilvl="0">
      <w:lvlJc w:val="left"/>
      <w:lvlText w:val="(%1)"/>
      <w:numFmt w:val="lowerLetter"/>
      <w:start w:val="13"/>
    </w:lvl>
  </w:abstractNum>
  <w:abstractNum w:abstractNumId="121">
    <w:nsid w:val="2A6AD9BE"/>
    <w:multiLevelType w:val="hybridMultilevel"/>
    <w:lvl w:ilvl="0">
      <w:lvlJc w:val="left"/>
      <w:lvlText w:val="(%1)"/>
      <w:numFmt w:val="upperLetter"/>
      <w:start w:val="1"/>
    </w:lvl>
  </w:abstractNum>
  <w:abstractNum w:abstractNumId="122">
    <w:nsid w:val="BAAC1B4"/>
    <w:multiLevelType w:val="hybridMultilevel"/>
    <w:lvl w:ilvl="0">
      <w:lvlJc w:val="left"/>
      <w:lvlText w:val="%1"/>
      <w:numFmt w:val="lowerLetter"/>
      <w:start w:val="1"/>
    </w:lvl>
    <w:lvl w:ilvl="1">
      <w:lvlJc w:val="left"/>
      <w:lvlText w:val="(%2)"/>
      <w:numFmt w:val="lowerLetter"/>
      <w:start w:val="4"/>
    </w:lvl>
  </w:abstractNum>
  <w:abstractNum w:abstractNumId="123">
    <w:nsid w:val="36B2ACBC"/>
    <w:multiLevelType w:val="hybridMultilevel"/>
    <w:lvl w:ilvl="0">
      <w:lvlJc w:val="left"/>
      <w:lvlText w:val="(%1)"/>
      <w:numFmt w:val="lowerLetter"/>
      <w:start w:val="14"/>
    </w:lvl>
    <w:lvl w:ilvl="1">
      <w:lvlJc w:val="left"/>
      <w:lvlText w:val="%2"/>
      <w:numFmt w:val="lowerLetter"/>
      <w:start w:val="1"/>
    </w:lvl>
  </w:abstractNum>
  <w:abstractNum w:abstractNumId="124">
    <w:nsid w:val="779D8544"/>
    <w:multiLevelType w:val="hybridMultilevel"/>
    <w:lvl w:ilvl="0">
      <w:lvlJc w:val="left"/>
      <w:lvlText w:val="%1"/>
      <w:numFmt w:val="lowerLetter"/>
      <w:start w:val="1"/>
    </w:lvl>
    <w:lvl w:ilvl="1">
      <w:lvlJc w:val="left"/>
      <w:lvlText w:val="(%2)"/>
      <w:numFmt w:val="lowerLetter"/>
      <w:start w:val="15"/>
    </w:lvl>
    <w:lvl w:ilvl="2">
      <w:lvlJc w:val="left"/>
      <w:lvlText w:val="%3"/>
      <w:numFmt w:val="upperLetter"/>
      <w:start w:val="1"/>
    </w:lvl>
  </w:abstractNum>
  <w:abstractNum w:abstractNumId="125">
    <w:nsid w:val="4AB26E78"/>
    <w:multiLevelType w:val="hybridMultilevel"/>
    <w:lvl w:ilvl="0">
      <w:lvlJc w:val="left"/>
      <w:lvlText w:val="(%1)"/>
      <w:numFmt w:val="lowerLetter"/>
      <w:start w:val="11"/>
    </w:lvl>
    <w:lvl w:ilvl="1">
      <w:lvlJc w:val="left"/>
      <w:lvlText w:val="(%2)"/>
      <w:numFmt w:val="lowerLetter"/>
      <w:start w:val="16"/>
    </w:lvl>
    <w:lvl w:ilvl="2">
      <w:lvlJc w:val="left"/>
      <w:lvlText w:val="(%3)"/>
      <w:numFmt w:val="upperLetter"/>
      <w:start w:val="1"/>
    </w:lvl>
  </w:abstractNum>
  <w:abstractNum w:abstractNumId="126">
    <w:nsid w:val="21FAA2FA"/>
    <w:multiLevelType w:val="hybridMultilevel"/>
    <w:lvl w:ilvl="0">
      <w:lvlJc w:val="left"/>
      <w:lvlText w:val="(%1)"/>
      <w:numFmt w:val="lowerLetter"/>
      <w:start w:val="17"/>
    </w:lvl>
    <w:lvl w:ilvl="1">
      <w:lvlJc w:val="left"/>
      <w:lvlText w:val="(%2)"/>
      <w:numFmt w:val="upperLetter"/>
      <w:start w:val="1"/>
    </w:lvl>
  </w:abstractNum>
  <w:abstractNum w:abstractNumId="127">
    <w:nsid w:val="5451CF49"/>
    <w:multiLevelType w:val="hybridMultilevel"/>
    <w:lvl w:ilvl="0">
      <w:lvlJc w:val="left"/>
      <w:lvlText w:val="(%1)"/>
      <w:numFmt w:val="lowerLetter"/>
      <w:start w:val="19"/>
    </w:lvl>
  </w:abstractNum>
  <w:abstractNum w:abstractNumId="128">
    <w:nsid w:val="6181EF69"/>
    <w:multiLevelType w:val="hybridMultilevel"/>
    <w:lvl w:ilvl="0">
      <w:lvlJc w:val="left"/>
      <w:lvlText w:val="(%1)"/>
      <w:numFmt w:val="lowerLetter"/>
      <w:start w:val="22"/>
    </w:lvl>
  </w:abstractNum>
  <w:abstractNum w:abstractNumId="129">
    <w:nsid w:val="3E6400E6"/>
    <w:multiLevelType w:val="hybridMultilevel"/>
    <w:lvl w:ilvl="0">
      <w:lvlJc w:val="left"/>
      <w:lvlText w:val="(%1)"/>
      <w:numFmt w:val="lowerLetter"/>
      <w:start w:val="1"/>
    </w:lvl>
  </w:abstractNum>
  <w:abstractNum w:abstractNumId="130">
    <w:nsid w:val="14217E23"/>
    <w:multiLevelType w:val="hybridMultilevel"/>
    <w:lvl w:ilvl="0">
      <w:lvlJc w:val="left"/>
      <w:lvlText w:val="%1"/>
      <w:numFmt w:val="lowerLetter"/>
      <w:start w:val="1"/>
    </w:lvl>
    <w:lvl w:ilvl="1">
      <w:lvlJc w:val="left"/>
      <w:lvlText w:val="(%2)"/>
      <w:numFmt w:val="lowerLetter"/>
      <w:start w:val="2"/>
    </w:lvl>
  </w:abstractNum>
  <w:abstractNum w:abstractNumId="131">
    <w:nsid w:val="710757D0"/>
    <w:multiLevelType w:val="hybridMultilevel"/>
    <w:lvl w:ilvl="0">
      <w:lvlJc w:val="left"/>
      <w:lvlText w:val="(%1)"/>
      <w:numFmt w:val="lowerLetter"/>
      <w:start w:val="9"/>
    </w:lvl>
    <w:lvl w:ilvl="1">
      <w:lvlJc w:val="left"/>
      <w:lvlText w:val="%2"/>
      <w:numFmt w:val="lowerLetter"/>
      <w:start w:val="1"/>
    </w:lvl>
  </w:abstractNum>
  <w:abstractNum w:abstractNumId="132">
    <w:nsid w:val="5015CD1A"/>
    <w:multiLevelType w:val="hybridMultilevel"/>
    <w:lvl w:ilvl="0">
      <w:lvlJc w:val="left"/>
      <w:lvlText w:val="(%1)"/>
      <w:numFmt w:val="lowerLetter"/>
      <w:start w:val="3"/>
    </w:lvl>
  </w:abstractNum>
  <w:abstractNum w:abstractNumId="133">
    <w:nsid w:val="424479DA"/>
    <w:multiLevelType w:val="hybridMultilevel"/>
    <w:lvl w:ilvl="0">
      <w:lvlJc w:val="left"/>
      <w:lvlText w:val="(%1)"/>
      <w:numFmt w:val="lowerLetter"/>
      <w:start w:val="5"/>
    </w:lvl>
  </w:abstractNum>
  <w:abstractNum w:abstractNumId="134">
    <w:nsid w:val="1A9A9E69"/>
    <w:multiLevelType w:val="hybridMultilevel"/>
    <w:lvl w:ilvl="0">
      <w:lvlJc w:val="left"/>
      <w:lvlText w:val="(%1)"/>
      <w:numFmt w:val="lowerLetter"/>
      <w:start w:val="2"/>
    </w:lvl>
  </w:abstractNum>
  <w:abstractNum w:abstractNumId="135">
    <w:nsid w:val="475E256A"/>
    <w:multiLevelType w:val="hybridMultilevel"/>
    <w:lvl w:ilvl="0">
      <w:lvlJc w:val="left"/>
      <w:lvlText w:val="(%1)"/>
      <w:numFmt w:val="lowerRoman"/>
      <w:start w:val="1"/>
    </w:lvl>
  </w:abstractNum>
  <w:abstractNum w:abstractNumId="136">
    <w:nsid w:val="368DB37E"/>
    <w:multiLevelType w:val="hybridMultilevel"/>
    <w:lvl w:ilvl="0">
      <w:lvlJc w:val="left"/>
      <w:lvlText w:val="(%1)"/>
      <w:numFmt w:val="lowerLetter"/>
      <w:start w:val="2"/>
    </w:lvl>
  </w:abstractNum>
  <w:abstractNum w:abstractNumId="137">
    <w:nsid w:val="6A3B714C"/>
    <w:multiLevelType w:val="hybridMultilevel"/>
    <w:lvl w:ilvl="0">
      <w:lvlJc w:val="left"/>
      <w:lvlText w:val="(%1)"/>
      <w:numFmt w:val="lowerLetter"/>
      <w:start w:val="24"/>
    </w:lvl>
    <w:lvl w:ilvl="1">
      <w:lvlJc w:val="left"/>
      <w:lvlText w:val="(%2)"/>
      <w:numFmt w:val="lowerLetter"/>
      <w:start w:val="3"/>
    </w:lvl>
  </w:abstractNum>
  <w:abstractNum w:abstractNumId="138">
    <w:nsid w:val="327B517E"/>
    <w:multiLevelType w:val="hybridMultilevel"/>
    <w:lvl w:ilvl="0">
      <w:lvlJc w:val="left"/>
      <w:lvlText w:val="(%1)"/>
      <w:numFmt w:val="lowerRoman"/>
      <w:start w:val="1"/>
    </w:lvl>
  </w:abstractNum>
  <w:abstractNum w:abstractNumId="139">
    <w:nsid w:val="1F461B51"/>
    <w:multiLevelType w:val="hybridMultilevel"/>
    <w:lvl w:ilvl="0">
      <w:lvlJc w:val="left"/>
      <w:lvlText w:val="%1"/>
      <w:numFmt w:val="lowerLetter"/>
      <w:start w:val="1"/>
    </w:lvl>
    <w:lvl w:ilvl="1">
      <w:lvlJc w:val="left"/>
      <w:lvlText w:val="(%2)"/>
      <w:numFmt w:val="lowerRoman"/>
      <w:start w:val="4"/>
    </w:lvl>
  </w:abstractNum>
  <w:abstractNum w:abstractNumId="140">
    <w:nsid w:val="29BACF25"/>
    <w:multiLevelType w:val="hybridMultilevel"/>
    <w:lvl w:ilvl="0">
      <w:lvlJc w:val="left"/>
      <w:lvlText w:val="(%1)"/>
      <w:numFmt w:val="lowerLetter"/>
      <w:start w:val="5"/>
    </w:lvl>
    <w:lvl w:ilvl="1">
      <w:lvlJc w:val="left"/>
      <w:lvlText w:val="%2"/>
      <w:numFmt w:val="lowerRoman"/>
      <w:start w:val="1"/>
    </w:lvl>
  </w:abstractNum>
  <w:abstractNum w:abstractNumId="141">
    <w:nsid w:val="5D5BABB3"/>
    <w:multiLevelType w:val="hybridMultilevel"/>
    <w:lvl w:ilvl="0">
      <w:lvlJc w:val="left"/>
      <w:lvlText w:val="(%1)"/>
      <w:numFmt w:val="lowerLetter"/>
      <w:start w:val="2"/>
    </w:lvl>
  </w:abstractNum>
  <w:abstractNum w:abstractNumId="142">
    <w:nsid w:val="51BF6B48"/>
    <w:multiLevelType w:val="hybridMultilevel"/>
    <w:lvl w:ilvl="0">
      <w:lvlJc w:val="left"/>
      <w:lvlText w:val="(%1)"/>
      <w:numFmt w:val="lowerLetter"/>
      <w:start w:val="35"/>
    </w:lvl>
    <w:lvl w:ilvl="1">
      <w:lvlJc w:val="left"/>
      <w:lvlText w:val="(%2)"/>
      <w:numFmt w:val="lowerLetter"/>
      <w:start w:val="34"/>
    </w:lvl>
    <w:lvl w:ilvl="2">
      <w:lvlJc w:val="left"/>
      <w:lvlText w:val="(%3)"/>
      <w:numFmt w:val="lowerLetter"/>
      <w:start w:val="2"/>
    </w:lvl>
  </w:abstractNum>
  <w:abstractNum w:abstractNumId="143">
    <w:nsid w:val="7E0F6384"/>
    <w:multiLevelType w:val="hybridMultilevel"/>
    <w:lvl w:ilvl="0">
      <w:lvlJc w:val="left"/>
      <w:lvlText w:val="(%1)"/>
      <w:numFmt w:val="lowerLetter"/>
      <w:start w:val="2"/>
    </w:lvl>
  </w:abstractNum>
  <w:abstractNum w:abstractNumId="144">
    <w:nsid w:val="2B4B8B53"/>
    <w:multiLevelType w:val="hybridMultilevel"/>
    <w:lvl w:ilvl="0">
      <w:lvlJc w:val="left"/>
      <w:lvlText w:val="(%1)"/>
      <w:numFmt w:val="lowerLetter"/>
      <w:start w:val="2"/>
    </w:lvl>
  </w:abstractNum>
  <w:abstractNum w:abstractNumId="145">
    <w:nsid w:val="72E3413A"/>
    <w:multiLevelType w:val="hybridMultilevel"/>
    <w:lvl w:ilvl="0">
      <w:lvlJc w:val="left"/>
      <w:lvlText w:val="(%1)"/>
      <w:numFmt w:val="lowerLetter"/>
      <w:start w:val="1"/>
    </w:lvl>
  </w:abstractNum>
  <w:abstractNum w:abstractNumId="146">
    <w:nsid w:val="116AE494"/>
    <w:multiLevelType w:val="hybridMultilevel"/>
    <w:lvl w:ilvl="0">
      <w:lvlJc w:val="left"/>
      <w:lvlText w:val="%1"/>
      <w:numFmt w:val="decimal"/>
      <w:start w:val="1"/>
    </w:lvl>
    <w:lvl w:ilvl="1">
      <w:lvlJc w:val="left"/>
      <w:lvlText w:val="(%2)"/>
      <w:numFmt w:val="lowerLetter"/>
      <w:start w:val="1"/>
    </w:lvl>
  </w:abstractNum>
  <w:abstractNum w:abstractNumId="147">
    <w:nsid w:val="3494B2FB"/>
    <w:multiLevelType w:val="hybridMultilevel"/>
    <w:lvl w:ilvl="0">
      <w:lvlJc w:val="left"/>
      <w:lvlText w:val="(%1)"/>
      <w:numFmt w:val="decimal"/>
      <w:start w:val="10"/>
    </w:lvl>
    <w:lvl w:ilvl="1">
      <w:lvlJc w:val="left"/>
      <w:lvlText w:val="%2"/>
      <w:numFmt w:val="lowerLetter"/>
      <w:start w:val="1"/>
    </w:lvl>
  </w:abstractNum>
  <w:abstractNum w:abstractNumId="148">
    <w:nsid w:val="B13A31"/>
    <w:multiLevelType w:val="hybridMultilevel"/>
    <w:lvl w:ilvl="0">
      <w:lvlJc w:val="left"/>
      <w:lvlText w:val="(%1)"/>
      <w:numFmt w:val="lowerLetter"/>
      <w:start w:val="6"/>
    </w:lvl>
  </w:abstractNum>
  <w:abstractNum w:abstractNumId="149">
    <w:nsid w:val="64429599"/>
    <w:multiLevelType w:val="hybridMultilevel"/>
    <w:lvl w:ilvl="0">
      <w:lvlJc w:val="left"/>
      <w:lvlText w:val="(%1)"/>
      <w:numFmt w:val="lowerLetter"/>
      <w:start w:val="1"/>
    </w:lvl>
  </w:abstractNum>
  <w:abstractNum w:abstractNumId="150">
    <w:nsid w:val="631F1690"/>
    <w:multiLevelType w:val="hybridMultilevel"/>
    <w:lvl w:ilvl="0">
      <w:lvlJc w:val="left"/>
      <w:lvlText w:val="(%1)"/>
      <w:numFmt w:val="lowerLetter"/>
      <w:start w:val="1"/>
    </w:lvl>
  </w:abstractNum>
  <w:abstractNum w:abstractNumId="151">
    <w:nsid w:val="25973E32"/>
    <w:multiLevelType w:val="hybridMultilevel"/>
    <w:lvl w:ilvl="0">
      <w:lvlJc w:val="left"/>
      <w:lvlText w:val="%1"/>
      <w:numFmt w:val="decimal"/>
      <w:start w:val="1"/>
    </w:lvl>
    <w:lvl w:ilvl="1">
      <w:lvlJc w:val="left"/>
      <w:lvlText w:val="(%2)"/>
      <w:numFmt w:val="lowerLetter"/>
      <w:start w:val="2"/>
    </w:lvl>
  </w:abstractNum>
  <w:abstractNum w:abstractNumId="152">
    <w:nsid w:val="EAD6F57"/>
    <w:multiLevelType w:val="hybridMultilevel"/>
    <w:lvl w:ilvl="0">
      <w:lvlJc w:val="left"/>
      <w:lvlText w:val="(%1)"/>
      <w:numFmt w:val="decimal"/>
      <w:start w:val="2"/>
    </w:lvl>
    <w:lvl w:ilvl="1">
      <w:lvlJc w:val="left"/>
      <w:lvlText w:val="%2"/>
      <w:numFmt w:val="lowerLetter"/>
      <w:start w:val="1"/>
    </w:lvl>
  </w:abstractNum>
  <w:abstractNum w:abstractNumId="153">
    <w:nsid w:val="6EC9D844"/>
    <w:multiLevelType w:val="hybridMultilevel"/>
    <w:lvl w:ilvl="0">
      <w:lvlJc w:val="left"/>
      <w:lvlText w:val="(%1)"/>
      <w:numFmt w:val="lowerLetter"/>
      <w:start w:val="1"/>
    </w:lvl>
  </w:abstractNum>
  <w:abstractNum w:abstractNumId="154">
    <w:nsid w:val="5C49EAEE"/>
    <w:multiLevelType w:val="hybridMultilevel"/>
    <w:lvl w:ilvl="0">
      <w:lvlJc w:val="left"/>
      <w:lvlText w:val="%1"/>
      <w:numFmt w:val="lowerLetter"/>
      <w:start w:val="1"/>
    </w:lvl>
    <w:lvl w:ilvl="1">
      <w:lvlJc w:val="left"/>
      <w:lvlText w:val="(%2)"/>
      <w:numFmt w:val="lowerLetter"/>
      <w:start w:val="2"/>
    </w:lvl>
  </w:abstractNum>
  <w:abstractNum w:abstractNumId="155">
    <w:nsid w:val="64AF49B"/>
    <w:multiLevelType w:val="hybridMultilevel"/>
    <w:lvl w:ilvl="0">
      <w:lvlJc w:val="left"/>
      <w:lvlText w:val="(%1)"/>
      <w:numFmt w:val="lowerLetter"/>
      <w:start w:val="2"/>
    </w:lvl>
    <w:lvl w:ilvl="1">
      <w:lvlJc w:val="left"/>
      <w:lvlText w:val="%2"/>
      <w:numFmt w:val="lowerLetter"/>
      <w:start w:val="1"/>
    </w:lvl>
  </w:abstractNum>
  <w:abstractNum w:abstractNumId="156">
    <w:nsid w:val="397C46BC"/>
    <w:multiLevelType w:val="hybridMultilevel"/>
    <w:lvl w:ilvl="0">
      <w:lvlJc w:val="left"/>
      <w:lvlText w:val="(%1)"/>
      <w:numFmt w:val="lowerLetter"/>
      <w:start w:val="61"/>
    </w:lvl>
    <w:lvl w:ilvl="1">
      <w:lvlJc w:val="left"/>
      <w:lvlText w:val="(%2)"/>
      <w:numFmt w:val="lowerLetter"/>
      <w:start w:val="4"/>
    </w:lvl>
  </w:abstractNum>
  <w:abstractNum w:abstractNumId="157">
    <w:nsid w:val="7E448DE9"/>
    <w:multiLevelType w:val="hybridMultilevel"/>
    <w:lvl w:ilvl="0">
      <w:lvlJc w:val="left"/>
      <w:lvlText w:val="%1"/>
      <w:numFmt w:val="upperLetter"/>
      <w:start w:val="1"/>
    </w:lvl>
    <w:lvl w:ilvl="1">
      <w:lvlJc w:val="left"/>
      <w:lvlText w:val="(%2)"/>
      <w:numFmt w:val="lowerLetter"/>
      <w:start w:val="1"/>
    </w:lvl>
  </w:abstractNum>
  <w:abstractNum w:abstractNumId="158">
    <w:nsid w:val="5A9CC3E5"/>
    <w:multiLevelType w:val="hybridMultilevel"/>
    <w:lvl w:ilvl="0">
      <w:lvlJc w:val="left"/>
      <w:lvlText w:val="(%1)"/>
      <w:numFmt w:val="upperLetter"/>
      <w:start w:val="3"/>
    </w:lvl>
    <w:lvl w:ilvl="1">
      <w:lvlJc w:val="left"/>
      <w:lvlText w:val="%2"/>
      <w:numFmt w:val="lowerLetter"/>
      <w:start w:val="1"/>
    </w:lvl>
  </w:abstractNum>
  <w:abstractNum w:abstractNumId="159">
    <w:nsid w:val="1AFE3625"/>
    <w:multiLevelType w:val="hybridMultilevel"/>
    <w:lvl w:ilvl="0">
      <w:lvlJc w:val="left"/>
      <w:lvlText w:val="(%1)"/>
      <w:numFmt w:val="lowerLetter"/>
      <w:start w:val="1"/>
    </w:lvl>
  </w:abstractNum>
  <w:abstractNum w:abstractNumId="160">
    <w:nsid w:val="3CA88ECF"/>
    <w:multiLevelType w:val="hybridMultilevel"/>
    <w:lvl w:ilvl="0">
      <w:lvlJc w:val="left"/>
      <w:lvlText w:val="(%1)"/>
      <w:numFmt w:val="lowerLetter"/>
      <w:start w:val="3"/>
    </w:lvl>
  </w:abstractNum>
  <w:abstractNum w:abstractNumId="161">
    <w:nsid w:val="6EBE4208"/>
    <w:multiLevelType w:val="hybridMultilevel"/>
    <w:lvl w:ilvl="0">
      <w:lvlJc w:val="left"/>
      <w:lvlText w:val="(%1)"/>
      <w:numFmt w:val="lowerLetter"/>
      <w:start w:val="1"/>
    </w:lvl>
  </w:abstractNum>
  <w:abstractNum w:abstractNumId="162">
    <w:nsid w:val="C058DF5"/>
    <w:multiLevelType w:val="hybridMultilevel"/>
    <w:lvl w:ilvl="0">
      <w:lvlJc w:val="left"/>
      <w:lvlText w:val="(%1)"/>
      <w:numFmt w:val="lowerLetter"/>
      <w:start w:val="6"/>
    </w:lvl>
  </w:abstractNum>
  <w:abstractNum w:abstractNumId="163">
    <w:nsid w:val="CBE5BE9"/>
    <w:multiLevelType w:val="hybridMultilevel"/>
    <w:lvl w:ilvl="0">
      <w:lvlJc w:val="left"/>
      <w:lvlText w:val="(%1)"/>
      <w:numFmt w:val="lowerLetter"/>
      <w:start w:val="1"/>
    </w:lvl>
  </w:abstractNum>
  <w:abstractNum w:abstractNumId="164">
    <w:nsid w:val="3102BBE2"/>
    <w:multiLevelType w:val="hybridMultilevel"/>
    <w:lvl w:ilvl="0">
      <w:lvlJc w:val="left"/>
      <w:lvlText w:val="%1"/>
      <w:numFmt w:val="lowerLetter"/>
      <w:start w:val="1"/>
    </w:lvl>
    <w:lvl w:ilvl="1">
      <w:lvlJc w:val="left"/>
      <w:lvlText w:val="(%2)"/>
      <w:numFmt w:val="lowerLetter"/>
      <w:start w:val="2"/>
    </w:lvl>
  </w:abstractNum>
  <w:abstractNum w:abstractNumId="165">
    <w:nsid w:val="26A02C5E"/>
    <w:multiLevelType w:val="hybridMultilevel"/>
    <w:lvl w:ilvl="0">
      <w:lvlJc w:val="left"/>
      <w:lvlText w:val="(%1)"/>
      <w:numFmt w:val="lowerLetter"/>
      <w:start w:val="9"/>
    </w:lvl>
    <w:lvl w:ilvl="1">
      <w:lvlJc w:val="left"/>
      <w:lvlText w:val="(%2)"/>
      <w:numFmt w:val="lowerLetter"/>
      <w:start w:val="4"/>
    </w:lvl>
  </w:abstractNum>
  <w:abstractNum w:abstractNumId="166">
    <w:nsid w:val="541C8153"/>
    <w:multiLevelType w:val="hybridMultilevel"/>
    <w:lvl w:ilvl="0">
      <w:lvlJc w:val="left"/>
      <w:lvlText w:val="(%1)"/>
      <w:numFmt w:val="lowerLetter"/>
      <w:start w:val="9"/>
    </w:lvl>
    <w:lvl w:ilvl="1">
      <w:lvlJc w:val="left"/>
      <w:lvlText w:val="(%2)"/>
      <w:numFmt w:val="lowerLetter"/>
      <w:start w:val="5"/>
    </w:lvl>
  </w:abstractNum>
  <w:abstractNum w:abstractNumId="167">
    <w:nsid w:val="67906F60"/>
    <w:multiLevelType w:val="hybridMultilevel"/>
    <w:lvl w:ilvl="0">
      <w:lvlJc w:val="left"/>
      <w:lvlText w:val="(%1)"/>
      <w:numFmt w:val="lowerLetter"/>
      <w:start w:val="12"/>
    </w:lvl>
  </w:abstractNum>
  <w:abstractNum w:abstractNumId="168">
    <w:nsid w:val="10DB9DAA"/>
    <w:multiLevelType w:val="hybridMultilevel"/>
    <w:lvl w:ilvl="0">
      <w:lvlJc w:val="left"/>
      <w:lvlText w:val="%1"/>
      <w:numFmt w:val="upperLetter"/>
      <w:start w:val="1"/>
    </w:lvl>
    <w:lvl w:ilvl="1">
      <w:lvlJc w:val="left"/>
      <w:lvlText w:val="(%2)"/>
      <w:numFmt w:val="lowerRoman"/>
      <w:start w:val="1"/>
    </w:lvl>
  </w:abstractNum>
  <w:abstractNum w:abstractNumId="169">
    <w:nsid w:val="697D2D2"/>
    <w:multiLevelType w:val="hybridMultilevel"/>
    <w:lvl w:ilvl="0">
      <w:lvlJc w:val="left"/>
      <w:lvlText w:val="(%1)"/>
      <w:numFmt w:val="upperLetter"/>
      <w:start w:val="2"/>
    </w:lvl>
    <w:lvl w:ilvl="1">
      <w:lvlJc w:val="left"/>
      <w:lvlText w:val="(%2)"/>
      <w:numFmt w:val="lowerRoman"/>
      <w:start w:val="3"/>
    </w:lvl>
  </w:abstractNum>
  <w:abstractNum w:abstractNumId="170">
    <w:nsid w:val="6D68AB2"/>
    <w:multiLevelType w:val="hybridMultilevel"/>
    <w:lvl w:ilvl="0">
      <w:lvlJc w:val="left"/>
      <w:lvlText w:val="(%1)"/>
      <w:numFmt w:val="upperLetter"/>
      <w:start w:val="2"/>
    </w:lvl>
    <w:lvl w:ilvl="1">
      <w:lvlJc w:val="left"/>
      <w:lvlText w:val="(%2)"/>
      <w:numFmt w:val="lowerRoman"/>
      <w:start w:val="6"/>
    </w:lvl>
  </w:abstractNum>
  <w:abstractNum w:abstractNumId="171">
    <w:nsid w:val="3A966CD0"/>
    <w:multiLevelType w:val="hybridMultilevel"/>
    <w:lvl w:ilvl="0">
      <w:lvlJc w:val="left"/>
      <w:lvlText w:val="%1"/>
      <w:numFmt w:val="lowerLetter"/>
      <w:start w:val="1"/>
    </w:lvl>
    <w:lvl w:ilvl="1">
      <w:lvlJc w:val="left"/>
      <w:lvlText w:val="(%2)"/>
      <w:numFmt w:val="lowerRoman"/>
      <w:start w:val="8"/>
    </w:lvl>
  </w:abstractNum>
  <w:abstractNum w:abstractNumId="172">
    <w:nsid w:val="63F37E85"/>
    <w:multiLevelType w:val="hybridMultilevel"/>
    <w:lvl w:ilvl="0">
      <w:lvlJc w:val="left"/>
      <w:lvlText w:val="(%1)"/>
      <w:numFmt w:val="lowerLetter"/>
      <w:start w:val="2"/>
    </w:lvl>
    <w:lvl w:ilvl="1">
      <w:lvlJc w:val="left"/>
      <w:lvlText w:val="%2"/>
      <w:numFmt w:val="lowerRoman"/>
      <w:start w:val="1"/>
    </w:lvl>
  </w:abstractNum>
  <w:abstractNum w:abstractNumId="173">
    <w:nsid w:val="5895F5FA"/>
    <w:multiLevelType w:val="hybridMultilevel"/>
    <w:lvl w:ilvl="0">
      <w:lvlJc w:val="left"/>
      <w:lvlText w:val="(%1)"/>
      <w:numFmt w:val="lowerLetter"/>
      <w:start w:val="1"/>
    </w:lvl>
  </w:abstractNum>
  <w:abstractNum w:abstractNumId="174">
    <w:nsid w:val="38A5D054"/>
    <w:multiLevelType w:val="hybridMultilevel"/>
    <w:lvl w:ilvl="0">
      <w:lvlJc w:val="left"/>
      <w:lvlText w:val="(%1)"/>
      <w:numFmt w:val="lowerLetter"/>
      <w:start w:val="1"/>
    </w:lvl>
  </w:abstractNum>
  <w:abstractNum w:abstractNumId="175">
    <w:nsid w:val="F3F09D8"/>
    <w:multiLevelType w:val="hybridMultilevel"/>
    <w:lvl w:ilvl="0">
      <w:lvlJc w:val="left"/>
      <w:lvlText w:val="(%1)"/>
      <w:numFmt w:val="lowerLetter"/>
      <w:start w:val="1"/>
    </w:lvl>
  </w:abstractNum>
  <w:abstractNum w:abstractNumId="176">
    <w:nsid w:val="4B793735"/>
    <w:multiLevelType w:val="hybridMultilevel"/>
    <w:lvl w:ilvl="0">
      <w:lvlJc w:val="left"/>
      <w:lvlText w:val="(%1)"/>
      <w:numFmt w:val="lowerLetter"/>
      <w:start w:val="8"/>
    </w:lvl>
  </w:abstractNum>
  <w:abstractNum w:abstractNumId="177">
    <w:nsid w:val="4A10B4E8"/>
    <w:multiLevelType w:val="hybridMultilevel"/>
    <w:lvl w:ilvl="0">
      <w:lvlJc w:val="left"/>
      <w:lvlText w:val="(%1)"/>
      <w:numFmt w:val="lowerLetter"/>
      <w:start w:val="14"/>
    </w:lvl>
  </w:abstractNum>
  <w:abstractNum w:abstractNumId="178">
    <w:nsid w:val="43D3BCD4"/>
    <w:multiLevelType w:val="hybridMultilevel"/>
    <w:lvl w:ilvl="0">
      <w:lvlJc w:val="left"/>
      <w:lvlText w:val="(%1)"/>
      <w:numFmt w:val="lowerRoman"/>
      <w:start w:val="1"/>
    </w:lvl>
  </w:abstractNum>
  <w:abstractNum w:abstractNumId="179">
    <w:nsid w:val="4C2A7166"/>
    <w:multiLevelType w:val="hybridMultilevel"/>
    <w:lvl w:ilvl="0">
      <w:lvlJc w:val="left"/>
      <w:lvlText w:val="(%1)"/>
      <w:numFmt w:val="lowerLetter"/>
      <w:start w:val="1"/>
    </w:lvl>
  </w:abstractNum>
  <w:abstractNum w:abstractNumId="180">
    <w:nsid w:val="2E534A82"/>
    <w:multiLevelType w:val="hybridMultilevel"/>
    <w:lvl w:ilvl="0">
      <w:lvlJc w:val="left"/>
      <w:lvlText w:val="(%1)"/>
      <w:numFmt w:val="lowerLetter"/>
      <w:start w:val="2"/>
    </w:lvl>
    <w:lvl w:ilvl="1">
      <w:lvlJc w:val="left"/>
      <w:lvlText w:val="(%2)"/>
      <w:numFmt w:val="lowerLetter"/>
      <w:start w:val="9"/>
    </w:lvl>
  </w:abstractNum>
  <w:abstractNum w:abstractNumId="181">
    <w:nsid w:val="26F2D364"/>
    <w:multiLevelType w:val="hybridMultilevel"/>
    <w:lvl w:ilvl="0">
      <w:lvlJc w:val="left"/>
      <w:lvlText w:val="%1"/>
      <w:numFmt w:val="lowerLetter"/>
      <w:start w:val="1"/>
    </w:lvl>
    <w:lvl w:ilvl="1">
      <w:lvlJc w:val="left"/>
      <w:lvlText w:val="(%2)"/>
      <w:numFmt w:val="lowerLetter"/>
      <w:start w:val="35"/>
    </w:lvl>
  </w:abstractNum>
  <w:abstractNum w:abstractNumId="182">
    <w:nsid w:val="71C1AF98"/>
    <w:multiLevelType w:val="hybridMultilevel"/>
    <w:lvl w:ilvl="0">
      <w:lvlJc w:val="left"/>
      <w:lvlText w:val="(%1)"/>
      <w:numFmt w:val="lowerLetter"/>
      <w:start w:val="4"/>
    </w:lvl>
    <w:lvl w:ilvl="1">
      <w:lvlJc w:val="left"/>
      <w:lvlText w:val="(%2)"/>
      <w:numFmt w:val="lowerLetter"/>
      <w:start w:val="9"/>
    </w:lvl>
  </w:abstractNum>
  <w:abstractNum w:abstractNumId="183">
    <w:nsid w:val="3D00B9D9"/>
    <w:multiLevelType w:val="hybridMultilevel"/>
    <w:lvl w:ilvl="0">
      <w:lvlJc w:val="left"/>
      <w:lvlText w:val="(%1)"/>
      <w:numFmt w:val="lowerRoman"/>
      <w:start w:val="2"/>
    </w:lvl>
  </w:abstractNum>
  <w:abstractNum w:abstractNumId="184">
    <w:nsid w:val="15BCABA8"/>
    <w:multiLevelType w:val="hybridMultilevel"/>
    <w:lvl w:ilvl="0">
      <w:lvlJc w:val="left"/>
      <w:lvlText w:val="(%1)"/>
      <w:numFmt w:val="lowerLetter"/>
      <w:start w:val="7"/>
    </w:lvl>
  </w:abstractNum>
  <w:abstractNum w:abstractNumId="185">
    <w:nsid w:val="4E0B9A87"/>
    <w:multiLevelType w:val="hybridMultilevel"/>
    <w:lvl w:ilvl="0">
      <w:lvlJc w:val="left"/>
      <w:lvlText w:val="%1"/>
      <w:numFmt w:val="lowerLetter"/>
      <w:start w:val="1"/>
    </w:lvl>
    <w:lvl w:ilvl="1">
      <w:lvlJc w:val="left"/>
      <w:lvlText w:val="(%2)"/>
      <w:numFmt w:val="lowerLetter"/>
      <w:start w:val="1"/>
    </w:lvl>
  </w:abstractNum>
  <w:abstractNum w:abstractNumId="186">
    <w:nsid w:val="434BAE75"/>
    <w:multiLevelType w:val="hybridMultilevel"/>
    <w:lvl w:ilvl="0">
      <w:lvlJc w:val="left"/>
      <w:lvlText w:val="(%1)"/>
      <w:numFmt w:val="lowerLetter"/>
      <w:start w:val="35"/>
    </w:lvl>
    <w:lvl w:ilvl="1">
      <w:lvlJc w:val="left"/>
      <w:lvlText w:val="%2"/>
      <w:numFmt w:val="lowerLetter"/>
      <w:start w:val="1"/>
    </w:lvl>
  </w:abstractNum>
  <w:abstractNum w:abstractNumId="187">
    <w:nsid w:val="4F38F265"/>
    <w:multiLevelType w:val="hybridMultilevel"/>
    <w:lvl w:ilvl="0">
      <w:lvlJc w:val="left"/>
      <w:lvlText w:val="(%1)"/>
      <w:numFmt w:val="lowerLetter"/>
      <w:start w:val="3"/>
    </w:lvl>
  </w:abstractNum>
  <w:abstractNum w:abstractNumId="188">
    <w:nsid w:val="4C502870"/>
    <w:multiLevelType w:val="hybridMultilevel"/>
    <w:lvl w:ilvl="0">
      <w:lvlJc w:val="left"/>
      <w:lvlText w:val="(%1)"/>
      <w:numFmt w:val="lowerLetter"/>
      <w:start w:val="1"/>
    </w:lvl>
  </w:abstractNum>
  <w:abstractNum w:abstractNumId="189">
    <w:nsid w:val="1DE8725A"/>
    <w:multiLevelType w:val="hybridMultilevel"/>
    <w:lvl w:ilvl="0">
      <w:lvlJc w:val="left"/>
      <w:lvlText w:val="(%1)"/>
      <w:numFmt w:val="lowerLetter"/>
      <w:start w:val="4"/>
    </w:lvl>
  </w:abstractNum>
  <w:abstractNum w:abstractNumId="190">
    <w:nsid w:val="6A37288A"/>
    <w:multiLevelType w:val="hybridMultilevel"/>
    <w:lvl w:ilvl="0">
      <w:lvlJc w:val="left"/>
      <w:lvlText w:val="(%1)"/>
      <w:numFmt w:val="lowerLetter"/>
      <w:start w:val="1"/>
    </w:lvl>
  </w:abstractNum>
  <w:abstractNum w:abstractNumId="191">
    <w:nsid w:val="8F8B73F"/>
    <w:multiLevelType w:val="hybridMultilevel"/>
    <w:lvl w:ilvl="0">
      <w:lvlJc w:val="left"/>
      <w:lvlText w:val="(%1)"/>
      <w:numFmt w:val="lowerLetter"/>
      <w:start w:val="2"/>
    </w:lvl>
  </w:abstractNum>
  <w:abstractNum w:abstractNumId="192">
    <w:nsid w:val="CA6B462"/>
    <w:multiLevelType w:val="hybridMultilevel"/>
    <w:lvl w:ilvl="0">
      <w:lvlJc w:val="left"/>
      <w:lvlText w:val="(%1)"/>
      <w:numFmt w:val="lowerLetter"/>
      <w:start w:val="1"/>
    </w:lvl>
  </w:abstractNum>
  <w:abstractNum w:abstractNumId="193">
    <w:nsid w:val="763CB680"/>
    <w:multiLevelType w:val="hybridMultilevel"/>
    <w:lvl w:ilvl="0">
      <w:lvlJc w:val="left"/>
      <w:lvlText w:val="(%1)"/>
      <w:numFmt w:val="lowerLetter"/>
      <w:start w:val="2"/>
    </w:lvl>
  </w:abstractNum>
  <w:abstractNum w:abstractNumId="194">
    <w:nsid w:val="15B71329"/>
    <w:multiLevelType w:val="hybridMultilevel"/>
    <w:lvl w:ilvl="0">
      <w:lvlJc w:val="left"/>
      <w:lvlText w:val="%1"/>
      <w:numFmt w:val="decimal"/>
      <w:start w:val="1"/>
    </w:lvl>
    <w:lvl w:ilvl="1">
      <w:lvlJc w:val="left"/>
      <w:lvlText w:val="(%2)"/>
      <w:numFmt w:val="lowerRoman"/>
      <w:start w:val="1"/>
    </w:lvl>
  </w:abstractNum>
  <w:abstractNum w:abstractNumId="195">
    <w:nsid w:val="3DA97044"/>
    <w:multiLevelType w:val="hybridMultilevel"/>
    <w:lvl w:ilvl="0">
      <w:lvlJc w:val="left"/>
      <w:lvlText w:val="(%1)"/>
      <w:numFmt w:val="decimal"/>
      <w:start w:val="1"/>
    </w:lvl>
    <w:lvl w:ilvl="1">
      <w:lvlJc w:val="left"/>
      <w:lvlText w:val="(%2)"/>
      <w:numFmt w:val="lowerRoman"/>
      <w:start w:val="2"/>
    </w:lvl>
  </w:abstractNum>
  <w:abstractNum w:abstractNumId="196">
    <w:nsid w:val="1CDCE2DE"/>
    <w:multiLevelType w:val="hybridMultilevel"/>
    <w:lvl w:ilvl="0">
      <w:lvlJc w:val="left"/>
      <w:lvlText w:val="(%1)"/>
      <w:numFmt w:val="lowerRoman"/>
      <w:start w:val="3"/>
    </w:lvl>
  </w:abstractNum>
  <w:abstractNum w:abstractNumId="197">
    <w:nsid w:val="69D3947C"/>
    <w:multiLevelType w:val="hybridMultilevel"/>
    <w:lvl w:ilvl="0">
      <w:lvlJc w:val="left"/>
      <w:lvlText w:val="(%1)"/>
      <w:numFmt w:val="lowerLetter"/>
      <w:start w:val="1"/>
    </w:lvl>
    <w:lvl w:ilvl="1">
      <w:lvlJc w:val="left"/>
      <w:lvlText w:val="(%2)"/>
      <w:numFmt w:val="lowerRoman"/>
      <w:start w:val="1"/>
    </w:lvl>
  </w:abstractNum>
  <w:abstractNum w:abstractNumId="198">
    <w:nsid w:val="2539DFA5"/>
    <w:multiLevelType w:val="hybridMultilevel"/>
    <w:lvl w:ilvl="0">
      <w:lvlJc w:val="left"/>
      <w:lvlText w:val="(%1)"/>
      <w:numFmt w:val="lowerLetter"/>
      <w:start w:val="2"/>
    </w:lvl>
  </w:abstractNum>
  <w:abstractNum w:abstractNumId="199">
    <w:nsid w:val="2DB88089"/>
    <w:multiLevelType w:val="hybridMultilevel"/>
    <w:lvl w:ilvl="0">
      <w:lvlJc w:val="left"/>
      <w:lvlText w:val="%1"/>
      <w:numFmt w:val="upperLetter"/>
      <w:start w:val="1"/>
    </w:lvl>
    <w:lvl w:ilvl="1">
      <w:lvlJc w:val="left"/>
      <w:lvlText w:val="(%2)"/>
      <w:numFmt w:val="lowerRoman"/>
      <w:start w:val="1"/>
    </w:lvl>
  </w:abstractNum>
  <w:abstractNum w:abstractNumId="200">
    <w:nsid w:val="706B674E"/>
    <w:multiLevelType w:val="hybridMultilevel"/>
    <w:lvl w:ilvl="0">
      <w:lvlJc w:val="left"/>
      <w:lvlText w:val="(%1)"/>
      <w:numFmt w:val="upperLetter"/>
      <w:start w:val="2"/>
    </w:lvl>
    <w:lvl w:ilvl="1">
      <w:lvlJc w:val="left"/>
      <w:lvlText w:val="%2"/>
      <w:numFmt w:val="lowerRoman"/>
      <w:start w:val="1"/>
    </w:lvl>
  </w:abstractNum>
  <w:abstractNum w:abstractNumId="201">
    <w:nsid w:val="2C106A57"/>
    <w:multiLevelType w:val="hybridMultilevel"/>
    <w:lvl w:ilvl="0">
      <w:lvlJc w:val="left"/>
      <w:lvlText w:val="(%1)"/>
      <w:numFmt w:val="lowerRoman"/>
      <w:start w:val="3"/>
    </w:lvl>
  </w:abstractNum>
  <w:abstractNum w:abstractNumId="202">
    <w:nsid w:val="684EED59"/>
    <w:multiLevelType w:val="hybridMultilevel"/>
    <w:lvl w:ilvl="0">
      <w:lvlJc w:val="left"/>
      <w:lvlText w:val="(%1)"/>
      <w:numFmt w:val="lowerLetter"/>
      <w:start w:val="2"/>
    </w:lvl>
  </w:abstractNum>
  <w:abstractNum w:abstractNumId="203">
    <w:nsid w:val="545EE5D3"/>
    <w:multiLevelType w:val="hybridMultilevel"/>
    <w:lvl w:ilvl="0">
      <w:lvlJc w:val="left"/>
      <w:lvlText w:val="%1"/>
      <w:numFmt w:val="lowerRoman"/>
      <w:start w:val="1"/>
    </w:lvl>
    <w:lvl w:ilvl="1">
      <w:lvlJc w:val="left"/>
      <w:lvlText w:val="(%2)"/>
      <w:numFmt w:val="lowerLetter"/>
      <w:start w:val="2"/>
    </w:lvl>
  </w:abstractNum>
  <w:abstractNum w:abstractNumId="204">
    <w:nsid w:val="4A66051"/>
    <w:multiLevelType w:val="hybridMultilevel"/>
    <w:lvl w:ilvl="0">
      <w:lvlJc w:val="left"/>
      <w:lvlText w:val="(%1)"/>
      <w:numFmt w:val="lowerRoman"/>
      <w:start w:val="7"/>
    </w:lvl>
    <w:lvl w:ilvl="1">
      <w:lvlJc w:val="left"/>
      <w:lvlText w:val="%2"/>
      <w:numFmt w:val="lowerLetter"/>
      <w:start w:val="1"/>
    </w:lvl>
  </w:abstractNum>
  <w:abstractNum w:abstractNumId="205">
    <w:nsid w:val="20F4BDAD"/>
    <w:multiLevelType w:val="hybridMultilevel"/>
    <w:lvl w:ilvl="0">
      <w:lvlJc w:val="left"/>
      <w:lvlText w:val="(%1)"/>
      <w:numFmt w:val="lowerLetter"/>
      <w:start w:val="3"/>
    </w:lvl>
  </w:abstractNum>
  <w:abstractNum w:abstractNumId="206">
    <w:nsid w:val="639DEFAC"/>
    <w:multiLevelType w:val="hybridMultilevel"/>
    <w:lvl w:ilvl="0">
      <w:lvlJc w:val="left"/>
      <w:lvlText w:val="(%1)"/>
      <w:numFmt w:val="lowerRoman"/>
      <w:start w:val="2"/>
    </w:lvl>
    <w:lvl w:ilvl="1">
      <w:lvlJc w:val="left"/>
      <w:lvlText w:val="(%2)"/>
      <w:numFmt w:val="lowerLetter"/>
      <w:start w:val="5"/>
    </w:lvl>
  </w:abstractNum>
  <w:abstractNum w:abstractNumId="207">
    <w:nsid w:val="501F9786"/>
    <w:multiLevelType w:val="hybridMultilevel"/>
    <w:lvl w:ilvl="0">
      <w:lvlJc w:val="left"/>
      <w:lvlText w:val="(%1)"/>
      <w:numFmt w:val="lowerLetter"/>
      <w:start w:val="6"/>
    </w:lvl>
  </w:abstractNum>
  <w:abstractNum w:abstractNumId="208">
    <w:nsid w:val="6B057295"/>
    <w:multiLevelType w:val="hybridMultilevel"/>
    <w:lvl w:ilvl="0">
      <w:lvlJc w:val="left"/>
      <w:lvlText w:val="(%1)"/>
      <w:numFmt w:val="lowerRoman"/>
      <w:start w:val="1"/>
    </w:lvl>
    <w:lvl w:ilvl="1">
      <w:lvlJc w:val="left"/>
      <w:lvlText w:val="(%2)"/>
      <w:numFmt w:val="lowerLetter"/>
      <w:start w:val="2"/>
    </w:lvl>
  </w:abstractNum>
  <w:abstractNum w:abstractNumId="209">
    <w:nsid w:val="2771AC80"/>
    <w:multiLevelType w:val="hybridMultilevel"/>
    <w:lvl w:ilvl="0">
      <w:lvlJc w:val="left"/>
      <w:lvlText w:val="(%1)"/>
      <w:numFmt w:val="lowerLetter"/>
      <w:start w:val="3"/>
    </w:lvl>
  </w:abstractNum>
  <w:abstractNum w:abstractNumId="210">
    <w:nsid w:val="1C4A08EC"/>
    <w:multiLevelType w:val="hybridMultilevel"/>
    <w:lvl w:ilvl="0">
      <w:lvlJc w:val="left"/>
      <w:lvlText w:val="(%1)"/>
      <w:numFmt w:val="lowerLetter"/>
      <w:start w:val="2"/>
    </w:lvl>
    <w:lvl w:ilvl="1">
      <w:lvlJc w:val="left"/>
      <w:lvlText w:val="(%2)"/>
      <w:numFmt w:val="upperLetter"/>
      <w:start w:val="1"/>
    </w:lvl>
  </w:abstractNum>
  <w:abstractNum w:abstractNumId="211">
    <w:nsid w:val="1958BD17"/>
    <w:multiLevelType w:val="hybridMultilevel"/>
    <w:lvl w:ilvl="0">
      <w:lvlJc w:val="left"/>
      <w:lvlText w:val="(%1)"/>
      <w:numFmt w:val="lowerRoman"/>
      <w:start w:val="2"/>
    </w:lvl>
    <w:lvl w:ilvl="1">
      <w:lvlJc w:val="left"/>
      <w:lvlText w:val="(%2)"/>
      <w:numFmt w:val="upperLetter"/>
      <w:start w:val="1"/>
    </w:lvl>
  </w:abstractNum>
  <w:abstractNum w:abstractNumId="212">
    <w:nsid w:val="4E647FE4"/>
    <w:multiLevelType w:val="hybridMultilevel"/>
    <w:lvl w:ilvl="0">
      <w:lvlJc w:val="left"/>
      <w:lvlText w:val="(%1)"/>
      <w:numFmt w:val="lowerRoman"/>
      <w:start w:val="10"/>
    </w:lvl>
    <w:lvl w:ilvl="1">
      <w:lvlJc w:val="left"/>
      <w:lvlText w:val="(%2)"/>
      <w:numFmt w:val="upperLetter"/>
      <w:start w:val="4"/>
    </w:lvl>
  </w:abstractNum>
  <w:abstractNum w:abstractNumId="213">
    <w:nsid w:val="E0BB885"/>
    <w:multiLevelType w:val="hybridMultilevel"/>
    <w:lvl w:ilvl="0">
      <w:lvlJc w:val="left"/>
      <w:lvlText w:val="%1"/>
      <w:numFmt w:val="lowerLetter"/>
      <w:start w:val="1"/>
    </w:lvl>
    <w:lvl w:ilvl="1">
      <w:lvlJc w:val="left"/>
      <w:lvlText w:val="(%2)"/>
      <w:numFmt w:val="lowerRoman"/>
      <w:start w:val="3"/>
    </w:lvl>
  </w:abstractNum>
  <w:abstractNum w:abstractNumId="214">
    <w:nsid w:val="565976F1"/>
    <w:multiLevelType w:val="hybridMultilevel"/>
    <w:lvl w:ilvl="0">
      <w:lvlJc w:val="left"/>
      <w:lvlText w:val="(%1)"/>
      <w:numFmt w:val="lowerLetter"/>
      <w:start w:val="3"/>
    </w:lvl>
    <w:lvl w:ilvl="1">
      <w:lvlJc w:val="left"/>
      <w:lvlText w:val="%2"/>
      <w:numFmt w:val="lowerRoman"/>
      <w:start w:val="1"/>
    </w:lvl>
  </w:abstractNum>
  <w:abstractNum w:abstractNumId="215">
    <w:nsid w:val="64212B8C"/>
    <w:multiLevelType w:val="hybridMultilevel"/>
    <w:lvl w:ilvl="0">
      <w:lvlJc w:val="left"/>
      <w:lvlText w:val="(%1)"/>
      <w:numFmt w:val="lowerLetter"/>
      <w:start w:val="4"/>
    </w:lvl>
  </w:abstractNum>
  <w:abstractNum w:abstractNumId="216">
    <w:nsid w:val="5C17530C"/>
    <w:multiLevelType w:val="hybridMultilevel"/>
    <w:lvl w:ilvl="0">
      <w:lvlJc w:val="left"/>
      <w:lvlText w:val="(%1)"/>
      <w:numFmt w:val="lowerLetter"/>
      <w:start w:val="2"/>
    </w:lvl>
  </w:abstractNum>
  <w:abstractNum w:abstractNumId="217">
    <w:nsid w:val="19A52566"/>
    <w:multiLevelType w:val="hybridMultilevel"/>
    <w:lvl w:ilvl="0">
      <w:lvlJc w:val="left"/>
      <w:lvlText w:val="(%1)"/>
      <w:numFmt w:val="lowerLetter"/>
      <w:start w:val="4"/>
    </w:lvl>
  </w:abstractNum>
  <w:abstractNum w:abstractNumId="218">
    <w:nsid w:val="335A1DF1"/>
    <w:multiLevelType w:val="hybridMultilevel"/>
    <w:lvl w:ilvl="0">
      <w:lvlJc w:val="left"/>
      <w:lvlText w:val="(%1)"/>
      <w:numFmt w:val="lowerLetter"/>
      <w:start w:val="1"/>
    </w:lvl>
  </w:abstractNum>
  <w:abstractNum w:abstractNumId="219">
    <w:nsid w:val="28677B7C"/>
    <w:multiLevelType w:val="hybridMultilevel"/>
    <w:lvl w:ilvl="0">
      <w:lvlJc w:val="left"/>
      <w:lvlText w:val="(%1)"/>
      <w:numFmt w:val="lowerLetter"/>
      <w:start w:val="2"/>
    </w:lvl>
  </w:abstractNum>
  <w:abstractNum w:abstractNumId="220">
    <w:nsid w:val="378D97C0"/>
    <w:multiLevelType w:val="hybridMultilevel"/>
    <w:lvl w:ilvl="0">
      <w:lvlJc w:val="left"/>
      <w:lvlText w:val="(%1)"/>
      <w:numFmt w:val="lowerLetter"/>
      <w:start w:val="1"/>
    </w:lvl>
    <w:lvl w:ilvl="1">
      <w:lvlJc w:val="left"/>
      <w:lvlText w:val="(%2)"/>
      <w:numFmt w:val="lowerRoman"/>
      <w:start w:val="1"/>
    </w:lvl>
  </w:abstractNum>
  <w:abstractNum w:abstractNumId="221">
    <w:nsid w:val="1D91467C"/>
    <w:multiLevelType w:val="hybridMultilevel"/>
    <w:lvl w:ilvl="0">
      <w:lvlJc w:val="left"/>
      <w:lvlText w:val="%1."/>
      <w:numFmt w:val="decimal"/>
      <w:start w:val="1"/>
    </w:lvl>
    <w:lvl w:ilvl="1">
      <w:lvlJc w:val="left"/>
      <w:lvlText w:val="%2)"/>
      <w:numFmt w:val="lowerLetter"/>
      <w:start w:val="1"/>
    </w:lvl>
  </w:abstractNum>
  <w:abstractNum w:abstractNumId="222">
    <w:nsid w:val="316032BB"/>
    <w:multiLevelType w:val="hybridMultilevel"/>
    <w:lvl w:ilvl="0">
      <w:lvlJc w:val="left"/>
      <w:lvlText w:val="%1."/>
      <w:numFmt w:val="decimal"/>
      <w:start w:val="1"/>
    </w:lvl>
    <w:lvl w:ilvl="1">
      <w:lvlJc w:val="left"/>
      <w:lvlText w:val="%2)"/>
      <w:numFmt w:val="lowerLetter"/>
      <w:start w:val="1"/>
    </w:lvl>
  </w:abstractNum>
  <w:abstractNum w:abstractNumId="223">
    <w:nsid w:val="44344C22"/>
    <w:multiLevelType w:val="hybridMultilevel"/>
    <w:lvl w:ilvl="0">
      <w:lvlJc w:val="left"/>
      <w:lvlText w:val="(%1)"/>
      <w:numFmt w:val="lowerLetter"/>
      <w:start w:val="1"/>
    </w:lvl>
  </w:abstractNum>
  <w:abstractNum w:abstractNumId="224">
    <w:nsid w:val="13CDFCF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45" Type="http://schemas.openxmlformats.org/officeDocument/2006/relationships/hyperlink" Target="https://www.sec.gov/ix?doc=/Archives/edgar/data/0001037868/000103786822000027/ame-202205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2024-08-01T13:46:03Z</dcterms:created>
  <dcterms:modified xsi:type="dcterms:W3CDTF">2024-08-01T13:46:03Z</dcterms:modified>
</cp:coreProperties>
</file>