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w:t>
      </w:r>
    </w:p>
    <w:p>
      <w:pPr>
        <w:pStyle w:val="TextBody"/>
        <w:spacing w:lineRule="auto" w:line="288" w:before="120" w:after="283"/>
        <w:jc w:val="center"/>
        <w:rPr>
          <w:rFonts w:ascii="Times New Roman;sans-serif" w:hAnsi="Times New Roman;sans-serif"/>
          <w:b/>
          <w:color w:val="000000"/>
          <w:sz w:val="40"/>
        </w:rPr>
      </w:pPr>
      <w:r>
        <w:rPr>
          <w:rFonts w:ascii="Times New Roman;sans-serif" w:hAnsi="Times New Roman;sans-serif"/>
          <w:b/>
          <w:color w:val="000000"/>
          <w:sz w:val="40"/>
        </w:rPr>
        <w:t xml:space="preserve">FORM 10-Q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1-12981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w:t>
      </w:r>
    </w:p>
    <w:p>
      <w:pPr>
        <w:pStyle w:val="TextBody"/>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AMETEK,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Delaware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1100 Cassatt Road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Berwyn, Pennsylvania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14-1682544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19312-1177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(Zip Code)</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(610) 647-2121 </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w:t>
      </w:r>
    </w:p>
    <w:p>
      <w:pPr>
        <w:pStyle w:val="TextBody"/>
        <w:spacing w:lineRule="auto" w:line="288" w:before="120" w:after="283"/>
        <w:ind w:left="0" w:right="0" w:firstLine="72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20" w:after="283"/>
        <w:ind w:left="0" w:right="0" w:firstLine="720"/>
        <w:rPr/>
      </w:pPr>
      <w:r>
        <w:rPr>
          <w:rFonts w:ascii="Times New Roman;sans-serif" w:hAnsi="Times New Roman;sans-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8695" w:type="dxa"/>
        <w:jc w:val="left"/>
        <w:tblInd w:w="0" w:type="dxa"/>
        <w:tblCellMar>
          <w:top w:w="28" w:type="dxa"/>
          <w:left w:w="28" w:type="dxa"/>
          <w:bottom w:w="28" w:type="dxa"/>
          <w:right w:w="28" w:type="dxa"/>
        </w:tblCellMar>
      </w:tblPr>
      <w:tblGrid>
        <w:gridCol w:w="695"/>
        <w:gridCol w:w="611"/>
        <w:gridCol w:w="613"/>
        <w:gridCol w:w="1363"/>
        <w:gridCol w:w="1363"/>
        <w:gridCol w:w="1368"/>
        <w:gridCol w:w="769"/>
        <w:gridCol w:w="769"/>
        <w:gridCol w:w="772"/>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4094"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pPr>
            <w:r>
              <w:rPr>
                <w:color w:val="000000"/>
              </w:rPr>
              <w:t xml:space="preserve">☐ </w:t>
            </w:r>
            <w:r>
              <w:rPr>
                <w:rFonts w:ascii="Times New Roman;sans-serif" w:hAnsi="Times New Roman;sans-serif"/>
                <w:b w:val="false"/>
                <w:color w:val="000000"/>
                <w:sz w:val="20"/>
              </w:rPr>
              <w:t>(Do not check if a smaller reporting company)</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120" w:after="283"/>
              <w:jc w:val="left"/>
              <w:rPr>
                <w:color w:val="000000"/>
              </w:rPr>
            </w:pPr>
            <w:r>
              <w:rPr>
                <w:color w:val="000000"/>
              </w:rPr>
              <w:t>☐</w:t>
            </w:r>
          </w:p>
        </w:tc>
      </w:tr>
    </w:tbl>
    <w:p>
      <w:pPr>
        <w:pStyle w:val="TextBody"/>
        <w:spacing w:lineRule="auto" w:line="288" w:before="20" w:after="283"/>
        <w:ind w:left="0" w:right="0" w:firstLine="7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20" w:after="283"/>
        <w:ind w:left="0" w:right="0" w:firstLine="720"/>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5273" w:type="dxa"/>
        <w:jc w:val="left"/>
        <w:tblInd w:w="0" w:type="dxa"/>
        <w:tblCellMar>
          <w:top w:w="28" w:type="dxa"/>
          <w:left w:w="28" w:type="dxa"/>
          <w:bottom w:w="28" w:type="dxa"/>
          <w:right w:w="28" w:type="dxa"/>
        </w:tblCellMar>
      </w:tblPr>
      <w:tblGrid>
        <w:gridCol w:w="510"/>
        <w:gridCol w:w="447"/>
        <w:gridCol w:w="453"/>
        <w:gridCol w:w="109"/>
        <w:gridCol w:w="109"/>
        <w:gridCol w:w="109"/>
        <w:gridCol w:w="274"/>
        <w:gridCol w:w="274"/>
        <w:gridCol w:w="276"/>
        <w:gridCol w:w="109"/>
        <w:gridCol w:w="109"/>
        <w:gridCol w:w="109"/>
        <w:gridCol w:w="698"/>
        <w:gridCol w:w="698"/>
        <w:gridCol w:w="989"/>
      </w:tblGrid>
      <w:tr>
        <w:trPr/>
        <w:tc>
          <w:tcPr>
            <w:tcW w:w="510"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w:t>
              <w:br/>
              <w:t>on which registered</w:t>
            </w:r>
          </w:p>
        </w:tc>
      </w:tr>
      <w:tr>
        <w:trPr/>
        <w:tc>
          <w:tcPr>
            <w:tcW w:w="14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spacing w:lineRule="auto" w:line="288" w:before="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number of shares of the registrant’s common stock outstanding as of the latest practicable date was: Common Stock, $0.01 Par Value, outstanding at April 28, 2023 was 230,475,184 shares.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065" w:type="dxa"/>
        <w:jc w:val="left"/>
        <w:tblInd w:w="0" w:type="dxa"/>
        <w:tblCellMar>
          <w:top w:w="28" w:type="dxa"/>
          <w:left w:w="28" w:type="dxa"/>
          <w:bottom w:w="28" w:type="dxa"/>
          <w:right w:w="28" w:type="dxa"/>
        </w:tblCellMar>
      </w:tblPr>
      <w:tblGrid>
        <w:gridCol w:w="3461"/>
        <w:gridCol w:w="3039"/>
        <w:gridCol w:w="3054"/>
        <w:gridCol w:w="149"/>
        <w:gridCol w:w="149"/>
        <w:gridCol w:w="213"/>
      </w:tblGrid>
      <w:tr>
        <w:trPr/>
        <w:tc>
          <w:tcPr>
            <w:tcW w:w="3461" w:type="dxa"/>
            <w:tcBorders/>
            <w:shd w:fill="auto" w:val="clear"/>
            <w:vAlign w:val="center"/>
          </w:tcPr>
          <w:p>
            <w:pPr>
              <w:pStyle w:val="TableContents"/>
              <w:spacing w:before="0" w:after="283"/>
              <w:rPr>
                <w:sz w:val="4"/>
                <w:szCs w:val="4"/>
              </w:rPr>
            </w:pPr>
            <w:r>
              <w:rPr>
                <w:sz w:val="4"/>
                <w:szCs w:val="4"/>
              </w:rPr>
            </w:r>
          </w:p>
        </w:tc>
        <w:tc>
          <w:tcPr>
            <w:tcW w:w="3039" w:type="dxa"/>
            <w:tcBorders/>
            <w:shd w:fill="auto" w:val="clear"/>
            <w:vAlign w:val="center"/>
          </w:tcPr>
          <w:p>
            <w:pPr>
              <w:pStyle w:val="TableContents"/>
              <w:spacing w:before="0" w:after="283"/>
              <w:rPr>
                <w:sz w:val="4"/>
                <w:szCs w:val="4"/>
              </w:rPr>
            </w:pPr>
            <w:r>
              <w:rPr>
                <w:sz w:val="4"/>
                <w:szCs w:val="4"/>
              </w:rPr>
            </w:r>
          </w:p>
        </w:tc>
        <w:tc>
          <w:tcPr>
            <w:tcW w:w="3054"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9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87f7d7d6954a8c82b1873a6c5c185d_10">
              <w:r>
                <w:rPr>
                  <w:rStyle w:val="InternetLink"/>
                  <w:rFonts w:ascii="Times New Roman;sans-serif" w:hAnsi="Times New Roman;sans-serif"/>
                  <w:b/>
                  <w:color w:val="0000FF"/>
                  <w:sz w:val="20"/>
                  <w:u w:val="single"/>
                </w:rPr>
                <w:t>PART I. FINANCIAL INFORMATION</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495"/>
              <w:jc w:val="left"/>
              <w:rPr/>
            </w:pPr>
            <w:hyperlink w:anchor="i9487f7d7d6954a8c82b1873a6c5c185d_13">
              <w:r>
                <w:rPr>
                  <w:rStyle w:val="InternetLink"/>
                  <w:rFonts w:ascii="Times New Roman;sans-serif" w:hAnsi="Times New Roman;sans-serif"/>
                  <w:b w:val="false"/>
                  <w:color w:val="0000FF"/>
                  <w:sz w:val="20"/>
                  <w:u w:val="single"/>
                </w:rPr>
                <w:t>Item 1.Financial Statements</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87f7d7d6954a8c82b1873a6c5c185d_16">
              <w:r>
                <w:rPr>
                  <w:rStyle w:val="InternetLink"/>
                  <w:rFonts w:ascii="Times New Roman;sans-serif" w:hAnsi="Times New Roman;sans-serif"/>
                  <w:b w:val="false"/>
                  <w:color w:val="0000FF"/>
                  <w:sz w:val="20"/>
                  <w:u w:val="single"/>
                </w:rPr>
                <w:t>Consolidated Statement of Income for the three months ended March 31, 2023 and 2022</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87f7d7d6954a8c82b1873a6c5c185d_16">
              <w:r>
                <w:rPr>
                  <w:rStyle w:val="InternetLink"/>
                  <w:rFonts w:ascii="Times New Roman;sans-serif" w:hAnsi="Times New Roman;sans-serif"/>
                  <w:b w:val="false"/>
                  <w:strike w:val="false"/>
                  <w:dstrike w:val="false"/>
                  <w:color w:val="000000"/>
                  <w:sz w:val="20"/>
                  <w:u w:val="none"/>
                  <w:effect w:val="none"/>
                </w:rPr>
                <w:t>3</w:t>
              </w:r>
            </w:hyperlink>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87f7d7d6954a8c82b1873a6c5c185d_19">
              <w:r>
                <w:rPr>
                  <w:rStyle w:val="InternetLink"/>
                  <w:rFonts w:ascii="Times New Roman;sans-serif" w:hAnsi="Times New Roman;sans-serif"/>
                  <w:b w:val="false"/>
                  <w:color w:val="0000FF"/>
                  <w:sz w:val="20"/>
                  <w:u w:val="single"/>
                </w:rPr>
                <w:t>Condensed Consolidated Statement of Comprehensive Income for the three months ended March 31, 2023 and 2022</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87f7d7d6954a8c82b1873a6c5c185d_19">
              <w:r>
                <w:rPr>
                  <w:rStyle w:val="InternetLink"/>
                  <w:rFonts w:ascii="Times New Roman;sans-serif" w:hAnsi="Times New Roman;sans-serif"/>
                  <w:b w:val="false"/>
                  <w:strike w:val="false"/>
                  <w:dstrike w:val="false"/>
                  <w:color w:val="000000"/>
                  <w:sz w:val="20"/>
                  <w:u w:val="none"/>
                  <w:effect w:val="none"/>
                </w:rPr>
                <w:t>4</w:t>
              </w:r>
            </w:hyperlink>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87f7d7d6954a8c82b1873a6c5c185d_22">
              <w:r>
                <w:rPr>
                  <w:rStyle w:val="InternetLink"/>
                  <w:rFonts w:ascii="Times New Roman;sans-serif" w:hAnsi="Times New Roman;sans-serif"/>
                  <w:b w:val="false"/>
                  <w:color w:val="0000FF"/>
                  <w:sz w:val="20"/>
                  <w:u w:val="single"/>
                </w:rPr>
                <w:t>Consolidated Balance Sheet at March 31, 2023 and December 31, 2022</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87f7d7d6954a8c82b1873a6c5c185d_22">
              <w:r>
                <w:rPr>
                  <w:rStyle w:val="InternetLink"/>
                  <w:rFonts w:ascii="Times New Roman;sans-serif" w:hAnsi="Times New Roman;sans-serif"/>
                  <w:b w:val="false"/>
                  <w:strike w:val="false"/>
                  <w:dstrike w:val="false"/>
                  <w:color w:val="000000"/>
                  <w:sz w:val="20"/>
                  <w:u w:val="none"/>
                  <w:effect w:val="none"/>
                </w:rPr>
                <w:t>5</w:t>
              </w:r>
            </w:hyperlink>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87f7d7d6954a8c82b1873a6c5c185d_25">
              <w:r>
                <w:rPr>
                  <w:rStyle w:val="InternetLink"/>
                  <w:rFonts w:ascii="Times New Roman;sans-serif" w:hAnsi="Times New Roman;sans-serif"/>
                  <w:b w:val="false"/>
                  <w:color w:val="0000FF"/>
                  <w:sz w:val="20"/>
                  <w:u w:val="single"/>
                </w:rPr>
                <w:t>Consolidated Statement of Stockholders’ Equity for the three months ended March 31, 2023 and 2022</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87f7d7d6954a8c82b1873a6c5c185d_25">
              <w:r>
                <w:rPr>
                  <w:rStyle w:val="InternetLink"/>
                  <w:rFonts w:ascii="Times New Roman;sans-serif" w:hAnsi="Times New Roman;sans-serif"/>
                  <w:b w:val="false"/>
                  <w:strike w:val="false"/>
                  <w:dstrike w:val="false"/>
                  <w:color w:val="000000"/>
                  <w:sz w:val="20"/>
                  <w:u w:val="none"/>
                  <w:effect w:val="none"/>
                </w:rPr>
                <w:t>6</w:t>
              </w:r>
            </w:hyperlink>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87f7d7d6954a8c82b1873a6c5c185d_28">
              <w:r>
                <w:rPr>
                  <w:rStyle w:val="InternetLink"/>
                  <w:rFonts w:ascii="Times New Roman;sans-serif" w:hAnsi="Times New Roman;sans-serif"/>
                  <w:b w:val="false"/>
                  <w:color w:val="0000FF"/>
                  <w:sz w:val="20"/>
                  <w:u w:val="single"/>
                </w:rPr>
                <w:t>Condensed Consolidated Statement of Cash Flows for the three months ended March 31, 2023 and 2022</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87f7d7d6954a8c82b1873a6c5c185d_28">
              <w:r>
                <w:rPr>
                  <w:rStyle w:val="InternetLink"/>
                  <w:rFonts w:ascii="Times New Roman;sans-serif" w:hAnsi="Times New Roman;sans-serif"/>
                  <w:b w:val="false"/>
                  <w:strike w:val="false"/>
                  <w:dstrike w:val="false"/>
                  <w:color w:val="000000"/>
                  <w:sz w:val="20"/>
                  <w:u w:val="none"/>
                  <w:effect w:val="none"/>
                </w:rPr>
                <w:t>7</w:t>
              </w:r>
            </w:hyperlink>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87f7d7d6954a8c82b1873a6c5c185d_31">
              <w:r>
                <w:rPr>
                  <w:rStyle w:val="InternetLink"/>
                  <w:rFonts w:ascii="Times New Roman;sans-serif" w:hAnsi="Times New Roman;sans-serif"/>
                  <w:b w:val="false"/>
                  <w:color w:val="0000FF"/>
                  <w:sz w:val="20"/>
                  <w:u w:val="single"/>
                </w:rPr>
                <w:t>Notes to Consolidated Financial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87f7d7d6954a8c82b1873a6c5c185d_31">
              <w:r>
                <w:rPr>
                  <w:rStyle w:val="InternetLink"/>
                  <w:rFonts w:ascii="Times New Roman;sans-serif" w:hAnsi="Times New Roman;sans-serif"/>
                  <w:b w:val="false"/>
                  <w:strike w:val="false"/>
                  <w:dstrike w:val="false"/>
                  <w:color w:val="000000"/>
                  <w:sz w:val="20"/>
                  <w:u w:val="none"/>
                  <w:effect w:val="none"/>
                </w:rPr>
                <w:t>8</w:t>
              </w:r>
            </w:hyperlink>
          </w:p>
        </w:tc>
      </w:tr>
      <w:tr>
        <w:trPr/>
        <w:tc>
          <w:tcPr>
            <w:tcW w:w="9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495"/>
              <w:jc w:val="left"/>
              <w:rPr/>
            </w:pPr>
            <w:hyperlink w:anchor="i9487f7d7d6954a8c82b1873a6c5c185d_85">
              <w:r>
                <w:rPr>
                  <w:rStyle w:val="InternetLink"/>
                  <w:rFonts w:ascii="Times New Roman;sans-serif" w:hAnsi="Times New Roman;sans-serif"/>
                  <w:b w:val="false"/>
                  <w:color w:val="0000FF"/>
                  <w:sz w:val="20"/>
                  <w:u w:val="single"/>
                </w:rPr>
                <w:t>Item 2.Management’s Discussion and Analysis of Financial Condition and Results of Operations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87f7d7d6954a8c82b1873a6c5c185d_85">
              <w:r>
                <w:rPr>
                  <w:rStyle w:val="InternetLink"/>
                  <w:rFonts w:ascii="Times New Roman;sans-serif" w:hAnsi="Times New Roman;sans-serif"/>
                  <w:b w:val="false"/>
                  <w:strike w:val="false"/>
                  <w:dstrike w:val="false"/>
                  <w:color w:val="000000"/>
                  <w:sz w:val="20"/>
                  <w:u w:val="none"/>
                  <w:effect w:val="none"/>
                </w:rPr>
                <w:t>20</w:t>
              </w:r>
            </w:hyperlink>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495"/>
              <w:jc w:val="left"/>
              <w:rPr/>
            </w:pPr>
            <w:hyperlink w:anchor="i9487f7d7d6954a8c82b1873a6c5c185d_103">
              <w:r>
                <w:rPr>
                  <w:rStyle w:val="InternetLink"/>
                  <w:rFonts w:ascii="Times New Roman;sans-serif" w:hAnsi="Times New Roman;sans-serif"/>
                  <w:b w:val="false"/>
                  <w:color w:val="0000FF"/>
                  <w:sz w:val="20"/>
                  <w:u w:val="single"/>
                </w:rPr>
                <w:t>Item 4.Controls and Procedures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87f7d7d6954a8c82b1873a6c5c185d_103">
              <w:r>
                <w:rPr>
                  <w:rStyle w:val="InternetLink"/>
                  <w:rFonts w:ascii="Times New Roman;sans-serif" w:hAnsi="Times New Roman;sans-serif"/>
                  <w:b w:val="false"/>
                  <w:strike w:val="false"/>
                  <w:dstrike w:val="false"/>
                  <w:color w:val="000000"/>
                  <w:sz w:val="20"/>
                  <w:u w:val="none"/>
                  <w:effect w:val="none"/>
                </w:rPr>
                <w:t>23</w:t>
              </w:r>
            </w:hyperlink>
          </w:p>
        </w:tc>
      </w:tr>
      <w:tr>
        <w:trPr/>
        <w:tc>
          <w:tcPr>
            <w:tcW w:w="9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87f7d7d6954a8c82b1873a6c5c185d_106">
              <w:r>
                <w:rPr>
                  <w:rStyle w:val="InternetLink"/>
                  <w:rFonts w:ascii="Times New Roman;sans-serif" w:hAnsi="Times New Roman;sans-serif"/>
                  <w:b/>
                  <w:color w:val="0000FF"/>
                  <w:sz w:val="20"/>
                  <w:u w:val="single"/>
                </w:rPr>
                <w:t>PART II. OTHER INFORMATION</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495"/>
              <w:jc w:val="left"/>
              <w:rPr/>
            </w:pPr>
            <w:hyperlink w:anchor="i9487f7d7d6954a8c82b1873a6c5c185d_112">
              <w:r>
                <w:rPr>
                  <w:rStyle w:val="InternetLink"/>
                  <w:rFonts w:ascii="Times New Roman;sans-serif" w:hAnsi="Times New Roman;sans-serif"/>
                  <w:b w:val="false"/>
                  <w:color w:val="0000FF"/>
                  <w:sz w:val="20"/>
                  <w:u w:val="single"/>
                </w:rPr>
                <w:t>Item 2.Unregistered Sales of Equity Securities and Use of Proceeds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87f7d7d6954a8c82b1873a6c5c185d_112">
              <w:r>
                <w:rPr>
                  <w:rStyle w:val="InternetLink"/>
                  <w:rFonts w:ascii="Times New Roman;sans-serif" w:hAnsi="Times New Roman;sans-serif"/>
                  <w:b w:val="false"/>
                  <w:strike w:val="false"/>
                  <w:dstrike w:val="false"/>
                  <w:color w:val="000000"/>
                  <w:sz w:val="20"/>
                  <w:u w:val="none"/>
                  <w:effect w:val="none"/>
                </w:rPr>
                <w:t>24</w:t>
              </w:r>
            </w:hyperlink>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firstLine="495"/>
              <w:jc w:val="left"/>
              <w:rPr/>
            </w:pPr>
            <w:hyperlink w:anchor="i9487f7d7d6954a8c82b1873a6c5c185d_115">
              <w:r>
                <w:rPr>
                  <w:rStyle w:val="InternetLink"/>
                  <w:rFonts w:ascii="Times New Roman;sans-serif" w:hAnsi="Times New Roman;sans-serif"/>
                  <w:b w:val="false"/>
                  <w:color w:val="0000FF"/>
                  <w:sz w:val="20"/>
                  <w:u w:val="single"/>
                </w:rPr>
                <w:t>Item 6.Exhibits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87f7d7d6954a8c82b1873a6c5c185d_115">
              <w:r>
                <w:rPr>
                  <w:rStyle w:val="InternetLink"/>
                  <w:rFonts w:ascii="Times New Roman;sans-serif" w:hAnsi="Times New Roman;sans-serif"/>
                  <w:b w:val="false"/>
                  <w:strike w:val="false"/>
                  <w:dstrike w:val="false"/>
                  <w:color w:val="000000"/>
                  <w:sz w:val="20"/>
                  <w:u w:val="none"/>
                  <w:effect w:val="none"/>
                </w:rPr>
                <w:t>25</w:t>
              </w:r>
            </w:hyperlink>
          </w:p>
        </w:tc>
      </w:tr>
      <w:tr>
        <w:trPr/>
        <w:tc>
          <w:tcPr>
            <w:tcW w:w="9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9487f7d7d6954a8c82b1873a6c5c185d_118">
              <w:r>
                <w:rPr>
                  <w:rStyle w:val="InternetLink"/>
                  <w:rFonts w:ascii="Times New Roman;sans-serif" w:hAnsi="Times New Roman;sans-serif"/>
                  <w:b/>
                  <w:color w:val="0000FF"/>
                  <w:sz w:val="20"/>
                  <w:u w:val="single"/>
                </w:rPr>
                <w:t>SIGNATURES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9487f7d7d6954a8c82b1873a6c5c185d_118">
              <w:r>
                <w:rPr>
                  <w:rStyle w:val="InternetLink"/>
                  <w:rFonts w:ascii="Times New Roman;sans-serif" w:hAnsi="Times New Roman;sans-serif"/>
                  <w:b w:val="false"/>
                  <w:strike w:val="false"/>
                  <w:dstrike w:val="false"/>
                  <w:color w:val="000000"/>
                  <w:sz w:val="20"/>
                  <w:u w:val="none"/>
                  <w:effect w:val="none"/>
                </w:rPr>
                <w:t>26</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375" w:type="dxa"/>
        <w:jc w:val="left"/>
        <w:tblInd w:w="0" w:type="dxa"/>
        <w:tblCellMar>
          <w:top w:w="28" w:type="dxa"/>
          <w:left w:w="28" w:type="dxa"/>
          <w:bottom w:w="28" w:type="dxa"/>
          <w:right w:w="28" w:type="dxa"/>
        </w:tblCellMar>
      </w:tblPr>
      <w:tblGrid>
        <w:gridCol w:w="1429"/>
        <w:gridCol w:w="1255"/>
        <w:gridCol w:w="1276"/>
        <w:gridCol w:w="211"/>
        <w:gridCol w:w="991"/>
        <w:gridCol w:w="109"/>
        <w:gridCol w:w="109"/>
        <w:gridCol w:w="109"/>
        <w:gridCol w:w="109"/>
        <w:gridCol w:w="211"/>
        <w:gridCol w:w="976"/>
        <w:gridCol w:w="109"/>
        <w:gridCol w:w="109"/>
        <w:gridCol w:w="109"/>
        <w:gridCol w:w="109"/>
        <w:gridCol w:w="154"/>
      </w:tblGrid>
      <w:tr>
        <w:trPr/>
        <w:tc>
          <w:tcPr>
            <w:tcW w:w="1429"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1,597,117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1,022,525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169,051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1,191,576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405,541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(20,569)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(5,373)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379,599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73,887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305,712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1.33</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1.32</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shares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230,126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w:t>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231,229</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233,065 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 and paid per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0.25</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5680" w:type="dxa"/>
        <w:jc w:val="left"/>
        <w:tblInd w:w="0" w:type="dxa"/>
        <w:tblCellMar>
          <w:top w:w="28" w:type="dxa"/>
          <w:left w:w="28" w:type="dxa"/>
          <w:bottom w:w="28" w:type="dxa"/>
          <w:right w:w="28" w:type="dxa"/>
        </w:tblCellMar>
      </w:tblPr>
      <w:tblGrid>
        <w:gridCol w:w="930"/>
        <w:gridCol w:w="816"/>
        <w:gridCol w:w="819"/>
        <w:gridCol w:w="211"/>
        <w:gridCol w:w="841"/>
        <w:gridCol w:w="109"/>
        <w:gridCol w:w="109"/>
        <w:gridCol w:w="109"/>
        <w:gridCol w:w="109"/>
        <w:gridCol w:w="211"/>
        <w:gridCol w:w="826"/>
        <w:gridCol w:w="109"/>
        <w:gridCol w:w="109"/>
        <w:gridCol w:w="109"/>
        <w:gridCol w:w="109"/>
        <w:gridCol w:w="154"/>
      </w:tblGrid>
      <w:tr>
        <w:trPr/>
        <w:tc>
          <w:tcPr>
            <w:tcW w:w="930"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332,211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8528" w:type="dxa"/>
        <w:jc w:val="left"/>
        <w:tblInd w:w="0" w:type="dxa"/>
        <w:tblCellMar>
          <w:top w:w="28" w:type="dxa"/>
          <w:left w:w="28" w:type="dxa"/>
          <w:bottom w:w="28" w:type="dxa"/>
          <w:right w:w="28" w:type="dxa"/>
        </w:tblCellMar>
      </w:tblPr>
      <w:tblGrid>
        <w:gridCol w:w="1931"/>
        <w:gridCol w:w="1701"/>
        <w:gridCol w:w="1707"/>
        <w:gridCol w:w="211"/>
        <w:gridCol w:w="1096"/>
        <w:gridCol w:w="109"/>
        <w:gridCol w:w="109"/>
        <w:gridCol w:w="109"/>
        <w:gridCol w:w="109"/>
        <w:gridCol w:w="211"/>
        <w:gridCol w:w="1081"/>
        <w:gridCol w:w="154"/>
      </w:tblGrid>
      <w:tr>
        <w:trPr/>
        <w:tc>
          <w:tcPr>
            <w:tcW w:w="1931" w:type="dxa"/>
            <w:tcBorders/>
            <w:shd w:fill="auto" w:val="clear"/>
            <w:vAlign w:val="center"/>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17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399,873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901,506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919,335 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1,117,051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1,044,284 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247,512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2,665,942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2,528,058 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637,672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net</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166,985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5,430,493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5,372,562 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 net</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3,321,124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3,342,085 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and other assets</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393,806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12,616,022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12,431,120 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4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 and current portion of long-term debt, net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70,017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526,063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497,134 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advanced payments</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377,856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107,134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371,597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1,452,667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1,564,202 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2,175,880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2,158,928 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670,256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560,094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4,858,897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4,954,608 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2,704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 excess of par value</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1,092,362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9,105,705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8,857,485 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(548,446)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(574,945)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(1,895,200)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(1,902,964)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7,757,125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7,476,512 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12,616,022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12,431,120 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CellMar>
          <w:top w:w="28" w:type="dxa"/>
          <w:left w:w="28" w:type="dxa"/>
          <w:bottom w:w="28" w:type="dxa"/>
          <w:right w:w="28" w:type="dxa"/>
        </w:tblCellMar>
      </w:tblPr>
      <w:tblGrid>
        <w:gridCol w:w="2649"/>
        <w:gridCol w:w="2065"/>
        <w:gridCol w:w="2075"/>
        <w:gridCol w:w="211"/>
        <w:gridCol w:w="991"/>
        <w:gridCol w:w="109"/>
        <w:gridCol w:w="109"/>
        <w:gridCol w:w="109"/>
        <w:gridCol w:w="109"/>
        <w:gridCol w:w="211"/>
        <w:gridCol w:w="976"/>
        <w:gridCol w:w="109"/>
        <w:gridCol w:w="109"/>
        <w:gridCol w:w="109"/>
        <w:gridCol w:w="109"/>
        <w:gridCol w:w="155"/>
      </w:tblGrid>
      <w:tr>
        <w:trPr/>
        <w:tc>
          <w:tcPr>
            <w:tcW w:w="2649" w:type="dxa"/>
            <w:tcBorders/>
            <w:shd w:fill="auto" w:val="clear"/>
            <w:vAlign w:val="center"/>
          </w:tcPr>
          <w:p>
            <w:pPr>
              <w:pStyle w:val="TableContents"/>
              <w:spacing w:before="0" w:after="283"/>
              <w:rPr>
                <w:sz w:val="4"/>
                <w:szCs w:val="4"/>
              </w:rPr>
            </w:pPr>
            <w:r>
              <w:rPr>
                <w:sz w:val="4"/>
                <w:szCs w:val="4"/>
              </w:rPr>
            </w:r>
          </w:p>
        </w:tc>
        <w:tc>
          <w:tcPr>
            <w:tcW w:w="2065" w:type="dxa"/>
            <w:tcBorders/>
            <w:shd w:fill="auto" w:val="clear"/>
            <w:vAlign w:val="center"/>
          </w:tcPr>
          <w:p>
            <w:pPr>
              <w:pStyle w:val="TableContents"/>
              <w:spacing w:before="0" w:after="283"/>
              <w:rPr>
                <w:sz w:val="4"/>
                <w:szCs w:val="4"/>
              </w:rPr>
            </w:pPr>
            <w:r>
              <w:rPr>
                <w:sz w:val="4"/>
                <w:szCs w:val="4"/>
              </w:rPr>
            </w:r>
          </w:p>
        </w:tc>
        <w:tc>
          <w:tcPr>
            <w:tcW w:w="20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67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stock</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2,704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in excess of par value</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1,012,526 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plans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(12,153)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10,279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1,092,362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8,857,485 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7,900,113 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305,712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(57,492)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auto" w:val="clear"/>
            <w:vAlign w:val="center"/>
          </w:tcPr>
          <w:p>
            <w:pPr>
              <w:pStyle w:val="TableContents"/>
              <w:spacing w:before="0" w:after="283"/>
              <w:rPr>
                <w:sz w:val="4"/>
                <w:szCs w:val="4"/>
              </w:rPr>
            </w:pPr>
            <w:r>
              <w:rPr>
                <w:sz w:val="4"/>
                <w:szCs w:val="4"/>
              </w:rPr>
            </w:r>
          </w:p>
        </w:tc>
        <w:tc>
          <w:tcPr>
            <w:tcW w:w="13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9,105,705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(loss) income</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(368,124)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adjustments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32,820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long-term intercompany notes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3,771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hedge instruments gain (loss), net of tax of $3,805 and $(5,831) for the quarter ended March 31, 2023 and 2022, respectively</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(11,684)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(343,217)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plans:</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actuarial loss and other, net of tax of $(518) and $(326) for the quarter ended March 31, 2023 and 2022, respectively</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1,592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(205,229)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at the end of the period</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(548,446)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Treasury stock</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(1,902,964)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plans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14,266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(6,502)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(1,895,200)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(1,725,629)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7,757,125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079" w:type="dxa"/>
        <w:jc w:val="left"/>
        <w:tblInd w:w="0" w:type="dxa"/>
        <w:tblCellMar>
          <w:top w:w="28" w:type="dxa"/>
          <w:left w:w="28" w:type="dxa"/>
          <w:bottom w:w="28" w:type="dxa"/>
          <w:right w:w="28" w:type="dxa"/>
        </w:tblCellMar>
      </w:tblPr>
      <w:tblGrid>
        <w:gridCol w:w="1956"/>
        <w:gridCol w:w="1719"/>
        <w:gridCol w:w="1725"/>
        <w:gridCol w:w="211"/>
        <w:gridCol w:w="841"/>
        <w:gridCol w:w="109"/>
        <w:gridCol w:w="109"/>
        <w:gridCol w:w="109"/>
        <w:gridCol w:w="109"/>
        <w:gridCol w:w="211"/>
        <w:gridCol w:w="826"/>
        <w:gridCol w:w="154"/>
      </w:tblGrid>
      <w:tr>
        <w:trPr/>
        <w:tc>
          <w:tcPr>
            <w:tcW w:w="1956" w:type="dxa"/>
            <w:tcBorders/>
            <w:shd w:fill="auto" w:val="clear"/>
            <w:vAlign w:val="center"/>
          </w:tcPr>
          <w:p>
            <w:pPr>
              <w:pStyle w:val="TableContents"/>
              <w:spacing w:before="0" w:after="283"/>
              <w:rPr>
                <w:sz w:val="4"/>
                <w:szCs w:val="4"/>
              </w:rPr>
            </w:pPr>
            <w:r>
              <w:rPr>
                <w:sz w:val="4"/>
                <w:szCs w:val="4"/>
              </w:rPr>
            </w:r>
          </w:p>
        </w:tc>
        <w:tc>
          <w:tcPr>
            <w:tcW w:w="1719" w:type="dxa"/>
            <w:tcBorders/>
            <w:shd w:fill="auto" w:val="clear"/>
            <w:vAlign w:val="center"/>
          </w:tcPr>
          <w:p>
            <w:pPr>
              <w:pStyle w:val="TableContents"/>
              <w:spacing w:before="0" w:after="283"/>
              <w:rPr>
                <w:sz w:val="4"/>
                <w:szCs w:val="4"/>
              </w:rPr>
            </w:pPr>
            <w:r>
              <w:rPr>
                <w:sz w:val="4"/>
                <w:szCs w:val="4"/>
              </w:rPr>
            </w:r>
          </w:p>
        </w:tc>
        <w:tc>
          <w:tcPr>
            <w:tcW w:w="172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4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provided by (used for):</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305,712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total operating activities:</w:t>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82,379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(17,587)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10,279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facilities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assets and liabilities, net of acquisitions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4,883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(138,897)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contributions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2,285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386,536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plant and equipment</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(20,006)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businesses, net of cash acquired</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(99,266)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facilities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(2,888)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(122,160)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short-term borrowings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(155,505)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of common stock</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(6,502)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(156,724)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(57,492)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(50,778)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stock option exercises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10,419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(5,886)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(214,966)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cash and cash equivalents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54,487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399,873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are unaudited. AMETEK, Inc. (the “Company”) believes that all adjustments (which primarily consist of normal recurring accruals) necessary for a fair presentation of the consolidated financial position of the Company at March 31, 2023, the consolidated results of its operations for the three months ended March 31, 2023 and 2022 and its cash flows for the three months ended March 31, 2023 and 2022 have been included.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2022 as filed with the U.S. Securities and Exchange Commission.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2.    Revenues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outstanding contract asset and liability accounts were as follows:</w:t>
      </w:r>
    </w:p>
    <w:tbl>
      <w:tblPr>
        <w:tblW w:w="6833" w:type="dxa"/>
        <w:jc w:val="left"/>
        <w:tblInd w:w="0" w:type="dxa"/>
        <w:tblCellMar>
          <w:top w:w="28" w:type="dxa"/>
          <w:left w:w="28" w:type="dxa"/>
          <w:bottom w:w="28" w:type="dxa"/>
          <w:right w:w="28" w:type="dxa"/>
        </w:tblCellMar>
      </w:tblPr>
      <w:tblGrid>
        <w:gridCol w:w="1520"/>
        <w:gridCol w:w="1336"/>
        <w:gridCol w:w="1343"/>
        <w:gridCol w:w="211"/>
        <w:gridCol w:w="826"/>
        <w:gridCol w:w="109"/>
        <w:gridCol w:w="109"/>
        <w:gridCol w:w="109"/>
        <w:gridCol w:w="109"/>
        <w:gridCol w:w="211"/>
        <w:gridCol w:w="796"/>
        <w:gridCol w:w="154"/>
      </w:tblGrid>
      <w:tr>
        <w:trPr/>
        <w:tc>
          <w:tcPr>
            <w:tcW w:w="1520"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assets—January 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 March 31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127,412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102,703 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contract assets – increase (decrease)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7,671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 January 1</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398,692 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328,816 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 March 31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432,695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contract liabilities – (increase) decrease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(34,003)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(26,332)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net change for the three months ended March 31, 2023 was primarily driven by contract liabilities, specifically growth in advance payments from customers. For the three months ended March 31, 2023 and 2022, the Company recognized revenue of $199.3 million and $181.6 million, respectively, that was previously included in the beginning balance of contract liabilities.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Contract assets are reported as a component of Other current assets in the consolidated balance sheet. At March 31, 2023 and December 31, 2022, $54.8 million and $41.0 million of Customer advanced payments (contract liabilities), respectively, were recorded in Other long-term liabilities in the consolidated balance sheets.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remaining performance obligations not expected to be completed within one year as of March 31, 2023 and December 31, 2022 were $570.4 million and $526.0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pStyle w:val="TextBody"/>
        <w:spacing w:before="360" w:after="283"/>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Geographic Areas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sales were attributed to geographic areas based on the location of the customer. Information about the Company’s operations in different geographic areas was as follows for the three months ended March 31:</w:t>
      </w:r>
    </w:p>
    <w:tbl>
      <w:tblPr>
        <w:tblW w:w="7386" w:type="dxa"/>
        <w:jc w:val="left"/>
        <w:tblInd w:w="0" w:type="dxa"/>
        <w:tblCellMar>
          <w:top w:w="28" w:type="dxa"/>
          <w:left w:w="28" w:type="dxa"/>
          <w:bottom w:w="28" w:type="dxa"/>
          <w:right w:w="28" w:type="dxa"/>
        </w:tblCellMar>
      </w:tblPr>
      <w:tblGrid>
        <w:gridCol w:w="814"/>
        <w:gridCol w:w="714"/>
        <w:gridCol w:w="722"/>
        <w:gridCol w:w="211"/>
        <w:gridCol w:w="991"/>
        <w:gridCol w:w="109"/>
        <w:gridCol w:w="109"/>
        <w:gridCol w:w="109"/>
        <w:gridCol w:w="109"/>
        <w:gridCol w:w="211"/>
        <w:gridCol w:w="841"/>
        <w:gridCol w:w="109"/>
        <w:gridCol w:w="109"/>
        <w:gridCol w:w="109"/>
        <w:gridCol w:w="109"/>
        <w:gridCol w:w="211"/>
        <w:gridCol w:w="991"/>
        <w:gridCol w:w="109"/>
        <w:gridCol w:w="109"/>
        <w:gridCol w:w="109"/>
        <w:gridCol w:w="109"/>
        <w:gridCol w:w="109"/>
        <w:gridCol w:w="109"/>
        <w:gridCol w:w="154"/>
      </w:tblGrid>
      <w:tr>
        <w:trPr/>
        <w:tc>
          <w:tcPr>
            <w:tcW w:w="8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shd w:fill="auto" w:val="clea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561,896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247,119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809,015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International</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28,038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31,062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59,100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 countries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135,658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116,807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252,465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283,892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50,905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334,797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 countries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107,763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33,977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141,740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international</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555,351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232,751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788,102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1,117,247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479,870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1,597,117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    Includes U.S. export sales of $434.2 million for the three months ended March 31, 2023.</w:t>
      </w:r>
    </w:p>
    <w:p>
      <w:pPr>
        <w:pStyle w:val="TextBody"/>
        <w:spacing w:before="0" w:after="0"/>
        <w:ind w:left="0" w:right="0" w:hanging="720"/>
        <w:rPr/>
      </w:pPr>
      <w:r>
        <w:rPr/>
      </w:r>
    </w:p>
    <w:tbl>
      <w:tblPr>
        <w:tblW w:w="7191" w:type="dxa"/>
        <w:jc w:val="left"/>
        <w:tblInd w:w="0" w:type="dxa"/>
        <w:tblCellMar>
          <w:top w:w="28" w:type="dxa"/>
          <w:left w:w="28" w:type="dxa"/>
          <w:bottom w:w="28" w:type="dxa"/>
          <w:right w:w="28" w:type="dxa"/>
        </w:tblCellMar>
      </w:tblPr>
      <w:tblGrid>
        <w:gridCol w:w="814"/>
        <w:gridCol w:w="714"/>
        <w:gridCol w:w="722"/>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109"/>
        <w:gridCol w:w="109"/>
        <w:gridCol w:w="154"/>
      </w:tblGrid>
      <w:tr>
        <w:trPr/>
        <w:tc>
          <w:tcPr>
            <w:tcW w:w="8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shd w:fill="auto" w:val="clea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714,267 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International</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European Union countries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 countries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international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987,759 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    Includes U.S. export sales of $409.2 million for the three months ended March 31, 2022.</w:t>
      </w:r>
    </w:p>
    <w:p>
      <w:pPr>
        <w:pStyle w:val="TextBody"/>
        <w:spacing w:before="360" w:after="283"/>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Major Products and Services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major products and services in the reportable segments were as follows:</w:t>
      </w:r>
    </w:p>
    <w:tbl>
      <w:tblPr>
        <w:tblW w:w="8391" w:type="dxa"/>
        <w:jc w:val="left"/>
        <w:tblInd w:w="0" w:type="dxa"/>
        <w:tblCellMar>
          <w:top w:w="28" w:type="dxa"/>
          <w:left w:w="28" w:type="dxa"/>
          <w:bottom w:w="28" w:type="dxa"/>
          <w:right w:w="28" w:type="dxa"/>
        </w:tblCellMar>
      </w:tblPr>
      <w:tblGrid>
        <w:gridCol w:w="1179"/>
        <w:gridCol w:w="1036"/>
        <w:gridCol w:w="1040"/>
        <w:gridCol w:w="211"/>
        <w:gridCol w:w="991"/>
        <w:gridCol w:w="109"/>
        <w:gridCol w:w="109"/>
        <w:gridCol w:w="109"/>
        <w:gridCol w:w="109"/>
        <w:gridCol w:w="211"/>
        <w:gridCol w:w="841"/>
        <w:gridCol w:w="109"/>
        <w:gridCol w:w="109"/>
        <w:gridCol w:w="109"/>
        <w:gridCol w:w="109"/>
        <w:gridCol w:w="211"/>
        <w:gridCol w:w="991"/>
        <w:gridCol w:w="109"/>
        <w:gridCol w:w="109"/>
        <w:gridCol w:w="109"/>
        <w:gridCol w:w="109"/>
        <w:gridCol w:w="109"/>
        <w:gridCol w:w="109"/>
        <w:gridCol w:w="154"/>
      </w:tblGrid>
      <w:tr>
        <w:trPr/>
        <w:tc>
          <w:tcPr>
            <w:tcW w:w="1179"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shd w:fill="auto" w:val="clea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analytical instrumentation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794,433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794,433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 and power</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322,814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143,050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465,864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Automation and engineered solutions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336,820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336,820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1,117,247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479,870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1,597,117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196" w:type="dxa"/>
        <w:jc w:val="left"/>
        <w:tblInd w:w="0" w:type="dxa"/>
        <w:tblCellMar>
          <w:top w:w="28" w:type="dxa"/>
          <w:left w:w="28" w:type="dxa"/>
          <w:bottom w:w="28" w:type="dxa"/>
          <w:right w:w="28" w:type="dxa"/>
        </w:tblCellMar>
      </w:tblPr>
      <w:tblGrid>
        <w:gridCol w:w="1179"/>
        <w:gridCol w:w="1036"/>
        <w:gridCol w:w="104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109"/>
        <w:gridCol w:w="109"/>
        <w:gridCol w:w="154"/>
      </w:tblGrid>
      <w:tr>
        <w:trPr/>
        <w:tc>
          <w:tcPr>
            <w:tcW w:w="1179"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shd w:fill="auto" w:val="clea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analytical instrumentation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Aerospace and power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421,809 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Automation and engineered solutions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987,759 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60" w:after="283"/>
        <w:rPr>
          <w:rFonts w:ascii="Times New Roman;sans-serif" w:hAnsi="Times New Roman;sans-serif"/>
          <w:b w:val="false"/>
          <w:i/>
          <w:color w:val="000000"/>
          <w:sz w:val="20"/>
        </w:rPr>
      </w:pPr>
      <w:r>
        <w:rPr>
          <w:rFonts w:ascii="Times New Roman;sans-serif" w:hAnsi="Times New Roman;sans-serif"/>
          <w:b w:val="false"/>
          <w:i/>
          <w:color w:val="000000"/>
          <w:sz w:val="20"/>
        </w:rPr>
        <w:t>Timing of Revenue Recognition</w:t>
      </w:r>
    </w:p>
    <w:tbl>
      <w:tblPr>
        <w:tblW w:w="8706" w:type="dxa"/>
        <w:jc w:val="left"/>
        <w:tblInd w:w="0" w:type="dxa"/>
        <w:tblCellMar>
          <w:top w:w="28" w:type="dxa"/>
          <w:left w:w="28" w:type="dxa"/>
          <w:bottom w:w="28" w:type="dxa"/>
          <w:right w:w="28" w:type="dxa"/>
        </w:tblCellMar>
      </w:tblPr>
      <w:tblGrid>
        <w:gridCol w:w="1291"/>
        <w:gridCol w:w="1138"/>
        <w:gridCol w:w="1141"/>
        <w:gridCol w:w="211"/>
        <w:gridCol w:w="991"/>
        <w:gridCol w:w="109"/>
        <w:gridCol w:w="109"/>
        <w:gridCol w:w="109"/>
        <w:gridCol w:w="109"/>
        <w:gridCol w:w="211"/>
        <w:gridCol w:w="841"/>
        <w:gridCol w:w="109"/>
        <w:gridCol w:w="109"/>
        <w:gridCol w:w="109"/>
        <w:gridCol w:w="109"/>
        <w:gridCol w:w="211"/>
        <w:gridCol w:w="991"/>
        <w:gridCol w:w="109"/>
        <w:gridCol w:w="109"/>
        <w:gridCol w:w="109"/>
        <w:gridCol w:w="109"/>
        <w:gridCol w:w="109"/>
        <w:gridCol w:w="109"/>
        <w:gridCol w:w="154"/>
      </w:tblGrid>
      <w:tr>
        <w:trPr/>
        <w:tc>
          <w:tcPr>
            <w:tcW w:w="1291"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3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shd w:fill="auto" w:val="clea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transferred at a point in time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935,308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413,601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1,348,909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services transferred over time</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181,939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66,269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248,208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1,117,247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479,870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1,597,117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8511" w:type="dxa"/>
        <w:jc w:val="left"/>
        <w:tblInd w:w="0" w:type="dxa"/>
        <w:tblCellMar>
          <w:top w:w="28" w:type="dxa"/>
          <w:left w:w="28" w:type="dxa"/>
          <w:bottom w:w="28" w:type="dxa"/>
          <w:right w:w="28" w:type="dxa"/>
        </w:tblCellMar>
      </w:tblPr>
      <w:tblGrid>
        <w:gridCol w:w="1291"/>
        <w:gridCol w:w="1138"/>
        <w:gridCol w:w="1141"/>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109"/>
        <w:gridCol w:w="109"/>
        <w:gridCol w:w="154"/>
      </w:tblGrid>
      <w:tr>
        <w:trPr/>
        <w:tc>
          <w:tcPr>
            <w:tcW w:w="1291"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shd w:fill="auto" w:val="clea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transferred at a point in time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812,948 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1,225,602 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and services transferred over time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60" w:after="283"/>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Product Warranties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Changes in the accrued product warranty obligation were as follows:</w:t>
      </w:r>
    </w:p>
    <w:tbl>
      <w:tblPr>
        <w:tblW w:w="8768" w:type="dxa"/>
        <w:jc w:val="left"/>
        <w:tblInd w:w="0" w:type="dxa"/>
        <w:tblCellMar>
          <w:top w:w="28" w:type="dxa"/>
          <w:left w:w="28" w:type="dxa"/>
          <w:bottom w:w="28" w:type="dxa"/>
          <w:right w:w="28" w:type="dxa"/>
        </w:tblCellMar>
      </w:tblPr>
      <w:tblGrid>
        <w:gridCol w:w="2281"/>
        <w:gridCol w:w="2005"/>
        <w:gridCol w:w="2013"/>
        <w:gridCol w:w="211"/>
        <w:gridCol w:w="736"/>
        <w:gridCol w:w="109"/>
        <w:gridCol w:w="109"/>
        <w:gridCol w:w="109"/>
        <w:gridCol w:w="109"/>
        <w:gridCol w:w="211"/>
        <w:gridCol w:w="721"/>
        <w:gridCol w:w="154"/>
      </w:tblGrid>
      <w:tr>
        <w:trPr/>
        <w:tc>
          <w:tcPr>
            <w:tcW w:w="2281" w:type="dxa"/>
            <w:tcBorders/>
            <w:shd w:fill="auto" w:val="clear"/>
            <w:vAlign w:val="center"/>
          </w:tcPr>
          <w:p>
            <w:pPr>
              <w:pStyle w:val="TableContents"/>
              <w:spacing w:before="0" w:after="283"/>
              <w:rPr>
                <w:sz w:val="4"/>
                <w:szCs w:val="4"/>
              </w:rPr>
            </w:pPr>
            <w:r>
              <w:rPr>
                <w:sz w:val="4"/>
                <w:szCs w:val="4"/>
              </w:rPr>
            </w:r>
          </w:p>
        </w:tc>
        <w:tc>
          <w:tcPr>
            <w:tcW w:w="2005" w:type="dxa"/>
            <w:tcBorders/>
            <w:shd w:fill="auto" w:val="clear"/>
            <w:vAlign w:val="center"/>
          </w:tcPr>
          <w:p>
            <w:pPr>
              <w:pStyle w:val="TableContents"/>
              <w:spacing w:before="0" w:after="283"/>
              <w:rPr>
                <w:sz w:val="4"/>
                <w:szCs w:val="4"/>
              </w:rPr>
            </w:pPr>
            <w:r>
              <w:rPr>
                <w:sz w:val="4"/>
                <w:szCs w:val="4"/>
              </w:rPr>
            </w:r>
          </w:p>
        </w:tc>
        <w:tc>
          <w:tcPr>
            <w:tcW w:w="20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beginning of the period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Accruals for warranties issued during the period</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3,411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made during the period</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accruals related to acquired businesses and other during the period</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26,807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maintains allowances for estimated losses resulting from the inability of customers to meet their financial obligations to the Company. The Company recognizes an allowance for credit losses, on all accounts receivable and contract assets, which considers risk of future credit losses based on factors such as historical experience, contract terms, as well as general and market business conditions, country, and political risk. Balances are written off when determined to be uncollectible.</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had $901.5 million of accounts receivable, net of allowances of $13.3 million. Changes in the allowance were not material for the three months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3.    Earnings Per Share</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The number of weighted average shares used in the calculation of basic earnings per share and diluted earnings per share was as follows:</w:t>
      </w:r>
    </w:p>
    <w:tbl>
      <w:tblPr>
        <w:tblW w:w="6365" w:type="dxa"/>
        <w:jc w:val="left"/>
        <w:tblInd w:w="0" w:type="dxa"/>
        <w:tblCellMar>
          <w:top w:w="28" w:type="dxa"/>
          <w:left w:w="28" w:type="dxa"/>
          <w:bottom w:w="28" w:type="dxa"/>
          <w:right w:w="28" w:type="dxa"/>
        </w:tblCellMar>
      </w:tblPr>
      <w:tblGrid>
        <w:gridCol w:w="1037"/>
        <w:gridCol w:w="911"/>
        <w:gridCol w:w="917"/>
        <w:gridCol w:w="584"/>
        <w:gridCol w:w="266"/>
        <w:gridCol w:w="266"/>
        <w:gridCol w:w="266"/>
        <w:gridCol w:w="266"/>
        <w:gridCol w:w="266"/>
        <w:gridCol w:w="573"/>
        <w:gridCol w:w="266"/>
        <w:gridCol w:w="266"/>
        <w:gridCol w:w="109"/>
        <w:gridCol w:w="109"/>
        <w:gridCol w:w="109"/>
        <w:gridCol w:w="154"/>
      </w:tblGrid>
      <w:tr>
        <w:trPr/>
        <w:tc>
          <w:tcPr>
            <w:tcW w:w="1037"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7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shares</w:t>
            </w:r>
          </w:p>
        </w:tc>
        <w:tc>
          <w:tcPr>
            <w:tcW w:w="8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230,126</w:t>
            </w:r>
            <w:r>
              <w:rPr>
                <w:color w:val="000000"/>
              </w:rPr>
              <w:t>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231,481 </w:t>
            </w:r>
          </w:p>
        </w:tc>
        <w:tc>
          <w:tcPr>
            <w:tcW w:w="2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plans</w:t>
            </w:r>
          </w:p>
        </w:tc>
        <w:tc>
          <w:tcPr>
            <w:tcW w:w="8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1,103</w:t>
            </w:r>
            <w:r>
              <w:rPr>
                <w:color w:val="000000"/>
              </w:rPr>
              <w:t>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2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shares</w:t>
            </w:r>
          </w:p>
        </w:tc>
        <w:tc>
          <w:tcPr>
            <w:tcW w:w="8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231,229</w:t>
            </w:r>
            <w:r>
              <w:rPr>
                <w:color w:val="000000"/>
              </w:rPr>
              <w:t>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233,065 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Company’s assets that are measured at fair value on a recurring basis, consistent with the fair value hierarchy, at March 31, 2023 and December 31, 2022:</w:t>
      </w:r>
    </w:p>
    <w:tbl>
      <w:tblPr>
        <w:tblW w:w="7529" w:type="dxa"/>
        <w:jc w:val="left"/>
        <w:tblInd w:w="0" w:type="dxa"/>
        <w:tblCellMar>
          <w:top w:w="28" w:type="dxa"/>
          <w:left w:w="28" w:type="dxa"/>
          <w:bottom w:w="28" w:type="dxa"/>
          <w:right w:w="28" w:type="dxa"/>
        </w:tblCellMar>
      </w:tblPr>
      <w:tblGrid>
        <w:gridCol w:w="1064"/>
        <w:gridCol w:w="936"/>
        <w:gridCol w:w="939"/>
        <w:gridCol w:w="211"/>
        <w:gridCol w:w="736"/>
        <w:gridCol w:w="109"/>
        <w:gridCol w:w="109"/>
        <w:gridCol w:w="109"/>
        <w:gridCol w:w="109"/>
        <w:gridCol w:w="211"/>
        <w:gridCol w:w="736"/>
        <w:gridCol w:w="109"/>
        <w:gridCol w:w="109"/>
        <w:gridCol w:w="109"/>
        <w:gridCol w:w="109"/>
        <w:gridCol w:w="211"/>
        <w:gridCol w:w="406"/>
        <w:gridCol w:w="109"/>
        <w:gridCol w:w="109"/>
        <w:gridCol w:w="109"/>
        <w:gridCol w:w="109"/>
        <w:gridCol w:w="211"/>
        <w:gridCol w:w="406"/>
        <w:gridCol w:w="154"/>
      </w:tblGrid>
      <w:tr>
        <w:trPr/>
        <w:tc>
          <w:tcPr>
            <w:tcW w:w="1064"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0"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 investments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10,374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10,374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7289" w:type="dxa"/>
        <w:jc w:val="left"/>
        <w:tblInd w:w="0" w:type="dxa"/>
        <w:tblCellMar>
          <w:top w:w="28" w:type="dxa"/>
          <w:left w:w="28" w:type="dxa"/>
          <w:bottom w:w="28" w:type="dxa"/>
          <w:right w:w="28" w:type="dxa"/>
        </w:tblCellMar>
      </w:tblPr>
      <w:tblGrid>
        <w:gridCol w:w="1064"/>
        <w:gridCol w:w="936"/>
        <w:gridCol w:w="93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54"/>
      </w:tblGrid>
      <w:tr>
        <w:trPr/>
        <w:tc>
          <w:tcPr>
            <w:tcW w:w="1064"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0"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 investments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630"/>
        <w:rPr>
          <w:rFonts w:ascii="Times New Roman;sans-serif" w:hAnsi="Times New Roman;sans-serif"/>
          <w:b w:val="false"/>
          <w:color w:val="000000"/>
          <w:sz w:val="20"/>
        </w:rPr>
      </w:pPr>
      <w:r>
        <w:rPr>
          <w:rFonts w:ascii="Times New Roman;sans-serif" w:hAnsi="Times New Roman;sans-serif"/>
          <w:b w:val="false"/>
          <w:color w:val="000000"/>
          <w:sz w:val="20"/>
        </w:rPr>
        <w:t>The fair value of mutual fund investments is based on quoted market prices. The mutual fund investments are shown as a component of investments and other assets on the consolidated balance sheet.</w:t>
      </w:r>
    </w:p>
    <w:p>
      <w:pPr>
        <w:pStyle w:val="TextBody"/>
        <w:spacing w:lineRule="auto" w:line="288" w:before="240" w:after="283"/>
        <w:ind w:left="0" w:right="0" w:firstLine="63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gains and losses on the investments noted above were not significant. No transfers between level 1 and level 2 investments occurred during the three months ended March 31, 2023 and 2022.</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Foreign Currency</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the Company had a Euro forward contract for a total notional value of 40.0 million Euros and a Canadian dollar forward contract for a notional value of 46.2 million Canadian dollars. Foreign currency forward contracts are valued as level 2 assets as they are corroborated by foreign currency exchange rates and shown as a component of other current assets on the consolidated balance sheet. For the three months ended March 31, 2023, realized and unrealized gains and losses on the foreign currency forward contracts were not significant.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Financial Instruments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mutual fund investments are recorded at fair value at March 31, 2023 and December 31, 2022 in the accompanying consolidated balance sheet.</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estimated fair values of the Company’s financial instrument liabilities, for which fair value is measured for disclosure purposes only, compared to the recorded amounts at March 31, 2023 and December 31, 2022:</w:t>
      </w:r>
    </w:p>
    <w:tbl>
      <w:tblPr>
        <w:tblW w:w="10110" w:type="dxa"/>
        <w:jc w:val="left"/>
        <w:tblInd w:w="0" w:type="dxa"/>
        <w:tblCellMar>
          <w:top w:w="28" w:type="dxa"/>
          <w:left w:w="28" w:type="dxa"/>
          <w:bottom w:w="28" w:type="dxa"/>
          <w:right w:w="28" w:type="dxa"/>
        </w:tblCellMar>
      </w:tblPr>
      <w:tblGrid>
        <w:gridCol w:w="1302"/>
        <w:gridCol w:w="1147"/>
        <w:gridCol w:w="1151"/>
        <w:gridCol w:w="211"/>
        <w:gridCol w:w="1051"/>
        <w:gridCol w:w="109"/>
        <w:gridCol w:w="109"/>
        <w:gridCol w:w="109"/>
        <w:gridCol w:w="109"/>
        <w:gridCol w:w="211"/>
        <w:gridCol w:w="1051"/>
        <w:gridCol w:w="109"/>
        <w:gridCol w:w="109"/>
        <w:gridCol w:w="109"/>
        <w:gridCol w:w="109"/>
        <w:gridCol w:w="211"/>
        <w:gridCol w:w="1051"/>
        <w:gridCol w:w="109"/>
        <w:gridCol w:w="109"/>
        <w:gridCol w:w="109"/>
        <w:gridCol w:w="109"/>
        <w:gridCol w:w="211"/>
        <w:gridCol w:w="1051"/>
        <w:gridCol w:w="154"/>
      </w:tblGrid>
      <w:tr>
        <w:trPr/>
        <w:tc>
          <w:tcPr>
            <w:tcW w:w="1302"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Recorded</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Recorded</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(including current portion)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(2,178,443)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(2,049,278)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(2,161,643)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(2,010,867)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fair value of net short-term borrowings approximates the carrying value. The Company’s net long-term debt is all privately held with no public market for this debt, therefore, the fair value of net long-term debt was computed based on comparable current market data for similar debt instruments and is considered a level 3 liability.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5.    Hedging Activities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designated certain foreign-currency-denominated long-term borrowings as hedges of the net investment in certain foreign operations. As of March 31, 2023, these net investment hedges included British-pound-and Euro-denominated long-term debt. These borrowings were designed to create net investment hedges in certain designated foreign subsidiaries. The Company designated the British-pound- and Euro-denominated loans as hedging instruments to offset translation gains or losses on the net investment due to changes in the British pound and Euro exchange rates. These net investment hedges are evidenced by management’s contemporaneous documentation supporting the hedge 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had $253.5 million of British-pound-denominated loans, which were designated as a hedge against the net investment in British pound functional currency foreign subsidiaries. At March 31, 2023, the Company had $581.7 million in Euro-denominated loans, which were designated as a hedge against the net investment in Euro functional currency foreign subsidiaries. As a result of the British-pound- and Euro-denominated loans designated and 100% effective as net investment hedges, $15.5 million of pre-tax currency remeasurement losses have been included in the foreign currency translation component of other comprehensive income for the three months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360" w:after="283"/>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6.    Inventories, net</w:t>
      </w:r>
    </w:p>
    <w:tbl>
      <w:tblPr>
        <w:tblW w:w="5889" w:type="dxa"/>
        <w:jc w:val="left"/>
        <w:tblInd w:w="0" w:type="dxa"/>
        <w:tblCellMar>
          <w:top w:w="28" w:type="dxa"/>
          <w:left w:w="28" w:type="dxa"/>
          <w:bottom w:w="28" w:type="dxa"/>
          <w:right w:w="28" w:type="dxa"/>
        </w:tblCellMar>
      </w:tblPr>
      <w:tblGrid>
        <w:gridCol w:w="1053"/>
        <w:gridCol w:w="927"/>
        <w:gridCol w:w="930"/>
        <w:gridCol w:w="211"/>
        <w:gridCol w:w="991"/>
        <w:gridCol w:w="109"/>
        <w:gridCol w:w="109"/>
        <w:gridCol w:w="109"/>
        <w:gridCol w:w="109"/>
        <w:gridCol w:w="211"/>
        <w:gridCol w:w="976"/>
        <w:gridCol w:w="154"/>
      </w:tblGrid>
      <w:tr>
        <w:trPr/>
        <w:tc>
          <w:tcPr>
            <w:tcW w:w="1053"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 and parts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139,371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154,540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purchased parts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823,140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775,252 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1,117,051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1,044,284 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7.    Leases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commitments under operating leases for certain facilities, vehicles and equipment used in its operations. Cash used in operations for operating leases was not materially different from operating lease expense for the three months ended March 31, 2023 and 2022. The Company's leases have a weighted average remaining lease term of approximately 5 years. Certain lease agreements contain provisions for future rent increases.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w:t>
      </w:r>
    </w:p>
    <w:tbl>
      <w:tblPr>
        <w:tblW w:w="4660" w:type="dxa"/>
        <w:jc w:val="left"/>
        <w:tblInd w:w="0" w:type="dxa"/>
        <w:tblCellMar>
          <w:top w:w="28" w:type="dxa"/>
          <w:left w:w="28" w:type="dxa"/>
          <w:bottom w:w="28" w:type="dxa"/>
          <w:right w:w="28" w:type="dxa"/>
        </w:tblCellMar>
      </w:tblPr>
      <w:tblGrid>
        <w:gridCol w:w="635"/>
        <w:gridCol w:w="558"/>
        <w:gridCol w:w="562"/>
        <w:gridCol w:w="211"/>
        <w:gridCol w:w="736"/>
        <w:gridCol w:w="109"/>
        <w:gridCol w:w="109"/>
        <w:gridCol w:w="109"/>
        <w:gridCol w:w="109"/>
        <w:gridCol w:w="211"/>
        <w:gridCol w:w="721"/>
        <w:gridCol w:w="109"/>
        <w:gridCol w:w="109"/>
        <w:gridCol w:w="109"/>
        <w:gridCol w:w="109"/>
        <w:gridCol w:w="154"/>
      </w:tblGrid>
      <w:tr>
        <w:trPr/>
        <w:tc>
          <w:tcPr>
            <w:tcW w:w="635"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14,677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3,230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17,907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was as follows:</w:t>
      </w:r>
    </w:p>
    <w:tbl>
      <w:tblPr>
        <w:tblW w:w="7478" w:type="dxa"/>
        <w:jc w:val="left"/>
        <w:tblInd w:w="0" w:type="dxa"/>
        <w:tblCellMar>
          <w:top w:w="28" w:type="dxa"/>
          <w:left w:w="28" w:type="dxa"/>
          <w:bottom w:w="28" w:type="dxa"/>
          <w:right w:w="28" w:type="dxa"/>
        </w:tblCellMar>
      </w:tblPr>
      <w:tblGrid>
        <w:gridCol w:w="1734"/>
        <w:gridCol w:w="1529"/>
        <w:gridCol w:w="1536"/>
        <w:gridCol w:w="211"/>
        <w:gridCol w:w="841"/>
        <w:gridCol w:w="109"/>
        <w:gridCol w:w="109"/>
        <w:gridCol w:w="109"/>
        <w:gridCol w:w="109"/>
        <w:gridCol w:w="211"/>
        <w:gridCol w:w="826"/>
        <w:gridCol w:w="154"/>
      </w:tblGrid>
      <w:tr>
        <w:trPr/>
        <w:tc>
          <w:tcPr>
            <w:tcW w:w="1734"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15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net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166,985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included in Accrued Liabilities and other</w:t>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46,462</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included in Other long-term liabilities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124,975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171,437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40" w:after="283"/>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as of March 31, 2023 were as follows:</w:t>
      </w:r>
    </w:p>
    <w:tbl>
      <w:tblPr>
        <w:tblW w:w="3945" w:type="dxa"/>
        <w:jc w:val="left"/>
        <w:tblInd w:w="0" w:type="dxa"/>
        <w:tblCellMar>
          <w:top w:w="28" w:type="dxa"/>
          <w:left w:w="28" w:type="dxa"/>
          <w:bottom w:w="28" w:type="dxa"/>
          <w:right w:w="28" w:type="dxa"/>
        </w:tblCellMar>
      </w:tblPr>
      <w:tblGrid>
        <w:gridCol w:w="918"/>
        <w:gridCol w:w="805"/>
        <w:gridCol w:w="811"/>
        <w:gridCol w:w="246"/>
        <w:gridCol w:w="983"/>
        <w:gridCol w:w="182"/>
      </w:tblGrid>
      <w:tr>
        <w:trPr/>
        <w:tc>
          <w:tcPr>
            <w:tcW w:w="918"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Lease Liability Maturity Analysis</w:t>
            </w:r>
          </w:p>
        </w:tc>
        <w:tc>
          <w:tcPr>
            <w:tcW w:w="14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2023</w:t>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3"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39,476</w:t>
            </w: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42,905</w:t>
            </w: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2025</w:t>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33,100</w:t>
            </w: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2026</w:t>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24,968</w:t>
            </w: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2027</w:t>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16,434</w:t>
            </w: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29,942</w:t>
            </w: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186,825</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15,388</w:t>
            </w: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171,437</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significant leases that have not yet commenced.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8.    Acquisitions</w:t>
      </w:r>
    </w:p>
    <w:p>
      <w:pPr>
        <w:pStyle w:val="TextBody"/>
        <w:spacing w:lineRule="auto" w:line="288" w:before="240" w:after="283"/>
        <w:ind w:left="0" w:right="0" w:hanging="720"/>
        <w:rPr>
          <w:rFonts w:ascii="Times New Roman;sans-serif" w:hAnsi="Times New Roman;sans-serif"/>
          <w:b w:val="false"/>
          <w:i/>
          <w:color w:val="000000"/>
          <w:sz w:val="20"/>
        </w:rPr>
      </w:pPr>
      <w:r>
        <w:rPr>
          <w:rFonts w:ascii="Times New Roman;sans-serif" w:hAnsi="Times New Roman;sans-serif"/>
          <w:b w:val="false"/>
          <w:i/>
          <w:color w:val="000000"/>
          <w:sz w:val="20"/>
        </w:rPr>
        <w:t>Acquisitions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spent $99.3 million in cash, net of cash acquired, to acquire Bison Gear &amp; Engineering Corp. ("Bison") in March 2023. Bison is a leading manufacturer of highly engineered motion control solutions serving diverse markets and applications. Bison is part of EMG. </w:t>
      </w:r>
    </w:p>
    <w:p>
      <w:pPr>
        <w:pStyle w:val="TextBody"/>
        <w:spacing w:before="120" w:after="283"/>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the allocation of the purchase price for the net assets of the Bison acquisition based on the estimated fair values at acquisition (in millions):</w:t>
      </w:r>
    </w:p>
    <w:tbl>
      <w:tblPr>
        <w:tblW w:w="4027" w:type="dxa"/>
        <w:jc w:val="left"/>
        <w:tblInd w:w="0" w:type="dxa"/>
        <w:tblCellMar>
          <w:top w:w="28" w:type="dxa"/>
          <w:left w:w="28" w:type="dxa"/>
          <w:bottom w:w="28" w:type="dxa"/>
          <w:right w:w="28" w:type="dxa"/>
        </w:tblCellMar>
      </w:tblPr>
      <w:tblGrid>
        <w:gridCol w:w="978"/>
        <w:gridCol w:w="858"/>
        <w:gridCol w:w="864"/>
        <w:gridCol w:w="109"/>
        <w:gridCol w:w="109"/>
        <w:gridCol w:w="109"/>
        <w:gridCol w:w="109"/>
        <w:gridCol w:w="211"/>
        <w:gridCol w:w="526"/>
        <w:gridCol w:w="154"/>
      </w:tblGrid>
      <w:tr>
        <w:trPr/>
        <w:tc>
          <w:tcPr>
            <w:tcW w:w="978"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11.2</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22.4</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52.8</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1" w:type="dxa"/>
            <w:gridSpan w:val="3"/>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Net working capital and other</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12.9</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paid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99.3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spacing w:lineRule="auto" w:line="288" w:before="6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(1)Includes $9.8 million in accounts receivable, whose fair value, contractual cash flows and expected cash flows are approximately equal.</w:t>
      </w:r>
    </w:p>
    <w:p>
      <w:pPr>
        <w:pStyle w:val="TextBody"/>
        <w:spacing w:lineRule="auto" w:line="288" w:before="240" w:after="283"/>
        <w:ind w:left="0" w:right="0" w:firstLine="720"/>
        <w:rPr/>
      </w:pPr>
      <w:r>
        <w:rPr>
          <w:rFonts w:ascii="Times New Roman;sans-serif" w:hAnsi="Times New Roman;sans-serif"/>
          <w:b w:val="false"/>
          <w:color w:val="000000"/>
          <w:sz w:val="20"/>
        </w:rPr>
        <w:t xml:space="preserve">The amount allocated to goodwill is reflective of the benefits the Company expects to realize from the Bison acquisition. Bison's engineering expertise and broad product portfolio complement the Company's existing motion control and automation solutions business. </w:t>
      </w:r>
      <w:r>
        <w:rPr>
          <w:rFonts w:ascii="Times New Roman;sans-serif" w:hAnsi="Times New Roman;sans-serif"/>
          <w:b w:val="false"/>
          <w:color w:val="000000"/>
          <w:sz w:val="20"/>
          <w:highlight w:val="white"/>
        </w:rPr>
        <w:t xml:space="preserve">The Company expects approximately </w:t>
      </w:r>
      <w:r>
        <w:rPr>
          <w:rFonts w:ascii="Times New Roman;sans-serif" w:hAnsi="Times New Roman;sans-serif"/>
          <w:b w:val="false"/>
          <w:color w:val="000000"/>
          <w:sz w:val="20"/>
        </w:rPr>
        <w:t>$22.4 million</w:t>
      </w:r>
      <w:r>
        <w:rPr>
          <w:color w:val="000000"/>
          <w:highlight w:val="white"/>
        </w:rPr>
        <w:t xml:space="preserve"> </w:t>
      </w:r>
      <w:r>
        <w:rPr>
          <w:rFonts w:ascii="Times New Roman;sans-serif" w:hAnsi="Times New Roman;sans-serif"/>
          <w:b w:val="false"/>
          <w:color w:val="000000"/>
          <w:sz w:val="20"/>
          <w:highlight w:val="white"/>
        </w:rPr>
        <w:t>of the goodwill relating to the Bison acquisition will be tax deductible in future years.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March 31, 2023, the purchase price allocated to other intangible assets of $52.8 million consists of $8.8 million of indefinite-lived intangible trade names, which are not subject to amortization. The remaining $44.0 million of other intangible assets consists of $33.0 million of customer relationships, which are being amortized over a period of 17 years, and $11.0 million of purchased technology, which is being amortized over a period of 17 years. Amortization expense for each of the next five years for the 2023 acquisition is expected to approximate $3 million per year.</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finalized its measurements of certain tangible and intangible assets and liabilities for its September 2022 acquisition of Navitar, Inc., which had no material impact to the consolidated statement of income and balance sheet. The Company has substantially completed its purchase accounting, however it is in the process of finalizing the measurement of certain intangible and tangible assets and liabilities, as well as accounting for income taxes, for its October 2022 acquisition of RTDS Technologies.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Bison acquisition had an immaterial impact on reported net sales, net income, and diluted earnings per share for the three months ended March 31, 2023. Had the acquisition been made at the beginning of 2023 or 2022, pro forma net sales, net income, and diluted earnings per share for the three months ended March 31, 2023 and 2022, would not have been materially different than the amounts reported.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9.    Goodwill</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amounts of goodwill by segment were as follows:</w:t>
      </w:r>
    </w:p>
    <w:tbl>
      <w:tblPr>
        <w:tblW w:w="7991" w:type="dxa"/>
        <w:jc w:val="left"/>
        <w:tblInd w:w="0" w:type="dxa"/>
        <w:tblCellMar>
          <w:top w:w="28" w:type="dxa"/>
          <w:left w:w="28" w:type="dxa"/>
          <w:bottom w:w="28" w:type="dxa"/>
          <w:right w:w="28" w:type="dxa"/>
        </w:tblCellMar>
      </w:tblPr>
      <w:tblGrid>
        <w:gridCol w:w="1445"/>
        <w:gridCol w:w="1268"/>
        <w:gridCol w:w="1276"/>
        <w:gridCol w:w="211"/>
        <w:gridCol w:w="781"/>
        <w:gridCol w:w="109"/>
        <w:gridCol w:w="109"/>
        <w:gridCol w:w="109"/>
        <w:gridCol w:w="109"/>
        <w:gridCol w:w="211"/>
        <w:gridCol w:w="781"/>
        <w:gridCol w:w="109"/>
        <w:gridCol w:w="109"/>
        <w:gridCol w:w="109"/>
        <w:gridCol w:w="109"/>
        <w:gridCol w:w="211"/>
        <w:gridCol w:w="781"/>
        <w:gridCol w:w="154"/>
      </w:tblGrid>
      <w:tr>
        <w:trPr/>
        <w:tc>
          <w:tcPr>
            <w:tcW w:w="1445"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EIG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 from 2023 acquisitions</w:t>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22.4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22.4</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 allocation adjustments and other</w:t>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22.9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22.9</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12.6</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4,265.3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1,165.2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5,430.5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120" w:after="12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had gross uncertain tax benefits of $183.1 million, of which $134.7 million, if recognized, would impact the effective tax rate.</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liability for uncertain tax positions (in millions):</w:t>
      </w:r>
    </w:p>
    <w:tbl>
      <w:tblPr>
        <w:tblW w:w="3590" w:type="dxa"/>
        <w:jc w:val="left"/>
        <w:tblInd w:w="0" w:type="dxa"/>
        <w:tblCellMar>
          <w:top w:w="28" w:type="dxa"/>
          <w:left w:w="28" w:type="dxa"/>
          <w:bottom w:w="28" w:type="dxa"/>
          <w:right w:w="28" w:type="dxa"/>
        </w:tblCellMar>
      </w:tblPr>
      <w:tblGrid>
        <w:gridCol w:w="939"/>
        <w:gridCol w:w="825"/>
        <w:gridCol w:w="830"/>
        <w:gridCol w:w="211"/>
        <w:gridCol w:w="631"/>
        <w:gridCol w:w="154"/>
      </w:tblGrid>
      <w:tr>
        <w:trPr/>
        <w:tc>
          <w:tcPr>
            <w:tcW w:w="939"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for tax positions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8.4</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for tax positions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183.1</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additions above primarily reflect the tax positions for foreign tax planning initiatives. The Company recognizes interest and penalties accrued related to uncertain tax positions in income tax expense. The amounts recognized in income tax expense for interest and penalties during the three months ended March 31, 2023 and 2022 were not significant.</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tax rate for the three months ended March 31, 2023 was 19.5%, compared with 19.0% for the three months ended March 31, 2022. The higher effective tax rate in 2023 is primarily due to an increase in the foreign rate differential which reflects a greater proportion of earnings in higher tax jurisdictions.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720"/>
        <w:rPr/>
      </w:pPr>
      <w:r>
        <w:rPr/>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11.    Share-Based Compensation</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share-based compensation plans are described in Note 11, Share-Based Compensation, to the consolidated financial statements in Part II, Item 8, filed on the Company’s Annual Report on Form 10-K for the year ended December 31, 2022. </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 Based Compensation Expense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 was as follows:</w:t>
      </w:r>
    </w:p>
    <w:tbl>
      <w:tblPr>
        <w:tblW w:w="6279" w:type="dxa"/>
        <w:jc w:val="left"/>
        <w:tblInd w:w="0" w:type="dxa"/>
        <w:tblCellMar>
          <w:top w:w="28" w:type="dxa"/>
          <w:left w:w="28" w:type="dxa"/>
          <w:bottom w:w="28" w:type="dxa"/>
          <w:right w:w="28" w:type="dxa"/>
        </w:tblCellMar>
      </w:tblPr>
      <w:tblGrid>
        <w:gridCol w:w="1261"/>
        <w:gridCol w:w="1104"/>
        <w:gridCol w:w="1114"/>
        <w:gridCol w:w="211"/>
        <w:gridCol w:w="736"/>
        <w:gridCol w:w="109"/>
        <w:gridCol w:w="109"/>
        <w:gridCol w:w="109"/>
        <w:gridCol w:w="109"/>
        <w:gridCol w:w="211"/>
        <w:gridCol w:w="616"/>
        <w:gridCol w:w="109"/>
        <w:gridCol w:w="109"/>
        <w:gridCol w:w="109"/>
        <w:gridCol w:w="109"/>
        <w:gridCol w:w="154"/>
      </w:tblGrid>
      <w:tr>
        <w:trPr/>
        <w:tc>
          <w:tcPr>
            <w:tcW w:w="1261"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expense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3,584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expense</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5,040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restricted stock unit expense</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1,655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10,279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Pre-tax share-based compensation expense is included in the consolidated statement of income in either Cost of sales or Selling, general and administrative expenses, depending on where the recipient’s cash compensation is reported.</w:t>
      </w:r>
    </w:p>
    <w:p>
      <w:pPr>
        <w:pStyle w:val="TextBody"/>
        <w:spacing w:before="240" w:after="283"/>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 Options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tbl>
      <w:tblPr>
        <w:tblW w:w="9161" w:type="dxa"/>
        <w:jc w:val="left"/>
        <w:tblInd w:w="0" w:type="dxa"/>
        <w:tblCellMar>
          <w:top w:w="28" w:type="dxa"/>
          <w:left w:w="28" w:type="dxa"/>
          <w:bottom w:w="28" w:type="dxa"/>
          <w:right w:w="28" w:type="dxa"/>
        </w:tblCellMar>
      </w:tblPr>
      <w:tblGrid>
        <w:gridCol w:w="1734"/>
        <w:gridCol w:w="1521"/>
        <w:gridCol w:w="1530"/>
        <w:gridCol w:w="296"/>
        <w:gridCol w:w="886"/>
        <w:gridCol w:w="422"/>
        <w:gridCol w:w="109"/>
        <w:gridCol w:w="109"/>
        <w:gridCol w:w="109"/>
        <w:gridCol w:w="451"/>
        <w:gridCol w:w="1318"/>
        <w:gridCol w:w="676"/>
      </w:tblGrid>
      <w:tr>
        <w:trPr/>
        <w:tc>
          <w:tcPr>
            <w:tcW w:w="1734"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r>
      <w:tr>
        <w:trPr/>
        <w:tc>
          <w:tcPr>
            <w:tcW w:w="4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2022</w:t>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1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26.0</w:t>
            </w:r>
            <w:r>
              <w:rPr>
                <w:color w:val="000000"/>
              </w:rPr>
              <w:t>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1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3.54</w:t>
            </w:r>
            <w:r>
              <w:rPr>
                <w:color w:val="000000"/>
              </w:rPr>
              <w:t> </w:t>
            </w:r>
          </w:p>
        </w:tc>
        <w:tc>
          <w:tcPr>
            <w:tcW w:w="4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67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0.72</w:t>
            </w:r>
            <w:r>
              <w:rPr>
                <w:color w:val="000000"/>
              </w:rPr>
              <w:t> </w:t>
            </w:r>
          </w:p>
        </w:tc>
        <w:tc>
          <w:tcPr>
            <w:tcW w:w="4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6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Black-Scholes-Merton fair value per stock option granted</w:t>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38.11</w:t>
            </w:r>
            <w:r>
              <w:rPr>
                <w:color w:val="000000"/>
              </w:rPr>
              <w:t> </w:t>
            </w:r>
          </w:p>
        </w:tc>
        <w:tc>
          <w:tcPr>
            <w:tcW w:w="4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6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40" w:after="283"/>
        <w:ind w:left="0" w:right="0" w:firstLine="720"/>
        <w:rPr/>
      </w:pPr>
      <w:r>
        <w:rPr/>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stock option activity and related information:</w:t>
      </w:r>
    </w:p>
    <w:tbl>
      <w:tblPr>
        <w:tblW w:w="8021" w:type="dxa"/>
        <w:jc w:val="left"/>
        <w:tblInd w:w="0" w:type="dxa"/>
        <w:tblCellMar>
          <w:top w:w="28" w:type="dxa"/>
          <w:left w:w="28" w:type="dxa"/>
          <w:bottom w:w="28" w:type="dxa"/>
          <w:right w:w="28" w:type="dxa"/>
        </w:tblCellMar>
      </w:tblPr>
      <w:tblGrid>
        <w:gridCol w:w="1065"/>
        <w:gridCol w:w="935"/>
        <w:gridCol w:w="940"/>
        <w:gridCol w:w="378"/>
        <w:gridCol w:w="378"/>
        <w:gridCol w:w="383"/>
        <w:gridCol w:w="109"/>
        <w:gridCol w:w="109"/>
        <w:gridCol w:w="109"/>
        <w:gridCol w:w="211"/>
        <w:gridCol w:w="631"/>
        <w:gridCol w:w="109"/>
        <w:gridCol w:w="109"/>
        <w:gridCol w:w="109"/>
        <w:gridCol w:w="109"/>
        <w:gridCol w:w="330"/>
        <w:gridCol w:w="330"/>
        <w:gridCol w:w="331"/>
        <w:gridCol w:w="109"/>
        <w:gridCol w:w="109"/>
        <w:gridCol w:w="109"/>
        <w:gridCol w:w="216"/>
        <w:gridCol w:w="646"/>
        <w:gridCol w:w="157"/>
      </w:tblGrid>
      <w:tr>
        <w:trPr/>
        <w:tc>
          <w:tcPr>
            <w:tcW w:w="1065"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2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7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3,060 </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453</w:t>
            </w:r>
            <w:r>
              <w:rPr>
                <w:color w:val="000000"/>
              </w:rPr>
              <w:t> </w:t>
            </w:r>
          </w:p>
        </w:tc>
        <w:tc>
          <w:tcPr>
            <w:tcW w:w="3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138.46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(188)</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63.07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w:t>
            </w:r>
          </w:p>
        </w:tc>
        <w:tc>
          <w:tcPr>
            <w:tcW w:w="3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117.84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3,300</w:t>
            </w:r>
            <w:r>
              <w:rPr>
                <w:color w:val="000000"/>
              </w:rPr>
              <w:t>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97.70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157.2</w:t>
            </w: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2023</w:t>
            </w:r>
          </w:p>
        </w:tc>
        <w:tc>
          <w:tcPr>
            <w:tcW w:w="75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2,336</w:t>
            </w:r>
            <w:r>
              <w:rPr>
                <w:color w:val="000000"/>
              </w:rPr>
              <w:t> </w:t>
            </w:r>
          </w:p>
        </w:tc>
        <w:tc>
          <w:tcPr>
            <w:tcW w:w="3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82.51</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146.7</w:t>
            </w:r>
            <w:r>
              <w:rPr>
                <w:color w:val="000000"/>
              </w:rPr>
              <w:t>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stock options exercised during the three months ended March 31, 2023 was $15.1 million. The total fair value of stock options vested during the three months ended March 31, 2023 was $12.6 million. As of March 31, 2023, there was approximately $29.5 million of expected future pre-tax compensation expense related to the 1.0 million non-vested stock options outstanding, which is expected to be recognized over a weighted average period of approximately two years.</w:t>
      </w:r>
    </w:p>
    <w:p>
      <w:pPr>
        <w:pStyle w:val="TextBody"/>
        <w:spacing w:before="240" w:after="283"/>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Restricted Stock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non-vested restricted stock activity and related information:</w:t>
      </w:r>
    </w:p>
    <w:tbl>
      <w:tblPr>
        <w:tblW w:w="7727" w:type="dxa"/>
        <w:jc w:val="left"/>
        <w:tblInd w:w="0" w:type="dxa"/>
        <w:tblCellMar>
          <w:top w:w="28" w:type="dxa"/>
          <w:left w:w="28" w:type="dxa"/>
          <w:bottom w:w="28" w:type="dxa"/>
          <w:right w:w="28" w:type="dxa"/>
        </w:tblCellMar>
      </w:tblPr>
      <w:tblGrid>
        <w:gridCol w:w="1869"/>
        <w:gridCol w:w="1643"/>
        <w:gridCol w:w="1648"/>
        <w:gridCol w:w="378"/>
        <w:gridCol w:w="378"/>
        <w:gridCol w:w="383"/>
        <w:gridCol w:w="109"/>
        <w:gridCol w:w="109"/>
        <w:gridCol w:w="109"/>
        <w:gridCol w:w="211"/>
        <w:gridCol w:w="736"/>
        <w:gridCol w:w="154"/>
      </w:tblGrid>
      <w:tr>
        <w:trPr/>
        <w:tc>
          <w:tcPr>
            <w:tcW w:w="1869" w:type="dxa"/>
            <w:tcBorders/>
            <w:shd w:fill="auto" w:val="clear"/>
            <w:vAlign w:val="center"/>
          </w:tcPr>
          <w:p>
            <w:pPr>
              <w:pStyle w:val="TableContents"/>
              <w:spacing w:before="0" w:after="283"/>
              <w:rPr>
                <w:sz w:val="4"/>
                <w:szCs w:val="4"/>
              </w:rPr>
            </w:pPr>
            <w:r>
              <w:rPr>
                <w:sz w:val="4"/>
                <w:szCs w:val="4"/>
              </w:rPr>
            </w:r>
          </w:p>
        </w:tc>
        <w:tc>
          <w:tcPr>
            <w:tcW w:w="1643" w:type="dxa"/>
            <w:tcBorders/>
            <w:shd w:fill="auto" w:val="clear"/>
            <w:vAlign w:val="center"/>
          </w:tcPr>
          <w:p>
            <w:pPr>
              <w:pStyle w:val="TableContents"/>
              <w:spacing w:before="0" w:after="283"/>
              <w:rPr>
                <w:sz w:val="4"/>
                <w:szCs w:val="4"/>
              </w:rPr>
            </w:pPr>
            <w:r>
              <w:rPr>
                <w:sz w:val="4"/>
                <w:szCs w:val="4"/>
              </w:rPr>
            </w:r>
          </w:p>
        </w:tc>
        <w:tc>
          <w:tcPr>
            <w:tcW w:w="164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 Grant Date</w:t>
              <w:br/>
              <w:t>Fair Value</w:t>
            </w:r>
          </w:p>
        </w:tc>
      </w:tr>
      <w:tr>
        <w:trPr/>
        <w:tc>
          <w:tcPr>
            <w:tcW w:w="51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outstanding at December 31, 2022</w:t>
            </w:r>
          </w:p>
        </w:tc>
        <w:tc>
          <w:tcPr>
            <w:tcW w:w="7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152</w:t>
            </w:r>
            <w:r>
              <w:rPr>
                <w:color w:val="000000"/>
              </w:rPr>
              <w:t> </w:t>
            </w:r>
          </w:p>
        </w:tc>
        <w:tc>
          <w:tcPr>
            <w:tcW w:w="3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138.48</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(154)</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103.97</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w:t>
            </w:r>
          </w:p>
        </w:tc>
        <w:tc>
          <w:tcPr>
            <w:tcW w:w="3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120.35</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outstanding at March 31, 2023</w:t>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344</w:t>
            </w:r>
            <w:r>
              <w:rPr>
                <w:color w:val="000000"/>
              </w:rPr>
              <w:t>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132.42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fair value of restricted stock vested during the three months ended March 31, 2023 was $16.0 million. As of March 31, 2023, there was approximately $40.6 million of expected future pre-tax compensation expense related to the 0.3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140" w:after="283"/>
        <w:rPr>
          <w:rFonts w:ascii="Times New Roman;sans-serif" w:hAnsi="Times New Roman;sans-serif"/>
          <w:b w:val="false"/>
          <w:color w:val="000000"/>
          <w:sz w:val="20"/>
        </w:rPr>
      </w:pPr>
      <w:r>
        <w:rPr>
          <w:rFonts w:ascii="Times New Roman;sans-serif" w:hAnsi="Times New Roman;sans-serif"/>
          <w:b w:val="false"/>
          <w:color w:val="000000"/>
          <w:sz w:val="20"/>
        </w:rPr>
        <w:t>million non-vested restricted shares outstanding, which is expected to be recognized over a weighted average period of approximately two years.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Restricted Stock Units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Company granted performance restricted stock units ("PRSU") to officers and certain key management-level employees. The PRSUs vest over a period up to three years from the grant date based on continuous service, with the number of shares earned (0% to 200% of the target award) depending upon the extent to which the Company achieves certain financial and market performance targets measured over the period from January 1 of the year of grant to December 31 of the third year. Half of the PRSUs were valued in a manner similar to restricted stock as the financial targets are based on the Company’s operating results, which represents a performance condition. The grant date fair value of these PRSUs are recognized as compensation expense over the vesting period based on the probable number of awards to vest at each reporting date.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other half of the PRSUs were valued using a Monte Carlo model as the performance target is related to the Company’s total shareholder return compared to a group of peer companies, which represents a market condition. The Company recognizes the grant date fair value of these awards as compensation expense ratably over the vesting period. </w:t>
      </w:r>
    </w:p>
    <w:p>
      <w:pPr>
        <w:pStyle w:val="TextBody"/>
        <w:spacing w:before="240" w:after="283"/>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non-vested performance restricted stock activity and related information:</w:t>
      </w:r>
    </w:p>
    <w:tbl>
      <w:tblPr>
        <w:tblW w:w="8776" w:type="dxa"/>
        <w:jc w:val="left"/>
        <w:tblInd w:w="0" w:type="dxa"/>
        <w:tblCellMar>
          <w:top w:w="28" w:type="dxa"/>
          <w:left w:w="28" w:type="dxa"/>
          <w:bottom w:w="28" w:type="dxa"/>
          <w:right w:w="28" w:type="dxa"/>
        </w:tblCellMar>
      </w:tblPr>
      <w:tblGrid>
        <w:gridCol w:w="2250"/>
        <w:gridCol w:w="1974"/>
        <w:gridCol w:w="1985"/>
        <w:gridCol w:w="378"/>
        <w:gridCol w:w="378"/>
        <w:gridCol w:w="383"/>
        <w:gridCol w:w="109"/>
        <w:gridCol w:w="109"/>
        <w:gridCol w:w="109"/>
        <w:gridCol w:w="211"/>
        <w:gridCol w:w="736"/>
        <w:gridCol w:w="154"/>
      </w:tblGrid>
      <w:tr>
        <w:trPr/>
        <w:tc>
          <w:tcPr>
            <w:tcW w:w="2250" w:type="dxa"/>
            <w:tcBorders/>
            <w:shd w:fill="auto" w:val="clear"/>
            <w:vAlign w:val="center"/>
          </w:tcPr>
          <w:p>
            <w:pPr>
              <w:pStyle w:val="TableContents"/>
              <w:spacing w:before="0" w:after="283"/>
              <w:rPr>
                <w:sz w:val="4"/>
                <w:szCs w:val="4"/>
              </w:rPr>
            </w:pPr>
            <w:r>
              <w:rPr>
                <w:sz w:val="4"/>
                <w:szCs w:val="4"/>
              </w:rPr>
            </w:r>
          </w:p>
        </w:tc>
        <w:tc>
          <w:tcPr>
            <w:tcW w:w="1974" w:type="dxa"/>
            <w:tcBorders/>
            <w:shd w:fill="auto" w:val="clear"/>
            <w:vAlign w:val="center"/>
          </w:tcPr>
          <w:p>
            <w:pPr>
              <w:pStyle w:val="TableContents"/>
              <w:spacing w:before="0" w:after="283"/>
              <w:rPr>
                <w:sz w:val="4"/>
                <w:szCs w:val="4"/>
              </w:rPr>
            </w:pPr>
            <w:r>
              <w:rPr>
                <w:sz w:val="4"/>
                <w:szCs w:val="4"/>
              </w:rPr>
            </w:r>
          </w:p>
        </w:tc>
        <w:tc>
          <w:tcPr>
            <w:tcW w:w="1985"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 Grant Date</w:t>
              <w:br/>
              <w:t>Fair Value</w:t>
            </w:r>
          </w:p>
        </w:tc>
      </w:tr>
      <w:tr>
        <w:trPr/>
        <w:tc>
          <w:tcPr>
            <w:tcW w:w="6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performance restricted stock outstanding at December 31, 2022</w:t>
            </w:r>
          </w:p>
        </w:tc>
        <w:tc>
          <w:tcPr>
            <w:tcW w:w="7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79</w:t>
            </w:r>
            <w:r>
              <w:rPr>
                <w:color w:val="000000"/>
              </w:rPr>
              <w:t> </w:t>
            </w:r>
          </w:p>
        </w:tc>
        <w:tc>
          <w:tcPr>
            <w:tcW w:w="3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138.46</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Performance assumption change </w:t>
            </w:r>
            <w:r>
              <w:rPr>
                <w:rFonts w:ascii="Times New Roman;sans-serif" w:hAnsi="Times New Roman;sans-serif"/>
                <w:b w:val="false"/>
                <w:color w:val="000000"/>
                <w:sz w:val="13"/>
              </w:rPr>
              <w:t>1</w:t>
            </w:r>
          </w:p>
        </w:tc>
        <w:tc>
          <w:tcPr>
            <w:tcW w:w="7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48</w:t>
            </w:r>
            <w:r>
              <w:rPr>
                <w:color w:val="000000"/>
              </w:rPr>
              <w:t> </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63.37</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(161)</w:t>
            </w:r>
          </w:p>
        </w:tc>
        <w:tc>
          <w:tcPr>
            <w:tcW w:w="3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63.37</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performance restricted stock outstanding at March 31, 2023</w:t>
            </w:r>
          </w:p>
        </w:tc>
        <w:tc>
          <w:tcPr>
            <w:tcW w:w="7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241</w:t>
            </w:r>
            <w:r>
              <w:rPr>
                <w:color w:val="000000"/>
              </w:rPr>
              <w:t> </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131.90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w:t>
      </w:r>
    </w:p>
    <w:p>
      <w:pPr>
        <w:pStyle w:val="TextBody"/>
        <w:spacing w:lineRule="auto" w:line="288"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Reflects the number of PRSUs above target levels based on performance metrics.</w:t>
      </w:r>
    </w:p>
    <w:p>
      <w:pPr>
        <w:pStyle w:val="TextBody"/>
        <w:spacing w:lineRule="auto" w:line="288" w:before="1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there was approximately $15.2 million of expected future pre-tax compensation expense related to the 0.2 million non-vested restricted shares outstanding, which is expected to be recognized over a weighted average period of less than one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360" w:after="283"/>
        <w:ind w:left="0" w:right="0" w:hanging="72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12.    Retirement and Pension Plans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components of net periodic pension benefit expense (income) were as follows:</w:t>
      </w:r>
    </w:p>
    <w:tbl>
      <w:tblPr>
        <w:tblW w:w="6429" w:type="dxa"/>
        <w:jc w:val="left"/>
        <w:tblInd w:w="0" w:type="dxa"/>
        <w:tblCellMar>
          <w:top w:w="28" w:type="dxa"/>
          <w:left w:w="28" w:type="dxa"/>
          <w:bottom w:w="28" w:type="dxa"/>
          <w:right w:w="28" w:type="dxa"/>
        </w:tblCellMar>
      </w:tblPr>
      <w:tblGrid>
        <w:gridCol w:w="1313"/>
        <w:gridCol w:w="1155"/>
        <w:gridCol w:w="1161"/>
        <w:gridCol w:w="211"/>
        <w:gridCol w:w="736"/>
        <w:gridCol w:w="109"/>
        <w:gridCol w:w="109"/>
        <w:gridCol w:w="109"/>
        <w:gridCol w:w="109"/>
        <w:gridCol w:w="211"/>
        <w:gridCol w:w="616"/>
        <w:gridCol w:w="109"/>
        <w:gridCol w:w="109"/>
        <w:gridCol w:w="109"/>
        <w:gridCol w:w="109"/>
        <w:gridCol w:w="154"/>
      </w:tblGrid>
      <w:tr>
        <w:trPr/>
        <w:tc>
          <w:tcPr>
            <w:tcW w:w="1313"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Defined benefit plans:</w:t>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740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7,501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(12,996)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actuarial loss and other</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2,821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income</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plans: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contribution plans</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13,516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plans and other</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2,571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plans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16,087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pension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14,153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defined benefit plans, the net periodic benefit income, other than the service cost component, is included in “Other (expense) income, net” in the consolidated statement of income.</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contributions to the Company’s defined benefit pension plans were $1.4 million and $2.1 million, respectively. The Company’s current estimate of 2023 contributions to its worldwide defined benefit pension plans is in line with the range disclosed in Note 12 of the Company’s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13.    Contingencies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Asbestos Litigation</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Environmental Matters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Certain historic processes in the manufacture of products have resulted in environmentally hazardous waste by-products as defined by federal and state laws and regulations. At March 31, 2023, the Company is named a Potentially Responsible Party (“PRP”) at 13 non-AMETEK-owned former waste disposal or treatment sites (the “non-owned” sites). The Company is identified as a “de minimis” party in 12 of these sites based on the low volume of waste attributed to the Company relative to the amounts attributed to other named PRPs. In eight of these sites, the Company has reached a tentative agreement on the cost of the de minimis settlement to satisfy its obligation and is awaiting executed agreements. The tentatively agreed-to settlement amounts are fully reserved. In the other four sites, the Company is continuing to investigate the accuracy of the alleged volume attributed to the Company as estimated by the parties primarily responsible for remedial activity at the sites to establish an appropriate settlement amount. At the remaining site where the Company is a non-de minimis PRP,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Total environmental reserves at March 31, 2023 and December 31, 2022 were $41.1 million, for both non-owned and owned sites. For the three months ended March 31, 2023, the Company recorded $2.2 million in reserves. Additionally, the Company spent $2.2 million on environmental matters for the three months ended March 31, 2023.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believes it has established reserves for the environmental matters described above, which are sufficient to perform all known responsibilities under existing claims and consent orders.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net sales and income by reportable segment and on a consolidated basis:</w:t>
      </w:r>
    </w:p>
    <w:tbl>
      <w:tblPr>
        <w:tblW w:w="7869" w:type="dxa"/>
        <w:jc w:val="left"/>
        <w:tblInd w:w="0" w:type="dxa"/>
        <w:tblCellMar>
          <w:top w:w="28" w:type="dxa"/>
          <w:left w:w="28" w:type="dxa"/>
          <w:bottom w:w="28" w:type="dxa"/>
          <w:right w:w="28" w:type="dxa"/>
        </w:tblCellMar>
      </w:tblPr>
      <w:tblGrid>
        <w:gridCol w:w="1609"/>
        <w:gridCol w:w="1412"/>
        <w:gridCol w:w="1433"/>
        <w:gridCol w:w="211"/>
        <w:gridCol w:w="991"/>
        <w:gridCol w:w="109"/>
        <w:gridCol w:w="109"/>
        <w:gridCol w:w="109"/>
        <w:gridCol w:w="109"/>
        <w:gridCol w:w="211"/>
        <w:gridCol w:w="976"/>
        <w:gridCol w:w="109"/>
        <w:gridCol w:w="109"/>
        <w:gridCol w:w="109"/>
        <w:gridCol w:w="109"/>
        <w:gridCol w:w="154"/>
      </w:tblGrid>
      <w:tr>
        <w:trPr/>
        <w:tc>
          <w:tcPr>
            <w:tcW w:w="1609"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c>
          <w:tcPr>
            <w:tcW w:w="14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Instruments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1,117,247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987,759 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Electromechanical</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479,870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1,597,117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and income before income taxes:</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Instruments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309,747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Electromechanical</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120,504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income</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430,251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administrative expenses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(24,710)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operating income</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405,541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(20,569)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(5,373)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income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379,599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00" w:after="120"/>
        <w:rPr/>
      </w:pPr>
      <w:r>
        <w:rPr/>
      </w:r>
    </w:p>
    <w:p>
      <w:pPr>
        <w:pStyle w:val="TextBody"/>
        <w:spacing w:lineRule="auto" w:line="288" w:before="10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the quarter ended March 31, 2023, the Company posted record backlog, operating income, operating margins, and operating cash flow, as well as strong orders, sales, net income, and diluted earnings per share. We achieved these results from organic sales growth in both EIG and EMG, contributions from the acquisitions of Navitar in September 2022 and RTDS in October 2022, as well as our Operational Excellence initiatives. During 2022 and into 2023, we continue to experience heightened levels of inflation in material costs, supply chain constraints, as well as continued uncertainty in the global economy. We expect material cost inflation to remain elevated throughout 2023, but anticipate pricing actions to mitigate this inflationary pressure. In response to supply chain pressures, we have taken actions to build inventory and seek alternative sources of supply to support sales and backlog growth. We continue to evaluate the extent to which these factors will impact our business, financial condition, and results of operations and will take additional actions as necessary throughout 2023 to mitigate this inflationary pressure. For 2023, our record backlog, the full year impact of the 2022 acquisitions, the 2023 acquisition of Bison Gear &amp; Engineering Corp., and continued focus on and implementation of our Operational Excellence initiatives are expected to have a positive impact on the remainder of our 2023 results.</w:t>
      </w:r>
    </w:p>
    <w:p>
      <w:pPr>
        <w:pStyle w:val="TextBody"/>
        <w:spacing w:lineRule="auto" w:line="288" w:before="24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Results of operations for the first quarter of 2023 compared with the first quarter of 2022</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sales for the first quarter of 2023 were $1,597.1 million, an increase of $138.6 million or 9.5%, compared with net sales of $1,458.5 million for the first quarter of 2022. The increase in net sales for the first quarter of 2023 was due to a 9% increase in organic sales and a 2% increase from acquisitions, partially offset by an unfavorable 2% effect of foreign currency translation.</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Total international sales for the first quarter of 2023 were $788.1 million or 49.3% of net sales, an increase of $43.7 million or 5.9%, compared with international sales of $744.4 million or 51.0% of net sales for the first quarter of 2022. The increase in international sales was primarily driven by strong demand in Europe and Asia during the quarter as well as contributions from the 2022 acquisitions.</w:t>
      </w:r>
    </w:p>
    <w:p>
      <w:pPr>
        <w:pStyle w:val="TextBody"/>
        <w:spacing w:lineRule="auto" w:line="288" w:before="240" w:after="283"/>
        <w:ind w:left="0" w:right="0" w:firstLine="720"/>
        <w:rPr/>
      </w:pPr>
      <w:r>
        <w:rPr>
          <w:rFonts w:ascii="Times New Roman;sans-serif" w:hAnsi="Times New Roman;sans-serif"/>
          <w:b w:val="false"/>
          <w:color w:val="000000"/>
          <w:sz w:val="20"/>
        </w:rPr>
        <w:t>Orders for the first quarter of 2023 were $1,812.1 million, a increase of $109.3 million or 6.4%, compared with $1,702.8 million for the first quarter of 2022. The increase in orders for the first quarter of 2023 was due to a 1% increase in organic orders and a 5% increase from acquisitions. As a result, the Company's backlog of unfilled orders at March 31, 2023 was a record $3,433.6 million, an increase of $215.0 million or 6.7% compared with</w:t>
      </w:r>
      <w:r>
        <w:rPr>
          <w:color w:val="000000"/>
          <w:highlight w:val="white"/>
        </w:rPr>
        <w:t xml:space="preserve"> </w:t>
      </w:r>
      <w:r>
        <w:rPr>
          <w:rFonts w:ascii="Times New Roman;sans-serif" w:hAnsi="Times New Roman;sans-serif"/>
          <w:b w:val="false"/>
          <w:color w:val="000000"/>
          <w:sz w:val="20"/>
          <w:highlight w:val="white"/>
        </w:rPr>
        <w:t>$3,218.6 million</w:t>
      </w:r>
      <w:r>
        <w:rPr>
          <w:color w:val="000000"/>
        </w:rPr>
        <w:t xml:space="preserve"> </w:t>
      </w:r>
      <w:r>
        <w:rPr>
          <w:rFonts w:ascii="Times New Roman;sans-serif" w:hAnsi="Times New Roman;sans-serif"/>
          <w:b w:val="false"/>
          <w:color w:val="000000"/>
          <w:sz w:val="20"/>
        </w:rPr>
        <w:t>at December 31, 2022.</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operating income for the first quarter of 2023 was $430.3 million, an increase of $57.3 million or 15.4%, compared with segment operating income of $373.0 million for the first quarter of 2022. Segment operating margins, as a percentage of net sales, increased to 26.9% for the first quarter of 2023, compared with 25.6% for the first quarter of 2022.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Segment operating income and operating margins were positively impacted in 2023 by the increase in sales discussed above. In the first quarter of 2022, segment operating income included a $7.1 million gain on the sale of a facility which increased operating margins 50 basis points.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Cost of sales for the first quarter of 2023 was $1,022.5 million or 64.0% of net sales, an increase of $73.7 million or 7.8%, compared with $948.8 million or 65.1% of net sales for the first quarter of 2022. The cost of sales increase was primarily due to the net sales increase discussed above.</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first quarter of 2023 were $169.1 million or 10.6% of net sales, an increase of $12.6 million or 8.1%, compared with $156.5 million or 10.7% of net sales for the first quarter of 2022. The selling expenses increase is primarily due to the net sales increase discussed above. General and administrative expenses for the first quarter of 2023 were $24.7 million, compared with $19.7 million for the first quarter of 2022. The general and administrative expenses in the first quarter of 2023 include higher employee compensation expense compared to the first quarter of 2022.</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Consolidated operating income was a record $405.5 million or a record 25.4% of net sales for the first quarter of 2023, an increase of $52.3 million or 14.8%, compared with $353.2 million or 24.2% of net sales for the first quarter of 2022.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Other expense, net was $5.4 million for the first quarter of 2023, compared with $2.6 million of other income, net for the first quarter of 2022, an increase of $7.9 million. The first quarter of 2023 includes lower pension income compared to the first quarter of 2022.</w:t>
      </w:r>
    </w:p>
    <w:p>
      <w:pPr>
        <w:pStyle w:val="TextBody"/>
        <w:spacing w:lineRule="auto" w:line="26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effective tax rate for the first quarter of 2023 was 19.5%, compared with 19.0% for the first quarter of 2022. The higher effective tax rate in 2023 is primarily due to an increase in the foreign rate differential which reflects a greater proportion of earnings in higher tax jurisdictions.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income for the first quarter of 2023 was $305.7 million, an increase of $33.3 million or 12.2%, compared with $272.4 million for the first quarter of 2022.</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earnings per share for the first quarter of 2023 were $1.32, an increase of $0.15 or 12.8%, compared with $1.17 per diluted share for the first quarter of 2022.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Segment Results</w:t>
      </w:r>
    </w:p>
    <w:p>
      <w:pPr>
        <w:pStyle w:val="TextBody"/>
        <w:spacing w:lineRule="auto" w:line="288" w:before="240" w:after="283"/>
        <w:ind w:left="0" w:right="0" w:firstLine="720"/>
        <w:rPr/>
      </w:pPr>
      <w:r>
        <w:rPr>
          <w:rFonts w:ascii="Times New Roman;sans-serif" w:hAnsi="Times New Roman;sans-serif"/>
          <w:b/>
          <w:color w:val="000000"/>
          <w:sz w:val="20"/>
        </w:rPr>
        <w:t>EIG</w:t>
      </w:r>
      <w:r>
        <w:rPr>
          <w:color w:val="000000"/>
        </w:rPr>
        <w:t>’</w:t>
      </w:r>
      <w:r>
        <w:rPr>
          <w:rFonts w:ascii="Times New Roman;sans-serif" w:hAnsi="Times New Roman;sans-serif"/>
          <w:b w:val="false"/>
          <w:color w:val="000000"/>
          <w:sz w:val="20"/>
        </w:rPr>
        <w:t>s net sales totaled $1,117.2 million for the first quarter of 2023, an increase of $129.4 million or 13.1%, compared with $987.8 million for the first quarter of 2022. The net sales increase was due to an 11% increase in organic sales and a 3% increase from acquisitions, partially offset by an unfavorable 1% effect of foreign currency translation.</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EIG’s operating income was a record $309.7 million for the first quarter of 2023, an increase of $64.9 million or 26.5%, compared with $244.8 million for the first quarter of 2022. EIG’s operating margins were 27.7% of net sales for the first quarter of 2023, compared with 24.8% for the first quarter of 2022, due to continued benefits from the Company's Operational Excellence initiatives. </w:t>
      </w:r>
    </w:p>
    <w:p>
      <w:pPr>
        <w:pStyle w:val="TextBody"/>
        <w:spacing w:lineRule="auto" w:line="288" w:before="240" w:after="283"/>
        <w:ind w:left="0" w:right="0" w:firstLine="720"/>
        <w:rPr/>
      </w:pPr>
      <w:r>
        <w:rPr>
          <w:rFonts w:ascii="Times New Roman;sans-serif" w:hAnsi="Times New Roman;sans-serif"/>
          <w:b/>
          <w:color w:val="000000"/>
          <w:sz w:val="20"/>
        </w:rPr>
        <w:t xml:space="preserve">EMG’s </w:t>
      </w:r>
      <w:r>
        <w:rPr>
          <w:rFonts w:ascii="Times New Roman;sans-serif" w:hAnsi="Times New Roman;sans-serif"/>
          <w:b w:val="false"/>
          <w:color w:val="000000"/>
          <w:sz w:val="20"/>
        </w:rPr>
        <w:t>net sales totaled $479.9 million for the first quarter of 2023, an increase of $9.1 million or 1.9%, compared with $470.8 million for the first quarter of 2022. The net sales increase was due to a 4% organic sales increase, partially offset by an unfavorable 2% effect of foreign currency translation.</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EMG’s operating income was $120.5 million for the first quarter of 2023, a decrease of $7.7 million or 6.0%, compared with $128.2 million for the first quarter of 2022. EMG’s operating margins were 25.1% of net sales for the first quarter of 2023, compared with 27.2% for the first quarter of 2022. EMG's operating margins in the first quarter of 2023 were negatively impacted by the dilutive impact of the 2023 acquisition. In the first quarter of 2022, EMG operating income and margins included a $7.1 million gain on the sale of a facility, which increased EMG operating margins by 150 basis points. Excluding the dilutive impact of the 2023 acquisition and the gain on the sale of a facility, EMG margins increased 60 basis points compared with the first quarter of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spacing w:lineRule="auto" w:line="288" w:before="12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totaled a record $386.5 million for the first three months of 2023, an increase of $185.2 million or 92.0%, compared with $201.3 million for the first three months of 2022. The increase in cash provided by operating activities for the first three months of 2023 was primarily due to improved working capital management and higher net income.</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Free cash flow (cash flow provided by operating activities less capital expenditures) was a record $366.5 million for the first three months of 2023, compared with $175.0 million for the first three months of 2022. EBITDA (earnings before interest, income taxes, depreciation and amortization) was $481.7 million for the first three months of 2023, compared with $433.6 million for the first three months of 2022. Free cash flow and EBITDA are presented because the Company is aware that they are measures used by third parties in evaluating the Company.</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by investing activities totaled $122.2 million for the first three months of 2023, compared with cash used by investing activities of $14.9 million for the first three months of 2022. For the first three months of 2023, the Company paid $99.3 million, net of cash acquired, to purchase Bison Gear &amp; Engineering Corp. For the first three months of 2022, the Company received $11.8 million from the sale of a facility. Additions to property, plant and equipment totaled $20.0 million for the first three months of 2023, compared with $26.4 million for the first three months of 2022. </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Cash used by financing activities totaled $215.0 million for the first three months of 2023, compared with cash used by financing activities of $187.4 million for the first three months of 2022. At March 31, 2023, total debt, net was $2,245.9 million, compared with $2,385.0 million at December 31, 2022. For the first three months of 2023, total borrowings decreased by $155.5 million compared with a $20.0 million increase for the first three months of 2022. At March 31, 2023, the Company had available borrowing capacity of $2,901.0 million under its revolving credit facility, including the $700 million accordion feature.</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debt-to-capital ratio was 22.5% at March 31, 2023, compared with 24.2% at December 31, 2022. The net debt-to-capital ratio (total debt, net less cash and cash equivalents divided by the sum of net debt and stockholders’ equity) was 19.2% at March 31, 2023, compared with 21.4% at December 31, 2022. The net debt-to-capital ratio is presented because the Company is aware that this measure is used by third parties in evaluating the Company.</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Additional financing activities for the first three months of 2023 included cash dividends paid of $57.5 million, compared with $50.8 million for the first three months of 2022. Effective February 9, 2023, the Company’s Board of Directors approved a 14% increase in the quarterly cash dividend on the Company’s common stock to $0.25 per common share from $0.22 per common share. The Company repurchased $6.5 million of its common stock for the first three months of 2023, compared with $156.7 million for the first three months of 2022. Proceeds from stock option exercises were $10.4 million for the first three months of 2023, compared with $8.3 million for the first three months of 2022.</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a result of all of the Company’s cash flow activities for the first three months of 2023, cash and cash equivalents at March 31, 2023 totaled $399.9 million, compared with $345.4 million at December 31, 2022. At March 31, 2023, the Company had $377.1 million in cash outside the United States, compared with $334.1 million at December 31, 2022. The Company utilizes this cash to fund its international operations, as well as to acquire international businesses. The Company is in compliance with all covenants, including financial covenants, for all of its debt agreements. The Company believes it has sufficient cash-generating capabilities from domestic and unrestricted foreign sources, available credit facilities and access to long-term capital funds to enable it to meet its operating needs and contractual obligations in the foreseeable future.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critical accounting policies are detailed in Part II, Item 7, Management’s Discussion and Analysis of Financial Condition of its Annual Report on Form 10-K for the year ended December 31, 2022. Primary disclosure of the Company’s significant accounting policies is also included in Note 1 to the Consolidated Financial Statements included in Part II, Item 8 of its Annual Report on Form 10-K.</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before="120" w:after="283"/>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Forward-Looking Information</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risks related to the COVID-19 pandemic and its potential impact on AMETEK’s operations, supply chain, and demand across key end markets; general economic conditions affecting the industries the Company serves; changes in the competitive environment or the effects of competition in the Company’s markets; risks associated with international sales and operations; the Company’s ability to consummate and successfully integrate future acquisitions; the Company’s ability to successfully develop new products, open new facilities or transfer product lines; the price and availability of raw materials; compliance with government regulations, including environmental regulations; and the ability to maintain adequate liquidity and financing sources. A detailed discussion of these and other factors that may affect the Company’s future results is contained in AMETEK’s filings with the U.S. Securities and Exchange Commission, including its most recent reports on Form 10-K, 10-Q, and 8-K. AMETEK disclaims any intention or obligation to update or revise any forward-looking statements, unless required by the securities laws to do so.</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March 31, 2023. Based on that evaluation, the Company’s principal executive officer and principal financial officer concluded that the Company’s disclosure controls and procedures are effective at the reasonable assurance level.</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Such evaluation did not identify any change in the Company’s internal control over financial reporting during the quarter ended March 31, 2023 that has materially affected, or is reasonably likely to materially affect, the Company’s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 Purchase of equity securities by the issuer and affiliated purchasers.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purchases of AMETEK, Inc. common stock by the Company during the three months ended March 31, 2023:</w:t>
      </w:r>
    </w:p>
    <w:tbl>
      <w:tblPr>
        <w:tblW w:w="9534" w:type="dxa"/>
        <w:jc w:val="left"/>
        <w:tblInd w:w="0" w:type="dxa"/>
        <w:tblCellMar>
          <w:top w:w="28" w:type="dxa"/>
          <w:left w:w="28" w:type="dxa"/>
          <w:bottom w:w="28" w:type="dxa"/>
          <w:right w:w="28" w:type="dxa"/>
        </w:tblCellMar>
      </w:tblPr>
      <w:tblGrid>
        <w:gridCol w:w="1168"/>
        <w:gridCol w:w="1029"/>
        <w:gridCol w:w="1042"/>
        <w:gridCol w:w="439"/>
        <w:gridCol w:w="439"/>
        <w:gridCol w:w="441"/>
        <w:gridCol w:w="109"/>
        <w:gridCol w:w="109"/>
        <w:gridCol w:w="109"/>
        <w:gridCol w:w="240"/>
        <w:gridCol w:w="821"/>
        <w:gridCol w:w="124"/>
        <w:gridCol w:w="109"/>
        <w:gridCol w:w="109"/>
        <w:gridCol w:w="109"/>
        <w:gridCol w:w="419"/>
        <w:gridCol w:w="419"/>
        <w:gridCol w:w="421"/>
        <w:gridCol w:w="109"/>
        <w:gridCol w:w="109"/>
        <w:gridCol w:w="109"/>
        <w:gridCol w:w="211"/>
        <w:gridCol w:w="1186"/>
        <w:gridCol w:w="154"/>
      </w:tblGrid>
      <w:tr>
        <w:trPr/>
        <w:tc>
          <w:tcPr>
            <w:tcW w:w="1168"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13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w:t>
              <w:br/>
              <w:t>of Shares</w:t>
              <w:br/>
              <w:t>Purchased (1)(2)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Average Price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w:t>
              <w:br/>
              <w:t>of Shares</w:t>
              <w:br/>
              <w:t>Purchased as</w:t>
              <w:br/>
              <w:t>Part of Publicly</w:t>
              <w:br/>
              <w:t>Announced</w:t>
              <w:br/>
              <w:t>Plan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Approximate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Dollar Value of</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 that</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May Yet Be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Purchased Under</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the Plan</w:t>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to January 31, 2023</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823,894,358 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to February 28, 2023</w:t>
            </w:r>
          </w:p>
        </w:tc>
        <w:tc>
          <w:tcPr>
            <w:tcW w:w="8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4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4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823,838,869 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2023 to March 31, 2023</w:t>
            </w:r>
          </w:p>
        </w:tc>
        <w:tc>
          <w:tcPr>
            <w:tcW w:w="8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46,573 </w:t>
            </w:r>
          </w:p>
        </w:tc>
        <w:tc>
          <w:tcPr>
            <w:tcW w:w="4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46,573 </w:t>
            </w:r>
          </w:p>
        </w:tc>
        <w:tc>
          <w:tcPr>
            <w:tcW w:w="4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817,400,913 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47,015 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138.30 </w:t>
            </w:r>
          </w:p>
        </w:tc>
        <w:tc>
          <w:tcPr>
            <w:tcW w:w="12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47,015 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    Represents shares surrendered to the Company to satisfy tax withholding obligations in connection with employees’ share-based compensation awards.</w:t>
      </w:r>
    </w:p>
    <w:p>
      <w:pPr>
        <w:pStyle w:val="TextBody"/>
        <w:spacing w:before="0" w:after="0"/>
        <w:ind w:left="0" w:right="0" w:hanging="720"/>
        <w:rPr/>
      </w:pPr>
      <w:r>
        <w:rPr/>
      </w:r>
    </w:p>
    <w:p>
      <w:pPr>
        <w:pStyle w:val="TextBody"/>
        <w:spacing w:lineRule="auto" w:line="26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     Consists of the number of shares purchased pursuant to the Company’s Board of Directors $1 billion authorization for the repurchase of its common stock announced in May 2022. Such purchases may be effected from time to time in the open market or in private transactions, subject to market conditions and at management’s discretion.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CellMar>
          <w:top w:w="28" w:type="dxa"/>
          <w:left w:w="28" w:type="dxa"/>
          <w:bottom w:w="28" w:type="dxa"/>
          <w:right w:w="28" w:type="dxa"/>
        </w:tblCellMar>
      </w:tblPr>
      <w:tblGrid>
        <w:gridCol w:w="329"/>
        <w:gridCol w:w="291"/>
        <w:gridCol w:w="292"/>
        <w:gridCol w:w="109"/>
        <w:gridCol w:w="109"/>
        <w:gridCol w:w="109"/>
        <w:gridCol w:w="2615"/>
        <w:gridCol w:w="2615"/>
        <w:gridCol w:w="3736"/>
      </w:tblGrid>
      <w:tr>
        <w:trPr/>
        <w:tc>
          <w:tcPr>
            <w:tcW w:w="32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15" w:type="dxa"/>
            <w:tcBorders/>
            <w:shd w:fill="auto" w:val="clear"/>
            <w:vAlign w:val="center"/>
          </w:tcPr>
          <w:p>
            <w:pPr>
              <w:pStyle w:val="TableContents"/>
              <w:spacing w:before="0" w:after="283"/>
              <w:rPr>
                <w:sz w:val="4"/>
                <w:szCs w:val="4"/>
              </w:rPr>
            </w:pPr>
            <w:r>
              <w:rPr>
                <w:sz w:val="4"/>
                <w:szCs w:val="4"/>
              </w:rPr>
            </w:r>
          </w:p>
        </w:tc>
        <w:tc>
          <w:tcPr>
            <w:tcW w:w="2615" w:type="dxa"/>
            <w:tcBorders/>
            <w:shd w:fill="auto" w:val="clear"/>
            <w:vAlign w:val="center"/>
          </w:tcPr>
          <w:p>
            <w:pPr>
              <w:pStyle w:val="TableContents"/>
              <w:spacing w:before="0" w:after="283"/>
              <w:rPr>
                <w:sz w:val="4"/>
                <w:szCs w:val="4"/>
              </w:rPr>
            </w:pPr>
            <w:r>
              <w:rPr>
                <w:sz w:val="4"/>
                <w:szCs w:val="4"/>
              </w:rPr>
            </w:r>
          </w:p>
        </w:tc>
        <w:tc>
          <w:tcPr>
            <w:tcW w:w="3736" w:type="dxa"/>
            <w:tcBorders/>
            <w:shd w:fill="auto" w:val="clear"/>
            <w:vAlign w:val="center"/>
          </w:tcPr>
          <w:p>
            <w:pPr>
              <w:pStyle w:val="TableContents"/>
              <w:spacing w:before="0" w:after="283"/>
              <w:rPr>
                <w:sz w:val="4"/>
                <w:szCs w:val="4"/>
              </w:rPr>
            </w:pPr>
            <w:r>
              <w:rPr>
                <w:sz w:val="4"/>
                <w:szCs w:val="4"/>
              </w:rPr>
            </w:r>
          </w:p>
        </w:tc>
      </w:tr>
      <w:tr>
        <w:trPr/>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ame-20230331xexx311.htm">
              <w:r>
                <w:rPr>
                  <w:rStyle w:val="InternetLink"/>
                  <w:rFonts w:ascii="Times New Roman;sans-serif" w:hAnsi="Times New Roman;sans-serif"/>
                  <w:b w:val="false"/>
                  <w:color w:val="0000FF"/>
                  <w:sz w:val="20"/>
                  <w:u w:val="single"/>
                </w:rPr>
                <w:t>31.1*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me-20230331xex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ame-20230331xexx312.htm">
              <w:r>
                <w:rPr>
                  <w:rStyle w:val="InternetLink"/>
                  <w:rFonts w:ascii="Times New Roman;sans-serif" w:hAnsi="Times New Roman;sans-serif"/>
                  <w:b w:val="false"/>
                  <w:color w:val="0000FF"/>
                  <w:sz w:val="20"/>
                  <w:u w:val="single"/>
                </w:rPr>
                <w:t>31.2*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me-20230331xex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ame-20230331xexx321.htm">
              <w:r>
                <w:rPr>
                  <w:rStyle w:val="InternetLink"/>
                  <w:rFonts w:ascii="Times New Roman;sans-serif" w:hAnsi="Times New Roman;sans-serif"/>
                  <w:b w:val="false"/>
                  <w:color w:val="0000FF"/>
                  <w:sz w:val="20"/>
                  <w:u w:val="single"/>
                </w:rPr>
                <w:t>32.1*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me-20230331xexx321.htm">
              <w:r>
                <w:rPr>
                  <w:rStyle w:val="InternetLink"/>
                  <w:rFonts w:ascii="Times New Roman;sans-serif" w:hAnsi="Times New Roman;sans-serif"/>
                  <w:b w:val="false"/>
                  <w:color w:val="0000FF"/>
                  <w:sz w:val="20"/>
                  <w:u w:val="single"/>
                </w:rPr>
                <w:t>Certification of Chief Executive Officer, Pursuant to Section 906 of the Sarbanes-Oxley Act of 2002.</w:t>
              </w:r>
            </w:hyperlink>
          </w:p>
        </w:tc>
      </w:tr>
      <w:tr>
        <w:trPr/>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ame-20230331xexx322.htm">
              <w:r>
                <w:rPr>
                  <w:rStyle w:val="InternetLink"/>
                  <w:rFonts w:ascii="Times New Roman;sans-serif" w:hAnsi="Times New Roman;sans-serif"/>
                  <w:b w:val="false"/>
                  <w:color w:val="0000FF"/>
                  <w:sz w:val="20"/>
                  <w:u w:val="single"/>
                </w:rPr>
                <w:t>32.2*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me-20230331xexx322.htm">
              <w:r>
                <w:rPr>
                  <w:rStyle w:val="InternetLink"/>
                  <w:rFonts w:ascii="Times New Roman;sans-serif" w:hAnsi="Times New Roman;sans-serif"/>
                  <w:b w:val="false"/>
                  <w:color w:val="0000FF"/>
                  <w:sz w:val="20"/>
                  <w:u w:val="single"/>
                </w:rPr>
                <w:t>Certification of Chief Financial Officer, Pursuant to Section 906 of the Sarbanes-Oxley Act of 2002.</w:t>
              </w:r>
            </w:hyperlink>
          </w:p>
        </w:tc>
      </w:tr>
      <w:tr>
        <w:trPr/>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with applicable taxonomy extension information contained in Exhibits 101).</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Filed electronically herewith.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9487f7d7d6954a8c82b1873a6c5c185d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4634" w:type="dxa"/>
        <w:jc w:val="left"/>
        <w:tblInd w:w="0" w:type="dxa"/>
        <w:tblCellMar>
          <w:top w:w="28" w:type="dxa"/>
          <w:left w:w="28" w:type="dxa"/>
          <w:bottom w:w="28" w:type="dxa"/>
          <w:right w:w="28" w:type="dxa"/>
        </w:tblCellMar>
      </w:tblPr>
      <w:tblGrid>
        <w:gridCol w:w="417"/>
        <w:gridCol w:w="368"/>
        <w:gridCol w:w="370"/>
        <w:gridCol w:w="134"/>
        <w:gridCol w:w="134"/>
        <w:gridCol w:w="136"/>
        <w:gridCol w:w="898"/>
        <w:gridCol w:w="898"/>
        <w:gridCol w:w="1279"/>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AMETEK, Inc.</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M. MONTGOMERY</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M. Montgomery</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 Comptroller</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 2023</w:t>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David A. Zapico, certify that:</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AMETEK, Inc. (the “registrant”);</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120" w:after="283"/>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2, 2023 </w:t>
      </w:r>
    </w:p>
    <w:tbl>
      <w:tblPr>
        <w:tblW w:w="4646" w:type="dxa"/>
        <w:jc w:val="left"/>
        <w:tblInd w:w="0" w:type="dxa"/>
        <w:tblCellMar>
          <w:top w:w="28" w:type="dxa"/>
          <w:left w:w="28" w:type="dxa"/>
          <w:bottom w:w="28" w:type="dxa"/>
          <w:right w:w="28" w:type="dxa"/>
        </w:tblCellMar>
      </w:tblPr>
      <w:tblGrid>
        <w:gridCol w:w="124"/>
        <w:gridCol w:w="109"/>
        <w:gridCol w:w="109"/>
        <w:gridCol w:w="1261"/>
        <w:gridCol w:w="1261"/>
        <w:gridCol w:w="178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 D</w:t>
            </w:r>
            <w:r>
              <w:rPr>
                <w:rFonts w:ascii="Times New Roman;sans-serif" w:hAnsi="Times New Roman;sans-serif"/>
                <w:b w:val="false"/>
                <w:color w:val="000000"/>
                <w:sz w:val="18"/>
              </w:rPr>
              <w:t>AVID</w:t>
            </w:r>
            <w:r>
              <w:rPr>
                <w:color w:val="000000"/>
              </w:rPr>
              <w:t xml:space="preserve"> </w:t>
            </w:r>
            <w:r>
              <w:rPr>
                <w:rFonts w:ascii="Times New Roman;sans-serif" w:hAnsi="Times New Roman;sans-serif"/>
                <w:b w:val="false"/>
                <w:color w:val="000000"/>
                <w:sz w:val="20"/>
              </w:rPr>
              <w:t>A. Z</w:t>
            </w:r>
            <w:r>
              <w:rPr>
                <w:rFonts w:ascii="Times New Roman;sans-serif" w:hAnsi="Times New Roman;sans-serif"/>
                <w:b w:val="false"/>
                <w:color w:val="000000"/>
                <w:sz w:val="18"/>
              </w:rPr>
              <w:t>APICO</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A. Zapico</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I, William J. Burke, certify that:</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120" w:after="283"/>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Date: May 2, 2023</w:t>
      </w:r>
    </w:p>
    <w:tbl>
      <w:tblPr>
        <w:tblW w:w="4586" w:type="dxa"/>
        <w:jc w:val="left"/>
        <w:tblInd w:w="0" w:type="dxa"/>
        <w:tblCellMar>
          <w:top w:w="28" w:type="dxa"/>
          <w:left w:w="28" w:type="dxa"/>
          <w:bottom w:w="28" w:type="dxa"/>
          <w:right w:w="28" w:type="dxa"/>
        </w:tblCellMar>
      </w:tblPr>
      <w:tblGrid>
        <w:gridCol w:w="124"/>
        <w:gridCol w:w="109"/>
        <w:gridCol w:w="109"/>
        <w:gridCol w:w="1240"/>
        <w:gridCol w:w="1240"/>
        <w:gridCol w:w="17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17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BURKE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Burke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 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AMETEK, Inc. (the “Company”) on Form 10-Q for the quarter ended March 31, 2023 as filed with the Securities and Exchange Commission on the date hereof (the “Report”), I, David A. Zapico, Chairman of the Board and Chief Executive Officer of the Company, certify, pursuant to 18 U.S.C. Section 1350, as adopted pursuant to Section 906 of the Sarbanes-Oxley Act of 2002, that:</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(a)The Report fully complies with the requirements of Section 13(a) or 15(d) of the Securities Exchange Act of 1934;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w:t>
      </w:r>
    </w:p>
    <w:p>
      <w:pPr>
        <w:pStyle w:val="TextBody"/>
        <w:spacing w:before="120" w:after="283"/>
        <w:rPr/>
      </w:pPr>
      <w:r>
        <w:rPr/>
      </w:r>
    </w:p>
    <w:tbl>
      <w:tblPr>
        <w:tblW w:w="4646" w:type="dxa"/>
        <w:jc w:val="left"/>
        <w:tblInd w:w="0" w:type="dxa"/>
        <w:tblCellMar>
          <w:top w:w="28" w:type="dxa"/>
          <w:left w:w="28" w:type="dxa"/>
          <w:bottom w:w="28" w:type="dxa"/>
          <w:right w:w="28" w:type="dxa"/>
        </w:tblCellMar>
      </w:tblPr>
      <w:tblGrid>
        <w:gridCol w:w="1547"/>
        <w:gridCol w:w="1358"/>
        <w:gridCol w:w="1369"/>
        <w:gridCol w:w="109"/>
        <w:gridCol w:w="109"/>
        <w:gridCol w:w="154"/>
      </w:tblGrid>
      <w:tr>
        <w:trPr/>
        <w:tc>
          <w:tcPr>
            <w:tcW w:w="1547" w:type="dxa"/>
            <w:tcBorders/>
            <w:shd w:fill="auto" w:val="clear"/>
            <w:vAlign w:val="center"/>
          </w:tcPr>
          <w:p>
            <w:pPr>
              <w:pStyle w:val="TableContents"/>
              <w:spacing w:before="0" w:after="283"/>
              <w:rPr>
                <w:sz w:val="4"/>
                <w:szCs w:val="4"/>
              </w:rPr>
            </w:pPr>
            <w:r>
              <w:rPr>
                <w:sz w:val="4"/>
                <w:szCs w:val="4"/>
              </w:rPr>
            </w:r>
          </w:p>
        </w:tc>
        <w:tc>
          <w:tcPr>
            <w:tcW w:w="1358" w:type="dxa"/>
            <w:tcBorders/>
            <w:shd w:fill="auto" w:val="clear"/>
            <w:vAlign w:val="center"/>
          </w:tcPr>
          <w:p>
            <w:pPr>
              <w:pStyle w:val="TableContents"/>
              <w:spacing w:before="0" w:after="283"/>
              <w:rPr>
                <w:sz w:val="4"/>
                <w:szCs w:val="4"/>
              </w:rPr>
            </w:pPr>
            <w:r>
              <w:rPr>
                <w:sz w:val="4"/>
                <w:szCs w:val="4"/>
              </w:rPr>
            </w:r>
          </w:p>
        </w:tc>
        <w:tc>
          <w:tcPr>
            <w:tcW w:w="13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 D</w:t>
            </w:r>
            <w:r>
              <w:rPr>
                <w:rFonts w:ascii="Times New Roman;sans-serif" w:hAnsi="Times New Roman;sans-serif"/>
                <w:b w:val="false"/>
                <w:color w:val="000000"/>
                <w:sz w:val="18"/>
              </w:rPr>
              <w:t>AVID</w:t>
            </w:r>
            <w:r>
              <w:rPr>
                <w:color w:val="000000"/>
              </w:rPr>
              <w:t xml:space="preserve"> </w:t>
            </w:r>
            <w:r>
              <w:rPr>
                <w:rFonts w:ascii="Times New Roman;sans-serif" w:hAnsi="Times New Roman;sans-serif"/>
                <w:b w:val="false"/>
                <w:color w:val="000000"/>
                <w:sz w:val="20"/>
              </w:rPr>
              <w:t>A. Z</w:t>
            </w:r>
            <w:r>
              <w:rPr>
                <w:rFonts w:ascii="Times New Roman;sans-serif" w:hAnsi="Times New Roman;sans-serif"/>
                <w:b w:val="false"/>
                <w:color w:val="000000"/>
                <w:sz w:val="18"/>
              </w:rPr>
              <w:t>APICO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A. Zapico</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and 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2, 2023 </w:t>
      </w:r>
    </w:p>
    <w:p>
      <w:pPr>
        <w:pStyle w:val="TextBody"/>
        <w:spacing w:before="120" w:after="283"/>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AMETEK, Inc. and will be retained by AMETEK, Inc. and furnished to the Securities and Exchange Commission or its staff upon request.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AMETEK,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AMETEK, Inc. (the “Company”) on Form 10-Q for the quarter ended March 31, 2023 as filed with the Securities and Exchange Commission on the date hereof (the “Report”), I, William J. Burke, Executive Vice President – Chief Financial Officer of the Company, certify, pursuant to 18 U.S.C. Section 1350, as adopted pursuant to Section 906 of the Sarbanes-Oxley Act of 2002, that:</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(a)The Report fully complies with the requirements of Section 13(a) or 15(d) of the Securities Exchange Act of 1934; and</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(b)The information contained in the Report fairly presents, in all material respects, the financial condition and results of operations of the Company.</w:t>
      </w:r>
    </w:p>
    <w:p>
      <w:pPr>
        <w:pStyle w:val="TextBody"/>
        <w:spacing w:before="120" w:after="283"/>
        <w:rPr/>
      </w:pPr>
      <w:r>
        <w:rPr/>
      </w:r>
    </w:p>
    <w:tbl>
      <w:tblPr>
        <w:tblW w:w="4586" w:type="dxa"/>
        <w:jc w:val="left"/>
        <w:tblInd w:w="0" w:type="dxa"/>
        <w:tblCellMar>
          <w:top w:w="28" w:type="dxa"/>
          <w:left w:w="28" w:type="dxa"/>
          <w:bottom w:w="28" w:type="dxa"/>
          <w:right w:w="28" w:type="dxa"/>
        </w:tblCellMar>
      </w:tblPr>
      <w:tblGrid>
        <w:gridCol w:w="1526"/>
        <w:gridCol w:w="1341"/>
        <w:gridCol w:w="1347"/>
        <w:gridCol w:w="109"/>
        <w:gridCol w:w="109"/>
        <w:gridCol w:w="154"/>
      </w:tblGrid>
      <w:tr>
        <w:trPr/>
        <w:tc>
          <w:tcPr>
            <w:tcW w:w="1526"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 W</w:t>
            </w:r>
            <w:r>
              <w:rPr>
                <w:rFonts w:ascii="Times New Roman;sans-serif" w:hAnsi="Times New Roman;sans-serif"/>
                <w:b w:val="false"/>
                <w:color w:val="000000"/>
                <w:sz w:val="18"/>
              </w:rPr>
              <w:t>ILLIAM</w:t>
            </w:r>
            <w:r>
              <w:rPr>
                <w:color w:val="000000"/>
              </w:rPr>
              <w:t xml:space="preserve"> </w:t>
            </w:r>
            <w:r>
              <w:rPr>
                <w:rFonts w:ascii="Times New Roman;sans-serif" w:hAnsi="Times New Roman;sans-serif"/>
                <w:b w:val="false"/>
                <w:color w:val="000000"/>
                <w:sz w:val="20"/>
              </w:rPr>
              <w:t>J. B</w:t>
            </w:r>
            <w:r>
              <w:rPr>
                <w:rFonts w:ascii="Times New Roman;sans-serif" w:hAnsi="Times New Roman;sans-serif"/>
                <w:b w:val="false"/>
                <w:color w:val="000000"/>
                <w:sz w:val="18"/>
              </w:rPr>
              <w:t>URKE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Burke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 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rPr>
          <w:rFonts w:ascii="Times New Roman;sans-serif" w:hAnsi="Times New Roman;sans-serif"/>
          <w:b w:val="false"/>
          <w:color w:val="000000"/>
          <w:sz w:val="20"/>
        </w:rPr>
      </w:pPr>
      <w:r>
        <w:rPr>
          <w:rFonts w:ascii="Times New Roman;sans-serif" w:hAnsi="Times New Roman;sans-serif"/>
          <w:b w:val="false"/>
          <w:color w:val="000000"/>
          <w:sz w:val="20"/>
        </w:rPr>
        <w:t>Date: May 2, 2023</w:t>
      </w:r>
    </w:p>
    <w:p>
      <w:pPr>
        <w:pStyle w:val="TextBody"/>
        <w:spacing w:before="120" w:after="283"/>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AMETEK, Inc. and will be retained by AMETEK, Inc. and furnished to the Securities and Exchange Commission or its staff upon request.</w:t>
      </w:r>
      <w:r>
        <w:br w:type="page"/>
      </w:r>
    </w:p>
    <w:p>
      <w:pPr>
        <w:pStyle w:val="TextBody"/>
        <w:spacing w:before="0" w:after="283"/>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10313</Words>
  <CharactersWithSpaces>66663</CharactersWithSpaces>
  <Paragraphs>1466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