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671830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7" w:lineRule="exact"/>
        <w:rPr>
          <w:sz w:val="24"/>
          <w:szCs w:val="24"/>
          <w:color w:val="auto"/>
        </w:rPr>
      </w:pPr>
    </w:p>
    <w:p>
      <w:pPr>
        <w:ind w:left="4540"/>
        <w:spacing w:after="0"/>
        <w:rPr>
          <w:sz w:val="20"/>
          <w:szCs w:val="20"/>
          <w:color w:val="auto"/>
        </w:rPr>
      </w:pPr>
      <w:r>
        <w:rPr>
          <w:rFonts w:ascii="Arial" w:cs="Arial" w:eastAsia="Arial" w:hAnsi="Arial"/>
          <w:sz w:val="22"/>
          <w:szCs w:val="22"/>
          <w:color w:val="auto"/>
        </w:rPr>
        <w:t>__________________</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1" w:lineRule="exact"/>
        <w:rPr>
          <w:sz w:val="24"/>
          <w:szCs w:val="24"/>
          <w:color w:val="auto"/>
        </w:rPr>
      </w:pPr>
    </w:p>
    <w:p>
      <w:pPr>
        <w:ind w:left="4540"/>
        <w:spacing w:after="0"/>
        <w:rPr>
          <w:sz w:val="20"/>
          <w:szCs w:val="20"/>
          <w:color w:val="auto"/>
        </w:rPr>
      </w:pPr>
      <w:r>
        <w:rPr>
          <w:rFonts w:ascii="Arial" w:cs="Arial" w:eastAsia="Arial" w:hAnsi="Arial"/>
          <w:sz w:val="22"/>
          <w:szCs w:val="22"/>
          <w:color w:val="auto"/>
        </w:rPr>
        <w:t>__________________</w:t>
      </w:r>
    </w:p>
    <w:p>
      <w:pPr>
        <w:spacing w:after="0" w:line="1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9, 2026</w:t>
      </w:r>
    </w:p>
    <w:p>
      <w:pPr>
        <w:spacing w:after="0" w:line="31" w:lineRule="exact"/>
        <w:rPr>
          <w:sz w:val="24"/>
          <w:szCs w:val="24"/>
          <w:color w:val="auto"/>
        </w:rPr>
      </w:pPr>
    </w:p>
    <w:p>
      <w:pPr>
        <w:ind w:left="4540"/>
        <w:spacing w:after="0"/>
        <w:rPr>
          <w:sz w:val="20"/>
          <w:szCs w:val="20"/>
          <w:color w:val="auto"/>
        </w:rPr>
      </w:pPr>
      <w:r>
        <w:rPr>
          <w:rFonts w:ascii="Arial" w:cs="Arial" w:eastAsia="Arial" w:hAnsi="Arial"/>
          <w:sz w:val="22"/>
          <w:szCs w:val="22"/>
          <w:color w:val="auto"/>
        </w:rPr>
        <w:t>__________________</w:t>
      </w:r>
    </w:p>
    <w:p>
      <w:pPr>
        <w:spacing w:after="0" w:line="1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AMETEK, Inc.</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11" w:lineRule="exact"/>
        <w:rPr>
          <w:sz w:val="24"/>
          <w:szCs w:val="24"/>
          <w:color w:val="auto"/>
        </w:rPr>
      </w:pPr>
    </w:p>
    <w:p>
      <w:pPr>
        <w:ind w:left="4540"/>
        <w:spacing w:after="0"/>
        <w:rPr>
          <w:sz w:val="20"/>
          <w:szCs w:val="20"/>
          <w:color w:val="auto"/>
        </w:rPr>
      </w:pPr>
      <w:r>
        <w:rPr>
          <w:rFonts w:ascii="Arial" w:cs="Arial" w:eastAsia="Arial" w:hAnsi="Arial"/>
          <w:sz w:val="22"/>
          <w:szCs w:val="22"/>
          <w:color w:val="auto"/>
        </w:rPr>
        <w:t>__________________</w:t>
      </w:r>
    </w:p>
    <w:p>
      <w:pPr>
        <w:spacing w:after="0" w:line="221" w:lineRule="exact"/>
        <w:rPr>
          <w:sz w:val="24"/>
          <w:szCs w:val="24"/>
          <w:color w:val="auto"/>
        </w:rPr>
      </w:pPr>
    </w:p>
    <w:tbl>
      <w:tblPr>
        <w:tblLayout w:type="fixed"/>
        <w:tblInd w:w="1260" w:type="dxa"/>
        <w:tblCellMar>
          <w:top w:w="0" w:type="dxa"/>
          <w:left w:w="0" w:type="dxa"/>
          <w:bottom w:w="0" w:type="dxa"/>
          <w:right w:w="0" w:type="dxa"/>
        </w:tblCellMar>
      </w:tblPr>
      <w:tr>
        <w:trPr>
          <w:trHeight w:val="238"/>
        </w:trPr>
        <w:tc>
          <w:tcPr>
            <w:tcW w:w="3200" w:type="dxa"/>
            <w:vAlign w:val="bottom"/>
          </w:tcPr>
          <w:p>
            <w:pPr>
              <w:jc w:val="center"/>
              <w:ind w:right="75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740" w:type="dxa"/>
            <w:vAlign w:val="bottom"/>
          </w:tcPr>
          <w:p>
            <w:pPr>
              <w:jc w:val="center"/>
              <w:ind w:right="182"/>
              <w:spacing w:after="0"/>
              <w:rPr>
                <w:sz w:val="20"/>
                <w:szCs w:val="20"/>
                <w:color w:val="auto"/>
              </w:rPr>
            </w:pPr>
            <w:r>
              <w:rPr>
                <w:rFonts w:ascii="Times New Roman" w:cs="Times New Roman" w:eastAsia="Times New Roman" w:hAnsi="Times New Roman"/>
                <w:sz w:val="18"/>
                <w:szCs w:val="18"/>
                <w:b w:val="1"/>
                <w:bCs w:val="1"/>
                <w:color w:val="auto"/>
                <w:w w:val="99"/>
              </w:rPr>
              <w:t>1-12981</w:t>
            </w:r>
          </w:p>
        </w:tc>
        <w:tc>
          <w:tcPr>
            <w:tcW w:w="224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14-1682544</w:t>
            </w:r>
          </w:p>
        </w:tc>
      </w:tr>
      <w:tr>
        <w:trPr>
          <w:trHeight w:val="164"/>
        </w:trPr>
        <w:tc>
          <w:tcPr>
            <w:tcW w:w="3200" w:type="dxa"/>
            <w:vAlign w:val="bottom"/>
          </w:tcPr>
          <w:p>
            <w:pPr>
              <w:jc w:val="center"/>
              <w:ind w:right="759"/>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740" w:type="dxa"/>
            <w:vAlign w:val="bottom"/>
          </w:tcPr>
          <w:p>
            <w:pPr>
              <w:jc w:val="center"/>
              <w:ind w:right="202"/>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2240" w:type="dxa"/>
            <w:vAlign w:val="bottom"/>
          </w:tcPr>
          <w:p>
            <w:pPr>
              <w:jc w:val="center"/>
              <w:ind w:left="1021"/>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200" w:type="dxa"/>
            <w:vAlign w:val="bottom"/>
          </w:tcPr>
          <w:p>
            <w:pPr>
              <w:jc w:val="center"/>
              <w:ind w:right="73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740" w:type="dxa"/>
            <w:vAlign w:val="bottom"/>
          </w:tcPr>
          <w:p>
            <w:pPr>
              <w:jc w:val="center"/>
              <w:ind w:right="202"/>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240" w:type="dxa"/>
            <w:vAlign w:val="bottom"/>
          </w:tcPr>
          <w:p>
            <w:pPr>
              <w:jc w:val="center"/>
              <w:ind w:left="102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96"/>
        </w:trPr>
        <w:tc>
          <w:tcPr>
            <w:tcW w:w="3200" w:type="dxa"/>
            <w:vAlign w:val="bottom"/>
          </w:tcPr>
          <w:p>
            <w:pPr>
              <w:jc w:val="center"/>
              <w:ind w:right="739"/>
              <w:spacing w:after="0"/>
              <w:rPr>
                <w:sz w:val="20"/>
                <w:szCs w:val="20"/>
                <w:color w:val="auto"/>
              </w:rPr>
            </w:pPr>
            <w:r>
              <w:rPr>
                <w:rFonts w:ascii="Times New Roman" w:cs="Times New Roman" w:eastAsia="Times New Roman" w:hAnsi="Times New Roman"/>
                <w:sz w:val="18"/>
                <w:szCs w:val="18"/>
                <w:b w:val="1"/>
                <w:bCs w:val="1"/>
                <w:color w:val="auto"/>
                <w:w w:val="99"/>
              </w:rPr>
              <w:t>1100 Cassatt Road</w:t>
            </w:r>
          </w:p>
        </w:tc>
        <w:tc>
          <w:tcPr>
            <w:tcW w:w="274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286"/>
        </w:trPr>
        <w:tc>
          <w:tcPr>
            <w:tcW w:w="320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Berwyn, Pennsylvania</w:t>
            </w:r>
          </w:p>
        </w:tc>
        <w:tc>
          <w:tcPr>
            <w:tcW w:w="2740" w:type="dxa"/>
            <w:vAlign w:val="bottom"/>
          </w:tcPr>
          <w:p>
            <w:pPr>
              <w:spacing w:after="0"/>
              <w:rPr>
                <w:sz w:val="24"/>
                <w:szCs w:val="24"/>
                <w:color w:val="auto"/>
              </w:rPr>
            </w:pPr>
          </w:p>
        </w:tc>
        <w:tc>
          <w:tcPr>
            <w:tcW w:w="224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19312</w:t>
            </w:r>
          </w:p>
        </w:tc>
      </w:tr>
      <w:tr>
        <w:trPr>
          <w:trHeight w:val="190"/>
        </w:trPr>
        <w:tc>
          <w:tcPr>
            <w:tcW w:w="3200" w:type="dxa"/>
            <w:vAlign w:val="bottom"/>
          </w:tcPr>
          <w:p>
            <w:pPr>
              <w:jc w:val="center"/>
              <w:ind w:right="7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740" w:type="dxa"/>
            <w:vAlign w:val="bottom"/>
          </w:tcPr>
          <w:p>
            <w:pPr>
              <w:spacing w:after="0"/>
              <w:rPr>
                <w:sz w:val="16"/>
                <w:szCs w:val="16"/>
                <w:color w:val="auto"/>
              </w:rPr>
            </w:pPr>
          </w:p>
        </w:tc>
        <w:tc>
          <w:tcPr>
            <w:tcW w:w="2240" w:type="dxa"/>
            <w:vAlign w:val="bottom"/>
          </w:tcPr>
          <w:p>
            <w:pPr>
              <w:jc w:val="center"/>
              <w:ind w:left="102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Registrant’s telephone number, including area code: </w:t>
      </w:r>
      <w:r>
        <w:rPr>
          <w:rFonts w:ascii="Times New Roman" w:cs="Times New Roman" w:eastAsia="Times New Roman" w:hAnsi="Times New Roman"/>
          <w:sz w:val="17"/>
          <w:szCs w:val="17"/>
          <w:b w:val="1"/>
          <w:bCs w:val="1"/>
          <w:color w:val="auto"/>
        </w:rPr>
        <w:t>(610) 647-2121</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11" w:lineRule="exact"/>
        <w:rPr>
          <w:sz w:val="24"/>
          <w:szCs w:val="24"/>
          <w:color w:val="auto"/>
        </w:rPr>
      </w:pPr>
    </w:p>
    <w:p>
      <w:pPr>
        <w:ind w:left="4540"/>
        <w:spacing w:after="0"/>
        <w:rPr>
          <w:sz w:val="20"/>
          <w:szCs w:val="20"/>
          <w:color w:val="auto"/>
        </w:rPr>
      </w:pPr>
      <w:r>
        <w:rPr>
          <w:rFonts w:ascii="Arial" w:cs="Arial" w:eastAsia="Arial" w:hAnsi="Arial"/>
          <w:sz w:val="22"/>
          <w:szCs w:val="22"/>
          <w:color w:val="auto"/>
        </w:rPr>
        <w:t>__________________</w:t>
      </w:r>
    </w:p>
    <w:p>
      <w:pPr>
        <w:spacing w:after="0" w:line="18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21" w:lineRule="exact"/>
        <w:rPr>
          <w:sz w:val="24"/>
          <w:szCs w:val="24"/>
          <w:color w:val="auto"/>
        </w:rPr>
      </w:pPr>
    </w:p>
    <w:p>
      <w:pPr>
        <w:ind w:left="340" w:hanging="333"/>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340" w:hanging="333"/>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98" w:lineRule="exact"/>
        <w:rPr>
          <w:rFonts w:ascii="MS PGothic" w:cs="MS PGothic" w:eastAsia="MS PGothic" w:hAnsi="MS PGothic"/>
          <w:sz w:val="18"/>
          <w:szCs w:val="18"/>
          <w:color w:val="auto"/>
        </w:rPr>
      </w:pPr>
    </w:p>
    <w:p>
      <w:pPr>
        <w:ind w:left="340" w:hanging="333"/>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84" w:lineRule="exact"/>
        <w:rPr>
          <w:rFonts w:ascii="MS PGothic" w:cs="MS PGothic" w:eastAsia="MS PGothic" w:hAnsi="MS PGothic"/>
          <w:sz w:val="18"/>
          <w:szCs w:val="18"/>
          <w:color w:val="auto"/>
        </w:rPr>
      </w:pPr>
    </w:p>
    <w:p>
      <w:pPr>
        <w:ind w:left="340" w:hanging="333"/>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29"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3460" w:type="dxa"/>
            <w:vAlign w:val="bottom"/>
          </w:tcPr>
          <w:p>
            <w:pPr>
              <w:spacing w:after="0"/>
              <w:rPr>
                <w:sz w:val="16"/>
                <w:szCs w:val="16"/>
                <w:color w:val="auto"/>
              </w:rPr>
            </w:pPr>
          </w:p>
        </w:tc>
        <w:tc>
          <w:tcPr>
            <w:tcW w:w="4320" w:type="dxa"/>
            <w:vAlign w:val="bottom"/>
            <w:gridSpan w:val="3"/>
          </w:tcPr>
          <w:p>
            <w:pPr>
              <w:ind w:left="280"/>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3460" w:type="dxa"/>
            <w:vAlign w:val="bottom"/>
          </w:tcPr>
          <w:p>
            <w:pPr>
              <w:spacing w:after="0"/>
              <w:rPr>
                <w:sz w:val="16"/>
                <w:szCs w:val="16"/>
                <w:color w:val="auto"/>
              </w:rPr>
            </w:pPr>
          </w:p>
        </w:tc>
      </w:tr>
      <w:tr>
        <w:trPr>
          <w:trHeight w:val="216"/>
        </w:trPr>
        <w:tc>
          <w:tcPr>
            <w:tcW w:w="3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Title of each class</w:t>
            </w:r>
          </w:p>
        </w:tc>
        <w:tc>
          <w:tcPr>
            <w:tcW w:w="420" w:type="dxa"/>
            <w:vAlign w:val="bottom"/>
          </w:tcPr>
          <w:p>
            <w:pPr>
              <w:spacing w:after="0"/>
              <w:rPr>
                <w:sz w:val="18"/>
                <w:szCs w:val="18"/>
                <w:color w:val="auto"/>
              </w:rPr>
            </w:pPr>
          </w:p>
        </w:tc>
        <w:tc>
          <w:tcPr>
            <w:tcW w:w="39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color w:val="auto"/>
              </w:rPr>
              <w:t>Trading symbol(s)</w:t>
            </w:r>
          </w:p>
        </w:tc>
        <w:tc>
          <w:tcPr>
            <w:tcW w:w="3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24"/>
        </w:trPr>
        <w:tc>
          <w:tcPr>
            <w:tcW w:w="346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r>
      <w:tr>
        <w:trPr>
          <w:trHeight w:val="206"/>
        </w:trPr>
        <w:tc>
          <w:tcPr>
            <w:tcW w:w="3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Stock, $0.01 Par Value (voting)</w:t>
            </w:r>
          </w:p>
        </w:tc>
        <w:tc>
          <w:tcPr>
            <w:tcW w:w="420" w:type="dxa"/>
            <w:vAlign w:val="bottom"/>
          </w:tcPr>
          <w:p>
            <w:pPr>
              <w:spacing w:after="0"/>
              <w:rPr>
                <w:sz w:val="17"/>
                <w:szCs w:val="17"/>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AME</w:t>
            </w:r>
          </w:p>
        </w:tc>
        <w:tc>
          <w:tcPr>
            <w:tcW w:w="440" w:type="dxa"/>
            <w:vAlign w:val="bottom"/>
          </w:tcPr>
          <w:p>
            <w:pPr>
              <w:spacing w:after="0"/>
              <w:rPr>
                <w:sz w:val="17"/>
                <w:szCs w:val="17"/>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New York Stock Exchange</w:t>
            </w:r>
          </w:p>
        </w:tc>
      </w:tr>
    </w:tbl>
    <w:p>
      <w:pPr>
        <w:spacing w:after="0" w:line="161"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39"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line="10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663575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629285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and Restatement of Revolving Credit Facility</w:t>
      </w:r>
    </w:p>
    <w:p>
      <w:pPr>
        <w:spacing w:after="0" w:line="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9, 2026, AMETEK, Inc. (the “Company”), together with certain of its foreign subsidiaries, entered into an Amended and Restated Credit Agreement (the “Revolving Credit Agreement”) with the lenders party thereto, JPMorgan Chase Bank, N.A. and J.P. Morgan SE, as administrative agent, and Bank of America, N.A., PNC Bank, National Association, Truist Bank and Wells Fargo Bank, National Association, as co-syndication agents.</w:t>
      </w:r>
    </w:p>
    <w:p>
      <w:pPr>
        <w:spacing w:after="0" w:line="2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Revolving Credit Agreement increases the aggregate amount of the lenders’ commitments to make revolving loans (“Revolving Loans”) from $2.3 billion to $3.5 billion and extends the maturity date to June 9, 2031, subject to extensions as further detailed in the Revolving Credit Agreement.</w:t>
      </w:r>
    </w:p>
    <w:p>
      <w:pPr>
        <w:jc w:val="both"/>
        <w:spacing w:after="0" w:line="255" w:lineRule="auto"/>
        <w:rPr>
          <w:sz w:val="20"/>
          <w:szCs w:val="20"/>
          <w:color w:val="auto"/>
        </w:rPr>
      </w:pPr>
      <w:r>
        <w:rPr>
          <w:rFonts w:ascii="Times New Roman" w:cs="Times New Roman" w:eastAsia="Times New Roman" w:hAnsi="Times New Roman"/>
          <w:sz w:val="18"/>
          <w:szCs w:val="18"/>
          <w:color w:val="auto"/>
        </w:rPr>
        <w:t>The Revolving Credit Agreement contains affirmative and negative covenants and includes limitations on indebtedness, liens, fundamental changes and asset sales (which are subject to certain exceptions and thresholds) and certain financial covenants including compliance with either a maximum total net leverage ratio or, following satisfaction of a financial covenant transition condition, a minimum interest coverage ratio.</w:t>
      </w:r>
    </w:p>
    <w:p>
      <w:pPr>
        <w:spacing w:after="0" w:line="21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may use up to $1.0 billion of proceeds from the Revolving Loans to pay a portion of the consideration in respect of the previously announced acquisition of all of the outstanding equity interests of Indicor Holdings, LLC, a Delaware limited liability company (the “Indicor Acquisition”), and to pay fees, costs and expenses incurred in connection therewith (“Indicor Consideration”). The proceeds of Revolving Loans may also be used to refinance debt, finance working capital and for general corporate purposes (including acquisitions).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Revolving Credit Agreement is a summary only and is qualified in its entirety by reference to the Revolving Credit Agreement, which is filed as Exhibit 10.1 to this Current Report on Form 8-K and is incorporated by reference herein.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 Loan Facility</w:t>
      </w:r>
    </w:p>
    <w:p>
      <w:pPr>
        <w:spacing w:after="0" w:line="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9, 2026, the Company also entered into a Term Loan Credit Agreement (the “Term Loan Agreement”), among the Company, the lenders party thereto, Bank of America, N.A., as administrative agent, and JPMorgan Chase Bank, N.A., PNC Bank, National Association, Truist Bank and Wells Fargo Bank, National Association, as syndication agents.</w:t>
      </w:r>
    </w:p>
    <w:p>
      <w:pPr>
        <w:spacing w:after="0" w:line="2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Term Loan Agreement provides for a senior unsecured term loan facility of up to $4.0 billion consisting of three tranches: (a) $1.625 billion of term loans that will mature three years from the date on which they are drawn (“Tranche A Loans”), (b) $1.625 billion of term loans that will mature four years from the date on which they are drawn (“Tranche B Loans”) and (c) $750 million of term loans that will mature five years from the date on which they are drawn (“Tranche C Loans” and, together with the Tranche A Loans and the Tranche B Loans, the “Term Loans”).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funding of the Term Loans is subject to customary conditions, including the consummation of the Indicor Acquisition. The proceeds of the Term Loans may only be used in connection with the Indicor Acquisition and are available to the Company in a single borrowing on the closing date of the Indicor Acquisition.</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Loans will bear interest at a rate equal to either a Term SOFR rate or an alternate base rate, in each case, plus an applicable margin based on the Company’s credit rating or leverage level, as elected by the Company.</w:t>
      </w:r>
    </w:p>
    <w:p>
      <w:pPr>
        <w:jc w:val="both"/>
        <w:spacing w:after="0" w:line="260" w:lineRule="auto"/>
        <w:rPr>
          <w:sz w:val="20"/>
          <w:szCs w:val="20"/>
          <w:color w:val="auto"/>
        </w:rPr>
      </w:pPr>
      <w:r>
        <w:rPr>
          <w:rFonts w:ascii="Times New Roman" w:cs="Times New Roman" w:eastAsia="Times New Roman" w:hAnsi="Times New Roman"/>
          <w:sz w:val="18"/>
          <w:szCs w:val="18"/>
          <w:color w:val="auto"/>
        </w:rPr>
        <w:t>The Company has the right to prepay the Loans at any time, in whole or in part and without premium or penalty (other than, if applicable, any breakage costs). The Company may also choose to reduce its commitments under the Term Loan Agreement at any time.</w:t>
      </w:r>
    </w:p>
    <w:p>
      <w:pPr>
        <w:spacing w:after="0" w:line="2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covenants contained in the Term Loan Agreement are substantially similar to the covenants contained in the Revolving Credit Agreement. The Term Loan Agreement contains affirmative and negative covenants and includes limitations on indebtedness, liens, fundamental changes and asset sales (which are subject to certain exceptions and thresholds) and certain financial covenants requiring compliance with either a maximum total net leverage ratio or, following satisfaction of a financial covenant transition condition, a minimum interest coverage ratio. The Term Loan Agreement also contains customary events of default (which are in some cases subject to certain exceptions, thresholds and grace periods) including, but not limited to, nonpayment of principal and interest, failure to perform or observe covenants, breaches of representations and warranties and certain bankruptcy-related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615315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Term Loan Agreement is a summary only and is qualified in its entirety by reference to the Term Loan Agreement, which is filed as Exhibit 10.2 to this Current Report on Form 8-K and is incorporated by reference herein.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Termination of Bridge Financing Commitment</w:t>
      </w:r>
    </w:p>
    <w:p>
      <w:pPr>
        <w:spacing w:after="0" w:line="6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entering into a purchase agreement for the Indicor Acquisition, the Company obtained $5.0 billion in bridge financing commitments to fund the Indicor Acquisition. As a result of entering into the Revolving Credit Agreement and the Term Loan Agreement, such bridge financing commitments have been automatically reduced and terminated in full.</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Off-Balance Sheet Arrangement of a Registrant.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Item 1.01 is incorporated herein by reference.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w w:val="99"/>
              </w:rPr>
              <w:t>Exhibit No.</w:t>
            </w:r>
          </w:p>
        </w:tc>
        <w:tc>
          <w:tcPr>
            <w:tcW w:w="680" w:type="dxa"/>
            <w:vAlign w:val="bottom"/>
          </w:tcPr>
          <w:p>
            <w:pPr>
              <w:spacing w:after="0"/>
              <w:rPr>
                <w:sz w:val="16"/>
                <w:szCs w:val="16"/>
                <w:color w:val="auto"/>
              </w:rPr>
            </w:pPr>
          </w:p>
        </w:tc>
        <w:tc>
          <w:tcPr>
            <w:tcW w:w="9740" w:type="dxa"/>
            <w:vAlign w:val="bottom"/>
            <w:gridSpan w:val="10"/>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800" w:type="dxa"/>
            <w:vAlign w:val="bottom"/>
            <w:gridSpan w:val="3"/>
          </w:tcPr>
          <w:p>
            <w:pPr>
              <w:jc w:val="center"/>
              <w:ind w:left="135"/>
              <w:spacing w:after="0"/>
              <w:rPr>
                <w:sz w:val="20"/>
                <w:szCs w:val="20"/>
                <w:color w:val="auto"/>
              </w:rPr>
            </w:pPr>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1</w:t>
            </w:r>
          </w:p>
        </w:tc>
        <w:tc>
          <w:tcPr>
            <w:tcW w:w="680" w:type="dxa"/>
            <w:vAlign w:val="bottom"/>
          </w:tcPr>
          <w:p>
            <w:pPr>
              <w:spacing w:after="0"/>
              <w:rPr>
                <w:sz w:val="24"/>
                <w:szCs w:val="24"/>
                <w:color w:val="auto"/>
              </w:rPr>
            </w:pPr>
          </w:p>
        </w:tc>
        <w:tc>
          <w:tcPr>
            <w:tcW w:w="97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Amended and Restated Credit Agreement, dated June 9, 2026, by and among AMETEK, Inc., the Foreign Subsidiary Borrowers</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9220" w:type="dxa"/>
            <w:vAlign w:val="bottom"/>
            <w:tcBorders>
              <w:top w:val="single" w:sz="8" w:color="0000FF"/>
              <w:bottom w:val="single" w:sz="8" w:color="0000FF"/>
            </w:tcBorders>
            <w:gridSpan w:val="5"/>
          </w:tcPr>
          <w:p>
            <w:pPr>
              <w:spacing w:after="0" w:line="156" w:lineRule="exact"/>
              <w:rPr>
                <w:sz w:val="20"/>
                <w:szCs w:val="20"/>
                <w:color w:val="auto"/>
              </w:rPr>
            </w:pPr>
            <w:r>
              <w:rPr>
                <w:rFonts w:ascii="Times New Roman" w:cs="Times New Roman" w:eastAsia="Times New Roman" w:hAnsi="Times New Roman"/>
                <w:sz w:val="18"/>
                <w:szCs w:val="18"/>
                <w:color w:val="0000FF"/>
                <w:w w:val="98"/>
              </w:rPr>
              <w:t>thereto, with the lenders from time to time party thereto and JPMorgan Chase Bank, N.A. and J.P. Morgan SE, as Administrative</w:t>
            </w:r>
          </w:p>
        </w:tc>
        <w:tc>
          <w:tcPr>
            <w:tcW w:w="20" w:type="dxa"/>
            <w:vAlign w:val="bottom"/>
            <w:tcBorders>
              <w:bottom w:val="single" w:sz="8" w:color="0000FF"/>
            </w:tcBorders>
          </w:tcPr>
          <w:p>
            <w:pPr>
              <w:spacing w:after="0"/>
              <w:rPr>
                <w:sz w:val="13"/>
                <w:szCs w:val="13"/>
                <w:color w:val="auto"/>
              </w:rPr>
            </w:pPr>
          </w:p>
        </w:tc>
        <w:tc>
          <w:tcPr>
            <w:tcW w:w="4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0000FF"/>
                <w:w w:val="98"/>
              </w:rPr>
              <w:t>as Co-</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60" w:type="dxa"/>
            <w:vAlign w:val="bottom"/>
            <w:gridSpan w:val="7"/>
          </w:tcPr>
          <w:p>
            <w:pPr>
              <w:spacing w:after="0" w:line="169" w:lineRule="exact"/>
              <w:rPr>
                <w:sz w:val="20"/>
                <w:szCs w:val="20"/>
                <w:color w:val="auto"/>
              </w:rPr>
            </w:pPr>
            <w:r>
              <w:rPr>
                <w:rFonts w:ascii="Times New Roman" w:cs="Times New Roman" w:eastAsia="Times New Roman" w:hAnsi="Times New Roman"/>
                <w:sz w:val="18"/>
                <w:szCs w:val="18"/>
                <w:color w:val="0000FF"/>
              </w:rPr>
              <w:t>Agent, and Bank of America, N.A., PNC Bank, National Association, Truist Bank and Wells Fargo Bank, National Association,</w:t>
            </w:r>
          </w:p>
        </w:tc>
        <w:tc>
          <w:tcPr>
            <w:tcW w:w="4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20" w:type="dxa"/>
            <w:vAlign w:val="bottom"/>
            <w:tcBorders>
              <w:top w:val="single" w:sz="8" w:color="0000FF"/>
              <w:bottom w:val="single" w:sz="8" w:color="0000FF"/>
            </w:tcBorders>
            <w:gridSpan w:val="3"/>
          </w:tcPr>
          <w:p>
            <w:pPr>
              <w:spacing w:after="0" w:line="156" w:lineRule="exact"/>
              <w:rPr>
                <w:sz w:val="20"/>
                <w:szCs w:val="20"/>
                <w:color w:val="auto"/>
              </w:rPr>
            </w:pPr>
            <w:r>
              <w:rPr>
                <w:rFonts w:ascii="Times New Roman" w:cs="Times New Roman" w:eastAsia="Times New Roman" w:hAnsi="Times New Roman"/>
                <w:sz w:val="18"/>
                <w:szCs w:val="18"/>
                <w:color w:val="0000FF"/>
                <w:w w:val="98"/>
              </w:rPr>
              <w:t>Syndication Agents</w:t>
            </w:r>
          </w:p>
        </w:tc>
        <w:tc>
          <w:tcPr>
            <w:tcW w:w="8300" w:type="dxa"/>
            <w:vAlign w:val="bottom"/>
            <w:tcBorders>
              <w:top w:val="single" w:sz="8" w:color="0000FF"/>
            </w:tcBorders>
            <w:gridSpan w:val="6"/>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1"/>
        </w:trPr>
        <w:tc>
          <w:tcPr>
            <w:tcW w:w="820" w:type="dxa"/>
            <w:vAlign w:val="bottom"/>
            <w:gridSpan w:val="4"/>
          </w:tcPr>
          <w:p>
            <w:pPr>
              <w:jc w:val="center"/>
              <w:ind w:left="150"/>
              <w:spacing w:after="0"/>
              <w:rPr>
                <w:sz w:val="20"/>
                <w:szCs w:val="20"/>
                <w:color w:val="auto"/>
              </w:rPr>
            </w:pPr>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2</w:t>
            </w:r>
          </w:p>
        </w:tc>
        <w:tc>
          <w:tcPr>
            <w:tcW w:w="680" w:type="dxa"/>
            <w:vAlign w:val="bottom"/>
          </w:tcPr>
          <w:p>
            <w:pPr>
              <w:spacing w:after="0"/>
              <w:rPr>
                <w:sz w:val="24"/>
                <w:szCs w:val="24"/>
                <w:color w:val="auto"/>
              </w:rPr>
            </w:pPr>
          </w:p>
        </w:tc>
        <w:tc>
          <w:tcPr>
            <w:tcW w:w="97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Term Loan Credit Agreement, dated June 9, 2026, by AMETEK, Inc., with the lenders from time to time party thereto, Bank of</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160" w:type="dxa"/>
            <w:vAlign w:val="bottom"/>
            <w:tcBorders>
              <w:top w:val="single" w:sz="8" w:color="0000FF"/>
            </w:tcBorders>
            <w:gridSpan w:val="5"/>
          </w:tcPr>
          <w:p>
            <w:pPr>
              <w:spacing w:after="0" w:line="156" w:lineRule="exact"/>
              <w:rPr>
                <w:sz w:val="20"/>
                <w:szCs w:val="20"/>
                <w:color w:val="auto"/>
              </w:rPr>
            </w:pPr>
            <w:r>
              <w:rPr>
                <w:rFonts w:ascii="Times New Roman" w:cs="Times New Roman" w:eastAsia="Times New Roman" w:hAnsi="Times New Roman"/>
                <w:sz w:val="18"/>
                <w:szCs w:val="18"/>
                <w:color w:val="0000FF"/>
              </w:rPr>
              <w:t>America, N.A. as Administrative Agent, and JPMorgan Chase Bank, N.A., PNC Bank, National Association, Truist Bank and</w:t>
            </w:r>
          </w:p>
        </w:tc>
        <w:tc>
          <w:tcPr>
            <w:tcW w:w="580" w:type="dxa"/>
            <w:vAlign w:val="bottom"/>
            <w:gridSpan w:val="5"/>
          </w:tcPr>
          <w:p>
            <w:pPr>
              <w:spacing w:after="0" w:line="156" w:lineRule="exact"/>
              <w:rPr>
                <w:sz w:val="20"/>
                <w:szCs w:val="20"/>
                <w:color w:val="auto"/>
              </w:rPr>
            </w:pPr>
            <w:r>
              <w:rPr>
                <w:rFonts w:ascii="Times New Roman" w:cs="Times New Roman" w:eastAsia="Times New Roman" w:hAnsi="Times New Roman"/>
                <w:sz w:val="18"/>
                <w:szCs w:val="18"/>
                <w:color w:val="0000FF"/>
              </w:rPr>
              <w:t>Wells</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500" w:type="dxa"/>
            <w:vAlign w:val="bottom"/>
            <w:tcBorders>
              <w:top w:val="single" w:sz="8" w:color="0000FF"/>
            </w:tcBorders>
            <w:gridSpan w:val="8"/>
          </w:tcPr>
          <w:p>
            <w:pPr>
              <w:spacing w:after="0" w:line="169" w:lineRule="exact"/>
              <w:rPr>
                <w:sz w:val="20"/>
                <w:szCs w:val="20"/>
                <w:color w:val="auto"/>
              </w:rPr>
            </w:pPr>
            <w:r>
              <w:rPr>
                <w:rFonts w:ascii="Times New Roman" w:cs="Times New Roman" w:eastAsia="Times New Roman" w:hAnsi="Times New Roman"/>
                <w:sz w:val="18"/>
                <w:szCs w:val="18"/>
                <w:color w:val="0000FF"/>
              </w:rPr>
              <w:t>Fargo Bank, National Association, as Syndication Agents</w:t>
            </w:r>
          </w:p>
        </w:tc>
        <w:tc>
          <w:tcPr>
            <w:tcW w:w="2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140" w:type="dxa"/>
            <w:vAlign w:val="bottom"/>
            <w:gridSpan w:val="4"/>
            <w:shd w:val="clear" w:color="auto" w:fill="0000FF"/>
          </w:tcPr>
          <w:p>
            <w:pPr>
              <w:spacing w:after="0" w:line="20" w:lineRule="exact"/>
              <w:rPr>
                <w:sz w:val="1"/>
                <w:szCs w:val="1"/>
                <w:color w:val="auto"/>
              </w:rPr>
            </w:pPr>
          </w:p>
        </w:tc>
        <w:tc>
          <w:tcPr>
            <w:tcW w:w="560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80" w:type="dxa"/>
            <w:vAlign w:val="bottom"/>
            <w:gridSpan w:val="3"/>
          </w:tcPr>
          <w:p>
            <w:pPr>
              <w:jc w:val="center"/>
              <w:ind w:left="290"/>
              <w:spacing w:after="0"/>
              <w:rPr>
                <w:sz w:val="20"/>
                <w:szCs w:val="20"/>
                <w:color w:val="auto"/>
              </w:rPr>
            </w:pPr>
            <w:r>
              <w:rPr>
                <w:rFonts w:ascii="Times New Roman" w:cs="Times New Roman" w:eastAsia="Times New Roman" w:hAnsi="Times New Roman"/>
                <w:sz w:val="18"/>
                <w:szCs w:val="18"/>
                <w:color w:val="auto"/>
                <w:w w:val="96"/>
              </w:rPr>
              <w:t>104</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7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857"/>
        </w:trPr>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c>
          <w:tcPr>
            <w:tcW w:w="50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AMETEK, Inc.</w:t>
      </w:r>
    </w:p>
    <w:p>
      <w:pPr>
        <w:spacing w:after="0" w:line="293" w:lineRule="exact"/>
        <w:rPr>
          <w:sz w:val="20"/>
          <w:szCs w:val="20"/>
          <w:color w:val="auto"/>
        </w:rPr>
      </w:pPr>
    </w:p>
    <w:p>
      <w:pPr>
        <w:ind w:left="20"/>
        <w:spacing w:after="0"/>
        <w:tabs>
          <w:tab w:leader="none" w:pos="5440" w:val="left"/>
          <w:tab w:leader="none" w:pos="5880" w:val="left"/>
        </w:tabs>
        <w:rPr>
          <w:sz w:val="20"/>
          <w:szCs w:val="20"/>
          <w:color w:val="auto"/>
        </w:rPr>
      </w:pPr>
      <w:r>
        <w:rPr>
          <w:rFonts w:ascii="Times New Roman" w:cs="Times New Roman" w:eastAsia="Times New Roman" w:hAnsi="Times New Roman"/>
          <w:sz w:val="18"/>
          <w:szCs w:val="18"/>
          <w:color w:val="auto"/>
        </w:rPr>
        <w:t>June 12,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ROBERT J. AMODEI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43180</wp:posOffset>
            </wp:positionV>
            <wp:extent cx="34029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02965" cy="8255"/>
                    </a:xfrm>
                    <a:prstGeom prst="rect">
                      <a:avLst/>
                    </a:prstGeom>
                    <a:noFill/>
                  </pic:spPr>
                </pic:pic>
              </a:graphicData>
            </a:graphic>
          </wp:anchor>
        </w:drawing>
      </w:r>
    </w:p>
    <w:p>
      <w:pPr>
        <w:spacing w:after="0" w:line="5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Name: Robert J. Amodei</w:t>
      </w:r>
    </w:p>
    <w:p>
      <w:pPr>
        <w:spacing w:after="0" w:line="36"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Title: Senior Vice President - Controller</w:t>
      </w:r>
    </w:p>
    <w:p>
      <w:pPr>
        <w:sectPr>
          <w:pgSz w:w="11900" w:h="16838" w:orient="portrait"/>
          <w:cols w:equalWidth="0" w:num="1">
            <w:col w:w="11200"/>
          </w:cols>
          <w:pgMar w:left="320" w:top="941" w:right="37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EXECUTION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497205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2019935</wp:posOffset>
            </wp:positionH>
            <wp:positionV relativeFrom="paragraph">
              <wp:posOffset>660400</wp:posOffset>
            </wp:positionV>
            <wp:extent cx="1680210" cy="3689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80210"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AMENDED AND RESTATED CREDIT AGREEMENT</w:t>
      </w:r>
    </w:p>
    <w:p>
      <w:pPr>
        <w:spacing w:after="0" w:line="22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dated as of</w:t>
      </w:r>
    </w:p>
    <w:p>
      <w:pPr>
        <w:spacing w:after="0" w:line="21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September 22, 2011</w:t>
      </w:r>
    </w:p>
    <w:p>
      <w:pPr>
        <w:spacing w:after="0" w:line="2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as amended and restated as of March 10, 2016</w:t>
      </w:r>
    </w:p>
    <w:p>
      <w:pPr>
        <w:spacing w:after="0" w:line="1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as further amended and restated as of October 30, 2018</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as further amended and restated as of May 12, 2022</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as further amended as of June 17, 2024</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and as further amended and restated as of June 9, 2026</w:t>
      </w:r>
    </w:p>
    <w:p>
      <w:pPr>
        <w:spacing w:after="0" w:line="23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among</w:t>
      </w:r>
    </w:p>
    <w:p>
      <w:pPr>
        <w:spacing w:after="0" w:line="2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AMETEK, INC.</w:t>
      </w:r>
    </w:p>
    <w:p>
      <w:pPr>
        <w:spacing w:after="0" w:line="21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The Foreign Subsidiary Borrowers Party Hereto</w:t>
      </w:r>
    </w:p>
    <w:p>
      <w:pPr>
        <w:spacing w:after="0" w:line="22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The Lenders Party Hereto</w:t>
      </w:r>
    </w:p>
    <w:p>
      <w:pPr>
        <w:spacing w:after="0" w:line="22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color w:val="auto"/>
        </w:rPr>
        <w:t>JPMORGAN CHASE BANK, N.A. and J.P. MORGAN SE</w:t>
      </w:r>
    </w:p>
    <w:p>
      <w:pPr>
        <w:spacing w:after="0" w:line="4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as Administrative Agent</w:t>
      </w:r>
    </w:p>
    <w:p>
      <w:pPr>
        <w:spacing w:after="0" w:line="21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BANK OF AMERICA, N.A.,</w:t>
      </w:r>
    </w:p>
    <w:p>
      <w:pPr>
        <w:spacing w:after="0" w:line="22"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20"/>
          <w:szCs w:val="20"/>
          <w:color w:val="auto"/>
        </w:rPr>
        <w:t>PNC BANK, NATIONAL ASSOCIATION,</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TRUIST BANK and</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WELLS FARGO BANK, NATIONAL ASSOCIATION</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as Co-Syndication Agents</w:t>
      </w:r>
    </w:p>
    <w:p>
      <w:pPr>
        <w:spacing w:after="0" w:line="24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and</w:t>
      </w:r>
    </w:p>
    <w:p>
      <w:pPr>
        <w:spacing w:after="0" w:line="229"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0"/>
          <w:szCs w:val="20"/>
          <w:color w:val="auto"/>
        </w:rPr>
        <w:t>U.S. BANK NATIONAL ASSOCIATION,</w:t>
      </w:r>
    </w:p>
    <w:p>
      <w:pPr>
        <w:spacing w:after="0" w:line="28"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color w:val="auto"/>
        </w:rPr>
        <w:t>BNP PARIBAS,</w:t>
      </w:r>
    </w:p>
    <w:p>
      <w:pPr>
        <w:spacing w:after="0" w:line="6"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20"/>
          <w:szCs w:val="20"/>
          <w:color w:val="auto"/>
        </w:rPr>
        <w:t>NATIONAL WESTMINSTER BANK PLC</w:t>
      </w:r>
    </w:p>
    <w:p>
      <w:pPr>
        <w:spacing w:after="0" w:line="6"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20"/>
          <w:szCs w:val="20"/>
          <w:color w:val="auto"/>
        </w:rPr>
        <w:t>COMMERZBANK AG, NEW YORK BRANCH,</w:t>
      </w:r>
    </w:p>
    <w:p>
      <w:pPr>
        <w:spacing w:after="0" w:line="6"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0"/>
          <w:szCs w:val="20"/>
          <w:color w:val="auto"/>
        </w:rPr>
        <w:t>THE BANK OF NOVA SCOTIA,</w:t>
      </w:r>
    </w:p>
    <w:p>
      <w:pPr>
        <w:spacing w:after="0" w:line="6"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0"/>
          <w:szCs w:val="20"/>
          <w:color w:val="auto"/>
        </w:rPr>
        <w:t>CITIZENS BANK, N.A. and</w:t>
      </w:r>
    </w:p>
    <w:p>
      <w:pPr>
        <w:spacing w:after="0" w:line="13"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color w:val="auto"/>
        </w:rPr>
        <w:t>ING BANK N.V. DUBLIN BRANCH</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as Co-Documentation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26035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7"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0"/>
          <w:szCs w:val="20"/>
          <w:color w:val="auto"/>
        </w:rPr>
        <w:t>JPMORGAN CHASE BANK, N.A.,</w:t>
      </w:r>
    </w:p>
    <w:p>
      <w:pPr>
        <w:spacing w:after="0" w:line="28"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0"/>
          <w:szCs w:val="20"/>
          <w:color w:val="auto"/>
        </w:rPr>
        <w:t>BofA SECURITIES, INC.,</w:t>
      </w:r>
    </w:p>
    <w:p>
      <w:pPr>
        <w:spacing w:after="0" w:line="6"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0"/>
          <w:szCs w:val="20"/>
          <w:color w:val="auto"/>
        </w:rPr>
        <w:t>PNC CAPITAL MARKETS LLC,</w:t>
      </w:r>
    </w:p>
    <w:p>
      <w:pPr>
        <w:spacing w:after="0" w:line="6"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0"/>
          <w:szCs w:val="20"/>
          <w:color w:val="auto"/>
        </w:rPr>
        <w:t>TRUIST SECURITIES, INC. and</w:t>
      </w:r>
    </w:p>
    <w:p>
      <w:pPr>
        <w:spacing w:after="0" w:line="13"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0"/>
          <w:szCs w:val="20"/>
          <w:color w:val="auto"/>
        </w:rPr>
        <w:t>WELLS FARGO SECURITIES, LLC</w:t>
      </w:r>
    </w:p>
    <w:p>
      <w:pPr>
        <w:spacing w:after="0" w:line="6"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0"/>
          <w:szCs w:val="20"/>
          <w:color w:val="auto"/>
        </w:rPr>
        <w:t>as Joint Bookrunners and Joint Lead Arrangers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26035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4" w:right="339" w:bottom="1440" w:gutter="0" w:footer="0" w:header="0"/>
        </w:sectPr>
      </w:pPr>
    </w:p>
    <w:bookmarkStart w:id="5" w:name="page6"/>
    <w:bookmarkEnd w:id="5"/>
    <w:p>
      <w:pPr>
        <w:jc w:val="center"/>
        <w:ind w:right="20"/>
        <w:spacing w:after="0"/>
        <w:rPr>
          <w:sz w:val="20"/>
          <w:szCs w:val="20"/>
          <w:color w:val="auto"/>
        </w:rPr>
      </w:pPr>
      <w:r>
        <w:rPr>
          <w:rFonts w:ascii="Times New Roman" w:cs="Times New Roman" w:eastAsia="Times New Roman" w:hAnsi="Times New Roman"/>
          <w:sz w:val="20"/>
          <w:szCs w:val="20"/>
          <w:u w:val="single" w:color="auto"/>
          <w:color w:val="auto"/>
        </w:rPr>
        <w:t>Table Of Contents</w:t>
      </w:r>
    </w:p>
    <w:p>
      <w:pPr>
        <w:spacing w:after="0" w:line="2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2080" w:type="dxa"/>
            <w:vAlign w:val="bottom"/>
          </w:tcPr>
          <w:p>
            <w:pPr>
              <w:spacing w:after="0"/>
              <w:rPr>
                <w:sz w:val="20"/>
                <w:szCs w:val="20"/>
                <w:color w:val="auto"/>
              </w:rPr>
            </w:pPr>
            <w:r>
              <w:rPr>
                <w:rFonts w:ascii="Times New Roman" w:cs="Times New Roman" w:eastAsia="Times New Roman" w:hAnsi="Times New Roman"/>
                <w:sz w:val="20"/>
                <w:szCs w:val="20"/>
                <w:color w:val="auto"/>
              </w:rPr>
              <w:t>ARTICLE I Definitions</w:t>
            </w:r>
          </w:p>
        </w:tc>
        <w:tc>
          <w:tcPr>
            <w:tcW w:w="5960" w:type="dxa"/>
            <w:vAlign w:val="bottom"/>
          </w:tcPr>
          <w:p>
            <w:pPr>
              <w:spacing w:after="0"/>
              <w:rPr>
                <w:sz w:val="22"/>
                <w:szCs w:val="22"/>
                <w:color w:val="auto"/>
              </w:rPr>
            </w:pPr>
          </w:p>
        </w:tc>
        <w:tc>
          <w:tcPr>
            <w:tcW w:w="3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1</w:t>
            </w:r>
          </w:p>
        </w:tc>
        <w:tc>
          <w:tcPr>
            <w:tcW w:w="0" w:type="dxa"/>
            <w:vAlign w:val="bottom"/>
          </w:tcPr>
          <w:p>
            <w:pPr>
              <w:spacing w:after="0"/>
              <w:rPr>
                <w:sz w:val="1"/>
                <w:szCs w:val="1"/>
                <w:color w:val="auto"/>
              </w:rPr>
            </w:pPr>
          </w:p>
        </w:tc>
      </w:tr>
      <w:tr>
        <w:trPr>
          <w:trHeight w:val="256"/>
        </w:trPr>
        <w:tc>
          <w:tcPr>
            <w:tcW w:w="2080" w:type="dxa"/>
            <w:vAlign w:val="bottom"/>
          </w:tcPr>
          <w:p>
            <w:pPr>
              <w:spacing w:after="0"/>
              <w:rPr>
                <w:sz w:val="20"/>
                <w:szCs w:val="20"/>
                <w:color w:val="auto"/>
              </w:rPr>
            </w:pPr>
            <w:r>
              <w:rPr>
                <w:rFonts w:ascii="Times New Roman" w:cs="Times New Roman" w:eastAsia="Times New Roman" w:hAnsi="Times New Roman"/>
                <w:sz w:val="20"/>
                <w:szCs w:val="20"/>
                <w:color w:val="auto"/>
              </w:rPr>
              <w:t>SECTION 1.01.</w:t>
            </w:r>
          </w:p>
        </w:tc>
        <w:tc>
          <w:tcPr>
            <w:tcW w:w="59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DEFINED TERMS</w:t>
            </w:r>
          </w:p>
        </w:tc>
        <w:tc>
          <w:tcPr>
            <w:tcW w:w="3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1</w:t>
            </w:r>
          </w:p>
        </w:tc>
        <w:tc>
          <w:tcPr>
            <w:tcW w:w="0" w:type="dxa"/>
            <w:vAlign w:val="bottom"/>
          </w:tcPr>
          <w:p>
            <w:pPr>
              <w:spacing w:after="0"/>
              <w:rPr>
                <w:sz w:val="1"/>
                <w:szCs w:val="1"/>
                <w:color w:val="auto"/>
              </w:rPr>
            </w:pPr>
          </w:p>
        </w:tc>
      </w:tr>
      <w:tr>
        <w:trPr>
          <w:trHeight w:val="257"/>
        </w:trPr>
        <w:tc>
          <w:tcPr>
            <w:tcW w:w="2080" w:type="dxa"/>
            <w:vAlign w:val="bottom"/>
          </w:tcPr>
          <w:p>
            <w:pPr>
              <w:spacing w:after="0"/>
              <w:rPr>
                <w:sz w:val="20"/>
                <w:szCs w:val="20"/>
                <w:color w:val="auto"/>
              </w:rPr>
            </w:pPr>
            <w:r>
              <w:rPr>
                <w:rFonts w:ascii="Times New Roman" w:cs="Times New Roman" w:eastAsia="Times New Roman" w:hAnsi="Times New Roman"/>
                <w:sz w:val="20"/>
                <w:szCs w:val="20"/>
                <w:color w:val="auto"/>
              </w:rPr>
              <w:t>SECTION 1.02.</w:t>
            </w:r>
          </w:p>
        </w:tc>
        <w:tc>
          <w:tcPr>
            <w:tcW w:w="59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CLASSIFICATION OF LOANS AND BORROWINGS</w:t>
            </w:r>
          </w:p>
        </w:tc>
        <w:tc>
          <w:tcPr>
            <w:tcW w:w="300" w:type="dxa"/>
            <w:vAlign w:val="bottom"/>
          </w:tcPr>
          <w:p>
            <w:pPr>
              <w:ind w:left="100"/>
              <w:spacing w:after="0"/>
              <w:rPr>
                <w:sz w:val="20"/>
                <w:szCs w:val="20"/>
                <w:color w:val="auto"/>
              </w:rPr>
            </w:pPr>
            <w:r>
              <w:rPr>
                <w:rFonts w:ascii="Times New Roman" w:cs="Times New Roman" w:eastAsia="Times New Roman" w:hAnsi="Times New Roman"/>
                <w:sz w:val="20"/>
                <w:szCs w:val="20"/>
                <w:color w:val="auto"/>
                <w:w w:val="89"/>
              </w:rPr>
              <w:t>44</w:t>
            </w:r>
          </w:p>
        </w:tc>
        <w:tc>
          <w:tcPr>
            <w:tcW w:w="0" w:type="dxa"/>
            <w:vAlign w:val="bottom"/>
          </w:tcPr>
          <w:p>
            <w:pPr>
              <w:spacing w:after="0"/>
              <w:rPr>
                <w:sz w:val="1"/>
                <w:szCs w:val="1"/>
                <w:color w:val="auto"/>
              </w:rPr>
            </w:pPr>
          </w:p>
        </w:tc>
      </w:tr>
      <w:tr>
        <w:trPr>
          <w:trHeight w:val="257"/>
        </w:trPr>
        <w:tc>
          <w:tcPr>
            <w:tcW w:w="2080" w:type="dxa"/>
            <w:vAlign w:val="bottom"/>
          </w:tcPr>
          <w:p>
            <w:pPr>
              <w:spacing w:after="0"/>
              <w:rPr>
                <w:sz w:val="20"/>
                <w:szCs w:val="20"/>
                <w:color w:val="auto"/>
              </w:rPr>
            </w:pPr>
            <w:r>
              <w:rPr>
                <w:rFonts w:ascii="Times New Roman" w:cs="Times New Roman" w:eastAsia="Times New Roman" w:hAnsi="Times New Roman"/>
                <w:sz w:val="20"/>
                <w:szCs w:val="20"/>
                <w:color w:val="auto"/>
              </w:rPr>
              <w:t>SECTION 1.03.</w:t>
            </w:r>
          </w:p>
        </w:tc>
        <w:tc>
          <w:tcPr>
            <w:tcW w:w="59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TERMS GENERALLY</w:t>
            </w:r>
          </w:p>
        </w:tc>
        <w:tc>
          <w:tcPr>
            <w:tcW w:w="300" w:type="dxa"/>
            <w:vAlign w:val="bottom"/>
          </w:tcPr>
          <w:p>
            <w:pPr>
              <w:ind w:left="100"/>
              <w:spacing w:after="0"/>
              <w:rPr>
                <w:sz w:val="20"/>
                <w:szCs w:val="20"/>
                <w:color w:val="auto"/>
              </w:rPr>
            </w:pPr>
            <w:r>
              <w:rPr>
                <w:rFonts w:ascii="Times New Roman" w:cs="Times New Roman" w:eastAsia="Times New Roman" w:hAnsi="Times New Roman"/>
                <w:sz w:val="20"/>
                <w:szCs w:val="20"/>
                <w:color w:val="auto"/>
                <w:w w:val="89"/>
              </w:rPr>
              <w:t>45</w:t>
            </w:r>
          </w:p>
        </w:tc>
        <w:tc>
          <w:tcPr>
            <w:tcW w:w="0" w:type="dxa"/>
            <w:vAlign w:val="bottom"/>
          </w:tcPr>
          <w:p>
            <w:pPr>
              <w:spacing w:after="0"/>
              <w:rPr>
                <w:sz w:val="1"/>
                <w:szCs w:val="1"/>
                <w:color w:val="auto"/>
              </w:rPr>
            </w:pPr>
          </w:p>
        </w:tc>
      </w:tr>
      <w:tr>
        <w:trPr>
          <w:trHeight w:val="257"/>
        </w:trPr>
        <w:tc>
          <w:tcPr>
            <w:tcW w:w="2080" w:type="dxa"/>
            <w:vAlign w:val="bottom"/>
          </w:tcPr>
          <w:p>
            <w:pPr>
              <w:spacing w:after="0"/>
              <w:rPr>
                <w:sz w:val="20"/>
                <w:szCs w:val="20"/>
                <w:color w:val="auto"/>
              </w:rPr>
            </w:pPr>
            <w:r>
              <w:rPr>
                <w:rFonts w:ascii="Times New Roman" w:cs="Times New Roman" w:eastAsia="Times New Roman" w:hAnsi="Times New Roman"/>
                <w:sz w:val="20"/>
                <w:szCs w:val="20"/>
                <w:color w:val="auto"/>
              </w:rPr>
              <w:t>SECTION 1.04.</w:t>
            </w:r>
          </w:p>
        </w:tc>
        <w:tc>
          <w:tcPr>
            <w:tcW w:w="59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ACCOUNTING TERMS; GAAP</w:t>
            </w:r>
          </w:p>
        </w:tc>
        <w:tc>
          <w:tcPr>
            <w:tcW w:w="300" w:type="dxa"/>
            <w:vAlign w:val="bottom"/>
          </w:tcPr>
          <w:p>
            <w:pPr>
              <w:ind w:left="100"/>
              <w:spacing w:after="0"/>
              <w:rPr>
                <w:sz w:val="20"/>
                <w:szCs w:val="20"/>
                <w:color w:val="auto"/>
              </w:rPr>
            </w:pPr>
            <w:r>
              <w:rPr>
                <w:rFonts w:ascii="Times New Roman" w:cs="Times New Roman" w:eastAsia="Times New Roman" w:hAnsi="Times New Roman"/>
                <w:sz w:val="20"/>
                <w:szCs w:val="20"/>
                <w:color w:val="auto"/>
                <w:w w:val="89"/>
              </w:rPr>
              <w:t>45</w:t>
            </w:r>
          </w:p>
        </w:tc>
        <w:tc>
          <w:tcPr>
            <w:tcW w:w="0" w:type="dxa"/>
            <w:vAlign w:val="bottom"/>
          </w:tcPr>
          <w:p>
            <w:pPr>
              <w:spacing w:after="0"/>
              <w:rPr>
                <w:sz w:val="1"/>
                <w:szCs w:val="1"/>
                <w:color w:val="auto"/>
              </w:rPr>
            </w:pPr>
          </w:p>
        </w:tc>
      </w:tr>
      <w:tr>
        <w:trPr>
          <w:trHeight w:val="256"/>
        </w:trPr>
        <w:tc>
          <w:tcPr>
            <w:tcW w:w="2080" w:type="dxa"/>
            <w:vAlign w:val="bottom"/>
          </w:tcPr>
          <w:p>
            <w:pPr>
              <w:spacing w:after="0"/>
              <w:rPr>
                <w:sz w:val="20"/>
                <w:szCs w:val="20"/>
                <w:color w:val="auto"/>
              </w:rPr>
            </w:pPr>
            <w:r>
              <w:rPr>
                <w:rFonts w:ascii="Times New Roman" w:cs="Times New Roman" w:eastAsia="Times New Roman" w:hAnsi="Times New Roman"/>
                <w:sz w:val="20"/>
                <w:szCs w:val="20"/>
                <w:color w:val="auto"/>
              </w:rPr>
              <w:t>SECTION 1.05.</w:t>
            </w:r>
          </w:p>
        </w:tc>
        <w:tc>
          <w:tcPr>
            <w:tcW w:w="59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INTEREST RATES; BENCHMARK NOTIFICATION</w:t>
            </w:r>
          </w:p>
        </w:tc>
        <w:tc>
          <w:tcPr>
            <w:tcW w:w="300" w:type="dxa"/>
            <w:vAlign w:val="bottom"/>
          </w:tcPr>
          <w:p>
            <w:pPr>
              <w:ind w:left="100"/>
              <w:spacing w:after="0"/>
              <w:rPr>
                <w:sz w:val="20"/>
                <w:szCs w:val="20"/>
                <w:color w:val="auto"/>
              </w:rPr>
            </w:pPr>
            <w:r>
              <w:rPr>
                <w:rFonts w:ascii="Times New Roman" w:cs="Times New Roman" w:eastAsia="Times New Roman" w:hAnsi="Times New Roman"/>
                <w:sz w:val="20"/>
                <w:szCs w:val="20"/>
                <w:color w:val="auto"/>
                <w:w w:val="89"/>
              </w:rPr>
              <w:t>46</w:t>
            </w:r>
          </w:p>
        </w:tc>
        <w:tc>
          <w:tcPr>
            <w:tcW w:w="0" w:type="dxa"/>
            <w:vAlign w:val="bottom"/>
          </w:tcPr>
          <w:p>
            <w:pPr>
              <w:spacing w:after="0"/>
              <w:rPr>
                <w:sz w:val="1"/>
                <w:szCs w:val="1"/>
                <w:color w:val="auto"/>
              </w:rPr>
            </w:pPr>
          </w:p>
        </w:tc>
      </w:tr>
      <w:tr>
        <w:trPr>
          <w:trHeight w:val="257"/>
        </w:trPr>
        <w:tc>
          <w:tcPr>
            <w:tcW w:w="2080" w:type="dxa"/>
            <w:vAlign w:val="bottom"/>
          </w:tcPr>
          <w:p>
            <w:pPr>
              <w:spacing w:after="0"/>
              <w:rPr>
                <w:sz w:val="20"/>
                <w:szCs w:val="20"/>
                <w:color w:val="auto"/>
              </w:rPr>
            </w:pPr>
            <w:r>
              <w:rPr>
                <w:rFonts w:ascii="Times New Roman" w:cs="Times New Roman" w:eastAsia="Times New Roman" w:hAnsi="Times New Roman"/>
                <w:sz w:val="20"/>
                <w:szCs w:val="20"/>
                <w:color w:val="auto"/>
              </w:rPr>
              <w:t>SECTION 1.06.</w:t>
            </w:r>
          </w:p>
        </w:tc>
        <w:tc>
          <w:tcPr>
            <w:tcW w:w="59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STATUS OF OBLIGATIONS</w:t>
            </w:r>
          </w:p>
        </w:tc>
        <w:tc>
          <w:tcPr>
            <w:tcW w:w="300" w:type="dxa"/>
            <w:vAlign w:val="bottom"/>
          </w:tcPr>
          <w:p>
            <w:pPr>
              <w:ind w:left="100"/>
              <w:spacing w:after="0"/>
              <w:rPr>
                <w:sz w:val="20"/>
                <w:szCs w:val="20"/>
                <w:color w:val="auto"/>
              </w:rPr>
            </w:pPr>
            <w:r>
              <w:rPr>
                <w:rFonts w:ascii="Times New Roman" w:cs="Times New Roman" w:eastAsia="Times New Roman" w:hAnsi="Times New Roman"/>
                <w:sz w:val="20"/>
                <w:szCs w:val="20"/>
                <w:color w:val="auto"/>
                <w:w w:val="89"/>
              </w:rPr>
              <w:t>46</w:t>
            </w:r>
          </w:p>
        </w:tc>
        <w:tc>
          <w:tcPr>
            <w:tcW w:w="0" w:type="dxa"/>
            <w:vAlign w:val="bottom"/>
          </w:tcPr>
          <w:p>
            <w:pPr>
              <w:spacing w:after="0"/>
              <w:rPr>
                <w:sz w:val="1"/>
                <w:szCs w:val="1"/>
                <w:color w:val="auto"/>
              </w:rPr>
            </w:pPr>
          </w:p>
        </w:tc>
      </w:tr>
      <w:tr>
        <w:trPr>
          <w:trHeight w:val="198"/>
        </w:trPr>
        <w:tc>
          <w:tcPr>
            <w:tcW w:w="20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SECTION 1.07.</w:t>
            </w:r>
          </w:p>
        </w:tc>
        <w:tc>
          <w:tcPr>
            <w:tcW w:w="5960" w:type="dxa"/>
            <w:vAlign w:val="bottom"/>
          </w:tcPr>
          <w:p>
            <w:pPr>
              <w:ind w:left="100"/>
              <w:spacing w:after="0" w:line="198" w:lineRule="exact"/>
              <w:rPr>
                <w:sz w:val="20"/>
                <w:szCs w:val="20"/>
                <w:color w:val="auto"/>
              </w:rPr>
            </w:pPr>
            <w:r>
              <w:rPr>
                <w:rFonts w:ascii="Times New Roman" w:cs="Times New Roman" w:eastAsia="Times New Roman" w:hAnsi="Times New Roman"/>
                <w:sz w:val="20"/>
                <w:szCs w:val="20"/>
                <w:color w:val="auto"/>
              </w:rPr>
              <w:t>AMENDMENT AND RESTATEMENT OF EXISTING CREDIT</w:t>
            </w:r>
          </w:p>
        </w:tc>
        <w:tc>
          <w:tcPr>
            <w:tcW w:w="30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w w:val="89"/>
              </w:rPr>
              <w:t>46</w:t>
            </w:r>
          </w:p>
        </w:tc>
        <w:tc>
          <w:tcPr>
            <w:tcW w:w="0" w:type="dxa"/>
            <w:vAlign w:val="bottom"/>
          </w:tcPr>
          <w:p>
            <w:pPr>
              <w:spacing w:after="0"/>
              <w:rPr>
                <w:sz w:val="1"/>
                <w:szCs w:val="1"/>
                <w:color w:val="auto"/>
              </w:rPr>
            </w:pPr>
          </w:p>
        </w:tc>
      </w:tr>
      <w:tr>
        <w:trPr>
          <w:trHeight w:val="247"/>
        </w:trPr>
        <w:tc>
          <w:tcPr>
            <w:tcW w:w="2080" w:type="dxa"/>
            <w:vAlign w:val="bottom"/>
            <w:vMerge w:val="continue"/>
          </w:tcPr>
          <w:p>
            <w:pPr>
              <w:spacing w:after="0"/>
              <w:rPr>
                <w:sz w:val="21"/>
                <w:szCs w:val="21"/>
                <w:color w:val="auto"/>
              </w:rPr>
            </w:pPr>
          </w:p>
        </w:tc>
        <w:tc>
          <w:tcPr>
            <w:tcW w:w="59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AGREEMENT</w:t>
            </w:r>
          </w:p>
        </w:tc>
        <w:tc>
          <w:tcPr>
            <w:tcW w:w="3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80" w:type="dxa"/>
            <w:vAlign w:val="bottom"/>
          </w:tcPr>
          <w:p>
            <w:pPr>
              <w:spacing w:after="0"/>
              <w:rPr>
                <w:sz w:val="20"/>
                <w:szCs w:val="20"/>
                <w:color w:val="auto"/>
              </w:rPr>
            </w:pPr>
            <w:r>
              <w:rPr>
                <w:rFonts w:ascii="Times New Roman" w:cs="Times New Roman" w:eastAsia="Times New Roman" w:hAnsi="Times New Roman"/>
                <w:sz w:val="20"/>
                <w:szCs w:val="20"/>
                <w:color w:val="auto"/>
              </w:rPr>
              <w:t>SECTION 1.08.</w:t>
            </w:r>
          </w:p>
        </w:tc>
        <w:tc>
          <w:tcPr>
            <w:tcW w:w="59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DIVISIONS</w:t>
            </w:r>
          </w:p>
        </w:tc>
        <w:tc>
          <w:tcPr>
            <w:tcW w:w="300" w:type="dxa"/>
            <w:vAlign w:val="bottom"/>
          </w:tcPr>
          <w:p>
            <w:pPr>
              <w:ind w:left="100"/>
              <w:spacing w:after="0"/>
              <w:rPr>
                <w:sz w:val="20"/>
                <w:szCs w:val="20"/>
                <w:color w:val="auto"/>
              </w:rPr>
            </w:pPr>
            <w:r>
              <w:rPr>
                <w:rFonts w:ascii="Times New Roman" w:cs="Times New Roman" w:eastAsia="Times New Roman" w:hAnsi="Times New Roman"/>
                <w:sz w:val="20"/>
                <w:szCs w:val="20"/>
                <w:color w:val="auto"/>
                <w:w w:val="89"/>
              </w:rPr>
              <w:t>47</w:t>
            </w:r>
          </w:p>
        </w:tc>
        <w:tc>
          <w:tcPr>
            <w:tcW w:w="0" w:type="dxa"/>
            <w:vAlign w:val="bottom"/>
          </w:tcPr>
          <w:p>
            <w:pPr>
              <w:spacing w:after="0"/>
              <w:rPr>
                <w:sz w:val="1"/>
                <w:szCs w:val="1"/>
                <w:color w:val="auto"/>
              </w:rPr>
            </w:pPr>
          </w:p>
        </w:tc>
      </w:tr>
      <w:tr>
        <w:trPr>
          <w:trHeight w:val="256"/>
        </w:trPr>
        <w:tc>
          <w:tcPr>
            <w:tcW w:w="2080" w:type="dxa"/>
            <w:vAlign w:val="bottom"/>
          </w:tcPr>
          <w:p>
            <w:pPr>
              <w:spacing w:after="0"/>
              <w:rPr>
                <w:sz w:val="20"/>
                <w:szCs w:val="20"/>
                <w:color w:val="auto"/>
              </w:rPr>
            </w:pPr>
            <w:r>
              <w:rPr>
                <w:rFonts w:ascii="Times New Roman" w:cs="Times New Roman" w:eastAsia="Times New Roman" w:hAnsi="Times New Roman"/>
                <w:sz w:val="20"/>
                <w:szCs w:val="20"/>
                <w:color w:val="auto"/>
              </w:rPr>
              <w:t>SECTION 1.09.</w:t>
            </w:r>
          </w:p>
        </w:tc>
        <w:tc>
          <w:tcPr>
            <w:tcW w:w="59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LETTER OF CREDIT AMOUNTS</w:t>
            </w:r>
          </w:p>
        </w:tc>
        <w:tc>
          <w:tcPr>
            <w:tcW w:w="300" w:type="dxa"/>
            <w:vAlign w:val="bottom"/>
          </w:tcPr>
          <w:p>
            <w:pPr>
              <w:ind w:left="100"/>
              <w:spacing w:after="0"/>
              <w:rPr>
                <w:sz w:val="20"/>
                <w:szCs w:val="20"/>
                <w:color w:val="auto"/>
              </w:rPr>
            </w:pPr>
            <w:r>
              <w:rPr>
                <w:rFonts w:ascii="Times New Roman" w:cs="Times New Roman" w:eastAsia="Times New Roman" w:hAnsi="Times New Roman"/>
                <w:sz w:val="20"/>
                <w:szCs w:val="20"/>
                <w:color w:val="auto"/>
                <w:w w:val="89"/>
              </w:rPr>
              <w:t>47</w:t>
            </w:r>
          </w:p>
        </w:tc>
        <w:tc>
          <w:tcPr>
            <w:tcW w:w="0" w:type="dxa"/>
            <w:vAlign w:val="bottom"/>
          </w:tcPr>
          <w:p>
            <w:pPr>
              <w:spacing w:after="0"/>
              <w:rPr>
                <w:sz w:val="1"/>
                <w:szCs w:val="1"/>
                <w:color w:val="auto"/>
              </w:rPr>
            </w:pPr>
          </w:p>
        </w:tc>
      </w:tr>
      <w:tr>
        <w:trPr>
          <w:trHeight w:val="257"/>
        </w:trPr>
        <w:tc>
          <w:tcPr>
            <w:tcW w:w="2080" w:type="dxa"/>
            <w:vAlign w:val="bottom"/>
          </w:tcPr>
          <w:p>
            <w:pPr>
              <w:spacing w:after="0"/>
              <w:rPr>
                <w:sz w:val="20"/>
                <w:szCs w:val="20"/>
                <w:color w:val="auto"/>
              </w:rPr>
            </w:pPr>
            <w:r>
              <w:rPr>
                <w:rFonts w:ascii="Times New Roman" w:cs="Times New Roman" w:eastAsia="Times New Roman" w:hAnsi="Times New Roman"/>
                <w:sz w:val="20"/>
                <w:szCs w:val="20"/>
                <w:color w:val="auto"/>
              </w:rPr>
              <w:t>SECTION 1.10.</w:t>
            </w:r>
          </w:p>
        </w:tc>
        <w:tc>
          <w:tcPr>
            <w:tcW w:w="59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EXCHANGE RATES; CURRENCY EQUIVALENTS</w:t>
            </w:r>
          </w:p>
        </w:tc>
        <w:tc>
          <w:tcPr>
            <w:tcW w:w="300" w:type="dxa"/>
            <w:vAlign w:val="bottom"/>
          </w:tcPr>
          <w:p>
            <w:pPr>
              <w:ind w:left="100"/>
              <w:spacing w:after="0"/>
              <w:rPr>
                <w:sz w:val="20"/>
                <w:szCs w:val="20"/>
                <w:color w:val="auto"/>
              </w:rPr>
            </w:pPr>
            <w:r>
              <w:rPr>
                <w:rFonts w:ascii="Times New Roman" w:cs="Times New Roman" w:eastAsia="Times New Roman" w:hAnsi="Times New Roman"/>
                <w:sz w:val="20"/>
                <w:szCs w:val="20"/>
                <w:color w:val="auto"/>
                <w:w w:val="89"/>
              </w:rPr>
              <w:t>47</w:t>
            </w:r>
          </w:p>
        </w:tc>
        <w:tc>
          <w:tcPr>
            <w:tcW w:w="0" w:type="dxa"/>
            <w:vAlign w:val="bottom"/>
          </w:tcPr>
          <w:p>
            <w:pPr>
              <w:spacing w:after="0"/>
              <w:rPr>
                <w:sz w:val="1"/>
                <w:szCs w:val="1"/>
                <w:color w:val="auto"/>
              </w:rPr>
            </w:pPr>
          </w:p>
        </w:tc>
      </w:tr>
      <w:tr>
        <w:trPr>
          <w:trHeight w:val="257"/>
        </w:trPr>
        <w:tc>
          <w:tcPr>
            <w:tcW w:w="2080" w:type="dxa"/>
            <w:vAlign w:val="bottom"/>
          </w:tcPr>
          <w:p>
            <w:pPr>
              <w:spacing w:after="0"/>
              <w:rPr>
                <w:sz w:val="20"/>
                <w:szCs w:val="20"/>
                <w:color w:val="auto"/>
              </w:rPr>
            </w:pPr>
            <w:r>
              <w:rPr>
                <w:rFonts w:ascii="Times New Roman" w:cs="Times New Roman" w:eastAsia="Times New Roman" w:hAnsi="Times New Roman"/>
                <w:sz w:val="20"/>
                <w:szCs w:val="20"/>
                <w:color w:val="auto"/>
              </w:rPr>
              <w:t>ARTICLE II The Credits</w:t>
            </w:r>
          </w:p>
        </w:tc>
        <w:tc>
          <w:tcPr>
            <w:tcW w:w="5960" w:type="dxa"/>
            <w:vAlign w:val="bottom"/>
          </w:tcPr>
          <w:p>
            <w:pPr>
              <w:spacing w:after="0"/>
              <w:rPr>
                <w:sz w:val="22"/>
                <w:szCs w:val="22"/>
                <w:color w:val="auto"/>
              </w:rPr>
            </w:pPr>
          </w:p>
        </w:tc>
        <w:tc>
          <w:tcPr>
            <w:tcW w:w="300" w:type="dxa"/>
            <w:vAlign w:val="bottom"/>
          </w:tcPr>
          <w:p>
            <w:pPr>
              <w:ind w:left="100"/>
              <w:spacing w:after="0"/>
              <w:rPr>
                <w:sz w:val="20"/>
                <w:szCs w:val="20"/>
                <w:color w:val="auto"/>
              </w:rPr>
            </w:pPr>
            <w:r>
              <w:rPr>
                <w:rFonts w:ascii="Times New Roman" w:cs="Times New Roman" w:eastAsia="Times New Roman" w:hAnsi="Times New Roman"/>
                <w:sz w:val="20"/>
                <w:szCs w:val="20"/>
                <w:color w:val="auto"/>
                <w:w w:val="89"/>
              </w:rPr>
              <w:t>48</w:t>
            </w:r>
          </w:p>
        </w:tc>
        <w:tc>
          <w:tcPr>
            <w:tcW w:w="0" w:type="dxa"/>
            <w:vAlign w:val="bottom"/>
          </w:tcPr>
          <w:p>
            <w:pPr>
              <w:spacing w:after="0"/>
              <w:rPr>
                <w:sz w:val="1"/>
                <w:szCs w:val="1"/>
                <w:color w:val="auto"/>
              </w:rPr>
            </w:pPr>
          </w:p>
        </w:tc>
      </w:tr>
      <w:tr>
        <w:trPr>
          <w:trHeight w:val="257"/>
        </w:trPr>
        <w:tc>
          <w:tcPr>
            <w:tcW w:w="2080" w:type="dxa"/>
            <w:vAlign w:val="bottom"/>
          </w:tcPr>
          <w:p>
            <w:pPr>
              <w:spacing w:after="0"/>
              <w:rPr>
                <w:sz w:val="20"/>
                <w:szCs w:val="20"/>
                <w:color w:val="auto"/>
              </w:rPr>
            </w:pPr>
            <w:r>
              <w:rPr>
                <w:rFonts w:ascii="Times New Roman" w:cs="Times New Roman" w:eastAsia="Times New Roman" w:hAnsi="Times New Roman"/>
                <w:sz w:val="20"/>
                <w:szCs w:val="20"/>
                <w:color w:val="auto"/>
              </w:rPr>
              <w:t>SECTION 2.01.</w:t>
            </w:r>
          </w:p>
        </w:tc>
        <w:tc>
          <w:tcPr>
            <w:tcW w:w="59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COMMITMENTS</w:t>
            </w:r>
          </w:p>
        </w:tc>
        <w:tc>
          <w:tcPr>
            <w:tcW w:w="300" w:type="dxa"/>
            <w:vAlign w:val="bottom"/>
          </w:tcPr>
          <w:p>
            <w:pPr>
              <w:ind w:left="100"/>
              <w:spacing w:after="0"/>
              <w:rPr>
                <w:sz w:val="20"/>
                <w:szCs w:val="20"/>
                <w:color w:val="auto"/>
              </w:rPr>
            </w:pPr>
            <w:r>
              <w:rPr>
                <w:rFonts w:ascii="Times New Roman" w:cs="Times New Roman" w:eastAsia="Times New Roman" w:hAnsi="Times New Roman"/>
                <w:sz w:val="20"/>
                <w:szCs w:val="20"/>
                <w:color w:val="auto"/>
                <w:w w:val="89"/>
              </w:rPr>
              <w:t>48</w:t>
            </w:r>
          </w:p>
        </w:tc>
        <w:tc>
          <w:tcPr>
            <w:tcW w:w="0" w:type="dxa"/>
            <w:vAlign w:val="bottom"/>
          </w:tcPr>
          <w:p>
            <w:pPr>
              <w:spacing w:after="0"/>
              <w:rPr>
                <w:sz w:val="1"/>
                <w:szCs w:val="1"/>
                <w:color w:val="auto"/>
              </w:rPr>
            </w:pPr>
          </w:p>
        </w:tc>
      </w:tr>
      <w:tr>
        <w:trPr>
          <w:trHeight w:val="256"/>
        </w:trPr>
        <w:tc>
          <w:tcPr>
            <w:tcW w:w="2080" w:type="dxa"/>
            <w:vAlign w:val="bottom"/>
          </w:tcPr>
          <w:p>
            <w:pPr>
              <w:spacing w:after="0"/>
              <w:rPr>
                <w:sz w:val="20"/>
                <w:szCs w:val="20"/>
                <w:color w:val="auto"/>
              </w:rPr>
            </w:pPr>
            <w:r>
              <w:rPr>
                <w:rFonts w:ascii="Times New Roman" w:cs="Times New Roman" w:eastAsia="Times New Roman" w:hAnsi="Times New Roman"/>
                <w:sz w:val="20"/>
                <w:szCs w:val="20"/>
                <w:color w:val="auto"/>
              </w:rPr>
              <w:t>SECTION 2.02.</w:t>
            </w:r>
          </w:p>
        </w:tc>
        <w:tc>
          <w:tcPr>
            <w:tcW w:w="59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LOANS AND BORROWINGS</w:t>
            </w:r>
          </w:p>
        </w:tc>
        <w:tc>
          <w:tcPr>
            <w:tcW w:w="300" w:type="dxa"/>
            <w:vAlign w:val="bottom"/>
          </w:tcPr>
          <w:p>
            <w:pPr>
              <w:ind w:left="100"/>
              <w:spacing w:after="0"/>
              <w:rPr>
                <w:sz w:val="20"/>
                <w:szCs w:val="20"/>
                <w:color w:val="auto"/>
              </w:rPr>
            </w:pPr>
            <w:r>
              <w:rPr>
                <w:rFonts w:ascii="Times New Roman" w:cs="Times New Roman" w:eastAsia="Times New Roman" w:hAnsi="Times New Roman"/>
                <w:sz w:val="20"/>
                <w:szCs w:val="20"/>
                <w:color w:val="auto"/>
                <w:w w:val="89"/>
              </w:rPr>
              <w:t>49</w:t>
            </w:r>
          </w:p>
        </w:tc>
        <w:tc>
          <w:tcPr>
            <w:tcW w:w="0" w:type="dxa"/>
            <w:vAlign w:val="bottom"/>
          </w:tcPr>
          <w:p>
            <w:pPr>
              <w:spacing w:after="0"/>
              <w:rPr>
                <w:sz w:val="1"/>
                <w:szCs w:val="1"/>
                <w:color w:val="auto"/>
              </w:rPr>
            </w:pPr>
          </w:p>
        </w:tc>
      </w:tr>
      <w:tr>
        <w:trPr>
          <w:trHeight w:val="257"/>
        </w:trPr>
        <w:tc>
          <w:tcPr>
            <w:tcW w:w="2080" w:type="dxa"/>
            <w:vAlign w:val="bottom"/>
          </w:tcPr>
          <w:p>
            <w:pPr>
              <w:spacing w:after="0"/>
              <w:rPr>
                <w:sz w:val="20"/>
                <w:szCs w:val="20"/>
                <w:color w:val="auto"/>
              </w:rPr>
            </w:pPr>
            <w:r>
              <w:rPr>
                <w:rFonts w:ascii="Times New Roman" w:cs="Times New Roman" w:eastAsia="Times New Roman" w:hAnsi="Times New Roman"/>
                <w:sz w:val="20"/>
                <w:szCs w:val="20"/>
                <w:color w:val="auto"/>
              </w:rPr>
              <w:t>SECTION 2.03.</w:t>
            </w:r>
          </w:p>
        </w:tc>
        <w:tc>
          <w:tcPr>
            <w:tcW w:w="59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REQUESTS FOR BORROWINGS</w:t>
            </w:r>
          </w:p>
        </w:tc>
        <w:tc>
          <w:tcPr>
            <w:tcW w:w="300" w:type="dxa"/>
            <w:vAlign w:val="bottom"/>
          </w:tcPr>
          <w:p>
            <w:pPr>
              <w:ind w:left="100"/>
              <w:spacing w:after="0"/>
              <w:rPr>
                <w:sz w:val="20"/>
                <w:szCs w:val="20"/>
                <w:color w:val="auto"/>
              </w:rPr>
            </w:pPr>
            <w:r>
              <w:rPr>
                <w:rFonts w:ascii="Times New Roman" w:cs="Times New Roman" w:eastAsia="Times New Roman" w:hAnsi="Times New Roman"/>
                <w:sz w:val="20"/>
                <w:szCs w:val="20"/>
                <w:color w:val="auto"/>
                <w:w w:val="89"/>
              </w:rPr>
              <w:t>49</w:t>
            </w:r>
          </w:p>
        </w:tc>
        <w:tc>
          <w:tcPr>
            <w:tcW w:w="0" w:type="dxa"/>
            <w:vAlign w:val="bottom"/>
          </w:tcPr>
          <w:p>
            <w:pPr>
              <w:spacing w:after="0"/>
              <w:rPr>
                <w:sz w:val="1"/>
                <w:szCs w:val="1"/>
                <w:color w:val="auto"/>
              </w:rPr>
            </w:pPr>
          </w:p>
        </w:tc>
      </w:tr>
      <w:tr>
        <w:trPr>
          <w:trHeight w:val="257"/>
        </w:trPr>
        <w:tc>
          <w:tcPr>
            <w:tcW w:w="2080" w:type="dxa"/>
            <w:vAlign w:val="bottom"/>
          </w:tcPr>
          <w:p>
            <w:pPr>
              <w:spacing w:after="0"/>
              <w:rPr>
                <w:sz w:val="20"/>
                <w:szCs w:val="20"/>
                <w:color w:val="auto"/>
              </w:rPr>
            </w:pPr>
            <w:r>
              <w:rPr>
                <w:rFonts w:ascii="Times New Roman" w:cs="Times New Roman" w:eastAsia="Times New Roman" w:hAnsi="Times New Roman"/>
                <w:sz w:val="20"/>
                <w:szCs w:val="20"/>
                <w:color w:val="auto"/>
              </w:rPr>
              <w:t>SECTION 2.04.</w:t>
            </w:r>
          </w:p>
        </w:tc>
        <w:tc>
          <w:tcPr>
            <w:tcW w:w="59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DETERMINATION OF DOLLAR AMOUNTS</w:t>
            </w:r>
          </w:p>
        </w:tc>
        <w:tc>
          <w:tcPr>
            <w:tcW w:w="300" w:type="dxa"/>
            <w:vAlign w:val="bottom"/>
          </w:tcPr>
          <w:p>
            <w:pPr>
              <w:ind w:left="100"/>
              <w:spacing w:after="0"/>
              <w:rPr>
                <w:sz w:val="20"/>
                <w:szCs w:val="20"/>
                <w:color w:val="auto"/>
              </w:rPr>
            </w:pPr>
            <w:r>
              <w:rPr>
                <w:rFonts w:ascii="Times New Roman" w:cs="Times New Roman" w:eastAsia="Times New Roman" w:hAnsi="Times New Roman"/>
                <w:sz w:val="20"/>
                <w:szCs w:val="20"/>
                <w:color w:val="auto"/>
                <w:w w:val="89"/>
              </w:rPr>
              <w:t>50</w:t>
            </w:r>
          </w:p>
        </w:tc>
        <w:tc>
          <w:tcPr>
            <w:tcW w:w="0" w:type="dxa"/>
            <w:vAlign w:val="bottom"/>
          </w:tcPr>
          <w:p>
            <w:pPr>
              <w:spacing w:after="0"/>
              <w:rPr>
                <w:sz w:val="1"/>
                <w:szCs w:val="1"/>
                <w:color w:val="auto"/>
              </w:rPr>
            </w:pPr>
          </w:p>
        </w:tc>
      </w:tr>
      <w:tr>
        <w:trPr>
          <w:trHeight w:val="257"/>
        </w:trPr>
        <w:tc>
          <w:tcPr>
            <w:tcW w:w="2080" w:type="dxa"/>
            <w:vAlign w:val="bottom"/>
          </w:tcPr>
          <w:p>
            <w:pPr>
              <w:spacing w:after="0"/>
              <w:rPr>
                <w:sz w:val="20"/>
                <w:szCs w:val="20"/>
                <w:color w:val="auto"/>
              </w:rPr>
            </w:pPr>
            <w:r>
              <w:rPr>
                <w:rFonts w:ascii="Times New Roman" w:cs="Times New Roman" w:eastAsia="Times New Roman" w:hAnsi="Times New Roman"/>
                <w:sz w:val="20"/>
                <w:szCs w:val="20"/>
                <w:color w:val="auto"/>
              </w:rPr>
              <w:t>SECTION 2.05.</w:t>
            </w:r>
          </w:p>
        </w:tc>
        <w:tc>
          <w:tcPr>
            <w:tcW w:w="59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[INTENTIONALLY OMITTED]</w:t>
            </w:r>
          </w:p>
        </w:tc>
        <w:tc>
          <w:tcPr>
            <w:tcW w:w="300" w:type="dxa"/>
            <w:vAlign w:val="bottom"/>
          </w:tcPr>
          <w:p>
            <w:pPr>
              <w:ind w:left="100"/>
              <w:spacing w:after="0"/>
              <w:rPr>
                <w:sz w:val="20"/>
                <w:szCs w:val="20"/>
                <w:color w:val="auto"/>
              </w:rPr>
            </w:pPr>
            <w:r>
              <w:rPr>
                <w:rFonts w:ascii="Times New Roman" w:cs="Times New Roman" w:eastAsia="Times New Roman" w:hAnsi="Times New Roman"/>
                <w:sz w:val="20"/>
                <w:szCs w:val="20"/>
                <w:color w:val="auto"/>
                <w:w w:val="89"/>
              </w:rPr>
              <w:t>50</w:t>
            </w:r>
          </w:p>
        </w:tc>
        <w:tc>
          <w:tcPr>
            <w:tcW w:w="0" w:type="dxa"/>
            <w:vAlign w:val="bottom"/>
          </w:tcPr>
          <w:p>
            <w:pPr>
              <w:spacing w:after="0"/>
              <w:rPr>
                <w:sz w:val="1"/>
                <w:szCs w:val="1"/>
                <w:color w:val="auto"/>
              </w:rPr>
            </w:pPr>
          </w:p>
        </w:tc>
      </w:tr>
      <w:tr>
        <w:trPr>
          <w:trHeight w:val="256"/>
        </w:trPr>
        <w:tc>
          <w:tcPr>
            <w:tcW w:w="2080" w:type="dxa"/>
            <w:vAlign w:val="bottom"/>
          </w:tcPr>
          <w:p>
            <w:pPr>
              <w:spacing w:after="0"/>
              <w:rPr>
                <w:sz w:val="20"/>
                <w:szCs w:val="20"/>
                <w:color w:val="auto"/>
              </w:rPr>
            </w:pPr>
            <w:r>
              <w:rPr>
                <w:rFonts w:ascii="Times New Roman" w:cs="Times New Roman" w:eastAsia="Times New Roman" w:hAnsi="Times New Roman"/>
                <w:sz w:val="20"/>
                <w:szCs w:val="20"/>
                <w:color w:val="auto"/>
              </w:rPr>
              <w:t>SECTION 2.06.</w:t>
            </w:r>
          </w:p>
        </w:tc>
        <w:tc>
          <w:tcPr>
            <w:tcW w:w="59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LETTERS OF CREDIT</w:t>
            </w:r>
          </w:p>
        </w:tc>
        <w:tc>
          <w:tcPr>
            <w:tcW w:w="300" w:type="dxa"/>
            <w:vAlign w:val="bottom"/>
          </w:tcPr>
          <w:p>
            <w:pPr>
              <w:ind w:left="100"/>
              <w:spacing w:after="0"/>
              <w:rPr>
                <w:sz w:val="20"/>
                <w:szCs w:val="20"/>
                <w:color w:val="auto"/>
              </w:rPr>
            </w:pPr>
            <w:r>
              <w:rPr>
                <w:rFonts w:ascii="Times New Roman" w:cs="Times New Roman" w:eastAsia="Times New Roman" w:hAnsi="Times New Roman"/>
                <w:sz w:val="20"/>
                <w:szCs w:val="20"/>
                <w:color w:val="auto"/>
                <w:w w:val="89"/>
              </w:rPr>
              <w:t>51</w:t>
            </w:r>
          </w:p>
        </w:tc>
        <w:tc>
          <w:tcPr>
            <w:tcW w:w="0" w:type="dxa"/>
            <w:vAlign w:val="bottom"/>
          </w:tcPr>
          <w:p>
            <w:pPr>
              <w:spacing w:after="0"/>
              <w:rPr>
                <w:sz w:val="1"/>
                <w:szCs w:val="1"/>
                <w:color w:val="auto"/>
              </w:rPr>
            </w:pPr>
          </w:p>
        </w:tc>
      </w:tr>
      <w:tr>
        <w:trPr>
          <w:trHeight w:val="257"/>
        </w:trPr>
        <w:tc>
          <w:tcPr>
            <w:tcW w:w="2080" w:type="dxa"/>
            <w:vAlign w:val="bottom"/>
          </w:tcPr>
          <w:p>
            <w:pPr>
              <w:spacing w:after="0"/>
              <w:rPr>
                <w:sz w:val="20"/>
                <w:szCs w:val="20"/>
                <w:color w:val="auto"/>
              </w:rPr>
            </w:pPr>
            <w:r>
              <w:rPr>
                <w:rFonts w:ascii="Times New Roman" w:cs="Times New Roman" w:eastAsia="Times New Roman" w:hAnsi="Times New Roman"/>
                <w:sz w:val="20"/>
                <w:szCs w:val="20"/>
                <w:color w:val="auto"/>
              </w:rPr>
              <w:t>SECTION 2.07.</w:t>
            </w:r>
          </w:p>
        </w:tc>
        <w:tc>
          <w:tcPr>
            <w:tcW w:w="59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FUNDING OF BORROWINGS</w:t>
            </w:r>
          </w:p>
        </w:tc>
        <w:tc>
          <w:tcPr>
            <w:tcW w:w="300" w:type="dxa"/>
            <w:vAlign w:val="bottom"/>
          </w:tcPr>
          <w:p>
            <w:pPr>
              <w:ind w:left="100"/>
              <w:spacing w:after="0"/>
              <w:rPr>
                <w:sz w:val="20"/>
                <w:szCs w:val="20"/>
                <w:color w:val="auto"/>
              </w:rPr>
            </w:pPr>
            <w:r>
              <w:rPr>
                <w:rFonts w:ascii="Times New Roman" w:cs="Times New Roman" w:eastAsia="Times New Roman" w:hAnsi="Times New Roman"/>
                <w:sz w:val="20"/>
                <w:szCs w:val="20"/>
                <w:color w:val="auto"/>
                <w:w w:val="89"/>
              </w:rPr>
              <w:t>56</w:t>
            </w:r>
          </w:p>
        </w:tc>
        <w:tc>
          <w:tcPr>
            <w:tcW w:w="0" w:type="dxa"/>
            <w:vAlign w:val="bottom"/>
          </w:tcPr>
          <w:p>
            <w:pPr>
              <w:spacing w:after="0"/>
              <w:rPr>
                <w:sz w:val="1"/>
                <w:szCs w:val="1"/>
                <w:color w:val="auto"/>
              </w:rPr>
            </w:pPr>
          </w:p>
        </w:tc>
      </w:tr>
      <w:tr>
        <w:trPr>
          <w:trHeight w:val="256"/>
        </w:trPr>
        <w:tc>
          <w:tcPr>
            <w:tcW w:w="2080" w:type="dxa"/>
            <w:vAlign w:val="bottom"/>
          </w:tcPr>
          <w:p>
            <w:pPr>
              <w:spacing w:after="0"/>
              <w:rPr>
                <w:sz w:val="20"/>
                <w:szCs w:val="20"/>
                <w:color w:val="auto"/>
              </w:rPr>
            </w:pPr>
            <w:r>
              <w:rPr>
                <w:rFonts w:ascii="Times New Roman" w:cs="Times New Roman" w:eastAsia="Times New Roman" w:hAnsi="Times New Roman"/>
                <w:sz w:val="20"/>
                <w:szCs w:val="20"/>
                <w:color w:val="auto"/>
              </w:rPr>
              <w:t>SECTION 2.08.</w:t>
            </w:r>
          </w:p>
        </w:tc>
        <w:tc>
          <w:tcPr>
            <w:tcW w:w="59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INTEREST ELECTIONS</w:t>
            </w:r>
          </w:p>
        </w:tc>
        <w:tc>
          <w:tcPr>
            <w:tcW w:w="300" w:type="dxa"/>
            <w:vAlign w:val="bottom"/>
          </w:tcPr>
          <w:p>
            <w:pPr>
              <w:ind w:left="100"/>
              <w:spacing w:after="0"/>
              <w:rPr>
                <w:sz w:val="20"/>
                <w:szCs w:val="20"/>
                <w:color w:val="auto"/>
              </w:rPr>
            </w:pPr>
            <w:r>
              <w:rPr>
                <w:rFonts w:ascii="Times New Roman" w:cs="Times New Roman" w:eastAsia="Times New Roman" w:hAnsi="Times New Roman"/>
                <w:sz w:val="20"/>
                <w:szCs w:val="20"/>
                <w:color w:val="auto"/>
                <w:w w:val="89"/>
              </w:rPr>
              <w:t>56</w:t>
            </w:r>
          </w:p>
        </w:tc>
        <w:tc>
          <w:tcPr>
            <w:tcW w:w="0" w:type="dxa"/>
            <w:vAlign w:val="bottom"/>
          </w:tcPr>
          <w:p>
            <w:pPr>
              <w:spacing w:after="0"/>
              <w:rPr>
                <w:sz w:val="1"/>
                <w:szCs w:val="1"/>
                <w:color w:val="auto"/>
              </w:rPr>
            </w:pPr>
          </w:p>
        </w:tc>
      </w:tr>
      <w:tr>
        <w:trPr>
          <w:trHeight w:val="257"/>
        </w:trPr>
        <w:tc>
          <w:tcPr>
            <w:tcW w:w="2080" w:type="dxa"/>
            <w:vAlign w:val="bottom"/>
          </w:tcPr>
          <w:p>
            <w:pPr>
              <w:spacing w:after="0"/>
              <w:rPr>
                <w:sz w:val="20"/>
                <w:szCs w:val="20"/>
                <w:color w:val="auto"/>
              </w:rPr>
            </w:pPr>
            <w:r>
              <w:rPr>
                <w:rFonts w:ascii="Times New Roman" w:cs="Times New Roman" w:eastAsia="Times New Roman" w:hAnsi="Times New Roman"/>
                <w:sz w:val="20"/>
                <w:szCs w:val="20"/>
                <w:color w:val="auto"/>
              </w:rPr>
              <w:t>SECTION 2.09.</w:t>
            </w:r>
          </w:p>
        </w:tc>
        <w:tc>
          <w:tcPr>
            <w:tcW w:w="59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TERMINATION AND REDUCTION OF COMMITMENTS</w:t>
            </w:r>
          </w:p>
        </w:tc>
        <w:tc>
          <w:tcPr>
            <w:tcW w:w="300" w:type="dxa"/>
            <w:vAlign w:val="bottom"/>
          </w:tcPr>
          <w:p>
            <w:pPr>
              <w:ind w:left="100"/>
              <w:spacing w:after="0"/>
              <w:rPr>
                <w:sz w:val="20"/>
                <w:szCs w:val="20"/>
                <w:color w:val="auto"/>
              </w:rPr>
            </w:pPr>
            <w:r>
              <w:rPr>
                <w:rFonts w:ascii="Times New Roman" w:cs="Times New Roman" w:eastAsia="Times New Roman" w:hAnsi="Times New Roman"/>
                <w:sz w:val="20"/>
                <w:szCs w:val="20"/>
                <w:color w:val="auto"/>
                <w:w w:val="89"/>
              </w:rPr>
              <w:t>58</w:t>
            </w:r>
          </w:p>
        </w:tc>
        <w:tc>
          <w:tcPr>
            <w:tcW w:w="0" w:type="dxa"/>
            <w:vAlign w:val="bottom"/>
          </w:tcPr>
          <w:p>
            <w:pPr>
              <w:spacing w:after="0"/>
              <w:rPr>
                <w:sz w:val="1"/>
                <w:szCs w:val="1"/>
                <w:color w:val="auto"/>
              </w:rPr>
            </w:pPr>
          </w:p>
        </w:tc>
      </w:tr>
      <w:tr>
        <w:trPr>
          <w:trHeight w:val="256"/>
        </w:trPr>
        <w:tc>
          <w:tcPr>
            <w:tcW w:w="2080" w:type="dxa"/>
            <w:vAlign w:val="bottom"/>
          </w:tcPr>
          <w:p>
            <w:pPr>
              <w:spacing w:after="0"/>
              <w:rPr>
                <w:sz w:val="20"/>
                <w:szCs w:val="20"/>
                <w:color w:val="auto"/>
              </w:rPr>
            </w:pPr>
            <w:r>
              <w:rPr>
                <w:rFonts w:ascii="Times New Roman" w:cs="Times New Roman" w:eastAsia="Times New Roman" w:hAnsi="Times New Roman"/>
                <w:sz w:val="20"/>
                <w:szCs w:val="20"/>
                <w:color w:val="auto"/>
              </w:rPr>
              <w:t>SECTION 2.10.</w:t>
            </w:r>
          </w:p>
        </w:tc>
        <w:tc>
          <w:tcPr>
            <w:tcW w:w="59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REPAYMENT OF LOANS; EVIDENCE OF DEBT</w:t>
            </w:r>
          </w:p>
        </w:tc>
        <w:tc>
          <w:tcPr>
            <w:tcW w:w="300" w:type="dxa"/>
            <w:vAlign w:val="bottom"/>
          </w:tcPr>
          <w:p>
            <w:pPr>
              <w:ind w:left="100"/>
              <w:spacing w:after="0"/>
              <w:rPr>
                <w:sz w:val="20"/>
                <w:szCs w:val="20"/>
                <w:color w:val="auto"/>
              </w:rPr>
            </w:pPr>
            <w:r>
              <w:rPr>
                <w:rFonts w:ascii="Times New Roman" w:cs="Times New Roman" w:eastAsia="Times New Roman" w:hAnsi="Times New Roman"/>
                <w:sz w:val="20"/>
                <w:szCs w:val="20"/>
                <w:color w:val="auto"/>
                <w:w w:val="89"/>
              </w:rPr>
              <w:t>59</w:t>
            </w:r>
          </w:p>
        </w:tc>
        <w:tc>
          <w:tcPr>
            <w:tcW w:w="0" w:type="dxa"/>
            <w:vAlign w:val="bottom"/>
          </w:tcPr>
          <w:p>
            <w:pPr>
              <w:spacing w:after="0"/>
              <w:rPr>
                <w:sz w:val="1"/>
                <w:szCs w:val="1"/>
                <w:color w:val="auto"/>
              </w:rPr>
            </w:pPr>
          </w:p>
        </w:tc>
      </w:tr>
      <w:tr>
        <w:trPr>
          <w:trHeight w:val="257"/>
        </w:trPr>
        <w:tc>
          <w:tcPr>
            <w:tcW w:w="2080" w:type="dxa"/>
            <w:vAlign w:val="bottom"/>
          </w:tcPr>
          <w:p>
            <w:pPr>
              <w:spacing w:after="0"/>
              <w:rPr>
                <w:sz w:val="20"/>
                <w:szCs w:val="20"/>
                <w:color w:val="auto"/>
              </w:rPr>
            </w:pPr>
            <w:r>
              <w:rPr>
                <w:rFonts w:ascii="Times New Roman" w:cs="Times New Roman" w:eastAsia="Times New Roman" w:hAnsi="Times New Roman"/>
                <w:sz w:val="20"/>
                <w:szCs w:val="20"/>
                <w:color w:val="auto"/>
              </w:rPr>
              <w:t>SECTION 2.11.</w:t>
            </w:r>
          </w:p>
        </w:tc>
        <w:tc>
          <w:tcPr>
            <w:tcW w:w="59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PREPAYMENT OF LOANS</w:t>
            </w:r>
          </w:p>
        </w:tc>
        <w:tc>
          <w:tcPr>
            <w:tcW w:w="300" w:type="dxa"/>
            <w:vAlign w:val="bottom"/>
          </w:tcPr>
          <w:p>
            <w:pPr>
              <w:ind w:left="100"/>
              <w:spacing w:after="0"/>
              <w:rPr>
                <w:sz w:val="20"/>
                <w:szCs w:val="20"/>
                <w:color w:val="auto"/>
              </w:rPr>
            </w:pPr>
            <w:r>
              <w:rPr>
                <w:rFonts w:ascii="Times New Roman" w:cs="Times New Roman" w:eastAsia="Times New Roman" w:hAnsi="Times New Roman"/>
                <w:sz w:val="20"/>
                <w:szCs w:val="20"/>
                <w:color w:val="auto"/>
                <w:w w:val="89"/>
              </w:rPr>
              <w:t>59</w:t>
            </w:r>
          </w:p>
        </w:tc>
        <w:tc>
          <w:tcPr>
            <w:tcW w:w="0" w:type="dxa"/>
            <w:vAlign w:val="bottom"/>
          </w:tcPr>
          <w:p>
            <w:pPr>
              <w:spacing w:after="0"/>
              <w:rPr>
                <w:sz w:val="1"/>
                <w:szCs w:val="1"/>
                <w:color w:val="auto"/>
              </w:rPr>
            </w:pPr>
          </w:p>
        </w:tc>
      </w:tr>
      <w:tr>
        <w:trPr>
          <w:trHeight w:val="256"/>
        </w:trPr>
        <w:tc>
          <w:tcPr>
            <w:tcW w:w="2080" w:type="dxa"/>
            <w:vAlign w:val="bottom"/>
          </w:tcPr>
          <w:p>
            <w:pPr>
              <w:spacing w:after="0"/>
              <w:rPr>
                <w:sz w:val="20"/>
                <w:szCs w:val="20"/>
                <w:color w:val="auto"/>
              </w:rPr>
            </w:pPr>
            <w:r>
              <w:rPr>
                <w:rFonts w:ascii="Times New Roman" w:cs="Times New Roman" w:eastAsia="Times New Roman" w:hAnsi="Times New Roman"/>
                <w:sz w:val="20"/>
                <w:szCs w:val="20"/>
                <w:color w:val="auto"/>
              </w:rPr>
              <w:t>SECTION 2.12.</w:t>
            </w:r>
          </w:p>
        </w:tc>
        <w:tc>
          <w:tcPr>
            <w:tcW w:w="59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FEES</w:t>
            </w:r>
          </w:p>
        </w:tc>
        <w:tc>
          <w:tcPr>
            <w:tcW w:w="300" w:type="dxa"/>
            <w:vAlign w:val="bottom"/>
          </w:tcPr>
          <w:p>
            <w:pPr>
              <w:ind w:left="100"/>
              <w:spacing w:after="0"/>
              <w:rPr>
                <w:sz w:val="20"/>
                <w:szCs w:val="20"/>
                <w:color w:val="auto"/>
              </w:rPr>
            </w:pPr>
            <w:r>
              <w:rPr>
                <w:rFonts w:ascii="Times New Roman" w:cs="Times New Roman" w:eastAsia="Times New Roman" w:hAnsi="Times New Roman"/>
                <w:sz w:val="20"/>
                <w:szCs w:val="20"/>
                <w:color w:val="auto"/>
                <w:w w:val="89"/>
              </w:rPr>
              <w:t>60</w:t>
            </w:r>
          </w:p>
        </w:tc>
        <w:tc>
          <w:tcPr>
            <w:tcW w:w="0" w:type="dxa"/>
            <w:vAlign w:val="bottom"/>
          </w:tcPr>
          <w:p>
            <w:pPr>
              <w:spacing w:after="0"/>
              <w:rPr>
                <w:sz w:val="1"/>
                <w:szCs w:val="1"/>
                <w:color w:val="auto"/>
              </w:rPr>
            </w:pPr>
          </w:p>
        </w:tc>
      </w:tr>
      <w:tr>
        <w:trPr>
          <w:trHeight w:val="257"/>
        </w:trPr>
        <w:tc>
          <w:tcPr>
            <w:tcW w:w="2080" w:type="dxa"/>
            <w:vAlign w:val="bottom"/>
          </w:tcPr>
          <w:p>
            <w:pPr>
              <w:spacing w:after="0"/>
              <w:rPr>
                <w:sz w:val="20"/>
                <w:szCs w:val="20"/>
                <w:color w:val="auto"/>
              </w:rPr>
            </w:pPr>
            <w:r>
              <w:rPr>
                <w:rFonts w:ascii="Times New Roman" w:cs="Times New Roman" w:eastAsia="Times New Roman" w:hAnsi="Times New Roman"/>
                <w:sz w:val="20"/>
                <w:szCs w:val="20"/>
                <w:color w:val="auto"/>
              </w:rPr>
              <w:t>SECTION 2.13.</w:t>
            </w:r>
          </w:p>
        </w:tc>
        <w:tc>
          <w:tcPr>
            <w:tcW w:w="59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INTEREST</w:t>
            </w:r>
          </w:p>
        </w:tc>
        <w:tc>
          <w:tcPr>
            <w:tcW w:w="300" w:type="dxa"/>
            <w:vAlign w:val="bottom"/>
          </w:tcPr>
          <w:p>
            <w:pPr>
              <w:ind w:left="100"/>
              <w:spacing w:after="0"/>
              <w:rPr>
                <w:sz w:val="20"/>
                <w:szCs w:val="20"/>
                <w:color w:val="auto"/>
              </w:rPr>
            </w:pPr>
            <w:r>
              <w:rPr>
                <w:rFonts w:ascii="Times New Roman" w:cs="Times New Roman" w:eastAsia="Times New Roman" w:hAnsi="Times New Roman"/>
                <w:sz w:val="20"/>
                <w:szCs w:val="20"/>
                <w:color w:val="auto"/>
                <w:w w:val="89"/>
              </w:rPr>
              <w:t>61</w:t>
            </w:r>
          </w:p>
        </w:tc>
        <w:tc>
          <w:tcPr>
            <w:tcW w:w="0" w:type="dxa"/>
            <w:vAlign w:val="bottom"/>
          </w:tcPr>
          <w:p>
            <w:pPr>
              <w:spacing w:after="0"/>
              <w:rPr>
                <w:sz w:val="1"/>
                <w:szCs w:val="1"/>
                <w:color w:val="auto"/>
              </w:rPr>
            </w:pPr>
          </w:p>
        </w:tc>
      </w:tr>
      <w:tr>
        <w:trPr>
          <w:trHeight w:val="256"/>
        </w:trPr>
        <w:tc>
          <w:tcPr>
            <w:tcW w:w="2080" w:type="dxa"/>
            <w:vAlign w:val="bottom"/>
          </w:tcPr>
          <w:p>
            <w:pPr>
              <w:spacing w:after="0"/>
              <w:rPr>
                <w:sz w:val="20"/>
                <w:szCs w:val="20"/>
                <w:color w:val="auto"/>
              </w:rPr>
            </w:pPr>
            <w:r>
              <w:rPr>
                <w:rFonts w:ascii="Times New Roman" w:cs="Times New Roman" w:eastAsia="Times New Roman" w:hAnsi="Times New Roman"/>
                <w:sz w:val="20"/>
                <w:szCs w:val="20"/>
                <w:color w:val="auto"/>
              </w:rPr>
              <w:t>SECTION 2.14.</w:t>
            </w:r>
          </w:p>
        </w:tc>
        <w:tc>
          <w:tcPr>
            <w:tcW w:w="59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ALTERNATE RATE OF INTEREST</w:t>
            </w:r>
          </w:p>
        </w:tc>
        <w:tc>
          <w:tcPr>
            <w:tcW w:w="300" w:type="dxa"/>
            <w:vAlign w:val="bottom"/>
          </w:tcPr>
          <w:p>
            <w:pPr>
              <w:ind w:left="100"/>
              <w:spacing w:after="0"/>
              <w:rPr>
                <w:sz w:val="20"/>
                <w:szCs w:val="20"/>
                <w:color w:val="auto"/>
              </w:rPr>
            </w:pPr>
            <w:r>
              <w:rPr>
                <w:rFonts w:ascii="Times New Roman" w:cs="Times New Roman" w:eastAsia="Times New Roman" w:hAnsi="Times New Roman"/>
                <w:sz w:val="20"/>
                <w:szCs w:val="20"/>
                <w:color w:val="auto"/>
                <w:w w:val="89"/>
              </w:rPr>
              <w:t>63</w:t>
            </w:r>
          </w:p>
        </w:tc>
        <w:tc>
          <w:tcPr>
            <w:tcW w:w="0" w:type="dxa"/>
            <w:vAlign w:val="bottom"/>
          </w:tcPr>
          <w:p>
            <w:pPr>
              <w:spacing w:after="0"/>
              <w:rPr>
                <w:sz w:val="1"/>
                <w:szCs w:val="1"/>
                <w:color w:val="auto"/>
              </w:rPr>
            </w:pPr>
          </w:p>
        </w:tc>
      </w:tr>
      <w:tr>
        <w:trPr>
          <w:trHeight w:val="257"/>
        </w:trPr>
        <w:tc>
          <w:tcPr>
            <w:tcW w:w="2080" w:type="dxa"/>
            <w:vAlign w:val="bottom"/>
          </w:tcPr>
          <w:p>
            <w:pPr>
              <w:spacing w:after="0"/>
              <w:rPr>
                <w:sz w:val="20"/>
                <w:szCs w:val="20"/>
                <w:color w:val="auto"/>
              </w:rPr>
            </w:pPr>
            <w:r>
              <w:rPr>
                <w:rFonts w:ascii="Times New Roman" w:cs="Times New Roman" w:eastAsia="Times New Roman" w:hAnsi="Times New Roman"/>
                <w:sz w:val="20"/>
                <w:szCs w:val="20"/>
                <w:color w:val="auto"/>
              </w:rPr>
              <w:t>SECTION 2.15.</w:t>
            </w:r>
          </w:p>
        </w:tc>
        <w:tc>
          <w:tcPr>
            <w:tcW w:w="59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INCREASED COSTS</w:t>
            </w:r>
          </w:p>
        </w:tc>
        <w:tc>
          <w:tcPr>
            <w:tcW w:w="300" w:type="dxa"/>
            <w:vAlign w:val="bottom"/>
          </w:tcPr>
          <w:p>
            <w:pPr>
              <w:ind w:left="100"/>
              <w:spacing w:after="0"/>
              <w:rPr>
                <w:sz w:val="20"/>
                <w:szCs w:val="20"/>
                <w:color w:val="auto"/>
              </w:rPr>
            </w:pPr>
            <w:r>
              <w:rPr>
                <w:rFonts w:ascii="Times New Roman" w:cs="Times New Roman" w:eastAsia="Times New Roman" w:hAnsi="Times New Roman"/>
                <w:sz w:val="20"/>
                <w:szCs w:val="20"/>
                <w:color w:val="auto"/>
                <w:w w:val="89"/>
              </w:rPr>
              <w:t>68</w:t>
            </w:r>
          </w:p>
        </w:tc>
        <w:tc>
          <w:tcPr>
            <w:tcW w:w="0" w:type="dxa"/>
            <w:vAlign w:val="bottom"/>
          </w:tcPr>
          <w:p>
            <w:pPr>
              <w:spacing w:after="0"/>
              <w:rPr>
                <w:sz w:val="1"/>
                <w:szCs w:val="1"/>
                <w:color w:val="auto"/>
              </w:rPr>
            </w:pPr>
          </w:p>
        </w:tc>
      </w:tr>
      <w:tr>
        <w:trPr>
          <w:trHeight w:val="257"/>
        </w:trPr>
        <w:tc>
          <w:tcPr>
            <w:tcW w:w="2080" w:type="dxa"/>
            <w:vAlign w:val="bottom"/>
          </w:tcPr>
          <w:p>
            <w:pPr>
              <w:spacing w:after="0"/>
              <w:rPr>
                <w:sz w:val="20"/>
                <w:szCs w:val="20"/>
                <w:color w:val="auto"/>
              </w:rPr>
            </w:pPr>
            <w:r>
              <w:rPr>
                <w:rFonts w:ascii="Times New Roman" w:cs="Times New Roman" w:eastAsia="Times New Roman" w:hAnsi="Times New Roman"/>
                <w:sz w:val="20"/>
                <w:szCs w:val="20"/>
                <w:color w:val="auto"/>
              </w:rPr>
              <w:t>SECTION 2.16.</w:t>
            </w:r>
          </w:p>
        </w:tc>
        <w:tc>
          <w:tcPr>
            <w:tcW w:w="59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BREAK FUNDING PAYMENTS</w:t>
            </w:r>
          </w:p>
        </w:tc>
        <w:tc>
          <w:tcPr>
            <w:tcW w:w="300" w:type="dxa"/>
            <w:vAlign w:val="bottom"/>
          </w:tcPr>
          <w:p>
            <w:pPr>
              <w:ind w:left="100"/>
              <w:spacing w:after="0"/>
              <w:rPr>
                <w:sz w:val="20"/>
                <w:szCs w:val="20"/>
                <w:color w:val="auto"/>
              </w:rPr>
            </w:pPr>
            <w:r>
              <w:rPr>
                <w:rFonts w:ascii="Times New Roman" w:cs="Times New Roman" w:eastAsia="Times New Roman" w:hAnsi="Times New Roman"/>
                <w:sz w:val="20"/>
                <w:szCs w:val="20"/>
                <w:color w:val="auto"/>
                <w:w w:val="89"/>
              </w:rPr>
              <w:t>69</w:t>
            </w:r>
          </w:p>
        </w:tc>
        <w:tc>
          <w:tcPr>
            <w:tcW w:w="0" w:type="dxa"/>
            <w:vAlign w:val="bottom"/>
          </w:tcPr>
          <w:p>
            <w:pPr>
              <w:spacing w:after="0"/>
              <w:rPr>
                <w:sz w:val="1"/>
                <w:szCs w:val="1"/>
                <w:color w:val="auto"/>
              </w:rPr>
            </w:pPr>
          </w:p>
        </w:tc>
      </w:tr>
      <w:tr>
        <w:trPr>
          <w:trHeight w:val="256"/>
        </w:trPr>
        <w:tc>
          <w:tcPr>
            <w:tcW w:w="2080" w:type="dxa"/>
            <w:vAlign w:val="bottom"/>
          </w:tcPr>
          <w:p>
            <w:pPr>
              <w:spacing w:after="0"/>
              <w:rPr>
                <w:sz w:val="20"/>
                <w:szCs w:val="20"/>
                <w:color w:val="auto"/>
              </w:rPr>
            </w:pPr>
            <w:r>
              <w:rPr>
                <w:rFonts w:ascii="Times New Roman" w:cs="Times New Roman" w:eastAsia="Times New Roman" w:hAnsi="Times New Roman"/>
                <w:sz w:val="20"/>
                <w:szCs w:val="20"/>
                <w:color w:val="auto"/>
              </w:rPr>
              <w:t>SECTION 2.17.</w:t>
            </w:r>
          </w:p>
        </w:tc>
        <w:tc>
          <w:tcPr>
            <w:tcW w:w="59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TAXES</w:t>
            </w:r>
          </w:p>
        </w:tc>
        <w:tc>
          <w:tcPr>
            <w:tcW w:w="300" w:type="dxa"/>
            <w:vAlign w:val="bottom"/>
          </w:tcPr>
          <w:p>
            <w:pPr>
              <w:ind w:left="100"/>
              <w:spacing w:after="0"/>
              <w:rPr>
                <w:sz w:val="20"/>
                <w:szCs w:val="20"/>
                <w:color w:val="auto"/>
              </w:rPr>
            </w:pPr>
            <w:r>
              <w:rPr>
                <w:rFonts w:ascii="Times New Roman" w:cs="Times New Roman" w:eastAsia="Times New Roman" w:hAnsi="Times New Roman"/>
                <w:sz w:val="20"/>
                <w:szCs w:val="20"/>
                <w:color w:val="auto"/>
                <w:w w:val="89"/>
              </w:rPr>
              <w:t>70</w:t>
            </w:r>
          </w:p>
        </w:tc>
        <w:tc>
          <w:tcPr>
            <w:tcW w:w="0" w:type="dxa"/>
            <w:vAlign w:val="bottom"/>
          </w:tcPr>
          <w:p>
            <w:pPr>
              <w:spacing w:after="0"/>
              <w:rPr>
                <w:sz w:val="1"/>
                <w:szCs w:val="1"/>
                <w:color w:val="auto"/>
              </w:rPr>
            </w:pPr>
          </w:p>
        </w:tc>
      </w:tr>
      <w:tr>
        <w:trPr>
          <w:trHeight w:val="257"/>
        </w:trPr>
        <w:tc>
          <w:tcPr>
            <w:tcW w:w="2080" w:type="dxa"/>
            <w:vAlign w:val="bottom"/>
          </w:tcPr>
          <w:p>
            <w:pPr>
              <w:spacing w:after="0"/>
              <w:rPr>
                <w:sz w:val="20"/>
                <w:szCs w:val="20"/>
                <w:color w:val="auto"/>
              </w:rPr>
            </w:pPr>
            <w:r>
              <w:rPr>
                <w:rFonts w:ascii="Times New Roman" w:cs="Times New Roman" w:eastAsia="Times New Roman" w:hAnsi="Times New Roman"/>
                <w:sz w:val="20"/>
                <w:szCs w:val="20"/>
                <w:color w:val="auto"/>
              </w:rPr>
              <w:t>SECTION 2.18.</w:t>
            </w:r>
          </w:p>
        </w:tc>
        <w:tc>
          <w:tcPr>
            <w:tcW w:w="59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UK TAX.</w:t>
            </w:r>
          </w:p>
        </w:tc>
        <w:tc>
          <w:tcPr>
            <w:tcW w:w="300" w:type="dxa"/>
            <w:vAlign w:val="bottom"/>
          </w:tcPr>
          <w:p>
            <w:pPr>
              <w:ind w:left="100"/>
              <w:spacing w:after="0"/>
              <w:rPr>
                <w:sz w:val="20"/>
                <w:szCs w:val="20"/>
                <w:color w:val="auto"/>
              </w:rPr>
            </w:pPr>
            <w:r>
              <w:rPr>
                <w:rFonts w:ascii="Times New Roman" w:cs="Times New Roman" w:eastAsia="Times New Roman" w:hAnsi="Times New Roman"/>
                <w:sz w:val="20"/>
                <w:szCs w:val="20"/>
                <w:color w:val="auto"/>
                <w:w w:val="89"/>
              </w:rPr>
              <w:t>73</w:t>
            </w:r>
          </w:p>
        </w:tc>
        <w:tc>
          <w:tcPr>
            <w:tcW w:w="0" w:type="dxa"/>
            <w:vAlign w:val="bottom"/>
          </w:tcPr>
          <w:p>
            <w:pPr>
              <w:spacing w:after="0"/>
              <w:rPr>
                <w:sz w:val="1"/>
                <w:szCs w:val="1"/>
                <w:color w:val="auto"/>
              </w:rPr>
            </w:pPr>
          </w:p>
        </w:tc>
      </w:tr>
      <w:tr>
        <w:trPr>
          <w:trHeight w:val="198"/>
        </w:trPr>
        <w:tc>
          <w:tcPr>
            <w:tcW w:w="20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SECTION 2.19.</w:t>
            </w:r>
          </w:p>
        </w:tc>
        <w:tc>
          <w:tcPr>
            <w:tcW w:w="5960" w:type="dxa"/>
            <w:vAlign w:val="bottom"/>
          </w:tcPr>
          <w:p>
            <w:pPr>
              <w:ind w:left="100"/>
              <w:spacing w:after="0" w:line="198" w:lineRule="exact"/>
              <w:rPr>
                <w:sz w:val="20"/>
                <w:szCs w:val="20"/>
                <w:color w:val="auto"/>
              </w:rPr>
            </w:pPr>
            <w:r>
              <w:rPr>
                <w:rFonts w:ascii="Times New Roman" w:cs="Times New Roman" w:eastAsia="Times New Roman" w:hAnsi="Times New Roman"/>
                <w:sz w:val="20"/>
                <w:szCs w:val="20"/>
                <w:color w:val="auto"/>
                <w:w w:val="97"/>
              </w:rPr>
              <w:t>PAYMENTS GENERALLY; PRO RATA TREATMENT; SHARING OF</w:t>
            </w:r>
          </w:p>
        </w:tc>
        <w:tc>
          <w:tcPr>
            <w:tcW w:w="30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w w:val="89"/>
              </w:rPr>
              <w:t>77</w:t>
            </w:r>
          </w:p>
        </w:tc>
        <w:tc>
          <w:tcPr>
            <w:tcW w:w="0" w:type="dxa"/>
            <w:vAlign w:val="bottom"/>
          </w:tcPr>
          <w:p>
            <w:pPr>
              <w:spacing w:after="0"/>
              <w:rPr>
                <w:sz w:val="1"/>
                <w:szCs w:val="1"/>
                <w:color w:val="auto"/>
              </w:rPr>
            </w:pPr>
          </w:p>
        </w:tc>
      </w:tr>
      <w:tr>
        <w:trPr>
          <w:trHeight w:val="247"/>
        </w:trPr>
        <w:tc>
          <w:tcPr>
            <w:tcW w:w="2080" w:type="dxa"/>
            <w:vAlign w:val="bottom"/>
            <w:vMerge w:val="continue"/>
          </w:tcPr>
          <w:p>
            <w:pPr>
              <w:spacing w:after="0"/>
              <w:rPr>
                <w:sz w:val="21"/>
                <w:szCs w:val="21"/>
                <w:color w:val="auto"/>
              </w:rPr>
            </w:pPr>
          </w:p>
        </w:tc>
        <w:tc>
          <w:tcPr>
            <w:tcW w:w="59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SET-OFFS</w:t>
            </w:r>
          </w:p>
        </w:tc>
        <w:tc>
          <w:tcPr>
            <w:tcW w:w="3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080" w:type="dxa"/>
            <w:vAlign w:val="bottom"/>
          </w:tcPr>
          <w:p>
            <w:pPr>
              <w:spacing w:after="0"/>
              <w:rPr>
                <w:sz w:val="20"/>
                <w:szCs w:val="20"/>
                <w:color w:val="auto"/>
              </w:rPr>
            </w:pPr>
            <w:r>
              <w:rPr>
                <w:rFonts w:ascii="Times New Roman" w:cs="Times New Roman" w:eastAsia="Times New Roman" w:hAnsi="Times New Roman"/>
                <w:sz w:val="20"/>
                <w:szCs w:val="20"/>
                <w:color w:val="auto"/>
              </w:rPr>
              <w:t>SECTION 2.20.</w:t>
            </w:r>
          </w:p>
        </w:tc>
        <w:tc>
          <w:tcPr>
            <w:tcW w:w="59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MITIGATION OBLIGATIONS; REPLACEMENT OF LENDERS</w:t>
            </w:r>
          </w:p>
        </w:tc>
        <w:tc>
          <w:tcPr>
            <w:tcW w:w="300" w:type="dxa"/>
            <w:vAlign w:val="bottom"/>
          </w:tcPr>
          <w:p>
            <w:pPr>
              <w:ind w:left="100"/>
              <w:spacing w:after="0"/>
              <w:rPr>
                <w:sz w:val="20"/>
                <w:szCs w:val="20"/>
                <w:color w:val="auto"/>
              </w:rPr>
            </w:pPr>
            <w:r>
              <w:rPr>
                <w:rFonts w:ascii="Times New Roman" w:cs="Times New Roman" w:eastAsia="Times New Roman" w:hAnsi="Times New Roman"/>
                <w:sz w:val="20"/>
                <w:szCs w:val="20"/>
                <w:color w:val="auto"/>
                <w:w w:val="89"/>
              </w:rPr>
              <w:t>80</w:t>
            </w:r>
          </w:p>
        </w:tc>
        <w:tc>
          <w:tcPr>
            <w:tcW w:w="0" w:type="dxa"/>
            <w:vAlign w:val="bottom"/>
          </w:tcPr>
          <w:p>
            <w:pPr>
              <w:spacing w:after="0"/>
              <w:rPr>
                <w:sz w:val="1"/>
                <w:szCs w:val="1"/>
                <w:color w:val="auto"/>
              </w:rPr>
            </w:pPr>
          </w:p>
        </w:tc>
      </w:tr>
      <w:tr>
        <w:trPr>
          <w:trHeight w:val="257"/>
        </w:trPr>
        <w:tc>
          <w:tcPr>
            <w:tcW w:w="2080" w:type="dxa"/>
            <w:vAlign w:val="bottom"/>
          </w:tcPr>
          <w:p>
            <w:pPr>
              <w:spacing w:after="0"/>
              <w:rPr>
                <w:sz w:val="20"/>
                <w:szCs w:val="20"/>
                <w:color w:val="auto"/>
              </w:rPr>
            </w:pPr>
            <w:r>
              <w:rPr>
                <w:rFonts w:ascii="Times New Roman" w:cs="Times New Roman" w:eastAsia="Times New Roman" w:hAnsi="Times New Roman"/>
                <w:sz w:val="20"/>
                <w:szCs w:val="20"/>
                <w:color w:val="auto"/>
              </w:rPr>
              <w:t>SECTION 2.21.</w:t>
            </w:r>
          </w:p>
        </w:tc>
        <w:tc>
          <w:tcPr>
            <w:tcW w:w="59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EXPANSION OPTION</w:t>
            </w:r>
          </w:p>
        </w:tc>
        <w:tc>
          <w:tcPr>
            <w:tcW w:w="300" w:type="dxa"/>
            <w:vAlign w:val="bottom"/>
          </w:tcPr>
          <w:p>
            <w:pPr>
              <w:ind w:left="100"/>
              <w:spacing w:after="0"/>
              <w:rPr>
                <w:sz w:val="20"/>
                <w:szCs w:val="20"/>
                <w:color w:val="auto"/>
              </w:rPr>
            </w:pPr>
            <w:r>
              <w:rPr>
                <w:rFonts w:ascii="Times New Roman" w:cs="Times New Roman" w:eastAsia="Times New Roman" w:hAnsi="Times New Roman"/>
                <w:sz w:val="20"/>
                <w:szCs w:val="20"/>
                <w:color w:val="auto"/>
                <w:w w:val="89"/>
              </w:rPr>
              <w:t>80</w:t>
            </w:r>
          </w:p>
        </w:tc>
        <w:tc>
          <w:tcPr>
            <w:tcW w:w="0" w:type="dxa"/>
            <w:vAlign w:val="bottom"/>
          </w:tcPr>
          <w:p>
            <w:pPr>
              <w:spacing w:after="0"/>
              <w:rPr>
                <w:sz w:val="1"/>
                <w:szCs w:val="1"/>
                <w:color w:val="auto"/>
              </w:rPr>
            </w:pPr>
          </w:p>
        </w:tc>
      </w:tr>
      <w:tr>
        <w:trPr>
          <w:trHeight w:val="256"/>
        </w:trPr>
        <w:tc>
          <w:tcPr>
            <w:tcW w:w="2080" w:type="dxa"/>
            <w:vAlign w:val="bottom"/>
          </w:tcPr>
          <w:p>
            <w:pPr>
              <w:spacing w:after="0"/>
              <w:rPr>
                <w:sz w:val="20"/>
                <w:szCs w:val="20"/>
                <w:color w:val="auto"/>
              </w:rPr>
            </w:pPr>
            <w:r>
              <w:rPr>
                <w:rFonts w:ascii="Times New Roman" w:cs="Times New Roman" w:eastAsia="Times New Roman" w:hAnsi="Times New Roman"/>
                <w:sz w:val="20"/>
                <w:szCs w:val="20"/>
                <w:color w:val="auto"/>
              </w:rPr>
              <w:t>SECTION 2.22.</w:t>
            </w:r>
          </w:p>
        </w:tc>
        <w:tc>
          <w:tcPr>
            <w:tcW w:w="59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EXTENSION OF MATURITY DATE</w:t>
            </w:r>
          </w:p>
        </w:tc>
        <w:tc>
          <w:tcPr>
            <w:tcW w:w="300" w:type="dxa"/>
            <w:vAlign w:val="bottom"/>
          </w:tcPr>
          <w:p>
            <w:pPr>
              <w:ind w:left="100"/>
              <w:spacing w:after="0"/>
              <w:rPr>
                <w:sz w:val="20"/>
                <w:szCs w:val="20"/>
                <w:color w:val="auto"/>
              </w:rPr>
            </w:pPr>
            <w:r>
              <w:rPr>
                <w:rFonts w:ascii="Times New Roman" w:cs="Times New Roman" w:eastAsia="Times New Roman" w:hAnsi="Times New Roman"/>
                <w:sz w:val="20"/>
                <w:szCs w:val="20"/>
                <w:color w:val="auto"/>
                <w:w w:val="89"/>
              </w:rPr>
              <w:t>81</w:t>
            </w:r>
          </w:p>
        </w:tc>
        <w:tc>
          <w:tcPr>
            <w:tcW w:w="0" w:type="dxa"/>
            <w:vAlign w:val="bottom"/>
          </w:tcPr>
          <w:p>
            <w:pPr>
              <w:spacing w:after="0"/>
              <w:rPr>
                <w:sz w:val="1"/>
                <w:szCs w:val="1"/>
                <w:color w:val="auto"/>
              </w:rPr>
            </w:pPr>
          </w:p>
        </w:tc>
      </w:tr>
      <w:tr>
        <w:trPr>
          <w:trHeight w:val="257"/>
        </w:trPr>
        <w:tc>
          <w:tcPr>
            <w:tcW w:w="2080" w:type="dxa"/>
            <w:vAlign w:val="bottom"/>
          </w:tcPr>
          <w:p>
            <w:pPr>
              <w:spacing w:after="0"/>
              <w:rPr>
                <w:sz w:val="20"/>
                <w:szCs w:val="20"/>
                <w:color w:val="auto"/>
              </w:rPr>
            </w:pPr>
            <w:r>
              <w:rPr>
                <w:rFonts w:ascii="Times New Roman" w:cs="Times New Roman" w:eastAsia="Times New Roman" w:hAnsi="Times New Roman"/>
                <w:sz w:val="20"/>
                <w:szCs w:val="20"/>
                <w:color w:val="auto"/>
              </w:rPr>
              <w:t>SECTION 2.23.</w:t>
            </w:r>
          </w:p>
        </w:tc>
        <w:tc>
          <w:tcPr>
            <w:tcW w:w="59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JUDGMENT CURRENCY</w:t>
            </w:r>
          </w:p>
        </w:tc>
        <w:tc>
          <w:tcPr>
            <w:tcW w:w="300" w:type="dxa"/>
            <w:vAlign w:val="bottom"/>
          </w:tcPr>
          <w:p>
            <w:pPr>
              <w:ind w:left="100"/>
              <w:spacing w:after="0"/>
              <w:rPr>
                <w:sz w:val="20"/>
                <w:szCs w:val="20"/>
                <w:color w:val="auto"/>
              </w:rPr>
            </w:pPr>
            <w:r>
              <w:rPr>
                <w:rFonts w:ascii="Times New Roman" w:cs="Times New Roman" w:eastAsia="Times New Roman" w:hAnsi="Times New Roman"/>
                <w:sz w:val="20"/>
                <w:szCs w:val="20"/>
                <w:color w:val="auto"/>
                <w:w w:val="89"/>
              </w:rPr>
              <w:t>83</w:t>
            </w:r>
          </w:p>
        </w:tc>
        <w:tc>
          <w:tcPr>
            <w:tcW w:w="0" w:type="dxa"/>
            <w:vAlign w:val="bottom"/>
          </w:tcPr>
          <w:p>
            <w:pPr>
              <w:spacing w:after="0"/>
              <w:rPr>
                <w:sz w:val="1"/>
                <w:szCs w:val="1"/>
                <w:color w:val="auto"/>
              </w:rPr>
            </w:pPr>
          </w:p>
        </w:tc>
      </w:tr>
      <w:tr>
        <w:trPr>
          <w:trHeight w:val="257"/>
        </w:trPr>
        <w:tc>
          <w:tcPr>
            <w:tcW w:w="2080" w:type="dxa"/>
            <w:vAlign w:val="bottom"/>
          </w:tcPr>
          <w:p>
            <w:pPr>
              <w:spacing w:after="0"/>
              <w:rPr>
                <w:sz w:val="20"/>
                <w:szCs w:val="20"/>
                <w:color w:val="auto"/>
              </w:rPr>
            </w:pPr>
            <w:r>
              <w:rPr>
                <w:rFonts w:ascii="Times New Roman" w:cs="Times New Roman" w:eastAsia="Times New Roman" w:hAnsi="Times New Roman"/>
                <w:sz w:val="20"/>
                <w:szCs w:val="20"/>
                <w:color w:val="auto"/>
              </w:rPr>
              <w:t>SECTION 2.24.</w:t>
            </w:r>
          </w:p>
        </w:tc>
        <w:tc>
          <w:tcPr>
            <w:tcW w:w="59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DESIGNATION OF FOREIGN SUBSIDIARY BORROWERS</w:t>
            </w:r>
          </w:p>
        </w:tc>
        <w:tc>
          <w:tcPr>
            <w:tcW w:w="300" w:type="dxa"/>
            <w:vAlign w:val="bottom"/>
          </w:tcPr>
          <w:p>
            <w:pPr>
              <w:ind w:left="100"/>
              <w:spacing w:after="0"/>
              <w:rPr>
                <w:sz w:val="20"/>
                <w:szCs w:val="20"/>
                <w:color w:val="auto"/>
              </w:rPr>
            </w:pPr>
            <w:r>
              <w:rPr>
                <w:rFonts w:ascii="Times New Roman" w:cs="Times New Roman" w:eastAsia="Times New Roman" w:hAnsi="Times New Roman"/>
                <w:sz w:val="20"/>
                <w:szCs w:val="20"/>
                <w:color w:val="auto"/>
                <w:w w:val="89"/>
              </w:rPr>
              <w:t>84</w:t>
            </w:r>
          </w:p>
        </w:tc>
        <w:tc>
          <w:tcPr>
            <w:tcW w:w="0" w:type="dxa"/>
            <w:vAlign w:val="bottom"/>
          </w:tcPr>
          <w:p>
            <w:pPr>
              <w:spacing w:after="0"/>
              <w:rPr>
                <w:sz w:val="1"/>
                <w:szCs w:val="1"/>
                <w:color w:val="auto"/>
              </w:rPr>
            </w:pPr>
          </w:p>
        </w:tc>
      </w:tr>
      <w:tr>
        <w:trPr>
          <w:trHeight w:val="256"/>
        </w:trPr>
        <w:tc>
          <w:tcPr>
            <w:tcW w:w="2080" w:type="dxa"/>
            <w:vAlign w:val="bottom"/>
          </w:tcPr>
          <w:p>
            <w:pPr>
              <w:spacing w:after="0"/>
              <w:rPr>
                <w:sz w:val="20"/>
                <w:szCs w:val="20"/>
                <w:color w:val="auto"/>
              </w:rPr>
            </w:pPr>
            <w:r>
              <w:rPr>
                <w:rFonts w:ascii="Times New Roman" w:cs="Times New Roman" w:eastAsia="Times New Roman" w:hAnsi="Times New Roman"/>
                <w:sz w:val="20"/>
                <w:szCs w:val="20"/>
                <w:color w:val="auto"/>
              </w:rPr>
              <w:t>SECTION 2.25.</w:t>
            </w:r>
          </w:p>
        </w:tc>
        <w:tc>
          <w:tcPr>
            <w:tcW w:w="59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DEFAULTING LENDERS</w:t>
            </w:r>
          </w:p>
        </w:tc>
        <w:tc>
          <w:tcPr>
            <w:tcW w:w="300" w:type="dxa"/>
            <w:vAlign w:val="bottom"/>
          </w:tcPr>
          <w:p>
            <w:pPr>
              <w:ind w:left="100"/>
              <w:spacing w:after="0"/>
              <w:rPr>
                <w:sz w:val="20"/>
                <w:szCs w:val="20"/>
                <w:color w:val="auto"/>
              </w:rPr>
            </w:pPr>
            <w:r>
              <w:rPr>
                <w:rFonts w:ascii="Times New Roman" w:cs="Times New Roman" w:eastAsia="Times New Roman" w:hAnsi="Times New Roman"/>
                <w:sz w:val="20"/>
                <w:szCs w:val="20"/>
                <w:color w:val="auto"/>
                <w:w w:val="89"/>
              </w:rPr>
              <w:t>84</w:t>
            </w:r>
          </w:p>
        </w:tc>
        <w:tc>
          <w:tcPr>
            <w:tcW w:w="0" w:type="dxa"/>
            <w:vAlign w:val="bottom"/>
          </w:tcPr>
          <w:p>
            <w:pPr>
              <w:spacing w:after="0"/>
              <w:rPr>
                <w:sz w:val="1"/>
                <w:szCs w:val="1"/>
                <w:color w:val="auto"/>
              </w:rPr>
            </w:pPr>
          </w:p>
        </w:tc>
      </w:tr>
      <w:tr>
        <w:trPr>
          <w:trHeight w:val="256"/>
        </w:trPr>
        <w:tc>
          <w:tcPr>
            <w:tcW w:w="80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III Representations and Warranties</w:t>
            </w:r>
          </w:p>
        </w:tc>
        <w:tc>
          <w:tcPr>
            <w:tcW w:w="300" w:type="dxa"/>
            <w:vAlign w:val="bottom"/>
          </w:tcPr>
          <w:p>
            <w:pPr>
              <w:ind w:left="100"/>
              <w:spacing w:after="0"/>
              <w:rPr>
                <w:sz w:val="20"/>
                <w:szCs w:val="20"/>
                <w:color w:val="auto"/>
              </w:rPr>
            </w:pPr>
            <w:r>
              <w:rPr>
                <w:rFonts w:ascii="Times New Roman" w:cs="Times New Roman" w:eastAsia="Times New Roman" w:hAnsi="Times New Roman"/>
                <w:sz w:val="20"/>
                <w:szCs w:val="20"/>
                <w:color w:val="auto"/>
                <w:w w:val="89"/>
              </w:rPr>
              <w:t>86</w:t>
            </w:r>
          </w:p>
        </w:tc>
        <w:tc>
          <w:tcPr>
            <w:tcW w:w="0" w:type="dxa"/>
            <w:vAlign w:val="bottom"/>
          </w:tcPr>
          <w:p>
            <w:pPr>
              <w:spacing w:after="0"/>
              <w:rPr>
                <w:sz w:val="1"/>
                <w:szCs w:val="1"/>
                <w:color w:val="auto"/>
              </w:rPr>
            </w:pPr>
          </w:p>
        </w:tc>
      </w:tr>
      <w:tr>
        <w:trPr>
          <w:trHeight w:val="256"/>
        </w:trPr>
        <w:tc>
          <w:tcPr>
            <w:tcW w:w="2080" w:type="dxa"/>
            <w:vAlign w:val="bottom"/>
          </w:tcPr>
          <w:p>
            <w:pPr>
              <w:spacing w:after="0"/>
              <w:rPr>
                <w:sz w:val="20"/>
                <w:szCs w:val="20"/>
                <w:color w:val="auto"/>
              </w:rPr>
            </w:pPr>
            <w:r>
              <w:rPr>
                <w:rFonts w:ascii="Times New Roman" w:cs="Times New Roman" w:eastAsia="Times New Roman" w:hAnsi="Times New Roman"/>
                <w:sz w:val="20"/>
                <w:szCs w:val="20"/>
                <w:color w:val="auto"/>
              </w:rPr>
              <w:t>SECTION 3.01.</w:t>
            </w:r>
          </w:p>
        </w:tc>
        <w:tc>
          <w:tcPr>
            <w:tcW w:w="59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ORGANIZATION; POWERS; SUBSIDIARIES</w:t>
            </w:r>
          </w:p>
        </w:tc>
        <w:tc>
          <w:tcPr>
            <w:tcW w:w="300" w:type="dxa"/>
            <w:vAlign w:val="bottom"/>
          </w:tcPr>
          <w:p>
            <w:pPr>
              <w:ind w:left="100"/>
              <w:spacing w:after="0"/>
              <w:rPr>
                <w:sz w:val="20"/>
                <w:szCs w:val="20"/>
                <w:color w:val="auto"/>
              </w:rPr>
            </w:pPr>
            <w:r>
              <w:rPr>
                <w:rFonts w:ascii="Times New Roman" w:cs="Times New Roman" w:eastAsia="Times New Roman" w:hAnsi="Times New Roman"/>
                <w:sz w:val="20"/>
                <w:szCs w:val="20"/>
                <w:color w:val="auto"/>
                <w:w w:val="89"/>
              </w:rPr>
              <w:t>86</w:t>
            </w:r>
          </w:p>
        </w:tc>
        <w:tc>
          <w:tcPr>
            <w:tcW w:w="0" w:type="dxa"/>
            <w:vAlign w:val="bottom"/>
          </w:tcPr>
          <w:p>
            <w:pPr>
              <w:spacing w:after="0"/>
              <w:rPr>
                <w:sz w:val="1"/>
                <w:szCs w:val="1"/>
                <w:color w:val="auto"/>
              </w:rPr>
            </w:pPr>
          </w:p>
        </w:tc>
      </w:tr>
      <w:tr>
        <w:trPr>
          <w:trHeight w:val="257"/>
        </w:trPr>
        <w:tc>
          <w:tcPr>
            <w:tcW w:w="2080" w:type="dxa"/>
            <w:vAlign w:val="bottom"/>
          </w:tcPr>
          <w:p>
            <w:pPr>
              <w:spacing w:after="0"/>
              <w:rPr>
                <w:sz w:val="20"/>
                <w:szCs w:val="20"/>
                <w:color w:val="auto"/>
              </w:rPr>
            </w:pPr>
            <w:r>
              <w:rPr>
                <w:rFonts w:ascii="Times New Roman" w:cs="Times New Roman" w:eastAsia="Times New Roman" w:hAnsi="Times New Roman"/>
                <w:sz w:val="20"/>
                <w:szCs w:val="20"/>
                <w:color w:val="auto"/>
              </w:rPr>
              <w:t>SECTION 3.02.</w:t>
            </w:r>
          </w:p>
        </w:tc>
        <w:tc>
          <w:tcPr>
            <w:tcW w:w="59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AUTHORIZATION; ENFORCEABILITY</w:t>
            </w:r>
          </w:p>
        </w:tc>
        <w:tc>
          <w:tcPr>
            <w:tcW w:w="300" w:type="dxa"/>
            <w:vAlign w:val="bottom"/>
          </w:tcPr>
          <w:p>
            <w:pPr>
              <w:ind w:left="100"/>
              <w:spacing w:after="0"/>
              <w:rPr>
                <w:sz w:val="20"/>
                <w:szCs w:val="20"/>
                <w:color w:val="auto"/>
              </w:rPr>
            </w:pPr>
            <w:r>
              <w:rPr>
                <w:rFonts w:ascii="Times New Roman" w:cs="Times New Roman" w:eastAsia="Times New Roman" w:hAnsi="Times New Roman"/>
                <w:sz w:val="20"/>
                <w:szCs w:val="20"/>
                <w:color w:val="auto"/>
                <w:w w:val="89"/>
              </w:rPr>
              <w:t>86</w:t>
            </w:r>
          </w:p>
        </w:tc>
        <w:tc>
          <w:tcPr>
            <w:tcW w:w="0" w:type="dxa"/>
            <w:vAlign w:val="bottom"/>
          </w:tcPr>
          <w:p>
            <w:pPr>
              <w:spacing w:after="0"/>
              <w:rPr>
                <w:sz w:val="1"/>
                <w:szCs w:val="1"/>
                <w:color w:val="auto"/>
              </w:rPr>
            </w:pPr>
          </w:p>
        </w:tc>
      </w:tr>
      <w:tr>
        <w:trPr>
          <w:trHeight w:val="258"/>
        </w:trPr>
        <w:tc>
          <w:tcPr>
            <w:tcW w:w="2080" w:type="dxa"/>
            <w:vAlign w:val="bottom"/>
          </w:tcPr>
          <w:p>
            <w:pPr>
              <w:spacing w:after="0"/>
              <w:rPr>
                <w:sz w:val="20"/>
                <w:szCs w:val="20"/>
                <w:color w:val="auto"/>
              </w:rPr>
            </w:pPr>
            <w:r>
              <w:rPr>
                <w:rFonts w:ascii="Times New Roman" w:cs="Times New Roman" w:eastAsia="Times New Roman" w:hAnsi="Times New Roman"/>
                <w:sz w:val="20"/>
                <w:szCs w:val="20"/>
                <w:color w:val="auto"/>
              </w:rPr>
              <w:t>SECTION 3.03.</w:t>
            </w:r>
          </w:p>
        </w:tc>
        <w:tc>
          <w:tcPr>
            <w:tcW w:w="59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GOVERNMENTAL APPROVALS; NO CONFLICTS</w:t>
            </w:r>
          </w:p>
        </w:tc>
        <w:tc>
          <w:tcPr>
            <w:tcW w:w="300" w:type="dxa"/>
            <w:vAlign w:val="bottom"/>
          </w:tcPr>
          <w:p>
            <w:pPr>
              <w:ind w:left="100"/>
              <w:spacing w:after="0"/>
              <w:rPr>
                <w:sz w:val="20"/>
                <w:szCs w:val="20"/>
                <w:color w:val="auto"/>
              </w:rPr>
            </w:pPr>
            <w:r>
              <w:rPr>
                <w:rFonts w:ascii="Times New Roman" w:cs="Times New Roman" w:eastAsia="Times New Roman" w:hAnsi="Times New Roman"/>
                <w:sz w:val="20"/>
                <w:szCs w:val="20"/>
                <w:color w:val="auto"/>
                <w:w w:val="89"/>
              </w:rPr>
              <w:t>87</w:t>
            </w:r>
          </w:p>
        </w:tc>
        <w:tc>
          <w:tcPr>
            <w:tcW w:w="0" w:type="dxa"/>
            <w:vAlign w:val="bottom"/>
          </w:tcPr>
          <w:p>
            <w:pPr>
              <w:spacing w:after="0"/>
              <w:rPr>
                <w:sz w:val="1"/>
                <w:szCs w:val="1"/>
                <w:color w:val="auto"/>
              </w:rPr>
            </w:pPr>
          </w:p>
        </w:tc>
      </w:tr>
    </w:tbl>
    <w:p>
      <w:pPr>
        <w:sectPr>
          <w:pgSz w:w="11900" w:h="16838" w:orient="portrait"/>
          <w:cols w:equalWidth="0" w:num="1">
            <w:col w:w="11220"/>
          </w:cols>
          <w:pgMar w:left="340" w:top="118" w:right="339" w:bottom="144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20"/>
          <w:szCs w:val="20"/>
          <w:color w:val="auto"/>
        </w:rPr>
        <w:t>Table Of Contents</w:t>
      </w:r>
    </w:p>
    <w:p>
      <w:pPr>
        <w:spacing w:after="0" w:line="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(continued)</w:t>
      </w:r>
    </w:p>
    <w:p>
      <w:pPr>
        <w:spacing w:after="0" w:line="20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2100" w:type="dxa"/>
            <w:vAlign w:val="bottom"/>
          </w:tcPr>
          <w:p>
            <w:pPr>
              <w:spacing w:after="0"/>
              <w:rPr>
                <w:sz w:val="20"/>
                <w:szCs w:val="20"/>
                <w:color w:val="auto"/>
              </w:rPr>
            </w:pPr>
            <w:r>
              <w:rPr>
                <w:rFonts w:ascii="Times New Roman" w:cs="Times New Roman" w:eastAsia="Times New Roman" w:hAnsi="Times New Roman"/>
                <w:sz w:val="20"/>
                <w:szCs w:val="20"/>
                <w:color w:val="auto"/>
              </w:rPr>
              <w:t>SECTION 3.04.</w:t>
            </w:r>
          </w:p>
        </w:tc>
        <w:tc>
          <w:tcPr>
            <w:tcW w:w="58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FINANCIAL CONDITION; NO MATERIAL ADVERSE CHANGE</w:t>
            </w:r>
          </w:p>
        </w:tc>
        <w:tc>
          <w:tcPr>
            <w:tcW w:w="5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87</w:t>
            </w:r>
          </w:p>
        </w:tc>
        <w:tc>
          <w:tcPr>
            <w:tcW w:w="0" w:type="dxa"/>
            <w:vAlign w:val="bottom"/>
          </w:tcPr>
          <w:p>
            <w:pPr>
              <w:spacing w:after="0"/>
              <w:rPr>
                <w:sz w:val="1"/>
                <w:szCs w:val="1"/>
                <w:color w:val="auto"/>
              </w:rPr>
            </w:pPr>
          </w:p>
        </w:tc>
      </w:tr>
      <w:tr>
        <w:trPr>
          <w:trHeight w:val="257"/>
        </w:trPr>
        <w:tc>
          <w:tcPr>
            <w:tcW w:w="2100" w:type="dxa"/>
            <w:vAlign w:val="bottom"/>
          </w:tcPr>
          <w:p>
            <w:pPr>
              <w:spacing w:after="0"/>
              <w:rPr>
                <w:sz w:val="20"/>
                <w:szCs w:val="20"/>
                <w:color w:val="auto"/>
              </w:rPr>
            </w:pPr>
            <w:r>
              <w:rPr>
                <w:rFonts w:ascii="Times New Roman" w:cs="Times New Roman" w:eastAsia="Times New Roman" w:hAnsi="Times New Roman"/>
                <w:sz w:val="20"/>
                <w:szCs w:val="20"/>
                <w:color w:val="auto"/>
              </w:rPr>
              <w:t>SECTION 3.05.</w:t>
            </w:r>
          </w:p>
        </w:tc>
        <w:tc>
          <w:tcPr>
            <w:tcW w:w="58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PROPERTIES</w:t>
            </w:r>
          </w:p>
        </w:tc>
        <w:tc>
          <w:tcPr>
            <w:tcW w:w="5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87</w:t>
            </w:r>
          </w:p>
        </w:tc>
        <w:tc>
          <w:tcPr>
            <w:tcW w:w="0" w:type="dxa"/>
            <w:vAlign w:val="bottom"/>
          </w:tcPr>
          <w:p>
            <w:pPr>
              <w:spacing w:after="0"/>
              <w:rPr>
                <w:sz w:val="1"/>
                <w:szCs w:val="1"/>
                <w:color w:val="auto"/>
              </w:rPr>
            </w:pPr>
          </w:p>
        </w:tc>
      </w:tr>
      <w:tr>
        <w:trPr>
          <w:trHeight w:val="256"/>
        </w:trPr>
        <w:tc>
          <w:tcPr>
            <w:tcW w:w="2100" w:type="dxa"/>
            <w:vAlign w:val="bottom"/>
          </w:tcPr>
          <w:p>
            <w:pPr>
              <w:spacing w:after="0"/>
              <w:rPr>
                <w:sz w:val="20"/>
                <w:szCs w:val="20"/>
                <w:color w:val="auto"/>
              </w:rPr>
            </w:pPr>
            <w:r>
              <w:rPr>
                <w:rFonts w:ascii="Times New Roman" w:cs="Times New Roman" w:eastAsia="Times New Roman" w:hAnsi="Times New Roman"/>
                <w:sz w:val="20"/>
                <w:szCs w:val="20"/>
                <w:color w:val="auto"/>
              </w:rPr>
              <w:t>SECTION 3.06.</w:t>
            </w:r>
          </w:p>
        </w:tc>
        <w:tc>
          <w:tcPr>
            <w:tcW w:w="58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LITIGATION, ENVIRONMENTAL AND LABOR MATTERS</w:t>
            </w:r>
          </w:p>
        </w:tc>
        <w:tc>
          <w:tcPr>
            <w:tcW w:w="5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87</w:t>
            </w:r>
          </w:p>
        </w:tc>
        <w:tc>
          <w:tcPr>
            <w:tcW w:w="0" w:type="dxa"/>
            <w:vAlign w:val="bottom"/>
          </w:tcPr>
          <w:p>
            <w:pPr>
              <w:spacing w:after="0"/>
              <w:rPr>
                <w:sz w:val="1"/>
                <w:szCs w:val="1"/>
                <w:color w:val="auto"/>
              </w:rPr>
            </w:pPr>
          </w:p>
        </w:tc>
      </w:tr>
      <w:tr>
        <w:trPr>
          <w:trHeight w:val="257"/>
        </w:trPr>
        <w:tc>
          <w:tcPr>
            <w:tcW w:w="2100" w:type="dxa"/>
            <w:vAlign w:val="bottom"/>
          </w:tcPr>
          <w:p>
            <w:pPr>
              <w:spacing w:after="0"/>
              <w:rPr>
                <w:sz w:val="20"/>
                <w:szCs w:val="20"/>
                <w:color w:val="auto"/>
              </w:rPr>
            </w:pPr>
            <w:r>
              <w:rPr>
                <w:rFonts w:ascii="Times New Roman" w:cs="Times New Roman" w:eastAsia="Times New Roman" w:hAnsi="Times New Roman"/>
                <w:sz w:val="20"/>
                <w:szCs w:val="20"/>
                <w:color w:val="auto"/>
              </w:rPr>
              <w:t>SECTION 3.07.</w:t>
            </w:r>
          </w:p>
        </w:tc>
        <w:tc>
          <w:tcPr>
            <w:tcW w:w="58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COMPLIANCE WITH LAWS AND AGREEMENTS</w:t>
            </w:r>
          </w:p>
        </w:tc>
        <w:tc>
          <w:tcPr>
            <w:tcW w:w="5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88</w:t>
            </w:r>
          </w:p>
        </w:tc>
        <w:tc>
          <w:tcPr>
            <w:tcW w:w="0" w:type="dxa"/>
            <w:vAlign w:val="bottom"/>
          </w:tcPr>
          <w:p>
            <w:pPr>
              <w:spacing w:after="0"/>
              <w:rPr>
                <w:sz w:val="1"/>
                <w:szCs w:val="1"/>
                <w:color w:val="auto"/>
              </w:rPr>
            </w:pPr>
          </w:p>
        </w:tc>
      </w:tr>
      <w:tr>
        <w:trPr>
          <w:trHeight w:val="257"/>
        </w:trPr>
        <w:tc>
          <w:tcPr>
            <w:tcW w:w="2100" w:type="dxa"/>
            <w:vAlign w:val="bottom"/>
          </w:tcPr>
          <w:p>
            <w:pPr>
              <w:spacing w:after="0"/>
              <w:rPr>
                <w:sz w:val="20"/>
                <w:szCs w:val="20"/>
                <w:color w:val="auto"/>
              </w:rPr>
            </w:pPr>
            <w:r>
              <w:rPr>
                <w:rFonts w:ascii="Times New Roman" w:cs="Times New Roman" w:eastAsia="Times New Roman" w:hAnsi="Times New Roman"/>
                <w:sz w:val="20"/>
                <w:szCs w:val="20"/>
                <w:color w:val="auto"/>
              </w:rPr>
              <w:t>SECTION 3.08.</w:t>
            </w:r>
          </w:p>
        </w:tc>
        <w:tc>
          <w:tcPr>
            <w:tcW w:w="58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INVESTMENT COMPANY STATUS</w:t>
            </w:r>
          </w:p>
        </w:tc>
        <w:tc>
          <w:tcPr>
            <w:tcW w:w="5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88</w:t>
            </w:r>
          </w:p>
        </w:tc>
        <w:tc>
          <w:tcPr>
            <w:tcW w:w="0" w:type="dxa"/>
            <w:vAlign w:val="bottom"/>
          </w:tcPr>
          <w:p>
            <w:pPr>
              <w:spacing w:after="0"/>
              <w:rPr>
                <w:sz w:val="1"/>
                <w:szCs w:val="1"/>
                <w:color w:val="auto"/>
              </w:rPr>
            </w:pPr>
          </w:p>
        </w:tc>
      </w:tr>
      <w:tr>
        <w:trPr>
          <w:trHeight w:val="257"/>
        </w:trPr>
        <w:tc>
          <w:tcPr>
            <w:tcW w:w="2100" w:type="dxa"/>
            <w:vAlign w:val="bottom"/>
          </w:tcPr>
          <w:p>
            <w:pPr>
              <w:spacing w:after="0"/>
              <w:rPr>
                <w:sz w:val="20"/>
                <w:szCs w:val="20"/>
                <w:color w:val="auto"/>
              </w:rPr>
            </w:pPr>
            <w:r>
              <w:rPr>
                <w:rFonts w:ascii="Times New Roman" w:cs="Times New Roman" w:eastAsia="Times New Roman" w:hAnsi="Times New Roman"/>
                <w:sz w:val="20"/>
                <w:szCs w:val="20"/>
                <w:color w:val="auto"/>
              </w:rPr>
              <w:t>SECTION 3.09.</w:t>
            </w:r>
          </w:p>
        </w:tc>
        <w:tc>
          <w:tcPr>
            <w:tcW w:w="58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TAXES AND UK TAXES</w:t>
            </w:r>
          </w:p>
        </w:tc>
        <w:tc>
          <w:tcPr>
            <w:tcW w:w="5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88</w:t>
            </w:r>
          </w:p>
        </w:tc>
        <w:tc>
          <w:tcPr>
            <w:tcW w:w="0" w:type="dxa"/>
            <w:vAlign w:val="bottom"/>
          </w:tcPr>
          <w:p>
            <w:pPr>
              <w:spacing w:after="0"/>
              <w:rPr>
                <w:sz w:val="1"/>
                <w:szCs w:val="1"/>
                <w:color w:val="auto"/>
              </w:rPr>
            </w:pPr>
          </w:p>
        </w:tc>
      </w:tr>
      <w:tr>
        <w:trPr>
          <w:trHeight w:val="256"/>
        </w:trPr>
        <w:tc>
          <w:tcPr>
            <w:tcW w:w="2100" w:type="dxa"/>
            <w:vAlign w:val="bottom"/>
          </w:tcPr>
          <w:p>
            <w:pPr>
              <w:spacing w:after="0"/>
              <w:rPr>
                <w:sz w:val="20"/>
                <w:szCs w:val="20"/>
                <w:color w:val="auto"/>
              </w:rPr>
            </w:pPr>
            <w:r>
              <w:rPr>
                <w:rFonts w:ascii="Times New Roman" w:cs="Times New Roman" w:eastAsia="Times New Roman" w:hAnsi="Times New Roman"/>
                <w:sz w:val="20"/>
                <w:szCs w:val="20"/>
                <w:color w:val="auto"/>
              </w:rPr>
              <w:t>SECTION 3.10.</w:t>
            </w:r>
          </w:p>
        </w:tc>
        <w:tc>
          <w:tcPr>
            <w:tcW w:w="58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ERISA; NON-U.S. PENSION PLANS</w:t>
            </w:r>
          </w:p>
        </w:tc>
        <w:tc>
          <w:tcPr>
            <w:tcW w:w="5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88</w:t>
            </w:r>
          </w:p>
        </w:tc>
        <w:tc>
          <w:tcPr>
            <w:tcW w:w="0" w:type="dxa"/>
            <w:vAlign w:val="bottom"/>
          </w:tcPr>
          <w:p>
            <w:pPr>
              <w:spacing w:after="0"/>
              <w:rPr>
                <w:sz w:val="1"/>
                <w:szCs w:val="1"/>
                <w:color w:val="auto"/>
              </w:rPr>
            </w:pPr>
          </w:p>
        </w:tc>
      </w:tr>
      <w:tr>
        <w:trPr>
          <w:trHeight w:val="257"/>
        </w:trPr>
        <w:tc>
          <w:tcPr>
            <w:tcW w:w="2100" w:type="dxa"/>
            <w:vAlign w:val="bottom"/>
          </w:tcPr>
          <w:p>
            <w:pPr>
              <w:spacing w:after="0"/>
              <w:rPr>
                <w:sz w:val="20"/>
                <w:szCs w:val="20"/>
                <w:color w:val="auto"/>
              </w:rPr>
            </w:pPr>
            <w:r>
              <w:rPr>
                <w:rFonts w:ascii="Times New Roman" w:cs="Times New Roman" w:eastAsia="Times New Roman" w:hAnsi="Times New Roman"/>
                <w:sz w:val="20"/>
                <w:szCs w:val="20"/>
                <w:color w:val="auto"/>
              </w:rPr>
              <w:t>SECTION 3.11.</w:t>
            </w:r>
          </w:p>
        </w:tc>
        <w:tc>
          <w:tcPr>
            <w:tcW w:w="58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DISCLOSURE</w:t>
            </w:r>
          </w:p>
        </w:tc>
        <w:tc>
          <w:tcPr>
            <w:tcW w:w="5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89</w:t>
            </w:r>
          </w:p>
        </w:tc>
        <w:tc>
          <w:tcPr>
            <w:tcW w:w="0" w:type="dxa"/>
            <w:vAlign w:val="bottom"/>
          </w:tcPr>
          <w:p>
            <w:pPr>
              <w:spacing w:after="0"/>
              <w:rPr>
                <w:sz w:val="1"/>
                <w:szCs w:val="1"/>
                <w:color w:val="auto"/>
              </w:rPr>
            </w:pPr>
          </w:p>
        </w:tc>
      </w:tr>
      <w:tr>
        <w:trPr>
          <w:trHeight w:val="257"/>
        </w:trPr>
        <w:tc>
          <w:tcPr>
            <w:tcW w:w="2100" w:type="dxa"/>
            <w:vAlign w:val="bottom"/>
          </w:tcPr>
          <w:p>
            <w:pPr>
              <w:spacing w:after="0"/>
              <w:rPr>
                <w:sz w:val="20"/>
                <w:szCs w:val="20"/>
                <w:color w:val="auto"/>
              </w:rPr>
            </w:pPr>
            <w:r>
              <w:rPr>
                <w:rFonts w:ascii="Times New Roman" w:cs="Times New Roman" w:eastAsia="Times New Roman" w:hAnsi="Times New Roman"/>
                <w:sz w:val="20"/>
                <w:szCs w:val="20"/>
                <w:color w:val="auto"/>
              </w:rPr>
              <w:t>SECTION 3.12.</w:t>
            </w:r>
          </w:p>
        </w:tc>
        <w:tc>
          <w:tcPr>
            <w:tcW w:w="58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FEDERAL RESERVE REGULATIONS</w:t>
            </w:r>
          </w:p>
        </w:tc>
        <w:tc>
          <w:tcPr>
            <w:tcW w:w="5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89</w:t>
            </w:r>
          </w:p>
        </w:tc>
        <w:tc>
          <w:tcPr>
            <w:tcW w:w="0" w:type="dxa"/>
            <w:vAlign w:val="bottom"/>
          </w:tcPr>
          <w:p>
            <w:pPr>
              <w:spacing w:after="0"/>
              <w:rPr>
                <w:sz w:val="1"/>
                <w:szCs w:val="1"/>
                <w:color w:val="auto"/>
              </w:rPr>
            </w:pPr>
          </w:p>
        </w:tc>
      </w:tr>
      <w:tr>
        <w:trPr>
          <w:trHeight w:val="257"/>
        </w:trPr>
        <w:tc>
          <w:tcPr>
            <w:tcW w:w="2100" w:type="dxa"/>
            <w:vAlign w:val="bottom"/>
          </w:tcPr>
          <w:p>
            <w:pPr>
              <w:spacing w:after="0"/>
              <w:rPr>
                <w:sz w:val="20"/>
                <w:szCs w:val="20"/>
                <w:color w:val="auto"/>
              </w:rPr>
            </w:pPr>
            <w:r>
              <w:rPr>
                <w:rFonts w:ascii="Times New Roman" w:cs="Times New Roman" w:eastAsia="Times New Roman" w:hAnsi="Times New Roman"/>
                <w:sz w:val="20"/>
                <w:szCs w:val="20"/>
                <w:color w:val="auto"/>
              </w:rPr>
              <w:t>SECTION 3.13.</w:t>
            </w:r>
          </w:p>
        </w:tc>
        <w:tc>
          <w:tcPr>
            <w:tcW w:w="58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LIENS</w:t>
            </w:r>
          </w:p>
        </w:tc>
        <w:tc>
          <w:tcPr>
            <w:tcW w:w="5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89</w:t>
            </w:r>
          </w:p>
        </w:tc>
        <w:tc>
          <w:tcPr>
            <w:tcW w:w="0" w:type="dxa"/>
            <w:vAlign w:val="bottom"/>
          </w:tcPr>
          <w:p>
            <w:pPr>
              <w:spacing w:after="0"/>
              <w:rPr>
                <w:sz w:val="1"/>
                <w:szCs w:val="1"/>
                <w:color w:val="auto"/>
              </w:rPr>
            </w:pPr>
          </w:p>
        </w:tc>
      </w:tr>
      <w:tr>
        <w:trPr>
          <w:trHeight w:val="257"/>
        </w:trPr>
        <w:tc>
          <w:tcPr>
            <w:tcW w:w="2100" w:type="dxa"/>
            <w:vAlign w:val="bottom"/>
          </w:tcPr>
          <w:p>
            <w:pPr>
              <w:spacing w:after="0"/>
              <w:rPr>
                <w:sz w:val="20"/>
                <w:szCs w:val="20"/>
                <w:color w:val="auto"/>
              </w:rPr>
            </w:pPr>
            <w:r>
              <w:rPr>
                <w:rFonts w:ascii="Times New Roman" w:cs="Times New Roman" w:eastAsia="Times New Roman" w:hAnsi="Times New Roman"/>
                <w:sz w:val="20"/>
                <w:szCs w:val="20"/>
                <w:color w:val="auto"/>
              </w:rPr>
              <w:t>SECTION 3.14.</w:t>
            </w:r>
          </w:p>
        </w:tc>
        <w:tc>
          <w:tcPr>
            <w:tcW w:w="58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NO DEFAULT</w:t>
            </w:r>
          </w:p>
        </w:tc>
        <w:tc>
          <w:tcPr>
            <w:tcW w:w="5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89</w:t>
            </w:r>
          </w:p>
        </w:tc>
        <w:tc>
          <w:tcPr>
            <w:tcW w:w="0" w:type="dxa"/>
            <w:vAlign w:val="bottom"/>
          </w:tcPr>
          <w:p>
            <w:pPr>
              <w:spacing w:after="0"/>
              <w:rPr>
                <w:sz w:val="1"/>
                <w:szCs w:val="1"/>
                <w:color w:val="auto"/>
              </w:rPr>
            </w:pPr>
          </w:p>
        </w:tc>
      </w:tr>
      <w:tr>
        <w:trPr>
          <w:trHeight w:val="198"/>
        </w:trPr>
        <w:tc>
          <w:tcPr>
            <w:tcW w:w="21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SECTION 3.15.</w:t>
            </w:r>
          </w:p>
        </w:tc>
        <w:tc>
          <w:tcPr>
            <w:tcW w:w="5800" w:type="dxa"/>
            <w:vAlign w:val="bottom"/>
          </w:tcPr>
          <w:p>
            <w:pPr>
              <w:ind w:left="80"/>
              <w:spacing w:after="0" w:line="198" w:lineRule="exact"/>
              <w:rPr>
                <w:sz w:val="20"/>
                <w:szCs w:val="20"/>
                <w:color w:val="auto"/>
              </w:rPr>
            </w:pPr>
            <w:r>
              <w:rPr>
                <w:rFonts w:ascii="Times New Roman" w:cs="Times New Roman" w:eastAsia="Times New Roman" w:hAnsi="Times New Roman"/>
                <w:sz w:val="20"/>
                <w:szCs w:val="20"/>
                <w:color w:val="auto"/>
              </w:rPr>
              <w:t>ANTI-CORRUPTION LAWS AND SANCTIONS AND EXPORT</w:t>
            </w:r>
          </w:p>
        </w:tc>
        <w:tc>
          <w:tcPr>
            <w:tcW w:w="540" w:type="dxa"/>
            <w:vAlign w:val="bottom"/>
            <w:vMerge w:val="restart"/>
          </w:tcPr>
          <w:p>
            <w:pPr>
              <w:ind w:left="240"/>
              <w:spacing w:after="0"/>
              <w:rPr>
                <w:sz w:val="20"/>
                <w:szCs w:val="20"/>
                <w:color w:val="auto"/>
              </w:rPr>
            </w:pPr>
            <w:r>
              <w:rPr>
                <w:rFonts w:ascii="Times New Roman" w:cs="Times New Roman" w:eastAsia="Times New Roman" w:hAnsi="Times New Roman"/>
                <w:sz w:val="20"/>
                <w:szCs w:val="20"/>
                <w:color w:val="auto"/>
              </w:rPr>
              <w:t>89</w:t>
            </w:r>
          </w:p>
        </w:tc>
        <w:tc>
          <w:tcPr>
            <w:tcW w:w="0" w:type="dxa"/>
            <w:vAlign w:val="bottom"/>
          </w:tcPr>
          <w:p>
            <w:pPr>
              <w:spacing w:after="0"/>
              <w:rPr>
                <w:sz w:val="1"/>
                <w:szCs w:val="1"/>
                <w:color w:val="auto"/>
              </w:rPr>
            </w:pPr>
          </w:p>
        </w:tc>
      </w:tr>
      <w:tr>
        <w:trPr>
          <w:trHeight w:val="247"/>
        </w:trPr>
        <w:tc>
          <w:tcPr>
            <w:tcW w:w="2100" w:type="dxa"/>
            <w:vAlign w:val="bottom"/>
            <w:vMerge w:val="continue"/>
          </w:tcPr>
          <w:p>
            <w:pPr>
              <w:spacing w:after="0"/>
              <w:rPr>
                <w:sz w:val="21"/>
                <w:szCs w:val="21"/>
                <w:color w:val="auto"/>
              </w:rPr>
            </w:pPr>
          </w:p>
        </w:tc>
        <w:tc>
          <w:tcPr>
            <w:tcW w:w="58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CONTROLS</w:t>
            </w:r>
          </w:p>
        </w:tc>
        <w:tc>
          <w:tcPr>
            <w:tcW w:w="5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100" w:type="dxa"/>
            <w:vAlign w:val="bottom"/>
          </w:tcPr>
          <w:p>
            <w:pPr>
              <w:spacing w:after="0"/>
              <w:rPr>
                <w:sz w:val="20"/>
                <w:szCs w:val="20"/>
                <w:color w:val="auto"/>
              </w:rPr>
            </w:pPr>
            <w:r>
              <w:rPr>
                <w:rFonts w:ascii="Times New Roman" w:cs="Times New Roman" w:eastAsia="Times New Roman" w:hAnsi="Times New Roman"/>
                <w:sz w:val="20"/>
                <w:szCs w:val="20"/>
                <w:color w:val="auto"/>
              </w:rPr>
              <w:t>SECTION 3.16.</w:t>
            </w:r>
          </w:p>
        </w:tc>
        <w:tc>
          <w:tcPr>
            <w:tcW w:w="58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AFFECTED FINANCIAL INSTITUTIONS</w:t>
            </w:r>
          </w:p>
        </w:tc>
        <w:tc>
          <w:tcPr>
            <w:tcW w:w="5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90</w:t>
            </w:r>
          </w:p>
        </w:tc>
        <w:tc>
          <w:tcPr>
            <w:tcW w:w="0" w:type="dxa"/>
            <w:vAlign w:val="bottom"/>
          </w:tcPr>
          <w:p>
            <w:pPr>
              <w:spacing w:after="0"/>
              <w:rPr>
                <w:sz w:val="1"/>
                <w:szCs w:val="1"/>
                <w:color w:val="auto"/>
              </w:rPr>
            </w:pPr>
          </w:p>
        </w:tc>
      </w:tr>
      <w:tr>
        <w:trPr>
          <w:trHeight w:val="257"/>
        </w:trPr>
        <w:tc>
          <w:tcPr>
            <w:tcW w:w="2100" w:type="dxa"/>
            <w:vAlign w:val="bottom"/>
          </w:tcPr>
          <w:p>
            <w:pPr>
              <w:spacing w:after="0"/>
              <w:rPr>
                <w:sz w:val="20"/>
                <w:szCs w:val="20"/>
                <w:color w:val="auto"/>
              </w:rPr>
            </w:pPr>
            <w:r>
              <w:rPr>
                <w:rFonts w:ascii="Times New Roman" w:cs="Times New Roman" w:eastAsia="Times New Roman" w:hAnsi="Times New Roman"/>
                <w:sz w:val="20"/>
                <w:szCs w:val="20"/>
                <w:color w:val="auto"/>
              </w:rPr>
              <w:t>SECTION 3.17.</w:t>
            </w:r>
          </w:p>
        </w:tc>
        <w:tc>
          <w:tcPr>
            <w:tcW w:w="58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OUTBOUND INVESTMENT RULES</w:t>
            </w:r>
          </w:p>
        </w:tc>
        <w:tc>
          <w:tcPr>
            <w:tcW w:w="5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90</w:t>
            </w:r>
          </w:p>
        </w:tc>
        <w:tc>
          <w:tcPr>
            <w:tcW w:w="0" w:type="dxa"/>
            <w:vAlign w:val="bottom"/>
          </w:tcPr>
          <w:p>
            <w:pPr>
              <w:spacing w:after="0"/>
              <w:rPr>
                <w:sz w:val="1"/>
                <w:szCs w:val="1"/>
                <w:color w:val="auto"/>
              </w:rPr>
            </w:pPr>
          </w:p>
        </w:tc>
      </w:tr>
      <w:tr>
        <w:trPr>
          <w:trHeight w:val="256"/>
        </w:trPr>
        <w:tc>
          <w:tcPr>
            <w:tcW w:w="2100" w:type="dxa"/>
            <w:vAlign w:val="bottom"/>
          </w:tcPr>
          <w:p>
            <w:pPr>
              <w:spacing w:after="0"/>
              <w:rPr>
                <w:sz w:val="20"/>
                <w:szCs w:val="20"/>
                <w:color w:val="auto"/>
              </w:rPr>
            </w:pPr>
            <w:r>
              <w:rPr>
                <w:rFonts w:ascii="Times New Roman" w:cs="Times New Roman" w:eastAsia="Times New Roman" w:hAnsi="Times New Roman"/>
                <w:sz w:val="20"/>
                <w:szCs w:val="20"/>
                <w:color w:val="auto"/>
              </w:rPr>
              <w:t>SECTION 3.18.</w:t>
            </w:r>
          </w:p>
        </w:tc>
        <w:tc>
          <w:tcPr>
            <w:tcW w:w="58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SOLVENCY</w:t>
            </w:r>
          </w:p>
        </w:tc>
        <w:tc>
          <w:tcPr>
            <w:tcW w:w="5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91</w:t>
            </w:r>
          </w:p>
        </w:tc>
        <w:tc>
          <w:tcPr>
            <w:tcW w:w="0" w:type="dxa"/>
            <w:vAlign w:val="bottom"/>
          </w:tcPr>
          <w:p>
            <w:pPr>
              <w:spacing w:after="0"/>
              <w:rPr>
                <w:sz w:val="1"/>
                <w:szCs w:val="1"/>
                <w:color w:val="auto"/>
              </w:rPr>
            </w:pPr>
          </w:p>
        </w:tc>
      </w:tr>
      <w:tr>
        <w:trPr>
          <w:trHeight w:val="257"/>
        </w:trPr>
        <w:tc>
          <w:tcPr>
            <w:tcW w:w="2100" w:type="dxa"/>
            <w:vAlign w:val="bottom"/>
          </w:tcPr>
          <w:p>
            <w:pPr>
              <w:spacing w:after="0"/>
              <w:rPr>
                <w:sz w:val="20"/>
                <w:szCs w:val="20"/>
                <w:color w:val="auto"/>
              </w:rPr>
            </w:pPr>
            <w:r>
              <w:rPr>
                <w:rFonts w:ascii="Times New Roman" w:cs="Times New Roman" w:eastAsia="Times New Roman" w:hAnsi="Times New Roman"/>
                <w:sz w:val="20"/>
                <w:szCs w:val="20"/>
                <w:color w:val="auto"/>
              </w:rPr>
              <w:t>SECTION 3.19.</w:t>
            </w:r>
          </w:p>
        </w:tc>
        <w:tc>
          <w:tcPr>
            <w:tcW w:w="58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USE OF PROCEEDS</w:t>
            </w:r>
          </w:p>
        </w:tc>
        <w:tc>
          <w:tcPr>
            <w:tcW w:w="5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91</w:t>
            </w:r>
          </w:p>
        </w:tc>
        <w:tc>
          <w:tcPr>
            <w:tcW w:w="0" w:type="dxa"/>
            <w:vAlign w:val="bottom"/>
          </w:tcPr>
          <w:p>
            <w:pPr>
              <w:spacing w:after="0"/>
              <w:rPr>
                <w:sz w:val="1"/>
                <w:szCs w:val="1"/>
                <w:color w:val="auto"/>
              </w:rPr>
            </w:pPr>
          </w:p>
        </w:tc>
      </w:tr>
      <w:tr>
        <w:trPr>
          <w:trHeight w:val="256"/>
        </w:trPr>
        <w:tc>
          <w:tcPr>
            <w:tcW w:w="2100" w:type="dxa"/>
            <w:vAlign w:val="bottom"/>
          </w:tcPr>
          <w:p>
            <w:pPr>
              <w:spacing w:after="0"/>
              <w:rPr>
                <w:sz w:val="20"/>
                <w:szCs w:val="20"/>
                <w:color w:val="auto"/>
              </w:rPr>
            </w:pPr>
            <w:r>
              <w:rPr>
                <w:rFonts w:ascii="Times New Roman" w:cs="Times New Roman" w:eastAsia="Times New Roman" w:hAnsi="Times New Roman"/>
                <w:sz w:val="20"/>
                <w:szCs w:val="20"/>
                <w:color w:val="auto"/>
              </w:rPr>
              <w:t>ARTICLE IV Conditions</w:t>
            </w:r>
          </w:p>
        </w:tc>
        <w:tc>
          <w:tcPr>
            <w:tcW w:w="5800" w:type="dxa"/>
            <w:vAlign w:val="bottom"/>
          </w:tcPr>
          <w:p>
            <w:pPr>
              <w:spacing w:after="0"/>
              <w:rPr>
                <w:sz w:val="22"/>
                <w:szCs w:val="22"/>
                <w:color w:val="auto"/>
              </w:rPr>
            </w:pPr>
          </w:p>
        </w:tc>
        <w:tc>
          <w:tcPr>
            <w:tcW w:w="5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91</w:t>
            </w:r>
          </w:p>
        </w:tc>
        <w:tc>
          <w:tcPr>
            <w:tcW w:w="0" w:type="dxa"/>
            <w:vAlign w:val="bottom"/>
          </w:tcPr>
          <w:p>
            <w:pPr>
              <w:spacing w:after="0"/>
              <w:rPr>
                <w:sz w:val="1"/>
                <w:szCs w:val="1"/>
                <w:color w:val="auto"/>
              </w:rPr>
            </w:pPr>
          </w:p>
        </w:tc>
      </w:tr>
      <w:tr>
        <w:trPr>
          <w:trHeight w:val="256"/>
        </w:trPr>
        <w:tc>
          <w:tcPr>
            <w:tcW w:w="2100" w:type="dxa"/>
            <w:vAlign w:val="bottom"/>
          </w:tcPr>
          <w:p>
            <w:pPr>
              <w:spacing w:after="0"/>
              <w:rPr>
                <w:sz w:val="20"/>
                <w:szCs w:val="20"/>
                <w:color w:val="auto"/>
              </w:rPr>
            </w:pPr>
            <w:r>
              <w:rPr>
                <w:rFonts w:ascii="Times New Roman" w:cs="Times New Roman" w:eastAsia="Times New Roman" w:hAnsi="Times New Roman"/>
                <w:sz w:val="20"/>
                <w:szCs w:val="20"/>
                <w:color w:val="auto"/>
              </w:rPr>
              <w:t>SECTION 4.01.</w:t>
            </w:r>
          </w:p>
        </w:tc>
        <w:tc>
          <w:tcPr>
            <w:tcW w:w="58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RESTATEMENT EFFECTIVE DATE</w:t>
            </w:r>
          </w:p>
        </w:tc>
        <w:tc>
          <w:tcPr>
            <w:tcW w:w="5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91</w:t>
            </w:r>
          </w:p>
        </w:tc>
        <w:tc>
          <w:tcPr>
            <w:tcW w:w="0" w:type="dxa"/>
            <w:vAlign w:val="bottom"/>
          </w:tcPr>
          <w:p>
            <w:pPr>
              <w:spacing w:after="0"/>
              <w:rPr>
                <w:sz w:val="1"/>
                <w:szCs w:val="1"/>
                <w:color w:val="auto"/>
              </w:rPr>
            </w:pPr>
          </w:p>
        </w:tc>
      </w:tr>
      <w:tr>
        <w:trPr>
          <w:trHeight w:val="257"/>
        </w:trPr>
        <w:tc>
          <w:tcPr>
            <w:tcW w:w="2100" w:type="dxa"/>
            <w:vAlign w:val="bottom"/>
          </w:tcPr>
          <w:p>
            <w:pPr>
              <w:spacing w:after="0"/>
              <w:rPr>
                <w:sz w:val="20"/>
                <w:szCs w:val="20"/>
                <w:color w:val="auto"/>
              </w:rPr>
            </w:pPr>
            <w:r>
              <w:rPr>
                <w:rFonts w:ascii="Times New Roman" w:cs="Times New Roman" w:eastAsia="Times New Roman" w:hAnsi="Times New Roman"/>
                <w:sz w:val="20"/>
                <w:szCs w:val="20"/>
                <w:color w:val="auto"/>
              </w:rPr>
              <w:t>SECTION 4.02.</w:t>
            </w:r>
          </w:p>
        </w:tc>
        <w:tc>
          <w:tcPr>
            <w:tcW w:w="58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EACH CREDIT EVENT</w:t>
            </w:r>
          </w:p>
        </w:tc>
        <w:tc>
          <w:tcPr>
            <w:tcW w:w="5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92</w:t>
            </w:r>
          </w:p>
        </w:tc>
        <w:tc>
          <w:tcPr>
            <w:tcW w:w="0" w:type="dxa"/>
            <w:vAlign w:val="bottom"/>
          </w:tcPr>
          <w:p>
            <w:pPr>
              <w:spacing w:after="0"/>
              <w:rPr>
                <w:sz w:val="1"/>
                <w:szCs w:val="1"/>
                <w:color w:val="auto"/>
              </w:rPr>
            </w:pPr>
          </w:p>
        </w:tc>
      </w:tr>
      <w:tr>
        <w:trPr>
          <w:trHeight w:val="257"/>
        </w:trPr>
        <w:tc>
          <w:tcPr>
            <w:tcW w:w="2100" w:type="dxa"/>
            <w:vAlign w:val="bottom"/>
          </w:tcPr>
          <w:p>
            <w:pPr>
              <w:spacing w:after="0"/>
              <w:rPr>
                <w:sz w:val="20"/>
                <w:szCs w:val="20"/>
                <w:color w:val="auto"/>
              </w:rPr>
            </w:pPr>
            <w:r>
              <w:rPr>
                <w:rFonts w:ascii="Times New Roman" w:cs="Times New Roman" w:eastAsia="Times New Roman" w:hAnsi="Times New Roman"/>
                <w:sz w:val="20"/>
                <w:szCs w:val="20"/>
                <w:color w:val="auto"/>
              </w:rPr>
              <w:t>SECTION 4.03.</w:t>
            </w:r>
          </w:p>
        </w:tc>
        <w:tc>
          <w:tcPr>
            <w:tcW w:w="58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DESIGNATION OF A FOREIGN SUBSIDIARY BORROWER</w:t>
            </w:r>
          </w:p>
        </w:tc>
        <w:tc>
          <w:tcPr>
            <w:tcW w:w="5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93</w:t>
            </w:r>
          </w:p>
        </w:tc>
        <w:tc>
          <w:tcPr>
            <w:tcW w:w="0" w:type="dxa"/>
            <w:vAlign w:val="bottom"/>
          </w:tcPr>
          <w:p>
            <w:pPr>
              <w:spacing w:after="0"/>
              <w:rPr>
                <w:sz w:val="1"/>
                <w:szCs w:val="1"/>
                <w:color w:val="auto"/>
              </w:rPr>
            </w:pPr>
          </w:p>
        </w:tc>
      </w:tr>
      <w:tr>
        <w:trPr>
          <w:trHeight w:val="256"/>
        </w:trPr>
        <w:tc>
          <w:tcPr>
            <w:tcW w:w="2100" w:type="dxa"/>
            <w:vAlign w:val="bottom"/>
          </w:tcPr>
          <w:p>
            <w:pPr>
              <w:spacing w:after="0"/>
              <w:rPr>
                <w:sz w:val="20"/>
                <w:szCs w:val="20"/>
                <w:color w:val="auto"/>
              </w:rPr>
            </w:pPr>
            <w:r>
              <w:rPr>
                <w:rFonts w:ascii="Times New Roman" w:cs="Times New Roman" w:eastAsia="Times New Roman" w:hAnsi="Times New Roman"/>
                <w:sz w:val="20"/>
                <w:szCs w:val="20"/>
                <w:color w:val="auto"/>
              </w:rPr>
              <w:t>SECTION 4.04.</w:t>
            </w:r>
          </w:p>
        </w:tc>
        <w:tc>
          <w:tcPr>
            <w:tcW w:w="58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INDICOR CLOSING DATE REVOLVING LOANS</w:t>
            </w:r>
          </w:p>
        </w:tc>
        <w:tc>
          <w:tcPr>
            <w:tcW w:w="5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94</w:t>
            </w:r>
          </w:p>
        </w:tc>
        <w:tc>
          <w:tcPr>
            <w:tcW w:w="0" w:type="dxa"/>
            <w:vAlign w:val="bottom"/>
          </w:tcPr>
          <w:p>
            <w:pPr>
              <w:spacing w:after="0"/>
              <w:rPr>
                <w:sz w:val="1"/>
                <w:szCs w:val="1"/>
                <w:color w:val="auto"/>
              </w:rPr>
            </w:pPr>
          </w:p>
        </w:tc>
      </w:tr>
      <w:tr>
        <w:trPr>
          <w:trHeight w:val="257"/>
        </w:trPr>
        <w:tc>
          <w:tcPr>
            <w:tcW w:w="79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V Affirmative Covenants</w:t>
            </w:r>
          </w:p>
        </w:tc>
        <w:tc>
          <w:tcPr>
            <w:tcW w:w="5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95</w:t>
            </w:r>
          </w:p>
        </w:tc>
        <w:tc>
          <w:tcPr>
            <w:tcW w:w="0" w:type="dxa"/>
            <w:vAlign w:val="bottom"/>
          </w:tcPr>
          <w:p>
            <w:pPr>
              <w:spacing w:after="0"/>
              <w:rPr>
                <w:sz w:val="1"/>
                <w:szCs w:val="1"/>
                <w:color w:val="auto"/>
              </w:rPr>
            </w:pPr>
          </w:p>
        </w:tc>
      </w:tr>
      <w:tr>
        <w:trPr>
          <w:trHeight w:val="256"/>
        </w:trPr>
        <w:tc>
          <w:tcPr>
            <w:tcW w:w="2100" w:type="dxa"/>
            <w:vAlign w:val="bottom"/>
          </w:tcPr>
          <w:p>
            <w:pPr>
              <w:spacing w:after="0"/>
              <w:rPr>
                <w:sz w:val="20"/>
                <w:szCs w:val="20"/>
                <w:color w:val="auto"/>
              </w:rPr>
            </w:pPr>
            <w:r>
              <w:rPr>
                <w:rFonts w:ascii="Times New Roman" w:cs="Times New Roman" w:eastAsia="Times New Roman" w:hAnsi="Times New Roman"/>
                <w:sz w:val="20"/>
                <w:szCs w:val="20"/>
                <w:color w:val="auto"/>
              </w:rPr>
              <w:t>SECTION 5.01.</w:t>
            </w:r>
          </w:p>
        </w:tc>
        <w:tc>
          <w:tcPr>
            <w:tcW w:w="58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FINANCIAL STATEMENTS AND OTHER INFORMATION</w:t>
            </w:r>
          </w:p>
        </w:tc>
        <w:tc>
          <w:tcPr>
            <w:tcW w:w="5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96</w:t>
            </w:r>
          </w:p>
        </w:tc>
        <w:tc>
          <w:tcPr>
            <w:tcW w:w="0" w:type="dxa"/>
            <w:vAlign w:val="bottom"/>
          </w:tcPr>
          <w:p>
            <w:pPr>
              <w:spacing w:after="0"/>
              <w:rPr>
                <w:sz w:val="1"/>
                <w:szCs w:val="1"/>
                <w:color w:val="auto"/>
              </w:rPr>
            </w:pPr>
          </w:p>
        </w:tc>
      </w:tr>
      <w:tr>
        <w:trPr>
          <w:trHeight w:val="257"/>
        </w:trPr>
        <w:tc>
          <w:tcPr>
            <w:tcW w:w="2100" w:type="dxa"/>
            <w:vAlign w:val="bottom"/>
          </w:tcPr>
          <w:p>
            <w:pPr>
              <w:spacing w:after="0"/>
              <w:rPr>
                <w:sz w:val="20"/>
                <w:szCs w:val="20"/>
                <w:color w:val="auto"/>
              </w:rPr>
            </w:pPr>
            <w:r>
              <w:rPr>
                <w:rFonts w:ascii="Times New Roman" w:cs="Times New Roman" w:eastAsia="Times New Roman" w:hAnsi="Times New Roman"/>
                <w:sz w:val="20"/>
                <w:szCs w:val="20"/>
                <w:color w:val="auto"/>
              </w:rPr>
              <w:t>SECTION 5.02.</w:t>
            </w:r>
          </w:p>
        </w:tc>
        <w:tc>
          <w:tcPr>
            <w:tcW w:w="58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NOTICES OF MATERIAL EVENTS</w:t>
            </w:r>
          </w:p>
        </w:tc>
        <w:tc>
          <w:tcPr>
            <w:tcW w:w="5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97</w:t>
            </w:r>
          </w:p>
        </w:tc>
        <w:tc>
          <w:tcPr>
            <w:tcW w:w="0" w:type="dxa"/>
            <w:vAlign w:val="bottom"/>
          </w:tcPr>
          <w:p>
            <w:pPr>
              <w:spacing w:after="0"/>
              <w:rPr>
                <w:sz w:val="1"/>
                <w:szCs w:val="1"/>
                <w:color w:val="auto"/>
              </w:rPr>
            </w:pPr>
          </w:p>
        </w:tc>
      </w:tr>
      <w:tr>
        <w:trPr>
          <w:trHeight w:val="256"/>
        </w:trPr>
        <w:tc>
          <w:tcPr>
            <w:tcW w:w="2100" w:type="dxa"/>
            <w:vAlign w:val="bottom"/>
          </w:tcPr>
          <w:p>
            <w:pPr>
              <w:spacing w:after="0"/>
              <w:rPr>
                <w:sz w:val="20"/>
                <w:szCs w:val="20"/>
                <w:color w:val="auto"/>
              </w:rPr>
            </w:pPr>
            <w:r>
              <w:rPr>
                <w:rFonts w:ascii="Times New Roman" w:cs="Times New Roman" w:eastAsia="Times New Roman" w:hAnsi="Times New Roman"/>
                <w:sz w:val="20"/>
                <w:szCs w:val="20"/>
                <w:color w:val="auto"/>
              </w:rPr>
              <w:t>SECTION 5.03.</w:t>
            </w:r>
          </w:p>
        </w:tc>
        <w:tc>
          <w:tcPr>
            <w:tcW w:w="58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EXISTENCE; CONDUCT OF BUSINESS</w:t>
            </w:r>
          </w:p>
        </w:tc>
        <w:tc>
          <w:tcPr>
            <w:tcW w:w="5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97</w:t>
            </w:r>
          </w:p>
        </w:tc>
        <w:tc>
          <w:tcPr>
            <w:tcW w:w="0" w:type="dxa"/>
            <w:vAlign w:val="bottom"/>
          </w:tcPr>
          <w:p>
            <w:pPr>
              <w:spacing w:after="0"/>
              <w:rPr>
                <w:sz w:val="1"/>
                <w:szCs w:val="1"/>
                <w:color w:val="auto"/>
              </w:rPr>
            </w:pPr>
          </w:p>
        </w:tc>
      </w:tr>
      <w:tr>
        <w:trPr>
          <w:trHeight w:val="257"/>
        </w:trPr>
        <w:tc>
          <w:tcPr>
            <w:tcW w:w="2100" w:type="dxa"/>
            <w:vAlign w:val="bottom"/>
          </w:tcPr>
          <w:p>
            <w:pPr>
              <w:spacing w:after="0"/>
              <w:rPr>
                <w:sz w:val="20"/>
                <w:szCs w:val="20"/>
                <w:color w:val="auto"/>
              </w:rPr>
            </w:pPr>
            <w:r>
              <w:rPr>
                <w:rFonts w:ascii="Times New Roman" w:cs="Times New Roman" w:eastAsia="Times New Roman" w:hAnsi="Times New Roman"/>
                <w:sz w:val="20"/>
                <w:szCs w:val="20"/>
                <w:color w:val="auto"/>
              </w:rPr>
              <w:t>SECTION 5.04.</w:t>
            </w:r>
          </w:p>
        </w:tc>
        <w:tc>
          <w:tcPr>
            <w:tcW w:w="58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PAYMENT OF OBLIGATIONS</w:t>
            </w:r>
          </w:p>
        </w:tc>
        <w:tc>
          <w:tcPr>
            <w:tcW w:w="5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98</w:t>
            </w:r>
          </w:p>
        </w:tc>
        <w:tc>
          <w:tcPr>
            <w:tcW w:w="0" w:type="dxa"/>
            <w:vAlign w:val="bottom"/>
          </w:tcPr>
          <w:p>
            <w:pPr>
              <w:spacing w:after="0"/>
              <w:rPr>
                <w:sz w:val="1"/>
                <w:szCs w:val="1"/>
                <w:color w:val="auto"/>
              </w:rPr>
            </w:pPr>
          </w:p>
        </w:tc>
      </w:tr>
      <w:tr>
        <w:trPr>
          <w:trHeight w:val="256"/>
        </w:trPr>
        <w:tc>
          <w:tcPr>
            <w:tcW w:w="2100" w:type="dxa"/>
            <w:vAlign w:val="bottom"/>
          </w:tcPr>
          <w:p>
            <w:pPr>
              <w:spacing w:after="0"/>
              <w:rPr>
                <w:sz w:val="20"/>
                <w:szCs w:val="20"/>
                <w:color w:val="auto"/>
              </w:rPr>
            </w:pPr>
            <w:r>
              <w:rPr>
                <w:rFonts w:ascii="Times New Roman" w:cs="Times New Roman" w:eastAsia="Times New Roman" w:hAnsi="Times New Roman"/>
                <w:sz w:val="20"/>
                <w:szCs w:val="20"/>
                <w:color w:val="auto"/>
              </w:rPr>
              <w:t>SECTION 5.05.</w:t>
            </w:r>
          </w:p>
        </w:tc>
        <w:tc>
          <w:tcPr>
            <w:tcW w:w="58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MAINTENANCE OF PROPERTIES; INSURANCE</w:t>
            </w:r>
          </w:p>
        </w:tc>
        <w:tc>
          <w:tcPr>
            <w:tcW w:w="5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98</w:t>
            </w:r>
          </w:p>
        </w:tc>
        <w:tc>
          <w:tcPr>
            <w:tcW w:w="0" w:type="dxa"/>
            <w:vAlign w:val="bottom"/>
          </w:tcPr>
          <w:p>
            <w:pPr>
              <w:spacing w:after="0"/>
              <w:rPr>
                <w:sz w:val="1"/>
                <w:szCs w:val="1"/>
                <w:color w:val="auto"/>
              </w:rPr>
            </w:pPr>
          </w:p>
        </w:tc>
      </w:tr>
      <w:tr>
        <w:trPr>
          <w:trHeight w:val="257"/>
        </w:trPr>
        <w:tc>
          <w:tcPr>
            <w:tcW w:w="2100" w:type="dxa"/>
            <w:vAlign w:val="bottom"/>
          </w:tcPr>
          <w:p>
            <w:pPr>
              <w:spacing w:after="0"/>
              <w:rPr>
                <w:sz w:val="20"/>
                <w:szCs w:val="20"/>
                <w:color w:val="auto"/>
              </w:rPr>
            </w:pPr>
            <w:r>
              <w:rPr>
                <w:rFonts w:ascii="Times New Roman" w:cs="Times New Roman" w:eastAsia="Times New Roman" w:hAnsi="Times New Roman"/>
                <w:sz w:val="20"/>
                <w:szCs w:val="20"/>
                <w:color w:val="auto"/>
              </w:rPr>
              <w:t>SECTION 5.06.</w:t>
            </w:r>
          </w:p>
        </w:tc>
        <w:tc>
          <w:tcPr>
            <w:tcW w:w="58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BOOKS AND RECORDS; INSPECTION RIGHTS</w:t>
            </w:r>
          </w:p>
        </w:tc>
        <w:tc>
          <w:tcPr>
            <w:tcW w:w="5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98</w:t>
            </w:r>
          </w:p>
        </w:tc>
        <w:tc>
          <w:tcPr>
            <w:tcW w:w="0" w:type="dxa"/>
            <w:vAlign w:val="bottom"/>
          </w:tcPr>
          <w:p>
            <w:pPr>
              <w:spacing w:after="0"/>
              <w:rPr>
                <w:sz w:val="1"/>
                <w:szCs w:val="1"/>
                <w:color w:val="auto"/>
              </w:rPr>
            </w:pPr>
          </w:p>
        </w:tc>
      </w:tr>
      <w:tr>
        <w:trPr>
          <w:trHeight w:val="257"/>
        </w:trPr>
        <w:tc>
          <w:tcPr>
            <w:tcW w:w="2100" w:type="dxa"/>
            <w:vAlign w:val="bottom"/>
          </w:tcPr>
          <w:p>
            <w:pPr>
              <w:spacing w:after="0"/>
              <w:rPr>
                <w:sz w:val="20"/>
                <w:szCs w:val="20"/>
                <w:color w:val="auto"/>
              </w:rPr>
            </w:pPr>
            <w:r>
              <w:rPr>
                <w:rFonts w:ascii="Times New Roman" w:cs="Times New Roman" w:eastAsia="Times New Roman" w:hAnsi="Times New Roman"/>
                <w:sz w:val="20"/>
                <w:szCs w:val="20"/>
                <w:color w:val="auto"/>
              </w:rPr>
              <w:t>SECTION 5.07.</w:t>
            </w:r>
          </w:p>
        </w:tc>
        <w:tc>
          <w:tcPr>
            <w:tcW w:w="58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COMPLIANCE WITH LAWS</w:t>
            </w:r>
          </w:p>
        </w:tc>
        <w:tc>
          <w:tcPr>
            <w:tcW w:w="5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98</w:t>
            </w:r>
          </w:p>
        </w:tc>
        <w:tc>
          <w:tcPr>
            <w:tcW w:w="0" w:type="dxa"/>
            <w:vAlign w:val="bottom"/>
          </w:tcPr>
          <w:p>
            <w:pPr>
              <w:spacing w:after="0"/>
              <w:rPr>
                <w:sz w:val="1"/>
                <w:szCs w:val="1"/>
                <w:color w:val="auto"/>
              </w:rPr>
            </w:pPr>
          </w:p>
        </w:tc>
      </w:tr>
      <w:tr>
        <w:trPr>
          <w:trHeight w:val="256"/>
        </w:trPr>
        <w:tc>
          <w:tcPr>
            <w:tcW w:w="2100" w:type="dxa"/>
            <w:vAlign w:val="bottom"/>
          </w:tcPr>
          <w:p>
            <w:pPr>
              <w:spacing w:after="0"/>
              <w:rPr>
                <w:sz w:val="20"/>
                <w:szCs w:val="20"/>
                <w:color w:val="auto"/>
              </w:rPr>
            </w:pPr>
            <w:r>
              <w:rPr>
                <w:rFonts w:ascii="Times New Roman" w:cs="Times New Roman" w:eastAsia="Times New Roman" w:hAnsi="Times New Roman"/>
                <w:sz w:val="20"/>
                <w:szCs w:val="20"/>
                <w:color w:val="auto"/>
              </w:rPr>
              <w:t>SECTION 5.08.</w:t>
            </w:r>
          </w:p>
        </w:tc>
        <w:tc>
          <w:tcPr>
            <w:tcW w:w="58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USE OF PROCEEDS</w:t>
            </w:r>
          </w:p>
        </w:tc>
        <w:tc>
          <w:tcPr>
            <w:tcW w:w="5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99</w:t>
            </w:r>
          </w:p>
        </w:tc>
        <w:tc>
          <w:tcPr>
            <w:tcW w:w="0" w:type="dxa"/>
            <w:vAlign w:val="bottom"/>
          </w:tcPr>
          <w:p>
            <w:pPr>
              <w:spacing w:after="0"/>
              <w:rPr>
                <w:sz w:val="1"/>
                <w:szCs w:val="1"/>
                <w:color w:val="auto"/>
              </w:rPr>
            </w:pPr>
          </w:p>
        </w:tc>
      </w:tr>
      <w:tr>
        <w:trPr>
          <w:trHeight w:val="257"/>
        </w:trPr>
        <w:tc>
          <w:tcPr>
            <w:tcW w:w="79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VI Negative Covenants</w:t>
            </w:r>
          </w:p>
        </w:tc>
        <w:tc>
          <w:tcPr>
            <w:tcW w:w="5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99</w:t>
            </w:r>
          </w:p>
        </w:tc>
        <w:tc>
          <w:tcPr>
            <w:tcW w:w="0" w:type="dxa"/>
            <w:vAlign w:val="bottom"/>
          </w:tcPr>
          <w:p>
            <w:pPr>
              <w:spacing w:after="0"/>
              <w:rPr>
                <w:sz w:val="1"/>
                <w:szCs w:val="1"/>
                <w:color w:val="auto"/>
              </w:rPr>
            </w:pPr>
          </w:p>
        </w:tc>
      </w:tr>
      <w:tr>
        <w:trPr>
          <w:trHeight w:val="256"/>
        </w:trPr>
        <w:tc>
          <w:tcPr>
            <w:tcW w:w="2100" w:type="dxa"/>
            <w:vAlign w:val="bottom"/>
          </w:tcPr>
          <w:p>
            <w:pPr>
              <w:spacing w:after="0"/>
              <w:rPr>
                <w:sz w:val="20"/>
                <w:szCs w:val="20"/>
                <w:color w:val="auto"/>
              </w:rPr>
            </w:pPr>
            <w:r>
              <w:rPr>
                <w:rFonts w:ascii="Times New Roman" w:cs="Times New Roman" w:eastAsia="Times New Roman" w:hAnsi="Times New Roman"/>
                <w:sz w:val="20"/>
                <w:szCs w:val="20"/>
                <w:color w:val="auto"/>
              </w:rPr>
              <w:t>SECTION 6.01.</w:t>
            </w:r>
          </w:p>
        </w:tc>
        <w:tc>
          <w:tcPr>
            <w:tcW w:w="58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INDEBTEDNESS</w:t>
            </w:r>
          </w:p>
        </w:tc>
        <w:tc>
          <w:tcPr>
            <w:tcW w:w="5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99</w:t>
            </w:r>
          </w:p>
        </w:tc>
        <w:tc>
          <w:tcPr>
            <w:tcW w:w="0" w:type="dxa"/>
            <w:vAlign w:val="bottom"/>
          </w:tcPr>
          <w:p>
            <w:pPr>
              <w:spacing w:after="0"/>
              <w:rPr>
                <w:sz w:val="1"/>
                <w:szCs w:val="1"/>
                <w:color w:val="auto"/>
              </w:rPr>
            </w:pPr>
          </w:p>
        </w:tc>
      </w:tr>
      <w:tr>
        <w:trPr>
          <w:trHeight w:val="257"/>
        </w:trPr>
        <w:tc>
          <w:tcPr>
            <w:tcW w:w="2100" w:type="dxa"/>
            <w:vAlign w:val="bottom"/>
          </w:tcPr>
          <w:p>
            <w:pPr>
              <w:spacing w:after="0"/>
              <w:rPr>
                <w:sz w:val="20"/>
                <w:szCs w:val="20"/>
                <w:color w:val="auto"/>
              </w:rPr>
            </w:pPr>
            <w:r>
              <w:rPr>
                <w:rFonts w:ascii="Times New Roman" w:cs="Times New Roman" w:eastAsia="Times New Roman" w:hAnsi="Times New Roman"/>
                <w:sz w:val="20"/>
                <w:szCs w:val="20"/>
                <w:color w:val="auto"/>
              </w:rPr>
              <w:t>SECTION 6.02.</w:t>
            </w:r>
          </w:p>
        </w:tc>
        <w:tc>
          <w:tcPr>
            <w:tcW w:w="58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LIENS</w:t>
            </w:r>
          </w:p>
        </w:tc>
        <w:tc>
          <w:tcPr>
            <w:tcW w:w="540" w:type="dxa"/>
            <w:vAlign w:val="bottom"/>
          </w:tcPr>
          <w:p>
            <w:pPr>
              <w:ind w:left="240"/>
              <w:spacing w:after="0"/>
              <w:rPr>
                <w:sz w:val="20"/>
                <w:szCs w:val="20"/>
                <w:color w:val="auto"/>
              </w:rPr>
            </w:pPr>
            <w:r>
              <w:rPr>
                <w:rFonts w:ascii="Times New Roman" w:cs="Times New Roman" w:eastAsia="Times New Roman" w:hAnsi="Times New Roman"/>
                <w:sz w:val="20"/>
                <w:szCs w:val="20"/>
                <w:color w:val="auto"/>
                <w:w w:val="93"/>
              </w:rPr>
              <w:t>101</w:t>
            </w:r>
          </w:p>
        </w:tc>
        <w:tc>
          <w:tcPr>
            <w:tcW w:w="0" w:type="dxa"/>
            <w:vAlign w:val="bottom"/>
          </w:tcPr>
          <w:p>
            <w:pPr>
              <w:spacing w:after="0"/>
              <w:rPr>
                <w:sz w:val="1"/>
                <w:szCs w:val="1"/>
                <w:color w:val="auto"/>
              </w:rPr>
            </w:pPr>
          </w:p>
        </w:tc>
      </w:tr>
      <w:tr>
        <w:trPr>
          <w:trHeight w:val="256"/>
        </w:trPr>
        <w:tc>
          <w:tcPr>
            <w:tcW w:w="2100" w:type="dxa"/>
            <w:vAlign w:val="bottom"/>
          </w:tcPr>
          <w:p>
            <w:pPr>
              <w:spacing w:after="0"/>
              <w:rPr>
                <w:sz w:val="20"/>
                <w:szCs w:val="20"/>
                <w:color w:val="auto"/>
              </w:rPr>
            </w:pPr>
            <w:r>
              <w:rPr>
                <w:rFonts w:ascii="Times New Roman" w:cs="Times New Roman" w:eastAsia="Times New Roman" w:hAnsi="Times New Roman"/>
                <w:sz w:val="20"/>
                <w:szCs w:val="20"/>
                <w:color w:val="auto"/>
              </w:rPr>
              <w:t>SECTION 6.03.</w:t>
            </w:r>
          </w:p>
        </w:tc>
        <w:tc>
          <w:tcPr>
            <w:tcW w:w="58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FUNDAMENTAL CHANGES AND ASSET SALES</w:t>
            </w:r>
          </w:p>
        </w:tc>
        <w:tc>
          <w:tcPr>
            <w:tcW w:w="540" w:type="dxa"/>
            <w:vAlign w:val="bottom"/>
          </w:tcPr>
          <w:p>
            <w:pPr>
              <w:ind w:left="240"/>
              <w:spacing w:after="0"/>
              <w:rPr>
                <w:sz w:val="20"/>
                <w:szCs w:val="20"/>
                <w:color w:val="auto"/>
              </w:rPr>
            </w:pPr>
            <w:r>
              <w:rPr>
                <w:rFonts w:ascii="Times New Roman" w:cs="Times New Roman" w:eastAsia="Times New Roman" w:hAnsi="Times New Roman"/>
                <w:sz w:val="20"/>
                <w:szCs w:val="20"/>
                <w:color w:val="auto"/>
                <w:w w:val="93"/>
              </w:rPr>
              <w:t>102</w:t>
            </w:r>
          </w:p>
        </w:tc>
        <w:tc>
          <w:tcPr>
            <w:tcW w:w="0" w:type="dxa"/>
            <w:vAlign w:val="bottom"/>
          </w:tcPr>
          <w:p>
            <w:pPr>
              <w:spacing w:after="0"/>
              <w:rPr>
                <w:sz w:val="1"/>
                <w:szCs w:val="1"/>
                <w:color w:val="auto"/>
              </w:rPr>
            </w:pPr>
          </w:p>
        </w:tc>
      </w:tr>
      <w:tr>
        <w:trPr>
          <w:trHeight w:val="257"/>
        </w:trPr>
        <w:tc>
          <w:tcPr>
            <w:tcW w:w="2100" w:type="dxa"/>
            <w:vAlign w:val="bottom"/>
          </w:tcPr>
          <w:p>
            <w:pPr>
              <w:spacing w:after="0"/>
              <w:rPr>
                <w:sz w:val="20"/>
                <w:szCs w:val="20"/>
                <w:color w:val="auto"/>
              </w:rPr>
            </w:pPr>
            <w:r>
              <w:rPr>
                <w:rFonts w:ascii="Times New Roman" w:cs="Times New Roman" w:eastAsia="Times New Roman" w:hAnsi="Times New Roman"/>
                <w:sz w:val="20"/>
                <w:szCs w:val="20"/>
                <w:color w:val="auto"/>
              </w:rPr>
              <w:t>SECTION 6.04.</w:t>
            </w:r>
          </w:p>
        </w:tc>
        <w:tc>
          <w:tcPr>
            <w:tcW w:w="58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SPECULATIVE SWAP AGREEMENTS</w:t>
            </w:r>
          </w:p>
        </w:tc>
        <w:tc>
          <w:tcPr>
            <w:tcW w:w="540" w:type="dxa"/>
            <w:vAlign w:val="bottom"/>
          </w:tcPr>
          <w:p>
            <w:pPr>
              <w:ind w:left="240"/>
              <w:spacing w:after="0"/>
              <w:rPr>
                <w:sz w:val="20"/>
                <w:szCs w:val="20"/>
                <w:color w:val="auto"/>
              </w:rPr>
            </w:pPr>
            <w:r>
              <w:rPr>
                <w:rFonts w:ascii="Times New Roman" w:cs="Times New Roman" w:eastAsia="Times New Roman" w:hAnsi="Times New Roman"/>
                <w:sz w:val="20"/>
                <w:szCs w:val="20"/>
                <w:color w:val="auto"/>
                <w:w w:val="93"/>
              </w:rPr>
              <w:t>103</w:t>
            </w:r>
          </w:p>
        </w:tc>
        <w:tc>
          <w:tcPr>
            <w:tcW w:w="0" w:type="dxa"/>
            <w:vAlign w:val="bottom"/>
          </w:tcPr>
          <w:p>
            <w:pPr>
              <w:spacing w:after="0"/>
              <w:rPr>
                <w:sz w:val="1"/>
                <w:szCs w:val="1"/>
                <w:color w:val="auto"/>
              </w:rPr>
            </w:pPr>
          </w:p>
        </w:tc>
      </w:tr>
      <w:tr>
        <w:trPr>
          <w:trHeight w:val="256"/>
        </w:trPr>
        <w:tc>
          <w:tcPr>
            <w:tcW w:w="2100" w:type="dxa"/>
            <w:vAlign w:val="bottom"/>
          </w:tcPr>
          <w:p>
            <w:pPr>
              <w:spacing w:after="0"/>
              <w:rPr>
                <w:sz w:val="20"/>
                <w:szCs w:val="20"/>
                <w:color w:val="auto"/>
              </w:rPr>
            </w:pPr>
            <w:r>
              <w:rPr>
                <w:rFonts w:ascii="Times New Roman" w:cs="Times New Roman" w:eastAsia="Times New Roman" w:hAnsi="Times New Roman"/>
                <w:sz w:val="20"/>
                <w:szCs w:val="20"/>
                <w:color w:val="auto"/>
              </w:rPr>
              <w:t>SECTION 6.05.</w:t>
            </w:r>
          </w:p>
        </w:tc>
        <w:tc>
          <w:tcPr>
            <w:tcW w:w="58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TRANSACTIONS WITH AFFILIATES</w:t>
            </w:r>
          </w:p>
        </w:tc>
        <w:tc>
          <w:tcPr>
            <w:tcW w:w="540" w:type="dxa"/>
            <w:vAlign w:val="bottom"/>
          </w:tcPr>
          <w:p>
            <w:pPr>
              <w:ind w:left="240"/>
              <w:spacing w:after="0"/>
              <w:rPr>
                <w:sz w:val="20"/>
                <w:szCs w:val="20"/>
                <w:color w:val="auto"/>
              </w:rPr>
            </w:pPr>
            <w:r>
              <w:rPr>
                <w:rFonts w:ascii="Times New Roman" w:cs="Times New Roman" w:eastAsia="Times New Roman" w:hAnsi="Times New Roman"/>
                <w:sz w:val="20"/>
                <w:szCs w:val="20"/>
                <w:color w:val="auto"/>
                <w:w w:val="93"/>
              </w:rPr>
              <w:t>104</w:t>
            </w:r>
          </w:p>
        </w:tc>
        <w:tc>
          <w:tcPr>
            <w:tcW w:w="0" w:type="dxa"/>
            <w:vAlign w:val="bottom"/>
          </w:tcPr>
          <w:p>
            <w:pPr>
              <w:spacing w:after="0"/>
              <w:rPr>
                <w:sz w:val="1"/>
                <w:szCs w:val="1"/>
                <w:color w:val="auto"/>
              </w:rPr>
            </w:pPr>
          </w:p>
        </w:tc>
      </w:tr>
      <w:tr>
        <w:trPr>
          <w:trHeight w:val="257"/>
        </w:trPr>
        <w:tc>
          <w:tcPr>
            <w:tcW w:w="2100" w:type="dxa"/>
            <w:vAlign w:val="bottom"/>
          </w:tcPr>
          <w:p>
            <w:pPr>
              <w:spacing w:after="0"/>
              <w:rPr>
                <w:sz w:val="20"/>
                <w:szCs w:val="20"/>
                <w:color w:val="auto"/>
              </w:rPr>
            </w:pPr>
            <w:r>
              <w:rPr>
                <w:rFonts w:ascii="Times New Roman" w:cs="Times New Roman" w:eastAsia="Times New Roman" w:hAnsi="Times New Roman"/>
                <w:sz w:val="20"/>
                <w:szCs w:val="20"/>
                <w:color w:val="auto"/>
              </w:rPr>
              <w:t>SECTION 6.06.</w:t>
            </w:r>
          </w:p>
        </w:tc>
        <w:tc>
          <w:tcPr>
            <w:tcW w:w="58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RESERVED</w:t>
            </w:r>
          </w:p>
        </w:tc>
        <w:tc>
          <w:tcPr>
            <w:tcW w:w="540" w:type="dxa"/>
            <w:vAlign w:val="bottom"/>
          </w:tcPr>
          <w:p>
            <w:pPr>
              <w:ind w:left="240"/>
              <w:spacing w:after="0"/>
              <w:rPr>
                <w:sz w:val="20"/>
                <w:szCs w:val="20"/>
                <w:color w:val="auto"/>
              </w:rPr>
            </w:pPr>
            <w:r>
              <w:rPr>
                <w:rFonts w:ascii="Times New Roman" w:cs="Times New Roman" w:eastAsia="Times New Roman" w:hAnsi="Times New Roman"/>
                <w:sz w:val="20"/>
                <w:szCs w:val="20"/>
                <w:color w:val="auto"/>
                <w:w w:val="93"/>
              </w:rPr>
              <w:t>104</w:t>
            </w:r>
          </w:p>
        </w:tc>
        <w:tc>
          <w:tcPr>
            <w:tcW w:w="0" w:type="dxa"/>
            <w:vAlign w:val="bottom"/>
          </w:tcPr>
          <w:p>
            <w:pPr>
              <w:spacing w:after="0"/>
              <w:rPr>
                <w:sz w:val="1"/>
                <w:szCs w:val="1"/>
                <w:color w:val="auto"/>
              </w:rPr>
            </w:pPr>
          </w:p>
        </w:tc>
      </w:tr>
      <w:tr>
        <w:trPr>
          <w:trHeight w:val="256"/>
        </w:trPr>
        <w:tc>
          <w:tcPr>
            <w:tcW w:w="2100" w:type="dxa"/>
            <w:vAlign w:val="bottom"/>
          </w:tcPr>
          <w:p>
            <w:pPr>
              <w:spacing w:after="0"/>
              <w:rPr>
                <w:sz w:val="20"/>
                <w:szCs w:val="20"/>
                <w:color w:val="auto"/>
              </w:rPr>
            </w:pPr>
            <w:r>
              <w:rPr>
                <w:rFonts w:ascii="Times New Roman" w:cs="Times New Roman" w:eastAsia="Times New Roman" w:hAnsi="Times New Roman"/>
                <w:sz w:val="20"/>
                <w:szCs w:val="20"/>
                <w:color w:val="auto"/>
              </w:rPr>
              <w:t>SECTION 6.07.</w:t>
            </w:r>
          </w:p>
        </w:tc>
        <w:tc>
          <w:tcPr>
            <w:tcW w:w="58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FINANCIAL COVENANTS</w:t>
            </w:r>
          </w:p>
        </w:tc>
        <w:tc>
          <w:tcPr>
            <w:tcW w:w="540" w:type="dxa"/>
            <w:vAlign w:val="bottom"/>
          </w:tcPr>
          <w:p>
            <w:pPr>
              <w:ind w:left="240"/>
              <w:spacing w:after="0"/>
              <w:rPr>
                <w:sz w:val="20"/>
                <w:szCs w:val="20"/>
                <w:color w:val="auto"/>
              </w:rPr>
            </w:pPr>
            <w:r>
              <w:rPr>
                <w:rFonts w:ascii="Times New Roman" w:cs="Times New Roman" w:eastAsia="Times New Roman" w:hAnsi="Times New Roman"/>
                <w:sz w:val="20"/>
                <w:szCs w:val="20"/>
                <w:color w:val="auto"/>
                <w:w w:val="93"/>
              </w:rPr>
              <w:t>104</w:t>
            </w:r>
          </w:p>
        </w:tc>
        <w:tc>
          <w:tcPr>
            <w:tcW w:w="0" w:type="dxa"/>
            <w:vAlign w:val="bottom"/>
          </w:tcPr>
          <w:p>
            <w:pPr>
              <w:spacing w:after="0"/>
              <w:rPr>
                <w:sz w:val="1"/>
                <w:szCs w:val="1"/>
                <w:color w:val="auto"/>
              </w:rPr>
            </w:pPr>
          </w:p>
        </w:tc>
      </w:tr>
      <w:tr>
        <w:trPr>
          <w:trHeight w:val="258"/>
        </w:trPr>
        <w:tc>
          <w:tcPr>
            <w:tcW w:w="2100" w:type="dxa"/>
            <w:vAlign w:val="bottom"/>
          </w:tcPr>
          <w:p>
            <w:pPr>
              <w:spacing w:after="0"/>
              <w:rPr>
                <w:sz w:val="20"/>
                <w:szCs w:val="20"/>
                <w:color w:val="auto"/>
              </w:rPr>
            </w:pPr>
            <w:r>
              <w:rPr>
                <w:rFonts w:ascii="Times New Roman" w:cs="Times New Roman" w:eastAsia="Times New Roman" w:hAnsi="Times New Roman"/>
                <w:sz w:val="20"/>
                <w:szCs w:val="20"/>
                <w:color w:val="auto"/>
              </w:rPr>
              <w:t>SECTION 6.08.</w:t>
            </w:r>
          </w:p>
        </w:tc>
        <w:tc>
          <w:tcPr>
            <w:tcW w:w="58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ANTI-CORRUPTION LAWS AND SANCTIONS</w:t>
            </w:r>
          </w:p>
        </w:tc>
        <w:tc>
          <w:tcPr>
            <w:tcW w:w="540" w:type="dxa"/>
            <w:vAlign w:val="bottom"/>
          </w:tcPr>
          <w:p>
            <w:pPr>
              <w:ind w:left="240"/>
              <w:spacing w:after="0"/>
              <w:rPr>
                <w:sz w:val="20"/>
                <w:szCs w:val="20"/>
                <w:color w:val="auto"/>
              </w:rPr>
            </w:pPr>
            <w:r>
              <w:rPr>
                <w:rFonts w:ascii="Times New Roman" w:cs="Times New Roman" w:eastAsia="Times New Roman" w:hAnsi="Times New Roman"/>
                <w:sz w:val="20"/>
                <w:szCs w:val="20"/>
                <w:color w:val="auto"/>
                <w:w w:val="93"/>
              </w:rPr>
              <w:t>104</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4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20"/>
          </w:cols>
          <w:pgMar w:left="340" w:top="118" w:right="339" w:bottom="1440" w:gutter="0" w:footer="0" w:header="0"/>
          <w:type w:val="continuous"/>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20"/>
          <w:szCs w:val="20"/>
          <w:color w:val="auto"/>
        </w:rPr>
        <w:t>Table Of Contents</w:t>
      </w:r>
    </w:p>
    <w:p>
      <w:pPr>
        <w:spacing w:after="0" w:line="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(continued)</w:t>
      </w:r>
    </w:p>
    <w:p>
      <w:pPr>
        <w:spacing w:after="0" w:line="20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740" w:type="dxa"/>
            <w:vAlign w:val="bottom"/>
          </w:tcPr>
          <w:p>
            <w:pPr>
              <w:spacing w:after="0"/>
              <w:rPr>
                <w:sz w:val="20"/>
                <w:szCs w:val="20"/>
                <w:color w:val="auto"/>
              </w:rPr>
            </w:pPr>
            <w:r>
              <w:rPr>
                <w:rFonts w:ascii="Times New Roman" w:cs="Times New Roman" w:eastAsia="Times New Roman" w:hAnsi="Times New Roman"/>
                <w:sz w:val="20"/>
                <w:szCs w:val="20"/>
                <w:color w:val="auto"/>
              </w:rPr>
              <w:t>SECTION 6.09.</w:t>
            </w:r>
          </w:p>
        </w:tc>
        <w:tc>
          <w:tcPr>
            <w:tcW w:w="638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UK PENSIONS</w:t>
            </w:r>
          </w:p>
        </w:tc>
        <w:tc>
          <w:tcPr>
            <w:tcW w:w="3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105</w:t>
            </w:r>
          </w:p>
        </w:tc>
        <w:tc>
          <w:tcPr>
            <w:tcW w:w="0" w:type="dxa"/>
            <w:vAlign w:val="bottom"/>
          </w:tcPr>
          <w:p>
            <w:pPr>
              <w:spacing w:after="0"/>
              <w:rPr>
                <w:sz w:val="1"/>
                <w:szCs w:val="1"/>
                <w:color w:val="auto"/>
              </w:rPr>
            </w:pPr>
          </w:p>
        </w:tc>
      </w:tr>
      <w:tr>
        <w:trPr>
          <w:trHeight w:val="257"/>
        </w:trPr>
        <w:tc>
          <w:tcPr>
            <w:tcW w:w="1740" w:type="dxa"/>
            <w:vAlign w:val="bottom"/>
          </w:tcPr>
          <w:p>
            <w:pPr>
              <w:spacing w:after="0"/>
              <w:rPr>
                <w:sz w:val="20"/>
                <w:szCs w:val="20"/>
                <w:color w:val="auto"/>
              </w:rPr>
            </w:pPr>
            <w:r>
              <w:rPr>
                <w:rFonts w:ascii="Times New Roman" w:cs="Times New Roman" w:eastAsia="Times New Roman" w:hAnsi="Times New Roman"/>
                <w:sz w:val="20"/>
                <w:szCs w:val="20"/>
                <w:color w:val="auto"/>
              </w:rPr>
              <w:t>SECTION 6.10.</w:t>
            </w:r>
          </w:p>
        </w:tc>
        <w:tc>
          <w:tcPr>
            <w:tcW w:w="638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OUTBOUND INVESTMENT RULES</w:t>
            </w:r>
          </w:p>
        </w:tc>
        <w:tc>
          <w:tcPr>
            <w:tcW w:w="3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105</w:t>
            </w:r>
          </w:p>
        </w:tc>
        <w:tc>
          <w:tcPr>
            <w:tcW w:w="0" w:type="dxa"/>
            <w:vAlign w:val="bottom"/>
          </w:tcPr>
          <w:p>
            <w:pPr>
              <w:spacing w:after="0"/>
              <w:rPr>
                <w:sz w:val="1"/>
                <w:szCs w:val="1"/>
                <w:color w:val="auto"/>
              </w:rPr>
            </w:pPr>
          </w:p>
        </w:tc>
      </w:tr>
      <w:tr>
        <w:trPr>
          <w:trHeight w:val="256"/>
        </w:trPr>
        <w:tc>
          <w:tcPr>
            <w:tcW w:w="81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VII Events of Default</w:t>
            </w:r>
          </w:p>
        </w:tc>
        <w:tc>
          <w:tcPr>
            <w:tcW w:w="3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105</w:t>
            </w:r>
          </w:p>
        </w:tc>
        <w:tc>
          <w:tcPr>
            <w:tcW w:w="0" w:type="dxa"/>
            <w:vAlign w:val="bottom"/>
          </w:tcPr>
          <w:p>
            <w:pPr>
              <w:spacing w:after="0"/>
              <w:rPr>
                <w:sz w:val="1"/>
                <w:szCs w:val="1"/>
                <w:color w:val="auto"/>
              </w:rPr>
            </w:pPr>
          </w:p>
        </w:tc>
      </w:tr>
      <w:tr>
        <w:trPr>
          <w:trHeight w:val="257"/>
        </w:trPr>
        <w:tc>
          <w:tcPr>
            <w:tcW w:w="81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VIII The Administrative Agent</w:t>
            </w:r>
          </w:p>
        </w:tc>
        <w:tc>
          <w:tcPr>
            <w:tcW w:w="3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108</w:t>
            </w:r>
          </w:p>
        </w:tc>
        <w:tc>
          <w:tcPr>
            <w:tcW w:w="0" w:type="dxa"/>
            <w:vAlign w:val="bottom"/>
          </w:tcPr>
          <w:p>
            <w:pPr>
              <w:spacing w:after="0"/>
              <w:rPr>
                <w:sz w:val="1"/>
                <w:szCs w:val="1"/>
                <w:color w:val="auto"/>
              </w:rPr>
            </w:pPr>
          </w:p>
        </w:tc>
      </w:tr>
      <w:tr>
        <w:trPr>
          <w:trHeight w:val="257"/>
        </w:trPr>
        <w:tc>
          <w:tcPr>
            <w:tcW w:w="1740" w:type="dxa"/>
            <w:vAlign w:val="bottom"/>
          </w:tcPr>
          <w:p>
            <w:pPr>
              <w:spacing w:after="0"/>
              <w:rPr>
                <w:sz w:val="20"/>
                <w:szCs w:val="20"/>
                <w:color w:val="auto"/>
              </w:rPr>
            </w:pPr>
            <w:r>
              <w:rPr>
                <w:rFonts w:ascii="Times New Roman" w:cs="Times New Roman" w:eastAsia="Times New Roman" w:hAnsi="Times New Roman"/>
                <w:sz w:val="20"/>
                <w:szCs w:val="20"/>
                <w:color w:val="auto"/>
              </w:rPr>
              <w:t>SECTION 8.01.</w:t>
            </w:r>
          </w:p>
        </w:tc>
        <w:tc>
          <w:tcPr>
            <w:tcW w:w="638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AUTHORIZATION AND ACTION</w:t>
            </w:r>
          </w:p>
        </w:tc>
        <w:tc>
          <w:tcPr>
            <w:tcW w:w="3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108</w:t>
            </w:r>
          </w:p>
        </w:tc>
        <w:tc>
          <w:tcPr>
            <w:tcW w:w="0" w:type="dxa"/>
            <w:vAlign w:val="bottom"/>
          </w:tcPr>
          <w:p>
            <w:pPr>
              <w:spacing w:after="0"/>
              <w:rPr>
                <w:sz w:val="1"/>
                <w:szCs w:val="1"/>
                <w:color w:val="auto"/>
              </w:rPr>
            </w:pPr>
          </w:p>
        </w:tc>
      </w:tr>
      <w:tr>
        <w:trPr>
          <w:trHeight w:val="257"/>
        </w:trPr>
        <w:tc>
          <w:tcPr>
            <w:tcW w:w="1740" w:type="dxa"/>
            <w:vAlign w:val="bottom"/>
          </w:tcPr>
          <w:p>
            <w:pPr>
              <w:spacing w:after="0"/>
              <w:rPr>
                <w:sz w:val="20"/>
                <w:szCs w:val="20"/>
                <w:color w:val="auto"/>
              </w:rPr>
            </w:pPr>
            <w:r>
              <w:rPr>
                <w:rFonts w:ascii="Times New Roman" w:cs="Times New Roman" w:eastAsia="Times New Roman" w:hAnsi="Times New Roman"/>
                <w:sz w:val="20"/>
                <w:szCs w:val="20"/>
                <w:color w:val="auto"/>
              </w:rPr>
              <w:t>SECTION 8.02.</w:t>
            </w:r>
          </w:p>
        </w:tc>
        <w:tc>
          <w:tcPr>
            <w:tcW w:w="6700" w:type="dxa"/>
            <w:vAlign w:val="bottom"/>
            <w:gridSpan w:val="2"/>
          </w:tcPr>
          <w:p>
            <w:pPr>
              <w:ind w:left="440"/>
              <w:spacing w:after="0"/>
              <w:rPr>
                <w:sz w:val="20"/>
                <w:szCs w:val="20"/>
                <w:color w:val="auto"/>
              </w:rPr>
            </w:pPr>
            <w:r>
              <w:rPr>
                <w:rFonts w:ascii="Times New Roman" w:cs="Times New Roman" w:eastAsia="Times New Roman" w:hAnsi="Times New Roman"/>
                <w:sz w:val="20"/>
                <w:szCs w:val="20"/>
                <w:color w:val="auto"/>
                <w:w w:val="97"/>
              </w:rPr>
              <w:t>ADMINISTRATIVE AGENT’S RELIANCE, INDEMNIFICATION, ETC 111</w:t>
            </w:r>
          </w:p>
        </w:tc>
        <w:tc>
          <w:tcPr>
            <w:tcW w:w="0" w:type="dxa"/>
            <w:vAlign w:val="bottom"/>
          </w:tcPr>
          <w:p>
            <w:pPr>
              <w:spacing w:after="0"/>
              <w:rPr>
                <w:sz w:val="1"/>
                <w:szCs w:val="1"/>
                <w:color w:val="auto"/>
              </w:rPr>
            </w:pPr>
          </w:p>
        </w:tc>
      </w:tr>
      <w:tr>
        <w:trPr>
          <w:trHeight w:val="256"/>
        </w:trPr>
        <w:tc>
          <w:tcPr>
            <w:tcW w:w="1740" w:type="dxa"/>
            <w:vAlign w:val="bottom"/>
          </w:tcPr>
          <w:p>
            <w:pPr>
              <w:spacing w:after="0"/>
              <w:rPr>
                <w:sz w:val="20"/>
                <w:szCs w:val="20"/>
                <w:color w:val="auto"/>
              </w:rPr>
            </w:pPr>
            <w:r>
              <w:rPr>
                <w:rFonts w:ascii="Times New Roman" w:cs="Times New Roman" w:eastAsia="Times New Roman" w:hAnsi="Times New Roman"/>
                <w:sz w:val="20"/>
                <w:szCs w:val="20"/>
                <w:color w:val="auto"/>
              </w:rPr>
              <w:t>SECTION 8.03.</w:t>
            </w:r>
          </w:p>
        </w:tc>
        <w:tc>
          <w:tcPr>
            <w:tcW w:w="638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POSTING OF COMMUNICATIONS</w:t>
            </w:r>
          </w:p>
        </w:tc>
        <w:tc>
          <w:tcPr>
            <w:tcW w:w="3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112</w:t>
            </w:r>
          </w:p>
        </w:tc>
        <w:tc>
          <w:tcPr>
            <w:tcW w:w="0" w:type="dxa"/>
            <w:vAlign w:val="bottom"/>
          </w:tcPr>
          <w:p>
            <w:pPr>
              <w:spacing w:after="0"/>
              <w:rPr>
                <w:sz w:val="1"/>
                <w:szCs w:val="1"/>
                <w:color w:val="auto"/>
              </w:rPr>
            </w:pPr>
          </w:p>
        </w:tc>
      </w:tr>
      <w:tr>
        <w:trPr>
          <w:trHeight w:val="257"/>
        </w:trPr>
        <w:tc>
          <w:tcPr>
            <w:tcW w:w="1740" w:type="dxa"/>
            <w:vAlign w:val="bottom"/>
          </w:tcPr>
          <w:p>
            <w:pPr>
              <w:spacing w:after="0"/>
              <w:rPr>
                <w:sz w:val="20"/>
                <w:szCs w:val="20"/>
                <w:color w:val="auto"/>
              </w:rPr>
            </w:pPr>
            <w:r>
              <w:rPr>
                <w:rFonts w:ascii="Times New Roman" w:cs="Times New Roman" w:eastAsia="Times New Roman" w:hAnsi="Times New Roman"/>
                <w:sz w:val="20"/>
                <w:szCs w:val="20"/>
                <w:color w:val="auto"/>
              </w:rPr>
              <w:t>SECTION 8.04.</w:t>
            </w:r>
          </w:p>
        </w:tc>
        <w:tc>
          <w:tcPr>
            <w:tcW w:w="638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THE ADMINISTRATIVE AGENT INDIVIDUALLY</w:t>
            </w:r>
          </w:p>
        </w:tc>
        <w:tc>
          <w:tcPr>
            <w:tcW w:w="3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113</w:t>
            </w:r>
          </w:p>
        </w:tc>
        <w:tc>
          <w:tcPr>
            <w:tcW w:w="0" w:type="dxa"/>
            <w:vAlign w:val="bottom"/>
          </w:tcPr>
          <w:p>
            <w:pPr>
              <w:spacing w:after="0"/>
              <w:rPr>
                <w:sz w:val="1"/>
                <w:szCs w:val="1"/>
                <w:color w:val="auto"/>
              </w:rPr>
            </w:pPr>
          </w:p>
        </w:tc>
      </w:tr>
      <w:tr>
        <w:trPr>
          <w:trHeight w:val="257"/>
        </w:trPr>
        <w:tc>
          <w:tcPr>
            <w:tcW w:w="1740" w:type="dxa"/>
            <w:vAlign w:val="bottom"/>
          </w:tcPr>
          <w:p>
            <w:pPr>
              <w:spacing w:after="0"/>
              <w:rPr>
                <w:sz w:val="20"/>
                <w:szCs w:val="20"/>
                <w:color w:val="auto"/>
              </w:rPr>
            </w:pPr>
            <w:r>
              <w:rPr>
                <w:rFonts w:ascii="Times New Roman" w:cs="Times New Roman" w:eastAsia="Times New Roman" w:hAnsi="Times New Roman"/>
                <w:sz w:val="20"/>
                <w:szCs w:val="20"/>
                <w:color w:val="auto"/>
              </w:rPr>
              <w:t>SECTION 8.05.</w:t>
            </w:r>
          </w:p>
        </w:tc>
        <w:tc>
          <w:tcPr>
            <w:tcW w:w="638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SUCCESSOR ADMINISTRATIVE AGENT</w:t>
            </w:r>
          </w:p>
        </w:tc>
        <w:tc>
          <w:tcPr>
            <w:tcW w:w="3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113</w:t>
            </w:r>
          </w:p>
        </w:tc>
        <w:tc>
          <w:tcPr>
            <w:tcW w:w="0" w:type="dxa"/>
            <w:vAlign w:val="bottom"/>
          </w:tcPr>
          <w:p>
            <w:pPr>
              <w:spacing w:after="0"/>
              <w:rPr>
                <w:sz w:val="1"/>
                <w:szCs w:val="1"/>
                <w:color w:val="auto"/>
              </w:rPr>
            </w:pPr>
          </w:p>
        </w:tc>
      </w:tr>
      <w:tr>
        <w:trPr>
          <w:trHeight w:val="257"/>
        </w:trPr>
        <w:tc>
          <w:tcPr>
            <w:tcW w:w="1740" w:type="dxa"/>
            <w:vAlign w:val="bottom"/>
          </w:tcPr>
          <w:p>
            <w:pPr>
              <w:spacing w:after="0"/>
              <w:rPr>
                <w:sz w:val="20"/>
                <w:szCs w:val="20"/>
                <w:color w:val="auto"/>
              </w:rPr>
            </w:pPr>
            <w:r>
              <w:rPr>
                <w:rFonts w:ascii="Times New Roman" w:cs="Times New Roman" w:eastAsia="Times New Roman" w:hAnsi="Times New Roman"/>
                <w:sz w:val="20"/>
                <w:szCs w:val="20"/>
                <w:color w:val="auto"/>
              </w:rPr>
              <w:t>SECTION 8.06.</w:t>
            </w:r>
          </w:p>
        </w:tc>
        <w:tc>
          <w:tcPr>
            <w:tcW w:w="638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ACKNOWLEDGEMENTS OF LENDERS AND ISSUING BANK</w:t>
            </w:r>
          </w:p>
        </w:tc>
        <w:tc>
          <w:tcPr>
            <w:tcW w:w="3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114</w:t>
            </w:r>
          </w:p>
        </w:tc>
        <w:tc>
          <w:tcPr>
            <w:tcW w:w="0" w:type="dxa"/>
            <w:vAlign w:val="bottom"/>
          </w:tcPr>
          <w:p>
            <w:pPr>
              <w:spacing w:after="0"/>
              <w:rPr>
                <w:sz w:val="1"/>
                <w:szCs w:val="1"/>
                <w:color w:val="auto"/>
              </w:rPr>
            </w:pPr>
          </w:p>
        </w:tc>
      </w:tr>
      <w:tr>
        <w:trPr>
          <w:trHeight w:val="257"/>
        </w:trPr>
        <w:tc>
          <w:tcPr>
            <w:tcW w:w="1740" w:type="dxa"/>
            <w:vAlign w:val="bottom"/>
          </w:tcPr>
          <w:p>
            <w:pPr>
              <w:spacing w:after="0"/>
              <w:rPr>
                <w:sz w:val="20"/>
                <w:szCs w:val="20"/>
                <w:color w:val="auto"/>
              </w:rPr>
            </w:pPr>
            <w:r>
              <w:rPr>
                <w:rFonts w:ascii="Times New Roman" w:cs="Times New Roman" w:eastAsia="Times New Roman" w:hAnsi="Times New Roman"/>
                <w:sz w:val="20"/>
                <w:szCs w:val="20"/>
                <w:color w:val="auto"/>
              </w:rPr>
              <w:t>SECTION 8.07.</w:t>
            </w:r>
          </w:p>
        </w:tc>
        <w:tc>
          <w:tcPr>
            <w:tcW w:w="638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CERTAIN ERISA MATTERS</w:t>
            </w:r>
          </w:p>
        </w:tc>
        <w:tc>
          <w:tcPr>
            <w:tcW w:w="3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116</w:t>
            </w:r>
          </w:p>
        </w:tc>
        <w:tc>
          <w:tcPr>
            <w:tcW w:w="0" w:type="dxa"/>
            <w:vAlign w:val="bottom"/>
          </w:tcPr>
          <w:p>
            <w:pPr>
              <w:spacing w:after="0"/>
              <w:rPr>
                <w:sz w:val="1"/>
                <w:szCs w:val="1"/>
                <w:color w:val="auto"/>
              </w:rPr>
            </w:pPr>
          </w:p>
        </w:tc>
      </w:tr>
      <w:tr>
        <w:trPr>
          <w:trHeight w:val="256"/>
        </w:trPr>
        <w:tc>
          <w:tcPr>
            <w:tcW w:w="1740" w:type="dxa"/>
            <w:vAlign w:val="bottom"/>
          </w:tcPr>
          <w:p>
            <w:pPr>
              <w:spacing w:after="0"/>
              <w:rPr>
                <w:sz w:val="20"/>
                <w:szCs w:val="20"/>
                <w:color w:val="auto"/>
              </w:rPr>
            </w:pPr>
            <w:r>
              <w:rPr>
                <w:rFonts w:ascii="Times New Roman" w:cs="Times New Roman" w:eastAsia="Times New Roman" w:hAnsi="Times New Roman"/>
                <w:sz w:val="20"/>
                <w:szCs w:val="20"/>
                <w:color w:val="auto"/>
              </w:rPr>
              <w:t>SECTION 8.08.</w:t>
            </w:r>
          </w:p>
        </w:tc>
        <w:tc>
          <w:tcPr>
            <w:tcW w:w="638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BORROWER COMMUNICATIONS</w:t>
            </w:r>
          </w:p>
        </w:tc>
        <w:tc>
          <w:tcPr>
            <w:tcW w:w="3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118</w:t>
            </w:r>
          </w:p>
        </w:tc>
        <w:tc>
          <w:tcPr>
            <w:tcW w:w="0" w:type="dxa"/>
            <w:vAlign w:val="bottom"/>
          </w:tcPr>
          <w:p>
            <w:pPr>
              <w:spacing w:after="0"/>
              <w:rPr>
                <w:sz w:val="1"/>
                <w:szCs w:val="1"/>
                <w:color w:val="auto"/>
              </w:rPr>
            </w:pPr>
          </w:p>
        </w:tc>
      </w:tr>
      <w:tr>
        <w:trPr>
          <w:trHeight w:val="257"/>
        </w:trPr>
        <w:tc>
          <w:tcPr>
            <w:tcW w:w="81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IX Miscellaneous</w:t>
            </w:r>
          </w:p>
        </w:tc>
        <w:tc>
          <w:tcPr>
            <w:tcW w:w="3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119</w:t>
            </w:r>
          </w:p>
        </w:tc>
        <w:tc>
          <w:tcPr>
            <w:tcW w:w="0" w:type="dxa"/>
            <w:vAlign w:val="bottom"/>
          </w:tcPr>
          <w:p>
            <w:pPr>
              <w:spacing w:after="0"/>
              <w:rPr>
                <w:sz w:val="1"/>
                <w:szCs w:val="1"/>
                <w:color w:val="auto"/>
              </w:rPr>
            </w:pPr>
          </w:p>
        </w:tc>
      </w:tr>
      <w:tr>
        <w:trPr>
          <w:trHeight w:val="257"/>
        </w:trPr>
        <w:tc>
          <w:tcPr>
            <w:tcW w:w="1740" w:type="dxa"/>
            <w:vAlign w:val="bottom"/>
          </w:tcPr>
          <w:p>
            <w:pPr>
              <w:spacing w:after="0"/>
              <w:rPr>
                <w:sz w:val="20"/>
                <w:szCs w:val="20"/>
                <w:color w:val="auto"/>
              </w:rPr>
            </w:pPr>
            <w:r>
              <w:rPr>
                <w:rFonts w:ascii="Times New Roman" w:cs="Times New Roman" w:eastAsia="Times New Roman" w:hAnsi="Times New Roman"/>
                <w:sz w:val="20"/>
                <w:szCs w:val="20"/>
                <w:color w:val="auto"/>
              </w:rPr>
              <w:t>SECTION 9.01.</w:t>
            </w:r>
          </w:p>
        </w:tc>
        <w:tc>
          <w:tcPr>
            <w:tcW w:w="638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NOTICES</w:t>
            </w:r>
          </w:p>
        </w:tc>
        <w:tc>
          <w:tcPr>
            <w:tcW w:w="3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119</w:t>
            </w:r>
          </w:p>
        </w:tc>
        <w:tc>
          <w:tcPr>
            <w:tcW w:w="0" w:type="dxa"/>
            <w:vAlign w:val="bottom"/>
          </w:tcPr>
          <w:p>
            <w:pPr>
              <w:spacing w:after="0"/>
              <w:rPr>
                <w:sz w:val="1"/>
                <w:szCs w:val="1"/>
                <w:color w:val="auto"/>
              </w:rPr>
            </w:pPr>
          </w:p>
        </w:tc>
      </w:tr>
      <w:tr>
        <w:trPr>
          <w:trHeight w:val="257"/>
        </w:trPr>
        <w:tc>
          <w:tcPr>
            <w:tcW w:w="1740" w:type="dxa"/>
            <w:vAlign w:val="bottom"/>
          </w:tcPr>
          <w:p>
            <w:pPr>
              <w:spacing w:after="0"/>
              <w:rPr>
                <w:sz w:val="20"/>
                <w:szCs w:val="20"/>
                <w:color w:val="auto"/>
              </w:rPr>
            </w:pPr>
            <w:r>
              <w:rPr>
                <w:rFonts w:ascii="Times New Roman" w:cs="Times New Roman" w:eastAsia="Times New Roman" w:hAnsi="Times New Roman"/>
                <w:sz w:val="20"/>
                <w:szCs w:val="20"/>
                <w:color w:val="auto"/>
              </w:rPr>
              <w:t>SECTION 9.02.</w:t>
            </w:r>
          </w:p>
        </w:tc>
        <w:tc>
          <w:tcPr>
            <w:tcW w:w="638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WAIVERS; AMENDMENTS</w:t>
            </w:r>
          </w:p>
        </w:tc>
        <w:tc>
          <w:tcPr>
            <w:tcW w:w="3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120</w:t>
            </w:r>
          </w:p>
        </w:tc>
        <w:tc>
          <w:tcPr>
            <w:tcW w:w="0" w:type="dxa"/>
            <w:vAlign w:val="bottom"/>
          </w:tcPr>
          <w:p>
            <w:pPr>
              <w:spacing w:after="0"/>
              <w:rPr>
                <w:sz w:val="1"/>
                <w:szCs w:val="1"/>
                <w:color w:val="auto"/>
              </w:rPr>
            </w:pPr>
          </w:p>
        </w:tc>
      </w:tr>
      <w:tr>
        <w:trPr>
          <w:trHeight w:val="256"/>
        </w:trPr>
        <w:tc>
          <w:tcPr>
            <w:tcW w:w="1740" w:type="dxa"/>
            <w:vAlign w:val="bottom"/>
          </w:tcPr>
          <w:p>
            <w:pPr>
              <w:spacing w:after="0"/>
              <w:rPr>
                <w:sz w:val="20"/>
                <w:szCs w:val="20"/>
                <w:color w:val="auto"/>
              </w:rPr>
            </w:pPr>
            <w:r>
              <w:rPr>
                <w:rFonts w:ascii="Times New Roman" w:cs="Times New Roman" w:eastAsia="Times New Roman" w:hAnsi="Times New Roman"/>
                <w:sz w:val="20"/>
                <w:szCs w:val="20"/>
                <w:color w:val="auto"/>
              </w:rPr>
              <w:t>SECTION 9.03.</w:t>
            </w:r>
          </w:p>
        </w:tc>
        <w:tc>
          <w:tcPr>
            <w:tcW w:w="638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EXPENSES; INDEMNITY; DAMAGE WAIVER</w:t>
            </w:r>
          </w:p>
        </w:tc>
        <w:tc>
          <w:tcPr>
            <w:tcW w:w="3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122</w:t>
            </w:r>
          </w:p>
        </w:tc>
        <w:tc>
          <w:tcPr>
            <w:tcW w:w="0" w:type="dxa"/>
            <w:vAlign w:val="bottom"/>
          </w:tcPr>
          <w:p>
            <w:pPr>
              <w:spacing w:after="0"/>
              <w:rPr>
                <w:sz w:val="1"/>
                <w:szCs w:val="1"/>
                <w:color w:val="auto"/>
              </w:rPr>
            </w:pPr>
          </w:p>
        </w:tc>
      </w:tr>
      <w:tr>
        <w:trPr>
          <w:trHeight w:val="257"/>
        </w:trPr>
        <w:tc>
          <w:tcPr>
            <w:tcW w:w="1740" w:type="dxa"/>
            <w:vAlign w:val="bottom"/>
          </w:tcPr>
          <w:p>
            <w:pPr>
              <w:spacing w:after="0"/>
              <w:rPr>
                <w:sz w:val="20"/>
                <w:szCs w:val="20"/>
                <w:color w:val="auto"/>
              </w:rPr>
            </w:pPr>
            <w:r>
              <w:rPr>
                <w:rFonts w:ascii="Times New Roman" w:cs="Times New Roman" w:eastAsia="Times New Roman" w:hAnsi="Times New Roman"/>
                <w:sz w:val="20"/>
                <w:szCs w:val="20"/>
                <w:color w:val="auto"/>
              </w:rPr>
              <w:t>SECTION 9.04.</w:t>
            </w:r>
          </w:p>
        </w:tc>
        <w:tc>
          <w:tcPr>
            <w:tcW w:w="638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SUCCESSORS AND ASSIGNS</w:t>
            </w:r>
          </w:p>
        </w:tc>
        <w:tc>
          <w:tcPr>
            <w:tcW w:w="3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123</w:t>
            </w:r>
          </w:p>
        </w:tc>
        <w:tc>
          <w:tcPr>
            <w:tcW w:w="0" w:type="dxa"/>
            <w:vAlign w:val="bottom"/>
          </w:tcPr>
          <w:p>
            <w:pPr>
              <w:spacing w:after="0"/>
              <w:rPr>
                <w:sz w:val="1"/>
                <w:szCs w:val="1"/>
                <w:color w:val="auto"/>
              </w:rPr>
            </w:pPr>
          </w:p>
        </w:tc>
      </w:tr>
      <w:tr>
        <w:trPr>
          <w:trHeight w:val="256"/>
        </w:trPr>
        <w:tc>
          <w:tcPr>
            <w:tcW w:w="1740" w:type="dxa"/>
            <w:vAlign w:val="bottom"/>
          </w:tcPr>
          <w:p>
            <w:pPr>
              <w:spacing w:after="0"/>
              <w:rPr>
                <w:sz w:val="20"/>
                <w:szCs w:val="20"/>
                <w:color w:val="auto"/>
              </w:rPr>
            </w:pPr>
            <w:r>
              <w:rPr>
                <w:rFonts w:ascii="Times New Roman" w:cs="Times New Roman" w:eastAsia="Times New Roman" w:hAnsi="Times New Roman"/>
                <w:sz w:val="20"/>
                <w:szCs w:val="20"/>
                <w:color w:val="auto"/>
              </w:rPr>
              <w:t>SECTION 9.05.</w:t>
            </w:r>
          </w:p>
        </w:tc>
        <w:tc>
          <w:tcPr>
            <w:tcW w:w="638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SURVIVAL</w:t>
            </w:r>
          </w:p>
        </w:tc>
        <w:tc>
          <w:tcPr>
            <w:tcW w:w="3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127</w:t>
            </w:r>
          </w:p>
        </w:tc>
        <w:tc>
          <w:tcPr>
            <w:tcW w:w="0" w:type="dxa"/>
            <w:vAlign w:val="bottom"/>
          </w:tcPr>
          <w:p>
            <w:pPr>
              <w:spacing w:after="0"/>
              <w:rPr>
                <w:sz w:val="1"/>
                <w:szCs w:val="1"/>
                <w:color w:val="auto"/>
              </w:rPr>
            </w:pPr>
          </w:p>
        </w:tc>
      </w:tr>
      <w:tr>
        <w:trPr>
          <w:trHeight w:val="198"/>
        </w:trPr>
        <w:tc>
          <w:tcPr>
            <w:tcW w:w="17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SECTION 9.06.</w:t>
            </w:r>
          </w:p>
        </w:tc>
        <w:tc>
          <w:tcPr>
            <w:tcW w:w="6380" w:type="dxa"/>
            <w:vAlign w:val="bottom"/>
          </w:tcPr>
          <w:p>
            <w:pPr>
              <w:ind w:left="440"/>
              <w:spacing w:after="0" w:line="198" w:lineRule="exact"/>
              <w:rPr>
                <w:sz w:val="20"/>
                <w:szCs w:val="20"/>
                <w:color w:val="auto"/>
              </w:rPr>
            </w:pPr>
            <w:r>
              <w:rPr>
                <w:rFonts w:ascii="Times New Roman" w:cs="Times New Roman" w:eastAsia="Times New Roman" w:hAnsi="Times New Roman"/>
                <w:sz w:val="20"/>
                <w:szCs w:val="20"/>
                <w:color w:val="auto"/>
                <w:w w:val="98"/>
              </w:rPr>
              <w:t>COUNTERPARTS; INTEGRATION; EFFECTIVENESS; ELECTRONIC</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99"/>
              </w:rPr>
              <w:t>127</w:t>
            </w:r>
          </w:p>
        </w:tc>
        <w:tc>
          <w:tcPr>
            <w:tcW w:w="0" w:type="dxa"/>
            <w:vAlign w:val="bottom"/>
          </w:tcPr>
          <w:p>
            <w:pPr>
              <w:spacing w:after="0"/>
              <w:rPr>
                <w:sz w:val="1"/>
                <w:szCs w:val="1"/>
                <w:color w:val="auto"/>
              </w:rPr>
            </w:pPr>
          </w:p>
        </w:tc>
      </w:tr>
      <w:tr>
        <w:trPr>
          <w:trHeight w:val="247"/>
        </w:trPr>
        <w:tc>
          <w:tcPr>
            <w:tcW w:w="1740" w:type="dxa"/>
            <w:vAlign w:val="bottom"/>
            <w:vMerge w:val="continue"/>
          </w:tcPr>
          <w:p>
            <w:pPr>
              <w:spacing w:after="0"/>
              <w:rPr>
                <w:sz w:val="21"/>
                <w:szCs w:val="21"/>
                <w:color w:val="auto"/>
              </w:rPr>
            </w:pPr>
          </w:p>
        </w:tc>
        <w:tc>
          <w:tcPr>
            <w:tcW w:w="638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EXECUTION</w:t>
            </w:r>
          </w:p>
        </w:tc>
        <w:tc>
          <w:tcPr>
            <w:tcW w:w="3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1740" w:type="dxa"/>
            <w:vAlign w:val="bottom"/>
          </w:tcPr>
          <w:p>
            <w:pPr>
              <w:spacing w:after="0"/>
              <w:rPr>
                <w:sz w:val="20"/>
                <w:szCs w:val="20"/>
                <w:color w:val="auto"/>
              </w:rPr>
            </w:pPr>
            <w:r>
              <w:rPr>
                <w:rFonts w:ascii="Times New Roman" w:cs="Times New Roman" w:eastAsia="Times New Roman" w:hAnsi="Times New Roman"/>
                <w:sz w:val="20"/>
                <w:szCs w:val="20"/>
                <w:color w:val="auto"/>
              </w:rPr>
              <w:t>SECTION 9.07.</w:t>
            </w:r>
          </w:p>
        </w:tc>
        <w:tc>
          <w:tcPr>
            <w:tcW w:w="638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SEVERABILITY</w:t>
            </w:r>
          </w:p>
        </w:tc>
        <w:tc>
          <w:tcPr>
            <w:tcW w:w="3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128</w:t>
            </w:r>
          </w:p>
        </w:tc>
        <w:tc>
          <w:tcPr>
            <w:tcW w:w="0" w:type="dxa"/>
            <w:vAlign w:val="bottom"/>
          </w:tcPr>
          <w:p>
            <w:pPr>
              <w:spacing w:after="0"/>
              <w:rPr>
                <w:sz w:val="1"/>
                <w:szCs w:val="1"/>
                <w:color w:val="auto"/>
              </w:rPr>
            </w:pPr>
          </w:p>
        </w:tc>
      </w:tr>
      <w:tr>
        <w:trPr>
          <w:trHeight w:val="256"/>
        </w:trPr>
        <w:tc>
          <w:tcPr>
            <w:tcW w:w="1740" w:type="dxa"/>
            <w:vAlign w:val="bottom"/>
          </w:tcPr>
          <w:p>
            <w:pPr>
              <w:spacing w:after="0"/>
              <w:rPr>
                <w:sz w:val="20"/>
                <w:szCs w:val="20"/>
                <w:color w:val="auto"/>
              </w:rPr>
            </w:pPr>
            <w:r>
              <w:rPr>
                <w:rFonts w:ascii="Times New Roman" w:cs="Times New Roman" w:eastAsia="Times New Roman" w:hAnsi="Times New Roman"/>
                <w:sz w:val="20"/>
                <w:szCs w:val="20"/>
                <w:color w:val="auto"/>
              </w:rPr>
              <w:t>SECTION 9.08.</w:t>
            </w:r>
          </w:p>
        </w:tc>
        <w:tc>
          <w:tcPr>
            <w:tcW w:w="638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RIGHT OF SETOFF</w:t>
            </w:r>
          </w:p>
        </w:tc>
        <w:tc>
          <w:tcPr>
            <w:tcW w:w="3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128</w:t>
            </w:r>
          </w:p>
        </w:tc>
        <w:tc>
          <w:tcPr>
            <w:tcW w:w="0" w:type="dxa"/>
            <w:vAlign w:val="bottom"/>
          </w:tcPr>
          <w:p>
            <w:pPr>
              <w:spacing w:after="0"/>
              <w:rPr>
                <w:sz w:val="1"/>
                <w:szCs w:val="1"/>
                <w:color w:val="auto"/>
              </w:rPr>
            </w:pPr>
          </w:p>
        </w:tc>
      </w:tr>
      <w:tr>
        <w:trPr>
          <w:trHeight w:val="198"/>
        </w:trPr>
        <w:tc>
          <w:tcPr>
            <w:tcW w:w="17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SECTION 9.09.</w:t>
            </w:r>
          </w:p>
        </w:tc>
        <w:tc>
          <w:tcPr>
            <w:tcW w:w="6380" w:type="dxa"/>
            <w:vAlign w:val="bottom"/>
          </w:tcPr>
          <w:p>
            <w:pPr>
              <w:ind w:left="440"/>
              <w:spacing w:after="0" w:line="198" w:lineRule="exact"/>
              <w:rPr>
                <w:sz w:val="20"/>
                <w:szCs w:val="20"/>
                <w:color w:val="auto"/>
              </w:rPr>
            </w:pPr>
            <w:r>
              <w:rPr>
                <w:rFonts w:ascii="Times New Roman" w:cs="Times New Roman" w:eastAsia="Times New Roman" w:hAnsi="Times New Roman"/>
                <w:sz w:val="20"/>
                <w:szCs w:val="20"/>
                <w:color w:val="auto"/>
              </w:rPr>
              <w:t>GOVERNING LAW; JURISDICTION; CONSENT TO SERVICE OF</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99"/>
              </w:rPr>
              <w:t>129</w:t>
            </w:r>
          </w:p>
        </w:tc>
        <w:tc>
          <w:tcPr>
            <w:tcW w:w="0" w:type="dxa"/>
            <w:vAlign w:val="bottom"/>
          </w:tcPr>
          <w:p>
            <w:pPr>
              <w:spacing w:after="0"/>
              <w:rPr>
                <w:sz w:val="1"/>
                <w:szCs w:val="1"/>
                <w:color w:val="auto"/>
              </w:rPr>
            </w:pPr>
          </w:p>
        </w:tc>
      </w:tr>
      <w:tr>
        <w:trPr>
          <w:trHeight w:val="247"/>
        </w:trPr>
        <w:tc>
          <w:tcPr>
            <w:tcW w:w="1740" w:type="dxa"/>
            <w:vAlign w:val="bottom"/>
            <w:vMerge w:val="continue"/>
          </w:tcPr>
          <w:p>
            <w:pPr>
              <w:spacing w:after="0"/>
              <w:rPr>
                <w:sz w:val="21"/>
                <w:szCs w:val="21"/>
                <w:color w:val="auto"/>
              </w:rPr>
            </w:pPr>
          </w:p>
        </w:tc>
        <w:tc>
          <w:tcPr>
            <w:tcW w:w="638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PROCESS</w:t>
            </w:r>
          </w:p>
        </w:tc>
        <w:tc>
          <w:tcPr>
            <w:tcW w:w="3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1740" w:type="dxa"/>
            <w:vAlign w:val="bottom"/>
          </w:tcPr>
          <w:p>
            <w:pPr>
              <w:spacing w:after="0"/>
              <w:rPr>
                <w:sz w:val="20"/>
                <w:szCs w:val="20"/>
                <w:color w:val="auto"/>
              </w:rPr>
            </w:pPr>
            <w:r>
              <w:rPr>
                <w:rFonts w:ascii="Times New Roman" w:cs="Times New Roman" w:eastAsia="Times New Roman" w:hAnsi="Times New Roman"/>
                <w:sz w:val="20"/>
                <w:szCs w:val="20"/>
                <w:color w:val="auto"/>
              </w:rPr>
              <w:t>SECTION 9.10.</w:t>
            </w:r>
          </w:p>
        </w:tc>
        <w:tc>
          <w:tcPr>
            <w:tcW w:w="638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WAIVER OF JURY TRIAL</w:t>
            </w:r>
          </w:p>
        </w:tc>
        <w:tc>
          <w:tcPr>
            <w:tcW w:w="3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130</w:t>
            </w:r>
          </w:p>
        </w:tc>
        <w:tc>
          <w:tcPr>
            <w:tcW w:w="0" w:type="dxa"/>
            <w:vAlign w:val="bottom"/>
          </w:tcPr>
          <w:p>
            <w:pPr>
              <w:spacing w:after="0"/>
              <w:rPr>
                <w:sz w:val="1"/>
                <w:szCs w:val="1"/>
                <w:color w:val="auto"/>
              </w:rPr>
            </w:pPr>
          </w:p>
        </w:tc>
      </w:tr>
      <w:tr>
        <w:trPr>
          <w:trHeight w:val="256"/>
        </w:trPr>
        <w:tc>
          <w:tcPr>
            <w:tcW w:w="1740" w:type="dxa"/>
            <w:vAlign w:val="bottom"/>
          </w:tcPr>
          <w:p>
            <w:pPr>
              <w:spacing w:after="0"/>
              <w:rPr>
                <w:sz w:val="20"/>
                <w:szCs w:val="20"/>
                <w:color w:val="auto"/>
              </w:rPr>
            </w:pPr>
            <w:r>
              <w:rPr>
                <w:rFonts w:ascii="Times New Roman" w:cs="Times New Roman" w:eastAsia="Times New Roman" w:hAnsi="Times New Roman"/>
                <w:sz w:val="20"/>
                <w:szCs w:val="20"/>
                <w:color w:val="auto"/>
              </w:rPr>
              <w:t>SECTION 9.11.</w:t>
            </w:r>
          </w:p>
        </w:tc>
        <w:tc>
          <w:tcPr>
            <w:tcW w:w="638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HEADINGS</w:t>
            </w:r>
          </w:p>
        </w:tc>
        <w:tc>
          <w:tcPr>
            <w:tcW w:w="3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131</w:t>
            </w:r>
          </w:p>
        </w:tc>
        <w:tc>
          <w:tcPr>
            <w:tcW w:w="0" w:type="dxa"/>
            <w:vAlign w:val="bottom"/>
          </w:tcPr>
          <w:p>
            <w:pPr>
              <w:spacing w:after="0"/>
              <w:rPr>
                <w:sz w:val="1"/>
                <w:szCs w:val="1"/>
                <w:color w:val="auto"/>
              </w:rPr>
            </w:pPr>
          </w:p>
        </w:tc>
      </w:tr>
      <w:tr>
        <w:trPr>
          <w:trHeight w:val="257"/>
        </w:trPr>
        <w:tc>
          <w:tcPr>
            <w:tcW w:w="1740" w:type="dxa"/>
            <w:vAlign w:val="bottom"/>
          </w:tcPr>
          <w:p>
            <w:pPr>
              <w:spacing w:after="0"/>
              <w:rPr>
                <w:sz w:val="20"/>
                <w:szCs w:val="20"/>
                <w:color w:val="auto"/>
              </w:rPr>
            </w:pPr>
            <w:r>
              <w:rPr>
                <w:rFonts w:ascii="Times New Roman" w:cs="Times New Roman" w:eastAsia="Times New Roman" w:hAnsi="Times New Roman"/>
                <w:sz w:val="20"/>
                <w:szCs w:val="20"/>
                <w:color w:val="auto"/>
              </w:rPr>
              <w:t>SECTION 9.12.</w:t>
            </w:r>
          </w:p>
        </w:tc>
        <w:tc>
          <w:tcPr>
            <w:tcW w:w="638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CONFIDENTIALITY</w:t>
            </w:r>
          </w:p>
        </w:tc>
        <w:tc>
          <w:tcPr>
            <w:tcW w:w="3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131</w:t>
            </w:r>
          </w:p>
        </w:tc>
        <w:tc>
          <w:tcPr>
            <w:tcW w:w="0" w:type="dxa"/>
            <w:vAlign w:val="bottom"/>
          </w:tcPr>
          <w:p>
            <w:pPr>
              <w:spacing w:after="0"/>
              <w:rPr>
                <w:sz w:val="1"/>
                <w:szCs w:val="1"/>
                <w:color w:val="auto"/>
              </w:rPr>
            </w:pPr>
          </w:p>
        </w:tc>
      </w:tr>
      <w:tr>
        <w:trPr>
          <w:trHeight w:val="257"/>
        </w:trPr>
        <w:tc>
          <w:tcPr>
            <w:tcW w:w="1740" w:type="dxa"/>
            <w:vAlign w:val="bottom"/>
          </w:tcPr>
          <w:p>
            <w:pPr>
              <w:spacing w:after="0"/>
              <w:rPr>
                <w:sz w:val="20"/>
                <w:szCs w:val="20"/>
                <w:color w:val="auto"/>
              </w:rPr>
            </w:pPr>
            <w:r>
              <w:rPr>
                <w:rFonts w:ascii="Times New Roman" w:cs="Times New Roman" w:eastAsia="Times New Roman" w:hAnsi="Times New Roman"/>
                <w:sz w:val="20"/>
                <w:szCs w:val="20"/>
                <w:color w:val="auto"/>
              </w:rPr>
              <w:t>SECTION 9.13.</w:t>
            </w:r>
          </w:p>
        </w:tc>
        <w:tc>
          <w:tcPr>
            <w:tcW w:w="638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USA PATRIOT ACT</w:t>
            </w:r>
          </w:p>
        </w:tc>
        <w:tc>
          <w:tcPr>
            <w:tcW w:w="3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132</w:t>
            </w:r>
          </w:p>
        </w:tc>
        <w:tc>
          <w:tcPr>
            <w:tcW w:w="0" w:type="dxa"/>
            <w:vAlign w:val="bottom"/>
          </w:tcPr>
          <w:p>
            <w:pPr>
              <w:spacing w:after="0"/>
              <w:rPr>
                <w:sz w:val="1"/>
                <w:szCs w:val="1"/>
                <w:color w:val="auto"/>
              </w:rPr>
            </w:pPr>
          </w:p>
        </w:tc>
      </w:tr>
      <w:tr>
        <w:trPr>
          <w:trHeight w:val="256"/>
        </w:trPr>
        <w:tc>
          <w:tcPr>
            <w:tcW w:w="1740" w:type="dxa"/>
            <w:vAlign w:val="bottom"/>
          </w:tcPr>
          <w:p>
            <w:pPr>
              <w:spacing w:after="0"/>
              <w:rPr>
                <w:sz w:val="20"/>
                <w:szCs w:val="20"/>
                <w:color w:val="auto"/>
              </w:rPr>
            </w:pPr>
            <w:r>
              <w:rPr>
                <w:rFonts w:ascii="Times New Roman" w:cs="Times New Roman" w:eastAsia="Times New Roman" w:hAnsi="Times New Roman"/>
                <w:sz w:val="20"/>
                <w:szCs w:val="20"/>
                <w:color w:val="auto"/>
              </w:rPr>
              <w:t>SECTION 9.14.</w:t>
            </w:r>
          </w:p>
        </w:tc>
        <w:tc>
          <w:tcPr>
            <w:tcW w:w="638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[INTENTIONALLY OMITTED]</w:t>
            </w:r>
          </w:p>
        </w:tc>
        <w:tc>
          <w:tcPr>
            <w:tcW w:w="3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132</w:t>
            </w:r>
          </w:p>
        </w:tc>
        <w:tc>
          <w:tcPr>
            <w:tcW w:w="0" w:type="dxa"/>
            <w:vAlign w:val="bottom"/>
          </w:tcPr>
          <w:p>
            <w:pPr>
              <w:spacing w:after="0"/>
              <w:rPr>
                <w:sz w:val="1"/>
                <w:szCs w:val="1"/>
                <w:color w:val="auto"/>
              </w:rPr>
            </w:pPr>
          </w:p>
        </w:tc>
      </w:tr>
      <w:tr>
        <w:trPr>
          <w:trHeight w:val="257"/>
        </w:trPr>
        <w:tc>
          <w:tcPr>
            <w:tcW w:w="1740" w:type="dxa"/>
            <w:vAlign w:val="bottom"/>
          </w:tcPr>
          <w:p>
            <w:pPr>
              <w:spacing w:after="0"/>
              <w:rPr>
                <w:sz w:val="20"/>
                <w:szCs w:val="20"/>
                <w:color w:val="auto"/>
              </w:rPr>
            </w:pPr>
            <w:r>
              <w:rPr>
                <w:rFonts w:ascii="Times New Roman" w:cs="Times New Roman" w:eastAsia="Times New Roman" w:hAnsi="Times New Roman"/>
                <w:sz w:val="20"/>
                <w:szCs w:val="20"/>
                <w:color w:val="auto"/>
              </w:rPr>
              <w:t>SECTION 9.15.</w:t>
            </w:r>
          </w:p>
        </w:tc>
        <w:tc>
          <w:tcPr>
            <w:tcW w:w="638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INTEREST RATE LIMITATION</w:t>
            </w:r>
          </w:p>
        </w:tc>
        <w:tc>
          <w:tcPr>
            <w:tcW w:w="3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132</w:t>
            </w:r>
          </w:p>
        </w:tc>
        <w:tc>
          <w:tcPr>
            <w:tcW w:w="0" w:type="dxa"/>
            <w:vAlign w:val="bottom"/>
          </w:tcPr>
          <w:p>
            <w:pPr>
              <w:spacing w:after="0"/>
              <w:rPr>
                <w:sz w:val="1"/>
                <w:szCs w:val="1"/>
                <w:color w:val="auto"/>
              </w:rPr>
            </w:pPr>
          </w:p>
        </w:tc>
      </w:tr>
      <w:tr>
        <w:trPr>
          <w:trHeight w:val="256"/>
        </w:trPr>
        <w:tc>
          <w:tcPr>
            <w:tcW w:w="1740" w:type="dxa"/>
            <w:vAlign w:val="bottom"/>
          </w:tcPr>
          <w:p>
            <w:pPr>
              <w:spacing w:after="0"/>
              <w:rPr>
                <w:sz w:val="20"/>
                <w:szCs w:val="20"/>
                <w:color w:val="auto"/>
              </w:rPr>
            </w:pPr>
            <w:r>
              <w:rPr>
                <w:rFonts w:ascii="Times New Roman" w:cs="Times New Roman" w:eastAsia="Times New Roman" w:hAnsi="Times New Roman"/>
                <w:sz w:val="20"/>
                <w:szCs w:val="20"/>
                <w:color w:val="auto"/>
              </w:rPr>
              <w:t>SECTION 9.16.</w:t>
            </w:r>
          </w:p>
        </w:tc>
        <w:tc>
          <w:tcPr>
            <w:tcW w:w="638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NO FIDUCIARY DUTY, ETC</w:t>
            </w:r>
          </w:p>
        </w:tc>
        <w:tc>
          <w:tcPr>
            <w:tcW w:w="3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132</w:t>
            </w:r>
          </w:p>
        </w:tc>
        <w:tc>
          <w:tcPr>
            <w:tcW w:w="0" w:type="dxa"/>
            <w:vAlign w:val="bottom"/>
          </w:tcPr>
          <w:p>
            <w:pPr>
              <w:spacing w:after="0"/>
              <w:rPr>
                <w:sz w:val="1"/>
                <w:szCs w:val="1"/>
                <w:color w:val="auto"/>
              </w:rPr>
            </w:pPr>
          </w:p>
        </w:tc>
      </w:tr>
      <w:tr>
        <w:trPr>
          <w:trHeight w:val="257"/>
        </w:trPr>
        <w:tc>
          <w:tcPr>
            <w:tcW w:w="1740" w:type="dxa"/>
            <w:vAlign w:val="bottom"/>
          </w:tcPr>
          <w:p>
            <w:pPr>
              <w:spacing w:after="0"/>
              <w:rPr>
                <w:sz w:val="20"/>
                <w:szCs w:val="20"/>
                <w:color w:val="auto"/>
              </w:rPr>
            </w:pPr>
            <w:r>
              <w:rPr>
                <w:rFonts w:ascii="Times New Roman" w:cs="Times New Roman" w:eastAsia="Times New Roman" w:hAnsi="Times New Roman"/>
                <w:sz w:val="20"/>
                <w:szCs w:val="20"/>
                <w:color w:val="auto"/>
              </w:rPr>
              <w:t>SECTION 9.17.</w:t>
            </w:r>
          </w:p>
        </w:tc>
        <w:tc>
          <w:tcPr>
            <w:tcW w:w="638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SEVERAL LIABILITY</w:t>
            </w:r>
          </w:p>
        </w:tc>
        <w:tc>
          <w:tcPr>
            <w:tcW w:w="3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133</w:t>
            </w:r>
          </w:p>
        </w:tc>
        <w:tc>
          <w:tcPr>
            <w:tcW w:w="0" w:type="dxa"/>
            <w:vAlign w:val="bottom"/>
          </w:tcPr>
          <w:p>
            <w:pPr>
              <w:spacing w:after="0"/>
              <w:rPr>
                <w:sz w:val="1"/>
                <w:szCs w:val="1"/>
                <w:color w:val="auto"/>
              </w:rPr>
            </w:pPr>
          </w:p>
        </w:tc>
      </w:tr>
      <w:tr>
        <w:trPr>
          <w:trHeight w:val="198"/>
        </w:trPr>
        <w:tc>
          <w:tcPr>
            <w:tcW w:w="17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SECTION 9.18.</w:t>
            </w:r>
          </w:p>
        </w:tc>
        <w:tc>
          <w:tcPr>
            <w:tcW w:w="6380" w:type="dxa"/>
            <w:vAlign w:val="bottom"/>
          </w:tcPr>
          <w:p>
            <w:pPr>
              <w:ind w:left="440"/>
              <w:spacing w:after="0" w:line="198" w:lineRule="exact"/>
              <w:rPr>
                <w:sz w:val="20"/>
                <w:szCs w:val="20"/>
                <w:color w:val="auto"/>
              </w:rPr>
            </w:pPr>
            <w:r>
              <w:rPr>
                <w:rFonts w:ascii="Times New Roman" w:cs="Times New Roman" w:eastAsia="Times New Roman" w:hAnsi="Times New Roman"/>
                <w:sz w:val="20"/>
                <w:szCs w:val="20"/>
                <w:color w:val="auto"/>
              </w:rPr>
              <w:t>ACKNOWLEDGEMENT AND CONSENT TO BAIL-IN OF</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99"/>
              </w:rPr>
              <w:t>133</w:t>
            </w:r>
          </w:p>
        </w:tc>
        <w:tc>
          <w:tcPr>
            <w:tcW w:w="0" w:type="dxa"/>
            <w:vAlign w:val="bottom"/>
          </w:tcPr>
          <w:p>
            <w:pPr>
              <w:spacing w:after="0"/>
              <w:rPr>
                <w:sz w:val="1"/>
                <w:szCs w:val="1"/>
                <w:color w:val="auto"/>
              </w:rPr>
            </w:pPr>
          </w:p>
        </w:tc>
      </w:tr>
      <w:tr>
        <w:trPr>
          <w:trHeight w:val="247"/>
        </w:trPr>
        <w:tc>
          <w:tcPr>
            <w:tcW w:w="1740" w:type="dxa"/>
            <w:vAlign w:val="bottom"/>
            <w:vMerge w:val="continue"/>
          </w:tcPr>
          <w:p>
            <w:pPr>
              <w:spacing w:after="0"/>
              <w:rPr>
                <w:sz w:val="21"/>
                <w:szCs w:val="21"/>
                <w:color w:val="auto"/>
              </w:rPr>
            </w:pPr>
          </w:p>
        </w:tc>
        <w:tc>
          <w:tcPr>
            <w:tcW w:w="638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AFFECTED FINANCIAL INSTITUTIONS</w:t>
            </w:r>
          </w:p>
        </w:tc>
        <w:tc>
          <w:tcPr>
            <w:tcW w:w="3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1740" w:type="dxa"/>
            <w:vAlign w:val="bottom"/>
          </w:tcPr>
          <w:p>
            <w:pPr>
              <w:spacing w:after="0"/>
              <w:rPr>
                <w:sz w:val="20"/>
                <w:szCs w:val="20"/>
                <w:color w:val="auto"/>
              </w:rPr>
            </w:pPr>
            <w:r>
              <w:rPr>
                <w:rFonts w:ascii="Times New Roman" w:cs="Times New Roman" w:eastAsia="Times New Roman" w:hAnsi="Times New Roman"/>
                <w:sz w:val="20"/>
                <w:szCs w:val="20"/>
                <w:color w:val="auto"/>
              </w:rPr>
              <w:t>SECTION 9.19.</w:t>
            </w:r>
          </w:p>
        </w:tc>
        <w:tc>
          <w:tcPr>
            <w:tcW w:w="638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ACKNOWLEDGEMENT REGARDING ANY SUPPORTED QFCS</w:t>
            </w:r>
          </w:p>
        </w:tc>
        <w:tc>
          <w:tcPr>
            <w:tcW w:w="3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134</w:t>
            </w:r>
          </w:p>
        </w:tc>
        <w:tc>
          <w:tcPr>
            <w:tcW w:w="0" w:type="dxa"/>
            <w:vAlign w:val="bottom"/>
          </w:tcPr>
          <w:p>
            <w:pPr>
              <w:spacing w:after="0"/>
              <w:rPr>
                <w:sz w:val="1"/>
                <w:szCs w:val="1"/>
                <w:color w:val="auto"/>
              </w:rPr>
            </w:pPr>
          </w:p>
        </w:tc>
      </w:tr>
      <w:tr>
        <w:trPr>
          <w:trHeight w:val="258"/>
        </w:trPr>
        <w:tc>
          <w:tcPr>
            <w:tcW w:w="81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X Company Guarantee</w:t>
            </w:r>
          </w:p>
        </w:tc>
        <w:tc>
          <w:tcPr>
            <w:tcW w:w="3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134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20"/>
          </w:cols>
          <w:pgMar w:left="340" w:top="118"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20"/>
          <w:szCs w:val="20"/>
          <w:color w:val="auto"/>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(continued)</w:t>
      </w:r>
    </w:p>
    <w:p>
      <w:pPr>
        <w:spacing w:after="0" w:line="20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2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SCHEDULES:</w:t>
            </w:r>
          </w:p>
        </w:tc>
        <w:tc>
          <w:tcPr>
            <w:tcW w:w="320" w:type="dxa"/>
            <w:vAlign w:val="bottom"/>
          </w:tcPr>
          <w:p>
            <w:pPr>
              <w:spacing w:after="0"/>
              <w:rPr>
                <w:sz w:val="22"/>
                <w:szCs w:val="22"/>
                <w:color w:val="auto"/>
              </w:rPr>
            </w:pPr>
          </w:p>
        </w:tc>
        <w:tc>
          <w:tcPr>
            <w:tcW w:w="6300" w:type="dxa"/>
            <w:vAlign w:val="bottom"/>
          </w:tcPr>
          <w:p>
            <w:pPr>
              <w:spacing w:after="0"/>
              <w:rPr>
                <w:sz w:val="22"/>
                <w:szCs w:val="22"/>
                <w:color w:val="auto"/>
              </w:rPr>
            </w:pPr>
          </w:p>
        </w:tc>
      </w:tr>
      <w:tr>
        <w:trPr>
          <w:trHeight w:val="541"/>
        </w:trPr>
        <w:tc>
          <w:tcPr>
            <w:tcW w:w="22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Schedule 2.01A</w:t>
            </w:r>
          </w:p>
        </w:tc>
        <w:tc>
          <w:tcPr>
            <w:tcW w:w="3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63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Commitments</w:t>
            </w:r>
          </w:p>
        </w:tc>
      </w:tr>
      <w:tr>
        <w:trPr>
          <w:trHeight w:val="257"/>
        </w:trPr>
        <w:tc>
          <w:tcPr>
            <w:tcW w:w="22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Schedule 2.01B</w:t>
            </w:r>
          </w:p>
        </w:tc>
        <w:tc>
          <w:tcPr>
            <w:tcW w:w="66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  Letter of Credit Commitments</w:t>
            </w:r>
          </w:p>
        </w:tc>
      </w:tr>
      <w:tr>
        <w:trPr>
          <w:trHeight w:val="257"/>
        </w:trPr>
        <w:tc>
          <w:tcPr>
            <w:tcW w:w="22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Schedule 2.06</w:t>
            </w:r>
          </w:p>
        </w:tc>
        <w:tc>
          <w:tcPr>
            <w:tcW w:w="66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  Existing Letters of Credit</w:t>
            </w:r>
          </w:p>
        </w:tc>
      </w:tr>
      <w:tr>
        <w:trPr>
          <w:trHeight w:val="256"/>
        </w:trPr>
        <w:tc>
          <w:tcPr>
            <w:tcW w:w="22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Schedule 3.01</w:t>
            </w:r>
          </w:p>
        </w:tc>
        <w:tc>
          <w:tcPr>
            <w:tcW w:w="3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63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Subsidiaries</w:t>
            </w:r>
          </w:p>
        </w:tc>
      </w:tr>
      <w:tr>
        <w:trPr>
          <w:trHeight w:val="257"/>
        </w:trPr>
        <w:tc>
          <w:tcPr>
            <w:tcW w:w="22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Schedule 6.01</w:t>
            </w:r>
          </w:p>
        </w:tc>
        <w:tc>
          <w:tcPr>
            <w:tcW w:w="3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63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Existing Indebtedness</w:t>
            </w:r>
          </w:p>
        </w:tc>
      </w:tr>
      <w:tr>
        <w:trPr>
          <w:trHeight w:val="258"/>
        </w:trPr>
        <w:tc>
          <w:tcPr>
            <w:tcW w:w="22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Schedule 6.02</w:t>
            </w:r>
          </w:p>
        </w:tc>
        <w:tc>
          <w:tcPr>
            <w:tcW w:w="3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63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Existing Liens</w:t>
            </w:r>
          </w:p>
        </w:tc>
      </w:tr>
      <w:tr>
        <w:trPr>
          <w:trHeight w:val="567"/>
        </w:trPr>
        <w:tc>
          <w:tcPr>
            <w:tcW w:w="22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EXHIBITS:</w:t>
            </w:r>
          </w:p>
        </w:tc>
        <w:tc>
          <w:tcPr>
            <w:tcW w:w="320" w:type="dxa"/>
            <w:vAlign w:val="bottom"/>
          </w:tcPr>
          <w:p>
            <w:pPr>
              <w:spacing w:after="0"/>
              <w:rPr>
                <w:sz w:val="24"/>
                <w:szCs w:val="24"/>
                <w:color w:val="auto"/>
              </w:rPr>
            </w:pPr>
          </w:p>
        </w:tc>
        <w:tc>
          <w:tcPr>
            <w:tcW w:w="6300" w:type="dxa"/>
            <w:vAlign w:val="bottom"/>
          </w:tcPr>
          <w:p>
            <w:pPr>
              <w:spacing w:after="0"/>
              <w:rPr>
                <w:sz w:val="24"/>
                <w:szCs w:val="24"/>
                <w:color w:val="auto"/>
              </w:rPr>
            </w:pPr>
          </w:p>
        </w:tc>
      </w:tr>
      <w:tr>
        <w:trPr>
          <w:trHeight w:val="565"/>
        </w:trPr>
        <w:tc>
          <w:tcPr>
            <w:tcW w:w="22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Exhibit A</w:t>
            </w:r>
          </w:p>
        </w:tc>
        <w:tc>
          <w:tcPr>
            <w:tcW w:w="66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  Form of Assignment and Assumption</w:t>
            </w:r>
          </w:p>
        </w:tc>
      </w:tr>
      <w:tr>
        <w:trPr>
          <w:trHeight w:val="257"/>
        </w:trPr>
        <w:tc>
          <w:tcPr>
            <w:tcW w:w="22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Exhibit B-1</w:t>
            </w:r>
          </w:p>
        </w:tc>
        <w:tc>
          <w:tcPr>
            <w:tcW w:w="66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  Form of Opinion of Loan Parties’ U.S. Counsel</w:t>
            </w:r>
          </w:p>
        </w:tc>
      </w:tr>
      <w:tr>
        <w:trPr>
          <w:trHeight w:val="256"/>
        </w:trPr>
        <w:tc>
          <w:tcPr>
            <w:tcW w:w="22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Exhibit B-2</w:t>
            </w:r>
          </w:p>
        </w:tc>
        <w:tc>
          <w:tcPr>
            <w:tcW w:w="66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  Form of Opinion of Loan Parties’ England and Wales Counsel</w:t>
            </w:r>
          </w:p>
        </w:tc>
      </w:tr>
      <w:tr>
        <w:trPr>
          <w:trHeight w:val="257"/>
        </w:trPr>
        <w:tc>
          <w:tcPr>
            <w:tcW w:w="22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Exhibit B-3</w:t>
            </w:r>
          </w:p>
        </w:tc>
        <w:tc>
          <w:tcPr>
            <w:tcW w:w="66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  Form of Opinion of Loan Parties’ Canadian Counsel</w:t>
            </w:r>
          </w:p>
        </w:tc>
      </w:tr>
      <w:tr>
        <w:trPr>
          <w:trHeight w:val="257"/>
        </w:trPr>
        <w:tc>
          <w:tcPr>
            <w:tcW w:w="22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Exhibit B-4</w:t>
            </w:r>
          </w:p>
        </w:tc>
        <w:tc>
          <w:tcPr>
            <w:tcW w:w="66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  Form of Opinion of Loan Parties’ German Counsel</w:t>
            </w:r>
          </w:p>
        </w:tc>
      </w:tr>
      <w:tr>
        <w:trPr>
          <w:trHeight w:val="256"/>
        </w:trPr>
        <w:tc>
          <w:tcPr>
            <w:tcW w:w="22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Exhibit C</w:t>
            </w:r>
          </w:p>
        </w:tc>
        <w:tc>
          <w:tcPr>
            <w:tcW w:w="66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  Form of Increasing Lender Supplement</w:t>
            </w:r>
          </w:p>
        </w:tc>
      </w:tr>
      <w:tr>
        <w:trPr>
          <w:trHeight w:val="257"/>
        </w:trPr>
        <w:tc>
          <w:tcPr>
            <w:tcW w:w="22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Exhibit D</w:t>
            </w:r>
          </w:p>
        </w:tc>
        <w:tc>
          <w:tcPr>
            <w:tcW w:w="66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  Form of Augmenting Lender Supplement</w:t>
            </w:r>
          </w:p>
        </w:tc>
      </w:tr>
      <w:tr>
        <w:trPr>
          <w:trHeight w:val="256"/>
        </w:trPr>
        <w:tc>
          <w:tcPr>
            <w:tcW w:w="22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Exhibit E</w:t>
            </w:r>
          </w:p>
        </w:tc>
        <w:tc>
          <w:tcPr>
            <w:tcW w:w="66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  List of Closing Documents</w:t>
            </w:r>
          </w:p>
        </w:tc>
      </w:tr>
      <w:tr>
        <w:trPr>
          <w:trHeight w:val="257"/>
        </w:trPr>
        <w:tc>
          <w:tcPr>
            <w:tcW w:w="22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Exhibit F-1</w:t>
            </w:r>
          </w:p>
        </w:tc>
        <w:tc>
          <w:tcPr>
            <w:tcW w:w="66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  Form of Borrowing Subsidiary Agreement</w:t>
            </w:r>
          </w:p>
        </w:tc>
      </w:tr>
      <w:tr>
        <w:trPr>
          <w:trHeight w:val="256"/>
        </w:trPr>
        <w:tc>
          <w:tcPr>
            <w:tcW w:w="22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Exhibit F-2</w:t>
            </w:r>
          </w:p>
        </w:tc>
        <w:tc>
          <w:tcPr>
            <w:tcW w:w="66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  Form of Borrowing Subsidiary Termination</w:t>
            </w:r>
          </w:p>
        </w:tc>
      </w:tr>
      <w:tr>
        <w:trPr>
          <w:trHeight w:val="257"/>
        </w:trPr>
        <w:tc>
          <w:tcPr>
            <w:tcW w:w="22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Exhibit G-1</w:t>
            </w:r>
          </w:p>
        </w:tc>
        <w:tc>
          <w:tcPr>
            <w:tcW w:w="66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  Form of U.S. Tax Certificate (Foreign Lenders That Are Not Partnerships)</w:t>
            </w:r>
          </w:p>
        </w:tc>
      </w:tr>
      <w:tr>
        <w:trPr>
          <w:trHeight w:val="257"/>
        </w:trPr>
        <w:tc>
          <w:tcPr>
            <w:tcW w:w="22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Exhibit G-2</w:t>
            </w:r>
          </w:p>
        </w:tc>
        <w:tc>
          <w:tcPr>
            <w:tcW w:w="66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  Form of U.S. Tax Certificate (Foreign Participants That Are Not Partnerships)</w:t>
            </w:r>
          </w:p>
        </w:tc>
      </w:tr>
      <w:tr>
        <w:trPr>
          <w:trHeight w:val="256"/>
        </w:trPr>
        <w:tc>
          <w:tcPr>
            <w:tcW w:w="22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Exhibit G-3</w:t>
            </w:r>
          </w:p>
        </w:tc>
        <w:tc>
          <w:tcPr>
            <w:tcW w:w="66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  Form of U.S. Tax Certificate (Foreign Participants That Are Partnerships)</w:t>
            </w:r>
          </w:p>
        </w:tc>
      </w:tr>
      <w:tr>
        <w:trPr>
          <w:trHeight w:val="257"/>
        </w:trPr>
        <w:tc>
          <w:tcPr>
            <w:tcW w:w="22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Exhibit G-4</w:t>
            </w:r>
          </w:p>
        </w:tc>
        <w:tc>
          <w:tcPr>
            <w:tcW w:w="66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  Form of U.S. Tax Certificate (Foreign Lenders That Are Partnerships)</w:t>
            </w:r>
          </w:p>
        </w:tc>
      </w:tr>
      <w:tr>
        <w:trPr>
          <w:trHeight w:val="256"/>
        </w:trPr>
        <w:tc>
          <w:tcPr>
            <w:tcW w:w="22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Exhibit H</w:t>
            </w:r>
          </w:p>
        </w:tc>
        <w:tc>
          <w:tcPr>
            <w:tcW w:w="3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63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Form of Note</w:t>
            </w:r>
          </w:p>
        </w:tc>
      </w:tr>
      <w:tr>
        <w:trPr>
          <w:trHeight w:val="258"/>
        </w:trPr>
        <w:tc>
          <w:tcPr>
            <w:tcW w:w="22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Exhibit I</w:t>
            </w:r>
          </w:p>
        </w:tc>
        <w:tc>
          <w:tcPr>
            <w:tcW w:w="3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63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Form of Solvency Certificate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18" w:right="339" w:bottom="1440" w:gutter="0" w:footer="0" w:header="0"/>
        </w:sectPr>
      </w:pPr>
    </w:p>
    <w:bookmarkStart w:id="9" w:name="page10"/>
    <w:bookmarkEnd w:id="9"/>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AMENDED AND RESTATED CREDIT AGREEMENT (this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dated as of September 22, 2011, as amended and restated as of March 10, 2016, as further amended and restated as of October 30, 2018, as further amended and restated as of May 12, 2022, as further amended as of June 17, 2024, and as further amended and restated as of June 9, 2026, among AMETEK, INC., the FOREIGN SUBSIDIARY BORROWERS from time to time party hereto, the LENDERS from time to time party hereto and JPMORGAN CHASE BANK, N.A. and J.P. MORGAN SE, as Administrative Agent.</w:t>
      </w:r>
    </w:p>
    <w:p>
      <w:pPr>
        <w:spacing w:after="0" w:line="151"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WHEREAS, the Borrowers, the lenders party thereto and JPMorgan Chase Bank, N.A., as administrative agent thereunder, are currently party to the Amended and Restated Credit Agreement, dated as of September 22, 2011, as amended and restated as of March 10, 2016, as further amended and restated as of October 30, 2018, as further amended and restated as of May 12, 2022, as further amended as of June 17, 2024 (as amended, supplemented or otherwise modified prior to the date hereof, the “Existing Credit Agreement”);</w:t>
      </w:r>
    </w:p>
    <w:p>
      <w:pPr>
        <w:spacing w:after="0" w:line="159" w:lineRule="exact"/>
        <w:rPr>
          <w:sz w:val="20"/>
          <w:szCs w:val="20"/>
          <w:color w:val="auto"/>
        </w:rPr>
      </w:pPr>
    </w:p>
    <w:p>
      <w:pPr>
        <w:jc w:val="both"/>
        <w:ind w:firstLine="1296"/>
        <w:spacing w:after="0" w:line="276" w:lineRule="auto"/>
        <w:rPr>
          <w:sz w:val="20"/>
          <w:szCs w:val="20"/>
          <w:color w:val="auto"/>
        </w:rPr>
      </w:pPr>
      <w:r>
        <w:rPr>
          <w:rFonts w:ascii="Times New Roman" w:cs="Times New Roman" w:eastAsia="Times New Roman" w:hAnsi="Times New Roman"/>
          <w:sz w:val="19"/>
          <w:szCs w:val="19"/>
          <w:color w:val="auto"/>
        </w:rPr>
        <w:t>WHEREAS, the Borrowers, the Lenders and the Administrative Agent have agreed (a) to enter into this Agreement in order to (i) amend and restate the Existing Credit Agreement in its entirety; (ii) re-evidence the “Obligations” under, and as defined in, the Existing Credit Agreement, which shall be repayable in accordance with the terms of this Agreement; and (iii) set forth the terms and conditions under which the Lenders will, from time to time, make loans and extend other financial accommodations to or for the benefit of the Borrowers;</w:t>
      </w:r>
    </w:p>
    <w:p>
      <w:pPr>
        <w:spacing w:after="0" w:line="12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WHEREAS, it is the intent of the parties hereto that this Agreement not constitute a novation of the obligations and liabilities of the parties under the Existing Credit Agreement or be deemed to evidence or constitute full repayment of such obligations and liabilities, but that this Agreement amend and restate in its entirety the Existing Credit Agreement and modify and re-evidence the obligations and liabilities of the Borrowers outstanding thereunder, which shall be payable in accordance with the terms hereof; and</w:t>
      </w:r>
    </w:p>
    <w:p>
      <w:pPr>
        <w:spacing w:after="0" w:line="14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WHEREAS, it is also the intent of the Borrowers to confirm that all obligations under the “Loan Documents” (as referred to and defined in the Existing Credit Agreement) shall continue in full force and effect as modified and/or restated by the Loan Documents (as referred to and defined herein) and that, from and after the Restatement Effective Date, all references to the “Credit Agreement” contained in any such existing “Loan Documents” shall be deemed to refer to this Agreement.</w:t>
      </w:r>
    </w:p>
    <w:p>
      <w:pPr>
        <w:spacing w:after="0" w:line="132"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NOW, THEREFORE, in consideration of the premises and the mutual covenants contained herein, the parties hereto agree that the Existing Credit Agreement is hereby amended and restated as follows: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010000"/>
        </w:rPr>
        <w:t>ARTICLE I</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Definitions</w:t>
      </w:r>
    </w:p>
    <w:p>
      <w:pPr>
        <w:spacing w:after="0" w:line="216" w:lineRule="exact"/>
        <w:rPr>
          <w:sz w:val="20"/>
          <w:szCs w:val="20"/>
          <w:color w:val="auto"/>
        </w:rPr>
      </w:pPr>
    </w:p>
    <w:p>
      <w:pPr>
        <w:ind w:left="1300"/>
        <w:spacing w:after="0"/>
        <w:tabs>
          <w:tab w:leader="none" w:pos="2760" w:val="left"/>
        </w:tabs>
        <w:rPr>
          <w:sz w:val="20"/>
          <w:szCs w:val="20"/>
          <w:color w:val="auto"/>
        </w:rPr>
      </w:pPr>
      <w:r>
        <w:rPr>
          <w:rFonts w:ascii="Times New Roman" w:cs="Times New Roman" w:eastAsia="Times New Roman" w:hAnsi="Times New Roman"/>
          <w:sz w:val="20"/>
          <w:szCs w:val="20"/>
          <w:color w:val="010000"/>
        </w:rPr>
        <w:t>SECTION 1.01.</w:t>
      </w:r>
      <w:r>
        <w:rPr>
          <w:sz w:val="20"/>
          <w:szCs w:val="20"/>
          <w:color w:val="auto"/>
        </w:rPr>
        <w:tab/>
      </w:r>
      <w:r>
        <w:rPr>
          <w:rFonts w:ascii="Times New Roman" w:cs="Times New Roman" w:eastAsia="Times New Roman" w:hAnsi="Times New Roman"/>
          <w:sz w:val="19"/>
          <w:szCs w:val="19"/>
          <w:u w:val="single" w:color="auto"/>
          <w:color w:val="auto"/>
        </w:rPr>
        <w:t>Defined Terms</w:t>
      </w:r>
      <w:r>
        <w:rPr>
          <w:rFonts w:ascii="Times New Roman" w:cs="Times New Roman" w:eastAsia="Times New Roman" w:hAnsi="Times New Roman"/>
          <w:sz w:val="19"/>
          <w:szCs w:val="19"/>
          <w:color w:val="auto"/>
        </w:rPr>
        <w:t>. As used in this Agreement, the following terms have the meanings specified below:</w:t>
      </w:r>
    </w:p>
    <w:p>
      <w:pPr>
        <w:spacing w:after="0" w:line="28"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ABR</w:t>
      </w:r>
      <w:r>
        <w:rPr>
          <w:rFonts w:ascii="Times New Roman" w:cs="Times New Roman" w:eastAsia="Times New Roman" w:hAnsi="Times New Roman"/>
          <w:sz w:val="20"/>
          <w:szCs w:val="20"/>
          <w:color w:val="auto"/>
        </w:rPr>
        <w:t>”, when used in reference to any Loan or Borrowing, refers to such Loan, or the Loans comprising such Borrowing, bearing interest at a rate determined by reference to the Alternate Base Rate. All ABR Loans shall be denominated in Dollars.</w:t>
      </w:r>
    </w:p>
    <w:p>
      <w:pPr>
        <w:spacing w:after="0" w:line="175"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Acquisition Indebtedness</w:t>
      </w:r>
      <w:r>
        <w:rPr>
          <w:rFonts w:ascii="Times New Roman" w:cs="Times New Roman" w:eastAsia="Times New Roman" w:hAnsi="Times New Roman"/>
          <w:sz w:val="20"/>
          <w:szCs w:val="20"/>
          <w:color w:val="auto"/>
        </w:rPr>
        <w:t>” means any Indebtedness of the Company or any Subsidiary that has been incurred for the purpose of financing, in whole or in part, a Qualifying Material Acquisition</w:t>
      </w:r>
    </w:p>
    <w:p>
      <w:pPr>
        <w:sectPr>
          <w:pgSz w:w="11900" w:h="16838" w:orient="portrait"/>
          <w:cols w:equalWidth="0" w:num="1">
            <w:col w:w="11240"/>
          </w:cols>
          <w:pgMar w:left="320" w:top="1413" w:right="339" w:bottom="1440" w:gutter="0" w:footer="0" w:header="0"/>
        </w:sectPr>
      </w:pPr>
    </w:p>
    <w:bookmarkStart w:id="10" w:name="page11"/>
    <w:bookmarkEnd w:id="10"/>
    <w:p>
      <w:pPr>
        <w:jc w:val="both"/>
        <w:spacing w:after="0" w:line="250" w:lineRule="auto"/>
        <w:rPr>
          <w:sz w:val="20"/>
          <w:szCs w:val="20"/>
          <w:color w:val="auto"/>
        </w:rPr>
      </w:pPr>
      <w:r>
        <w:rPr>
          <w:rFonts w:ascii="Times New Roman" w:cs="Times New Roman" w:eastAsia="Times New Roman" w:hAnsi="Times New Roman"/>
          <w:sz w:val="20"/>
          <w:szCs w:val="20"/>
          <w:color w:val="auto"/>
        </w:rPr>
        <w:t>and any related transactions (including for the purpose of refinancing or replacing all or a portion of any related bridge facilities or any pre-existing Indebtedness of the Persons or assets to be acquired); provided that either (a) the release of the proceeds thereof to the Company and the Subsidiaries is contingent upon the substantially simultaneous consummation of such Qualifying Material Acquisition and, pending such release, such proceeds are held in escrow (and, if the definitive agreement (or, in the case of a tender offer or similar transaction, the definitive offer document) for such Qualifying Material Acquisition is terminated prior to the consummation of such Qualifying Material Acquisition, or if such Qualifying Material Acquisition is otherwise not consummated by the date specified in the definitive documentation evidencing, governing the rights of the holders of or otherwise relating to such Indebtedness (subject to any extensions of such date agreed by the parties to such definitive documentation) then, in each case, such proceeds are, and pursuant to the terms of such definitive documentation are required to be, promptly applied to satisfy and discharge all obligations of the Company and the Subsidiaries in respect of such Indebtedness) or (b) such Indebtedness contains a “special mandatory redemption” provision (or a similar provision) if such Qualifying Material Acquisition is not consummated by the date specified in the definitive documentation evidencing, governing the rights of the holders of or otherwise relating to such Indebtedness (subject to any extensions of such date agreed by the parties to such definitive documentation) (and, if the definitive agreement (or, in the case of a tender offer or similar transaction, the definitive offer document) for such Qualifying Material Acquisition is terminated prior to the consummation of such Qualifying Material Acquisition or such Qualifying Material Acquisition is otherwise not consummated by the date so specified, such Indebtedness is, and pursuant to such “special mandatory redemption” (or similar) provision is required to be, redeemed or otherwise satisfied and discharged within 90 days of such termination or such specified date, as the case may be).</w:t>
      </w:r>
    </w:p>
    <w:p>
      <w:pPr>
        <w:spacing w:after="0" w:line="16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Adjusted Covenant Period</w:t>
      </w:r>
      <w:r>
        <w:rPr>
          <w:rFonts w:ascii="Times New Roman" w:cs="Times New Roman" w:eastAsia="Times New Roman" w:hAnsi="Times New Roman"/>
          <w:sz w:val="20"/>
          <w:szCs w:val="20"/>
          <w:color w:val="auto"/>
        </w:rPr>
        <w:t>” has the meaning assigned to such term in Section 6.07(a).</w:t>
      </w:r>
    </w:p>
    <w:p>
      <w:pPr>
        <w:spacing w:after="0" w:line="189"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Adjusted Daily Simple RFR</w:t>
      </w:r>
      <w:r>
        <w:rPr>
          <w:rFonts w:ascii="Times New Roman" w:cs="Times New Roman" w:eastAsia="Times New Roman" w:hAnsi="Times New Roman"/>
          <w:sz w:val="19"/>
          <w:szCs w:val="19"/>
          <w:color w:val="auto"/>
        </w:rPr>
        <w:t xml:space="preserve">” means, (i) with respect to any RFR Borrowing denominated in Pounds Sterling, an interest rate per annum equal to the Daily Simple RFR for Pounds Sterling, (ii) with respect to any RFR Borrowing denominated in Swiss Francs, an interest rate per annum equal to the Daily Simple RFR for Swiss Francs, (iii) with respect to any RFR Borrowing denominated in Dollars, an interest rate per annum equal to the Daily Simple RFR for Dollars and (iv) with respect to any RFR Borrowing denominated in Canadian Dollars, an interest rate per annum equal to the Daily Simple RFR for Canadian Dollars;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the Adjusted Daily Simple RFR as so determined would be less than the Floor, such rate shall be deemed to be equal to the Floor for the purposes of this Agreement.</w:t>
      </w:r>
    </w:p>
    <w:p>
      <w:pPr>
        <w:spacing w:after="0" w:line="137"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Adjusted EURIBO Rate</w:t>
      </w:r>
      <w:r>
        <w:rPr>
          <w:rFonts w:ascii="Times New Roman" w:cs="Times New Roman" w:eastAsia="Times New Roman" w:hAnsi="Times New Roman"/>
          <w:sz w:val="20"/>
          <w:szCs w:val="20"/>
          <w:color w:val="auto"/>
        </w:rPr>
        <w:t xml:space="preserve">” means, with respect to any Term Benchmark Borrowing denominated in euro for any Interest Period, an interest rate per annum equal to (a) the EURIBO Rate for such Interest Period multiplied by (b) the Statutory Reserve Rate;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Adjusted EURIBO Rate as so determined would be less than the Floor, such rate shall be deemed to be equal to the Floor for the purposes of this Agreement.</w:t>
      </w:r>
    </w:p>
    <w:p>
      <w:pPr>
        <w:spacing w:after="0" w:line="14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Adjusted Term CORRA Rate</w:t>
      </w:r>
      <w:r>
        <w:rPr>
          <w:rFonts w:ascii="Times New Roman" w:cs="Times New Roman" w:eastAsia="Times New Roman" w:hAnsi="Times New Roman"/>
          <w:sz w:val="20"/>
          <w:szCs w:val="20"/>
          <w:color w:val="auto"/>
        </w:rPr>
        <w:t xml:space="preserve">” means, for purposes of any calculation, the rate per annum equal to Term CORRA for such calculation;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Adjusted Term CORRA Rate as so determined would be less than the Floor, such rate shall be deemed to be equal to the Floor for the purposes of this Agreement.</w:t>
      </w:r>
    </w:p>
    <w:p>
      <w:pPr>
        <w:spacing w:after="0" w:line="141"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Adjusted Term SOFR Rate</w:t>
      </w:r>
      <w:r>
        <w:rPr>
          <w:rFonts w:ascii="Times New Roman" w:cs="Times New Roman" w:eastAsia="Times New Roman" w:hAnsi="Times New Roman"/>
          <w:sz w:val="20"/>
          <w:szCs w:val="20"/>
          <w:color w:val="auto"/>
        </w:rPr>
        <w:t xml:space="preserve">” means, with respect to any Term Benchmark Borrowing denominated in Dollars for any Interest Period, an interest rate per annum equal to the Term SOFR Rate for such Interest Period;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Adjusted Term SOFR Rate as so determined would be less than the Floor, such rate shall be deemed to be equal to the Floor for the purposes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13" w:right="339" w:bottom="1440" w:gutter="0" w:footer="0" w:header="0"/>
        </w:sectPr>
      </w:pPr>
    </w:p>
    <w:bookmarkStart w:id="11" w:name="page12"/>
    <w:bookmarkEnd w:id="11"/>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Adjusted TIBO Rate</w:t>
      </w:r>
      <w:r>
        <w:rPr>
          <w:rFonts w:ascii="Times New Roman" w:cs="Times New Roman" w:eastAsia="Times New Roman" w:hAnsi="Times New Roman"/>
          <w:sz w:val="20"/>
          <w:szCs w:val="20"/>
          <w:color w:val="auto"/>
        </w:rPr>
        <w:t xml:space="preserve">” means, with respect to any Term Benchmark Borrowing denominated in Japanese Yen for any Interest Period, an interest rate per annum equal to (a) the TIBO Rate for such Interest Period multiplied by (b) the Statutory Reserve Rate;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Adjusted TIBO Rate as so determined would be less than the Floor, such rate shall be deemed to be equal to the Floor for the purposes of this Agreement.</w:t>
      </w:r>
    </w:p>
    <w:p>
      <w:pPr>
        <w:spacing w:after="0" w:line="145"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 means the U.S. Administrative Agent and/or the Non-U.S. Administrative Agent as the context requires or as the U.S. Administrative Agent and/or Non-U.S. Administrative Agent deems appropriate in its or their sole discretion.</w:t>
      </w:r>
    </w:p>
    <w:p>
      <w:pPr>
        <w:spacing w:after="0" w:line="132"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Administrative Questionnaire</w:t>
      </w:r>
      <w:r>
        <w:rPr>
          <w:rFonts w:ascii="Times New Roman" w:cs="Times New Roman" w:eastAsia="Times New Roman" w:hAnsi="Times New Roman"/>
          <w:sz w:val="20"/>
          <w:szCs w:val="20"/>
          <w:color w:val="auto"/>
        </w:rPr>
        <w:t>” means an Administrative Questionnaire in a form supplied by the Administrative Agent to the Company or any Lender, as the context requires.</w:t>
      </w:r>
    </w:p>
    <w:p>
      <w:pPr>
        <w:spacing w:after="0" w:line="11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Affected Financial Institution</w:t>
      </w:r>
      <w:r>
        <w:rPr>
          <w:rFonts w:ascii="Times New Roman" w:cs="Times New Roman" w:eastAsia="Times New Roman" w:hAnsi="Times New Roman"/>
          <w:sz w:val="20"/>
          <w:szCs w:val="20"/>
          <w:color w:val="auto"/>
        </w:rPr>
        <w:t>” means (a) any EEA Financial Institution or (b) any UK Financial Institution.</w:t>
      </w:r>
    </w:p>
    <w:p>
      <w:pPr>
        <w:spacing w:after="0" w:line="189"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Affiliate</w:t>
      </w:r>
      <w:r>
        <w:rPr>
          <w:rFonts w:ascii="Times New Roman" w:cs="Times New Roman" w:eastAsia="Times New Roman" w:hAnsi="Times New Roman"/>
          <w:sz w:val="20"/>
          <w:szCs w:val="20"/>
          <w:color w:val="auto"/>
        </w:rPr>
        <w:t>” means, with respect to a specified Person, another Person that directly, or indirectly through one or more intermediaries, Controls or is Controlled by or is under common Control with the Person specified.</w:t>
      </w:r>
    </w:p>
    <w:p>
      <w:pPr>
        <w:spacing w:after="0" w:line="13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Agent-Related Person</w:t>
      </w:r>
      <w:r>
        <w:rPr>
          <w:rFonts w:ascii="Times New Roman" w:cs="Times New Roman" w:eastAsia="Times New Roman" w:hAnsi="Times New Roman"/>
          <w:sz w:val="20"/>
          <w:szCs w:val="20"/>
          <w:color w:val="auto"/>
        </w:rPr>
        <w:t>” has the meaning assigned to such term in Section 9.03(c).</w:t>
      </w:r>
    </w:p>
    <w:p>
      <w:pPr>
        <w:spacing w:after="0" w:line="189" w:lineRule="exact"/>
        <w:rPr>
          <w:sz w:val="20"/>
          <w:szCs w:val="20"/>
          <w:color w:val="auto"/>
        </w:rPr>
      </w:pPr>
    </w:p>
    <w:p>
      <w:pPr>
        <w:jc w:val="both"/>
        <w:ind w:firstLine="1296"/>
        <w:spacing w:after="0" w:line="31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Aggregate Commitment</w:t>
      </w:r>
      <w:r>
        <w:rPr>
          <w:rFonts w:ascii="Times New Roman" w:cs="Times New Roman" w:eastAsia="Times New Roman" w:hAnsi="Times New Roman"/>
          <w:sz w:val="19"/>
          <w:szCs w:val="19"/>
          <w:color w:val="auto"/>
        </w:rPr>
        <w:t>” means the aggregate of the Commitments of all of the Lenders, as reduced or increased from time to time pursuant to the terms and conditions hereof. As of the Restatement Effective Date, the Aggregate Commitment is $3,500,000,000.</w:t>
      </w:r>
    </w:p>
    <w:p>
      <w:pPr>
        <w:spacing w:after="0" w:line="9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Agreed Currencies</w:t>
      </w:r>
      <w:r>
        <w:rPr>
          <w:rFonts w:ascii="Times New Roman" w:cs="Times New Roman" w:eastAsia="Times New Roman" w:hAnsi="Times New Roman"/>
          <w:sz w:val="20"/>
          <w:szCs w:val="20"/>
          <w:color w:val="auto"/>
        </w:rPr>
        <w:t>” means (i) Dollars, (ii) euro, (iii) Pounds Sterling, (iv) Canadian Dollars, (v) Japanese Yen, (vi) Swiss Francs and (vii) any other currency (x) that is a lawful currency that is readily available and freely transferable and convertible into Dollars and (y) that is agreed to by the Administrative Agent and each of the Lenders, and with respect to any Letter of Credit, any other currency other than Dollars which is approved by the Issuing Bank in respect of such Letter of Credit and the Administrative Agent prior to the issuance of such Letter of Credit.</w:t>
      </w:r>
    </w:p>
    <w:p>
      <w:pPr>
        <w:spacing w:after="0" w:line="15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has the meaning assigned to such term in the introductory paragraph of this Agreement.</w:t>
      </w:r>
    </w:p>
    <w:p>
      <w:pPr>
        <w:spacing w:after="0" w:line="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Alternate Base Rate</w:t>
      </w:r>
      <w:r>
        <w:rPr>
          <w:rFonts w:ascii="Times New Roman" w:cs="Times New Roman" w:eastAsia="Times New Roman" w:hAnsi="Times New Roman"/>
          <w:sz w:val="20"/>
          <w:szCs w:val="20"/>
          <w:color w:val="auto"/>
        </w:rPr>
        <w:t>” means, for any day, a rate per annum equal to the greatest of (a) the Prime Rate in effect on such day,</w:t>
      </w:r>
    </w:p>
    <w:p>
      <w:pPr>
        <w:spacing w:after="0" w:line="22" w:lineRule="exact"/>
        <w:rPr>
          <w:sz w:val="20"/>
          <w:szCs w:val="20"/>
          <w:color w:val="auto"/>
        </w:rPr>
      </w:pPr>
    </w:p>
    <w:p>
      <w:pPr>
        <w:jc w:val="both"/>
        <w:ind w:firstLine="8"/>
        <w:spacing w:after="0" w:line="248" w:lineRule="auto"/>
        <w:tabs>
          <w:tab w:leader="none" w:pos="286"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NYFRB Rate in effect on such day plus ½ of 1% and (c) the Adjusted Term SOFR Rate for a one month Interest Period as published two U.S. Government Securities Business Days prior to such day (or if such day is not a U.S. Government Securities Business Day, the immediately preceding U.S. Government Securities Business Day) plus 1%,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the purpose of this definition, the Adjusted Term SOFR Rate for any day shall be based on the Term SOFR Reference Rate at approximately 5:00 a.m., Chicago time, on such day (or any amended publication time for the Term SOFR Reference Rate, as specified by the CME Term SOFR Administrator in the Term SOFR Reference Rate methodology). Any change in the Alternate Base Rate due to a change in the Prime Rate, the NYFRB Rate or the Adjusted Term SOFR Rate shall be effective from and including the effective date of such change in the Prime Rate, the NYFRB Rate or the Adjusted Term SOFR Rate, respectively. If the Alternate Base Rate is being used as an alternate rate of interest pursuant to Section 2.14 hereof (for the avoidance of doubt, only until the Benchmark Replacement has been determined pursuant to Section 2.14(b)), then the Alternate Base Rate shall be the greater of clauses (a) and (b) above and shall be determined without reference to clause (c) above. For the avoidance of doubt, if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413" w:right="339" w:bottom="1440" w:gutter="0" w:footer="0" w:header="0"/>
        </w:sectPr>
      </w:pPr>
    </w:p>
    <w:bookmarkStart w:id="12" w:name="page13"/>
    <w:bookmarkEnd w:id="12"/>
    <w:p>
      <w:pPr>
        <w:jc w:val="both"/>
        <w:spacing w:after="0" w:line="283" w:lineRule="auto"/>
        <w:rPr>
          <w:sz w:val="20"/>
          <w:szCs w:val="20"/>
          <w:color w:val="auto"/>
        </w:rPr>
      </w:pPr>
      <w:r>
        <w:rPr>
          <w:rFonts w:ascii="Times New Roman" w:cs="Times New Roman" w:eastAsia="Times New Roman" w:hAnsi="Times New Roman"/>
          <w:sz w:val="20"/>
          <w:szCs w:val="20"/>
          <w:color w:val="auto"/>
        </w:rPr>
        <w:t>Alternate Base Rate as determined pursuant to the foregoing would be less than 1.00%, such rate shall be deemed to be 1.00% for purposes of this Agreement.</w:t>
      </w:r>
    </w:p>
    <w:p>
      <w:pPr>
        <w:spacing w:after="0" w:line="11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Ancillary Document</w:t>
      </w:r>
      <w:r>
        <w:rPr>
          <w:rFonts w:ascii="Times New Roman" w:cs="Times New Roman" w:eastAsia="Times New Roman" w:hAnsi="Times New Roman"/>
          <w:sz w:val="20"/>
          <w:szCs w:val="20"/>
          <w:color w:val="auto"/>
        </w:rPr>
        <w:t>” has the meaning assigned to such term in Section 9.06.</w:t>
      </w:r>
    </w:p>
    <w:p>
      <w:pPr>
        <w:spacing w:after="0" w:line="202"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Anti-Corruption Laws</w:t>
      </w:r>
      <w:r>
        <w:rPr>
          <w:rFonts w:ascii="Times New Roman" w:cs="Times New Roman" w:eastAsia="Times New Roman" w:hAnsi="Times New Roman"/>
          <w:sz w:val="20"/>
          <w:szCs w:val="20"/>
          <w:color w:val="auto"/>
        </w:rPr>
        <w:t>” means all laws, rules, and regulations of any jurisdiction applicable to the Company or its Subsidiaries from time to time concerning or relating to bribery or corruption.</w:t>
      </w:r>
    </w:p>
    <w:p>
      <w:pPr>
        <w:spacing w:after="0" w:line="159" w:lineRule="exact"/>
        <w:rPr>
          <w:sz w:val="20"/>
          <w:szCs w:val="20"/>
          <w:color w:val="auto"/>
        </w:rPr>
      </w:pPr>
    </w:p>
    <w:p>
      <w:pPr>
        <w:jc w:val="both"/>
        <w:ind w:right="20" w:firstLine="1296"/>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Anti-Money Laundering Laws</w:t>
      </w:r>
      <w:r>
        <w:rPr>
          <w:rFonts w:ascii="Times New Roman" w:cs="Times New Roman" w:eastAsia="Times New Roman" w:hAnsi="Times New Roman"/>
          <w:sz w:val="20"/>
          <w:szCs w:val="20"/>
          <w:color w:val="auto"/>
        </w:rPr>
        <w:t>” means any and all laws, statutes, regulations or obligatory government orders, decrees, ordinances or rules applicable to a Credit Party, its Subsidiaries or Affiliates related to terrorism financing or money laundering, including any applicable provision of the Patriot Act and The Currency and Foreign Transactions Reporting Act (also known as the “Bank Secrecy Act,” 31 U.S.C. §§ 5311-5330 and 12U.S.C. §§ 1818(s), 1820(b) and 1951-1959).</w:t>
      </w:r>
    </w:p>
    <w:p>
      <w:pPr>
        <w:spacing w:after="0" w:line="17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Parties</w:t>
      </w:r>
      <w:r>
        <w:rPr>
          <w:rFonts w:ascii="Times New Roman" w:cs="Times New Roman" w:eastAsia="Times New Roman" w:hAnsi="Times New Roman"/>
          <w:sz w:val="20"/>
          <w:szCs w:val="20"/>
          <w:color w:val="auto"/>
        </w:rPr>
        <w:t>” has the meaning assigned to such term in Section 8.03(c).</w:t>
      </w:r>
    </w:p>
    <w:p>
      <w:pPr>
        <w:spacing w:after="0" w:line="202" w:lineRule="exact"/>
        <w:rPr>
          <w:sz w:val="20"/>
          <w:szCs w:val="20"/>
          <w:color w:val="auto"/>
        </w:rPr>
      </w:pPr>
    </w:p>
    <w:p>
      <w:pPr>
        <w:jc w:val="both"/>
        <w:ind w:firstLine="1296"/>
        <w:spacing w:after="0" w:line="27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Applicable Percentage</w:t>
      </w:r>
      <w:r>
        <w:rPr>
          <w:rFonts w:ascii="Times New Roman" w:cs="Times New Roman" w:eastAsia="Times New Roman" w:hAnsi="Times New Roman"/>
          <w:sz w:val="19"/>
          <w:szCs w:val="19"/>
          <w:color w:val="auto"/>
        </w:rPr>
        <w:t xml:space="preserve">” means, with respect to any Lender, the percentage of the Aggregate Commitment represented by such Lender’s Commitment;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in the case of Section 2.25 when a Defaulting Lender shall exist, “Applicable Percentage” shall mean the percentage of the Aggregate Commitment (disregarding any Defaulting Lender’s Commitment) represented by such Lender’s Commitment. If the Commitments have terminated or expired, the Applicable Percentages shall be determined based upon the Commitments most recently in effect, giving effect to any assignments and to any Lender’s status as a Defaulting Lender at the time of determination.</w:t>
      </w:r>
    </w:p>
    <w:p>
      <w:pPr>
        <w:spacing w:after="0" w:line="16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Rate</w:t>
      </w:r>
      <w:r>
        <w:rPr>
          <w:rFonts w:ascii="Times New Roman" w:cs="Times New Roman" w:eastAsia="Times New Roman" w:hAnsi="Times New Roman"/>
          <w:sz w:val="20"/>
          <w:szCs w:val="20"/>
          <w:color w:val="auto"/>
        </w:rPr>
        <w:t>” means, for any day, with respect to any Term Benchmark Loan, any RFR Loan, any ABR Loan or with respect to the facility fees payable hereunder, as the case may be, the applicable rate per annum set forth below under the caption “Term Benchmark Spread”, “RFR Spread”, “ABR Spread” or “Facility Fee Rate”, as the case may be, based upon the Pricing Level applicable on such date:</w:t>
      </w:r>
    </w:p>
    <w:p>
      <w:pPr>
        <w:spacing w:after="0" w:line="204" w:lineRule="exact"/>
        <w:rPr>
          <w:sz w:val="20"/>
          <w:szCs w:val="20"/>
          <w:color w:val="auto"/>
        </w:rPr>
      </w:pPr>
    </w:p>
    <w:tbl>
      <w:tblPr>
        <w:tblLayout w:type="fixed"/>
        <w:tblInd w:w="370" w:type="dxa"/>
        <w:tblCellMar>
          <w:top w:w="0" w:type="dxa"/>
          <w:left w:w="0" w:type="dxa"/>
          <w:bottom w:w="0" w:type="dxa"/>
          <w:right w:w="0" w:type="dxa"/>
        </w:tblCellMar>
      </w:tblPr>
      <w:tr>
        <w:trPr>
          <w:trHeight w:val="216"/>
        </w:trPr>
        <w:tc>
          <w:tcPr>
            <w:tcW w:w="172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Pricing Level</w:t>
            </w:r>
          </w:p>
        </w:tc>
        <w:tc>
          <w:tcPr>
            <w:tcW w:w="2060" w:type="dxa"/>
            <w:vAlign w:val="bottom"/>
            <w:tcBorders>
              <w:top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16"/>
                <w:szCs w:val="16"/>
                <w:color w:val="auto"/>
              </w:rPr>
              <w:t>Facility Fee Rate</w:t>
            </w:r>
          </w:p>
        </w:tc>
        <w:tc>
          <w:tcPr>
            <w:tcW w:w="20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Term Benchmark</w:t>
            </w:r>
          </w:p>
        </w:tc>
        <w:tc>
          <w:tcPr>
            <w:tcW w:w="20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RFR</w:t>
            </w:r>
          </w:p>
        </w:tc>
        <w:tc>
          <w:tcPr>
            <w:tcW w:w="20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ABR</w:t>
            </w:r>
          </w:p>
        </w:tc>
      </w:tr>
      <w:tr>
        <w:trPr>
          <w:trHeight w:val="210"/>
        </w:trPr>
        <w:tc>
          <w:tcPr>
            <w:tcW w:w="1720" w:type="dxa"/>
            <w:vAlign w:val="bottom"/>
            <w:tcBorders>
              <w:left w:val="single" w:sz="8" w:color="auto"/>
              <w:right w:val="single" w:sz="8" w:color="auto"/>
            </w:tcBorders>
          </w:tcPr>
          <w:p>
            <w:pPr>
              <w:spacing w:after="0"/>
              <w:rPr>
                <w:sz w:val="18"/>
                <w:szCs w:val="18"/>
                <w:color w:val="auto"/>
              </w:rPr>
            </w:pPr>
          </w:p>
        </w:tc>
        <w:tc>
          <w:tcPr>
            <w:tcW w:w="2060" w:type="dxa"/>
            <w:vAlign w:val="bottom"/>
            <w:tcBorders>
              <w:right w:val="single" w:sz="8" w:color="auto"/>
            </w:tcBorders>
          </w:tcPr>
          <w:p>
            <w:pPr>
              <w:spacing w:after="0"/>
              <w:rPr>
                <w:sz w:val="18"/>
                <w:szCs w:val="18"/>
                <w:color w:val="auto"/>
              </w:rPr>
            </w:pPr>
          </w:p>
        </w:tc>
        <w:tc>
          <w:tcPr>
            <w:tcW w:w="2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Spread</w:t>
            </w:r>
          </w:p>
        </w:tc>
        <w:tc>
          <w:tcPr>
            <w:tcW w:w="2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Spread</w:t>
            </w:r>
          </w:p>
        </w:tc>
        <w:tc>
          <w:tcPr>
            <w:tcW w:w="2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Spread</w:t>
            </w:r>
          </w:p>
        </w:tc>
      </w:tr>
      <w:tr>
        <w:trPr>
          <w:trHeight w:val="33"/>
        </w:trPr>
        <w:tc>
          <w:tcPr>
            <w:tcW w:w="1720" w:type="dxa"/>
            <w:vAlign w:val="bottom"/>
            <w:tcBorders>
              <w:left w:val="single" w:sz="8" w:color="auto"/>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r>
      <w:tr>
        <w:trPr>
          <w:trHeight w:val="207"/>
        </w:trPr>
        <w:tc>
          <w:tcPr>
            <w:tcW w:w="1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Level I</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0.07%</w:t>
            </w:r>
          </w:p>
        </w:tc>
        <w:tc>
          <w:tcPr>
            <w:tcW w:w="2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0.68%</w:t>
            </w:r>
          </w:p>
        </w:tc>
        <w:tc>
          <w:tcPr>
            <w:tcW w:w="2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0.68%</w:t>
            </w:r>
          </w:p>
        </w:tc>
        <w:tc>
          <w:tcPr>
            <w:tcW w:w="2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w:t>
            </w:r>
          </w:p>
        </w:tc>
      </w:tr>
      <w:tr>
        <w:trPr>
          <w:trHeight w:val="210"/>
        </w:trPr>
        <w:tc>
          <w:tcPr>
            <w:tcW w:w="1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Level II</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0.08%</w:t>
            </w:r>
          </w:p>
        </w:tc>
        <w:tc>
          <w:tcPr>
            <w:tcW w:w="2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0.795%</w:t>
            </w:r>
          </w:p>
        </w:tc>
        <w:tc>
          <w:tcPr>
            <w:tcW w:w="2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0.795%</w:t>
            </w:r>
          </w:p>
        </w:tc>
        <w:tc>
          <w:tcPr>
            <w:tcW w:w="2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w:t>
            </w:r>
          </w:p>
        </w:tc>
      </w:tr>
      <w:tr>
        <w:trPr>
          <w:trHeight w:val="210"/>
        </w:trPr>
        <w:tc>
          <w:tcPr>
            <w:tcW w:w="1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Level III</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0.09%</w:t>
            </w:r>
          </w:p>
        </w:tc>
        <w:tc>
          <w:tcPr>
            <w:tcW w:w="2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0.91%</w:t>
            </w:r>
          </w:p>
        </w:tc>
        <w:tc>
          <w:tcPr>
            <w:tcW w:w="2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0.91%</w:t>
            </w:r>
          </w:p>
        </w:tc>
        <w:tc>
          <w:tcPr>
            <w:tcW w:w="2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w:t>
            </w:r>
          </w:p>
        </w:tc>
      </w:tr>
      <w:tr>
        <w:trPr>
          <w:trHeight w:val="209"/>
        </w:trPr>
        <w:tc>
          <w:tcPr>
            <w:tcW w:w="1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Level IV</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0.125%</w:t>
            </w:r>
          </w:p>
        </w:tc>
        <w:tc>
          <w:tcPr>
            <w:tcW w:w="2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2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2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w:t>
            </w:r>
          </w:p>
        </w:tc>
      </w:tr>
      <w:tr>
        <w:trPr>
          <w:trHeight w:val="210"/>
        </w:trPr>
        <w:tc>
          <w:tcPr>
            <w:tcW w:w="1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Level V</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0.150%</w:t>
            </w:r>
          </w:p>
        </w:tc>
        <w:tc>
          <w:tcPr>
            <w:tcW w:w="2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1.10%</w:t>
            </w:r>
          </w:p>
        </w:tc>
        <w:tc>
          <w:tcPr>
            <w:tcW w:w="2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1.10%</w:t>
            </w:r>
          </w:p>
        </w:tc>
        <w:tc>
          <w:tcPr>
            <w:tcW w:w="2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0.10%</w:t>
            </w:r>
          </w:p>
        </w:tc>
      </w:tr>
    </w:tbl>
    <w:p>
      <w:pPr>
        <w:spacing w:after="0" w:line="30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For purposes hereof: (i) Pricing Level I, Leverage Level 1 and Ratings Level A are equivalent and correspond to each other, (ii) Pricing Level II, Leverage Level 2 and Ratings Level B are equivalent and correspond to each other, (iii) Pricing Level III, Leverage Level 3 and Ratings Level C are equivalent and correspond to each other, (iv) Pricing Level IV, Leverage Level 4 and Ratings Level D are equivalent and correspond to each other and (v) Pricing Level V, Leverage Level 5 and Ratings Level E are equivalent and correspond to each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413" w:right="339" w:bottom="1440" w:gutter="0" w:footer="0" w:header="0"/>
        </w:sectPr>
      </w:pPr>
    </w:p>
    <w:bookmarkStart w:id="13" w:name="page14"/>
    <w:bookmarkEnd w:id="13"/>
    <w:p>
      <w:pPr>
        <w:jc w:val="both"/>
        <w:spacing w:after="0" w:line="283" w:lineRule="auto"/>
        <w:rPr>
          <w:sz w:val="20"/>
          <w:szCs w:val="20"/>
          <w:color w:val="auto"/>
        </w:rPr>
      </w:pPr>
      <w:r>
        <w:rPr>
          <w:rFonts w:ascii="Times New Roman" w:cs="Times New Roman" w:eastAsia="Times New Roman" w:hAnsi="Times New Roman"/>
          <w:sz w:val="20"/>
          <w:szCs w:val="20"/>
          <w:color w:val="auto"/>
        </w:rPr>
        <w:t>Notwithstanding anything to the contrary in this definition, Pricing Level II shall be deemed to be applicable until the Administrative Agent’s receipt of the financial statements for the Company’s fiscal quarter ending June 30, 2026.</w:t>
      </w:r>
    </w:p>
    <w:p>
      <w:pPr>
        <w:spacing w:after="0" w:line="3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At any time of determination, the Pricing Level shall be determined by reference to the Leverage Level or the Ratings Level, as the Company shall from time to time elect by written notice to the Administrative Agent, and any change in Pricing Level resulting from such election by the Company shall be effected as promptly as practicable by the Administrative Agent after receiving such written election from the Company (but in any event no later than three (3) Business Days after such receipt). Notwithstanding the foregoing or anything else contained in this Agreement to the contrary, the Company shall not be permitted to elect to determine the Pricing Level by reference to the Leverage Level at any time on or after the Leverage Pricing Termination Date. On and after the Leverage Pricing Termination Date, the Pricing Level shall be determined solely by reference to the Ratings Level.</w:t>
      </w:r>
    </w:p>
    <w:p>
      <w:pPr>
        <w:spacing w:after="0" w:line="188" w:lineRule="exact"/>
        <w:rPr>
          <w:sz w:val="20"/>
          <w:szCs w:val="20"/>
          <w:color w:val="auto"/>
        </w:rPr>
      </w:pPr>
    </w:p>
    <w:tbl>
      <w:tblPr>
        <w:tblLayout w:type="fixed"/>
        <w:tblInd w:w="1830" w:type="dxa"/>
        <w:tblCellMar>
          <w:top w:w="0" w:type="dxa"/>
          <w:left w:w="0" w:type="dxa"/>
          <w:bottom w:w="0" w:type="dxa"/>
          <w:right w:w="0" w:type="dxa"/>
        </w:tblCellMar>
      </w:tblPr>
      <w:tr>
        <w:trPr>
          <w:trHeight w:val="230"/>
        </w:trPr>
        <w:tc>
          <w:tcPr>
            <w:tcW w:w="2260" w:type="dxa"/>
            <w:vAlign w:val="bottom"/>
          </w:tcPr>
          <w:p>
            <w:pPr>
              <w:spacing w:after="0"/>
              <w:rPr>
                <w:sz w:val="19"/>
                <w:szCs w:val="19"/>
                <w:color w:val="auto"/>
              </w:rPr>
            </w:pPr>
          </w:p>
        </w:tc>
        <w:tc>
          <w:tcPr>
            <w:tcW w:w="3140" w:type="dxa"/>
            <w:vAlign w:val="bottom"/>
            <w:gridSpan w:val="3"/>
          </w:tcPr>
          <w:p>
            <w:pPr>
              <w:jc w:val="center"/>
              <w:ind w:right="40"/>
              <w:spacing w:after="0"/>
              <w:rPr>
                <w:sz w:val="20"/>
                <w:szCs w:val="20"/>
                <w:color w:val="auto"/>
              </w:rPr>
            </w:pPr>
            <w:r>
              <w:rPr>
                <w:rFonts w:ascii="Times New Roman" w:cs="Times New Roman" w:eastAsia="Times New Roman" w:hAnsi="Times New Roman"/>
                <w:sz w:val="20"/>
                <w:szCs w:val="20"/>
                <w:color w:val="auto"/>
                <w:w w:val="98"/>
              </w:rPr>
              <w:t>Leverage Level Determination</w:t>
            </w:r>
          </w:p>
        </w:tc>
      </w:tr>
      <w:tr>
        <w:trPr>
          <w:trHeight w:val="304"/>
        </w:trPr>
        <w:tc>
          <w:tcPr>
            <w:tcW w:w="2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20" w:type="dxa"/>
            <w:vAlign w:val="bottom"/>
            <w:tcBorders>
              <w:top w:val="single" w:sz="8" w:color="auto"/>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r>
      <w:tr>
        <w:trPr>
          <w:trHeight w:val="250"/>
        </w:trPr>
        <w:tc>
          <w:tcPr>
            <w:tcW w:w="22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Leverage Level</w:t>
            </w:r>
          </w:p>
        </w:tc>
        <w:tc>
          <w:tcPr>
            <w:tcW w:w="340" w:type="dxa"/>
            <w:vAlign w:val="bottom"/>
            <w:tcBorders>
              <w:bottom w:val="single" w:sz="8" w:color="auto"/>
            </w:tcBorders>
          </w:tcPr>
          <w:p>
            <w:pPr>
              <w:spacing w:after="0"/>
              <w:rPr>
                <w:sz w:val="21"/>
                <w:szCs w:val="21"/>
                <w:color w:val="auto"/>
              </w:rPr>
            </w:pPr>
          </w:p>
        </w:tc>
        <w:tc>
          <w:tcPr>
            <w:tcW w:w="2800" w:type="dxa"/>
            <w:vAlign w:val="bottom"/>
            <w:tcBorders>
              <w:bottom w:val="single" w:sz="8" w:color="auto"/>
              <w:right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20"/>
                <w:szCs w:val="20"/>
                <w:color w:val="auto"/>
                <w:w w:val="98"/>
              </w:rPr>
              <w:t>Total Net Leverage Ratio</w:t>
            </w:r>
          </w:p>
        </w:tc>
      </w:tr>
      <w:tr>
        <w:trPr>
          <w:trHeight w:val="250"/>
        </w:trPr>
        <w:tc>
          <w:tcPr>
            <w:tcW w:w="22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Level 1</w:t>
            </w:r>
          </w:p>
        </w:tc>
        <w:tc>
          <w:tcPr>
            <w:tcW w:w="340" w:type="dxa"/>
            <w:vAlign w:val="bottom"/>
            <w:tcBorders>
              <w:bottom w:val="single" w:sz="8" w:color="auto"/>
            </w:tcBorders>
          </w:tcPr>
          <w:p>
            <w:pPr>
              <w:spacing w:after="0"/>
              <w:rPr>
                <w:sz w:val="21"/>
                <w:szCs w:val="21"/>
                <w:color w:val="auto"/>
              </w:rPr>
            </w:pPr>
          </w:p>
        </w:tc>
        <w:tc>
          <w:tcPr>
            <w:tcW w:w="2800" w:type="dxa"/>
            <w:vAlign w:val="bottom"/>
            <w:tcBorders>
              <w:bottom w:val="single" w:sz="8" w:color="auto"/>
              <w:right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20"/>
                <w:szCs w:val="20"/>
                <w:color w:val="auto"/>
                <w:w w:val="98"/>
              </w:rPr>
              <w:t>≤ 0.75 to 1.00</w:t>
            </w:r>
          </w:p>
        </w:tc>
      </w:tr>
      <w:tr>
        <w:trPr>
          <w:trHeight w:val="187"/>
        </w:trPr>
        <w:tc>
          <w:tcPr>
            <w:tcW w:w="2260" w:type="dxa"/>
            <w:vAlign w:val="bottom"/>
            <w:tcBorders>
              <w:left w:val="single" w:sz="8" w:color="auto"/>
              <w:right w:val="single" w:sz="8" w:color="auto"/>
            </w:tcBorders>
          </w:tcPr>
          <w:p>
            <w:pPr>
              <w:jc w:val="center"/>
              <w:spacing w:after="0" w:line="186" w:lineRule="exact"/>
              <w:rPr>
                <w:sz w:val="20"/>
                <w:szCs w:val="20"/>
                <w:color w:val="auto"/>
              </w:rPr>
            </w:pPr>
            <w:r>
              <w:rPr>
                <w:rFonts w:ascii="Times New Roman" w:cs="Times New Roman" w:eastAsia="Times New Roman" w:hAnsi="Times New Roman"/>
                <w:sz w:val="20"/>
                <w:szCs w:val="20"/>
                <w:color w:val="auto"/>
                <w:w w:val="99"/>
              </w:rPr>
              <w:t>Level 2</w:t>
            </w:r>
          </w:p>
        </w:tc>
        <w:tc>
          <w:tcPr>
            <w:tcW w:w="340" w:type="dxa"/>
            <w:vAlign w:val="bottom"/>
          </w:tcPr>
          <w:p>
            <w:pPr>
              <w:spacing w:after="0"/>
              <w:rPr>
                <w:sz w:val="16"/>
                <w:szCs w:val="16"/>
                <w:color w:val="auto"/>
              </w:rPr>
            </w:pPr>
          </w:p>
        </w:tc>
        <w:tc>
          <w:tcPr>
            <w:tcW w:w="2800" w:type="dxa"/>
            <w:vAlign w:val="bottom"/>
            <w:tcBorders>
              <w:right w:val="single" w:sz="8" w:color="auto"/>
            </w:tcBorders>
            <w:gridSpan w:val="2"/>
          </w:tcPr>
          <w:p>
            <w:pPr>
              <w:jc w:val="center"/>
              <w:ind w:right="420"/>
              <w:spacing w:after="0" w:line="186" w:lineRule="exact"/>
              <w:rPr>
                <w:sz w:val="20"/>
                <w:szCs w:val="20"/>
                <w:color w:val="auto"/>
              </w:rPr>
            </w:pPr>
            <w:r>
              <w:rPr>
                <w:rFonts w:ascii="Times New Roman" w:cs="Times New Roman" w:eastAsia="Times New Roman" w:hAnsi="Times New Roman"/>
                <w:sz w:val="20"/>
                <w:szCs w:val="20"/>
                <w:color w:val="auto"/>
                <w:w w:val="99"/>
              </w:rPr>
              <w:t>&gt; 0.75 to 1.00 but</w:t>
            </w:r>
          </w:p>
        </w:tc>
      </w:tr>
      <w:tr>
        <w:trPr>
          <w:trHeight w:val="252"/>
        </w:trPr>
        <w:tc>
          <w:tcPr>
            <w:tcW w:w="2260" w:type="dxa"/>
            <w:vAlign w:val="bottom"/>
            <w:tcBorders>
              <w:left w:val="single" w:sz="8" w:color="auto"/>
              <w:bottom w:val="single" w:sz="8" w:color="auto"/>
              <w:right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800" w:type="dxa"/>
            <w:vAlign w:val="bottom"/>
            <w:tcBorders>
              <w:bottom w:val="single" w:sz="8" w:color="auto"/>
              <w:right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20"/>
                <w:szCs w:val="20"/>
                <w:color w:val="auto"/>
                <w:w w:val="98"/>
              </w:rPr>
              <w:t>≤ 1.25 to 1.00</w:t>
            </w:r>
          </w:p>
        </w:tc>
      </w:tr>
      <w:tr>
        <w:trPr>
          <w:trHeight w:val="187"/>
        </w:trPr>
        <w:tc>
          <w:tcPr>
            <w:tcW w:w="2260" w:type="dxa"/>
            <w:vAlign w:val="bottom"/>
            <w:tcBorders>
              <w:left w:val="single" w:sz="8" w:color="auto"/>
              <w:right w:val="single" w:sz="8" w:color="auto"/>
            </w:tcBorders>
          </w:tcPr>
          <w:p>
            <w:pPr>
              <w:jc w:val="center"/>
              <w:spacing w:after="0" w:line="186" w:lineRule="exact"/>
              <w:rPr>
                <w:sz w:val="20"/>
                <w:szCs w:val="20"/>
                <w:color w:val="auto"/>
              </w:rPr>
            </w:pPr>
            <w:r>
              <w:rPr>
                <w:rFonts w:ascii="Times New Roman" w:cs="Times New Roman" w:eastAsia="Times New Roman" w:hAnsi="Times New Roman"/>
                <w:sz w:val="20"/>
                <w:szCs w:val="20"/>
                <w:color w:val="auto"/>
                <w:w w:val="99"/>
              </w:rPr>
              <w:t>Level 3</w:t>
            </w:r>
          </w:p>
        </w:tc>
        <w:tc>
          <w:tcPr>
            <w:tcW w:w="340" w:type="dxa"/>
            <w:vAlign w:val="bottom"/>
          </w:tcPr>
          <w:p>
            <w:pPr>
              <w:spacing w:after="0"/>
              <w:rPr>
                <w:sz w:val="16"/>
                <w:szCs w:val="16"/>
                <w:color w:val="auto"/>
              </w:rPr>
            </w:pPr>
          </w:p>
        </w:tc>
        <w:tc>
          <w:tcPr>
            <w:tcW w:w="2800" w:type="dxa"/>
            <w:vAlign w:val="bottom"/>
            <w:tcBorders>
              <w:right w:val="single" w:sz="8" w:color="auto"/>
            </w:tcBorders>
            <w:gridSpan w:val="2"/>
          </w:tcPr>
          <w:p>
            <w:pPr>
              <w:jc w:val="center"/>
              <w:ind w:right="420"/>
              <w:spacing w:after="0" w:line="186" w:lineRule="exact"/>
              <w:rPr>
                <w:sz w:val="20"/>
                <w:szCs w:val="20"/>
                <w:color w:val="auto"/>
              </w:rPr>
            </w:pPr>
            <w:r>
              <w:rPr>
                <w:rFonts w:ascii="Times New Roman" w:cs="Times New Roman" w:eastAsia="Times New Roman" w:hAnsi="Times New Roman"/>
                <w:sz w:val="20"/>
                <w:szCs w:val="20"/>
                <w:color w:val="auto"/>
                <w:w w:val="99"/>
              </w:rPr>
              <w:t>&gt; 1.25 to 1.00 but</w:t>
            </w:r>
          </w:p>
        </w:tc>
      </w:tr>
      <w:tr>
        <w:trPr>
          <w:trHeight w:val="252"/>
        </w:trPr>
        <w:tc>
          <w:tcPr>
            <w:tcW w:w="2260" w:type="dxa"/>
            <w:vAlign w:val="bottom"/>
            <w:tcBorders>
              <w:left w:val="single" w:sz="8" w:color="auto"/>
              <w:bottom w:val="single" w:sz="8" w:color="auto"/>
              <w:right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800" w:type="dxa"/>
            <w:vAlign w:val="bottom"/>
            <w:tcBorders>
              <w:bottom w:val="single" w:sz="8" w:color="auto"/>
              <w:right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20"/>
                <w:szCs w:val="20"/>
                <w:color w:val="auto"/>
                <w:w w:val="98"/>
              </w:rPr>
              <w:t>≤ 2.25 to 1.00</w:t>
            </w:r>
          </w:p>
        </w:tc>
      </w:tr>
      <w:tr>
        <w:trPr>
          <w:trHeight w:val="187"/>
        </w:trPr>
        <w:tc>
          <w:tcPr>
            <w:tcW w:w="2260" w:type="dxa"/>
            <w:vAlign w:val="bottom"/>
            <w:tcBorders>
              <w:left w:val="single" w:sz="8" w:color="auto"/>
              <w:right w:val="single" w:sz="8" w:color="auto"/>
            </w:tcBorders>
          </w:tcPr>
          <w:p>
            <w:pPr>
              <w:jc w:val="center"/>
              <w:spacing w:after="0" w:line="186" w:lineRule="exact"/>
              <w:rPr>
                <w:sz w:val="20"/>
                <w:szCs w:val="20"/>
                <w:color w:val="auto"/>
              </w:rPr>
            </w:pPr>
            <w:r>
              <w:rPr>
                <w:rFonts w:ascii="Times New Roman" w:cs="Times New Roman" w:eastAsia="Times New Roman" w:hAnsi="Times New Roman"/>
                <w:sz w:val="20"/>
                <w:szCs w:val="20"/>
                <w:color w:val="auto"/>
                <w:w w:val="99"/>
              </w:rPr>
              <w:t>Level 4</w:t>
            </w:r>
          </w:p>
        </w:tc>
        <w:tc>
          <w:tcPr>
            <w:tcW w:w="340" w:type="dxa"/>
            <w:vAlign w:val="bottom"/>
          </w:tcPr>
          <w:p>
            <w:pPr>
              <w:spacing w:after="0"/>
              <w:rPr>
                <w:sz w:val="16"/>
                <w:szCs w:val="16"/>
                <w:color w:val="auto"/>
              </w:rPr>
            </w:pPr>
          </w:p>
        </w:tc>
        <w:tc>
          <w:tcPr>
            <w:tcW w:w="2800" w:type="dxa"/>
            <w:vAlign w:val="bottom"/>
            <w:tcBorders>
              <w:right w:val="single" w:sz="8" w:color="auto"/>
            </w:tcBorders>
            <w:gridSpan w:val="2"/>
          </w:tcPr>
          <w:p>
            <w:pPr>
              <w:jc w:val="center"/>
              <w:ind w:right="420"/>
              <w:spacing w:after="0" w:line="186" w:lineRule="exact"/>
              <w:rPr>
                <w:sz w:val="20"/>
                <w:szCs w:val="20"/>
                <w:color w:val="auto"/>
              </w:rPr>
            </w:pPr>
            <w:r>
              <w:rPr>
                <w:rFonts w:ascii="Times New Roman" w:cs="Times New Roman" w:eastAsia="Times New Roman" w:hAnsi="Times New Roman"/>
                <w:sz w:val="20"/>
                <w:szCs w:val="20"/>
                <w:color w:val="auto"/>
                <w:w w:val="99"/>
              </w:rPr>
              <w:t>&gt; 2.25 to 1.00 but</w:t>
            </w:r>
          </w:p>
        </w:tc>
      </w:tr>
      <w:tr>
        <w:trPr>
          <w:trHeight w:val="252"/>
        </w:trPr>
        <w:tc>
          <w:tcPr>
            <w:tcW w:w="2260" w:type="dxa"/>
            <w:vAlign w:val="bottom"/>
            <w:tcBorders>
              <w:left w:val="single" w:sz="8" w:color="auto"/>
              <w:bottom w:val="single" w:sz="8" w:color="auto"/>
              <w:right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800" w:type="dxa"/>
            <w:vAlign w:val="bottom"/>
            <w:tcBorders>
              <w:bottom w:val="single" w:sz="8" w:color="auto"/>
              <w:right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20"/>
                <w:szCs w:val="20"/>
                <w:color w:val="auto"/>
                <w:w w:val="98"/>
              </w:rPr>
              <w:t>≤ 3.25 to 1.00</w:t>
            </w:r>
          </w:p>
        </w:tc>
      </w:tr>
      <w:tr>
        <w:trPr>
          <w:trHeight w:val="250"/>
        </w:trPr>
        <w:tc>
          <w:tcPr>
            <w:tcW w:w="22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Level 5</w:t>
            </w:r>
          </w:p>
        </w:tc>
        <w:tc>
          <w:tcPr>
            <w:tcW w:w="340" w:type="dxa"/>
            <w:vAlign w:val="bottom"/>
            <w:tcBorders>
              <w:bottom w:val="single" w:sz="8" w:color="auto"/>
            </w:tcBorders>
          </w:tcPr>
          <w:p>
            <w:pPr>
              <w:spacing w:after="0"/>
              <w:rPr>
                <w:sz w:val="21"/>
                <w:szCs w:val="21"/>
                <w:color w:val="auto"/>
              </w:rPr>
            </w:pPr>
          </w:p>
        </w:tc>
        <w:tc>
          <w:tcPr>
            <w:tcW w:w="2800" w:type="dxa"/>
            <w:vAlign w:val="bottom"/>
            <w:tcBorders>
              <w:bottom w:val="single" w:sz="8" w:color="auto"/>
              <w:right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20"/>
                <w:szCs w:val="20"/>
                <w:color w:val="auto"/>
                <w:w w:val="98"/>
              </w:rPr>
              <w:t>&gt; 3.25 to 1.00</w:t>
            </w:r>
          </w:p>
        </w:tc>
      </w:tr>
    </w:tbl>
    <w:p>
      <w:pPr>
        <w:spacing w:after="0" w:line="315" w:lineRule="exact"/>
        <w:rPr>
          <w:sz w:val="20"/>
          <w:szCs w:val="20"/>
          <w:color w:val="auto"/>
        </w:rPr>
      </w:pPr>
    </w:p>
    <w:p>
      <w:pPr>
        <w:jc w:val="both"/>
        <w:ind w:firstLine="8"/>
        <w:spacing w:after="0" w:line="254" w:lineRule="auto"/>
        <w:tabs>
          <w:tab w:leader="none" w:pos="236"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at any time the Company fails to deliver the Financials on or before the date the Financials are due pursuant to Section 5.01, Leverage Level 5 shall be deemed applicable for the period commencing three (3) Business Days after the required date of delivery and ending on the date which is three (3) Business Days after the Financials are actually delivered, after which the Leverage Level shall be determined in accordance with the table above as applicable; and</w:t>
      </w:r>
    </w:p>
    <w:p>
      <w:pPr>
        <w:spacing w:after="0" w:line="214" w:lineRule="exact"/>
        <w:rPr>
          <w:rFonts w:ascii="Times New Roman" w:cs="Times New Roman" w:eastAsia="Times New Roman" w:hAnsi="Times New Roman"/>
          <w:sz w:val="20"/>
          <w:szCs w:val="20"/>
          <w:color w:val="auto"/>
        </w:rPr>
      </w:pPr>
    </w:p>
    <w:p>
      <w:pPr>
        <w:jc w:val="both"/>
        <w:ind w:firstLine="8"/>
        <w:spacing w:after="0" w:line="261" w:lineRule="auto"/>
        <w:tabs>
          <w:tab w:leader="none" w:pos="31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adjustments, if any, to the Leverage Level then in effect shall be effective three (3) Business Days after the Administrative Agent has received the applicable Financials (it being understood and agreed that each change in Leverage Level shall apply during the period commencing on the effective date of such change and ending on the date immediately preceding the effective date of the next such change).</w:t>
      </w:r>
    </w:p>
    <w:p>
      <w:pPr>
        <w:spacing w:after="0" w:line="190" w:lineRule="exact"/>
        <w:rPr>
          <w:sz w:val="20"/>
          <w:szCs w:val="20"/>
          <w:color w:val="auto"/>
        </w:rPr>
      </w:pPr>
    </w:p>
    <w:tbl>
      <w:tblPr>
        <w:tblLayout w:type="fixed"/>
        <w:tblInd w:w="1870" w:type="dxa"/>
        <w:tblCellMar>
          <w:top w:w="0" w:type="dxa"/>
          <w:left w:w="0" w:type="dxa"/>
          <w:bottom w:w="0" w:type="dxa"/>
          <w:right w:w="0" w:type="dxa"/>
        </w:tblCellMar>
      </w:tblPr>
      <w:tr>
        <w:trPr>
          <w:trHeight w:val="230"/>
        </w:trPr>
        <w:tc>
          <w:tcPr>
            <w:tcW w:w="2160" w:type="dxa"/>
            <w:vAlign w:val="bottom"/>
          </w:tcPr>
          <w:p>
            <w:pPr>
              <w:spacing w:after="0"/>
              <w:rPr>
                <w:sz w:val="19"/>
                <w:szCs w:val="19"/>
                <w:color w:val="auto"/>
              </w:rPr>
            </w:pPr>
          </w:p>
        </w:tc>
        <w:tc>
          <w:tcPr>
            <w:tcW w:w="3120" w:type="dxa"/>
            <w:vAlign w:val="bottom"/>
            <w:gridSpan w:val="3"/>
          </w:tcPr>
          <w:p>
            <w:pPr>
              <w:ind w:left="460"/>
              <w:spacing w:after="0"/>
              <w:rPr>
                <w:sz w:val="20"/>
                <w:szCs w:val="20"/>
                <w:color w:val="auto"/>
              </w:rPr>
            </w:pPr>
            <w:r>
              <w:rPr>
                <w:rFonts w:ascii="Times New Roman" w:cs="Times New Roman" w:eastAsia="Times New Roman" w:hAnsi="Times New Roman"/>
                <w:sz w:val="20"/>
                <w:szCs w:val="20"/>
                <w:color w:val="auto"/>
              </w:rPr>
              <w:t>Ratings Level Determination</w:t>
            </w:r>
          </w:p>
        </w:tc>
      </w:tr>
      <w:tr>
        <w:trPr>
          <w:trHeight w:val="290"/>
        </w:trPr>
        <w:tc>
          <w:tcPr>
            <w:tcW w:w="21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300" w:type="dxa"/>
            <w:vAlign w:val="bottom"/>
            <w:tcBorders>
              <w:top w:val="single" w:sz="8" w:color="auto"/>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r>
      <w:tr>
        <w:trPr>
          <w:trHeight w:val="241"/>
        </w:trPr>
        <w:tc>
          <w:tcPr>
            <w:tcW w:w="21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Ratings Level</w:t>
            </w:r>
          </w:p>
        </w:tc>
        <w:tc>
          <w:tcPr>
            <w:tcW w:w="460" w:type="dxa"/>
            <w:vAlign w:val="bottom"/>
          </w:tcPr>
          <w:p>
            <w:pPr>
              <w:spacing w:after="0"/>
              <w:rPr>
                <w:sz w:val="20"/>
                <w:szCs w:val="20"/>
                <w:color w:val="auto"/>
              </w:rPr>
            </w:pPr>
          </w:p>
        </w:tc>
        <w:tc>
          <w:tcPr>
            <w:tcW w:w="2660" w:type="dxa"/>
            <w:vAlign w:val="bottom"/>
            <w:tcBorders>
              <w:right w:val="single" w:sz="8" w:color="auto"/>
            </w:tcBorders>
            <w:gridSpan w:val="2"/>
          </w:tcPr>
          <w:p>
            <w:pPr>
              <w:jc w:val="center"/>
              <w:ind w:right="480"/>
              <w:spacing w:after="0"/>
              <w:rPr>
                <w:sz w:val="20"/>
                <w:szCs w:val="20"/>
                <w:color w:val="auto"/>
              </w:rPr>
            </w:pPr>
            <w:r>
              <w:rPr>
                <w:rFonts w:ascii="Times New Roman" w:cs="Times New Roman" w:eastAsia="Times New Roman" w:hAnsi="Times New Roman"/>
                <w:sz w:val="20"/>
                <w:szCs w:val="20"/>
                <w:color w:val="auto"/>
                <w:w w:val="98"/>
              </w:rPr>
              <w:t>Index Debt Ratings</w:t>
            </w:r>
          </w:p>
        </w:tc>
      </w:tr>
      <w:tr>
        <w:trPr>
          <w:trHeight w:val="258"/>
        </w:trPr>
        <w:tc>
          <w:tcPr>
            <w:tcW w:w="2160" w:type="dxa"/>
            <w:vAlign w:val="bottom"/>
            <w:tcBorders>
              <w:left w:val="single" w:sz="8" w:color="auto"/>
              <w:right w:val="single" w:sz="8" w:color="auto"/>
            </w:tcBorders>
          </w:tcPr>
          <w:p>
            <w:pPr>
              <w:spacing w:after="0"/>
              <w:rPr>
                <w:sz w:val="22"/>
                <w:szCs w:val="22"/>
                <w:color w:val="auto"/>
              </w:rPr>
            </w:pPr>
          </w:p>
        </w:tc>
        <w:tc>
          <w:tcPr>
            <w:tcW w:w="460" w:type="dxa"/>
            <w:vAlign w:val="bottom"/>
          </w:tcPr>
          <w:p>
            <w:pPr>
              <w:spacing w:after="0"/>
              <w:rPr>
                <w:sz w:val="22"/>
                <w:szCs w:val="22"/>
                <w:color w:val="auto"/>
              </w:rPr>
            </w:pPr>
          </w:p>
        </w:tc>
        <w:tc>
          <w:tcPr>
            <w:tcW w:w="2660" w:type="dxa"/>
            <w:vAlign w:val="bottom"/>
            <w:tcBorders>
              <w:right w:val="single" w:sz="8" w:color="auto"/>
            </w:tcBorders>
            <w:gridSpan w:val="2"/>
          </w:tcPr>
          <w:p>
            <w:pPr>
              <w:jc w:val="center"/>
              <w:ind w:right="480"/>
              <w:spacing w:after="0"/>
              <w:rPr>
                <w:sz w:val="20"/>
                <w:szCs w:val="20"/>
                <w:color w:val="auto"/>
              </w:rPr>
            </w:pPr>
            <w:r>
              <w:rPr>
                <w:rFonts w:ascii="Times New Roman" w:cs="Times New Roman" w:eastAsia="Times New Roman" w:hAnsi="Times New Roman"/>
                <w:sz w:val="20"/>
                <w:szCs w:val="20"/>
                <w:color w:val="auto"/>
                <w:w w:val="97"/>
              </w:rPr>
              <w:t>(S&amp;P/Moody’s)</w:t>
            </w:r>
          </w:p>
        </w:tc>
      </w:tr>
      <w:tr>
        <w:trPr>
          <w:trHeight w:val="21"/>
        </w:trPr>
        <w:tc>
          <w:tcPr>
            <w:tcW w:w="21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60" w:type="dxa"/>
            <w:vAlign w:val="bottom"/>
            <w:tcBorders>
              <w:bottom w:val="single" w:sz="8" w:color="auto"/>
              <w:right w:val="single" w:sz="8" w:color="auto"/>
            </w:tcBorders>
            <w:gridSpan w:val="2"/>
          </w:tcPr>
          <w:p>
            <w:pPr>
              <w:spacing w:after="0" w:line="20" w:lineRule="exact"/>
              <w:rPr>
                <w:sz w:val="1"/>
                <w:szCs w:val="1"/>
                <w:color w:val="auto"/>
              </w:rPr>
            </w:pPr>
          </w:p>
        </w:tc>
      </w:tr>
      <w:tr>
        <w:trPr>
          <w:trHeight w:val="250"/>
        </w:trPr>
        <w:tc>
          <w:tcPr>
            <w:tcW w:w="21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Level A</w:t>
            </w:r>
          </w:p>
        </w:tc>
        <w:tc>
          <w:tcPr>
            <w:tcW w:w="460" w:type="dxa"/>
            <w:vAlign w:val="bottom"/>
            <w:tcBorders>
              <w:bottom w:val="single" w:sz="8" w:color="auto"/>
            </w:tcBorders>
          </w:tcPr>
          <w:p>
            <w:pPr>
              <w:spacing w:after="0"/>
              <w:rPr>
                <w:sz w:val="21"/>
                <w:szCs w:val="21"/>
                <w:color w:val="auto"/>
              </w:rPr>
            </w:pPr>
          </w:p>
        </w:tc>
        <w:tc>
          <w:tcPr>
            <w:tcW w:w="2660" w:type="dxa"/>
            <w:vAlign w:val="bottom"/>
            <w:tcBorders>
              <w:bottom w:val="single" w:sz="8" w:color="auto"/>
              <w:right w:val="single" w:sz="8" w:color="auto"/>
            </w:tcBorders>
            <w:gridSpan w:val="2"/>
          </w:tcPr>
          <w:p>
            <w:pPr>
              <w:jc w:val="center"/>
              <w:ind w:right="500"/>
              <w:spacing w:after="0"/>
              <w:rPr>
                <w:sz w:val="20"/>
                <w:szCs w:val="20"/>
                <w:color w:val="auto"/>
              </w:rPr>
            </w:pPr>
            <w:r>
              <w:rPr>
                <w:rFonts w:ascii="Times New Roman" w:cs="Times New Roman" w:eastAsia="Times New Roman" w:hAnsi="Times New Roman"/>
                <w:sz w:val="20"/>
                <w:szCs w:val="20"/>
                <w:color w:val="auto"/>
                <w:w w:val="98"/>
              </w:rPr>
              <w:t>A/A2 or higher</w:t>
            </w:r>
          </w:p>
        </w:tc>
      </w:tr>
      <w:tr>
        <w:trPr>
          <w:trHeight w:val="250"/>
        </w:trPr>
        <w:tc>
          <w:tcPr>
            <w:tcW w:w="21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6"/>
              </w:rPr>
              <w:t>Level B</w:t>
            </w:r>
          </w:p>
        </w:tc>
        <w:tc>
          <w:tcPr>
            <w:tcW w:w="460" w:type="dxa"/>
            <w:vAlign w:val="bottom"/>
            <w:tcBorders>
              <w:bottom w:val="single" w:sz="8" w:color="auto"/>
            </w:tcBorders>
          </w:tcPr>
          <w:p>
            <w:pPr>
              <w:spacing w:after="0"/>
              <w:rPr>
                <w:sz w:val="21"/>
                <w:szCs w:val="21"/>
                <w:color w:val="auto"/>
              </w:rPr>
            </w:pPr>
          </w:p>
        </w:tc>
        <w:tc>
          <w:tcPr>
            <w:tcW w:w="2660" w:type="dxa"/>
            <w:vAlign w:val="bottom"/>
            <w:tcBorders>
              <w:bottom w:val="single" w:sz="8" w:color="auto"/>
              <w:right w:val="single" w:sz="8" w:color="auto"/>
            </w:tcBorders>
            <w:gridSpan w:val="2"/>
          </w:tcPr>
          <w:p>
            <w:pPr>
              <w:jc w:val="center"/>
              <w:ind w:right="480"/>
              <w:spacing w:after="0"/>
              <w:rPr>
                <w:sz w:val="20"/>
                <w:szCs w:val="20"/>
                <w:color w:val="auto"/>
              </w:rPr>
            </w:pPr>
            <w:r>
              <w:rPr>
                <w:rFonts w:ascii="Times New Roman" w:cs="Times New Roman" w:eastAsia="Times New Roman" w:hAnsi="Times New Roman"/>
                <w:sz w:val="20"/>
                <w:szCs w:val="20"/>
                <w:color w:val="auto"/>
                <w:w w:val="97"/>
              </w:rPr>
              <w:t>A-/A3</w:t>
            </w:r>
          </w:p>
        </w:tc>
      </w:tr>
      <w:tr>
        <w:trPr>
          <w:trHeight w:val="250"/>
        </w:trPr>
        <w:tc>
          <w:tcPr>
            <w:tcW w:w="21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6"/>
              </w:rPr>
              <w:t>Level C</w:t>
            </w:r>
          </w:p>
        </w:tc>
        <w:tc>
          <w:tcPr>
            <w:tcW w:w="460" w:type="dxa"/>
            <w:vAlign w:val="bottom"/>
            <w:tcBorders>
              <w:bottom w:val="single" w:sz="8" w:color="auto"/>
            </w:tcBorders>
          </w:tcPr>
          <w:p>
            <w:pPr>
              <w:spacing w:after="0"/>
              <w:rPr>
                <w:sz w:val="21"/>
                <w:szCs w:val="21"/>
                <w:color w:val="auto"/>
              </w:rPr>
            </w:pPr>
          </w:p>
        </w:tc>
        <w:tc>
          <w:tcPr>
            <w:tcW w:w="2660" w:type="dxa"/>
            <w:vAlign w:val="bottom"/>
            <w:tcBorders>
              <w:bottom w:val="single" w:sz="8" w:color="auto"/>
              <w:right w:val="single" w:sz="8" w:color="auto"/>
            </w:tcBorders>
            <w:gridSpan w:val="2"/>
          </w:tcPr>
          <w:p>
            <w:pPr>
              <w:jc w:val="center"/>
              <w:ind w:right="500"/>
              <w:spacing w:after="0"/>
              <w:rPr>
                <w:sz w:val="20"/>
                <w:szCs w:val="20"/>
                <w:color w:val="auto"/>
              </w:rPr>
            </w:pPr>
            <w:r>
              <w:rPr>
                <w:rFonts w:ascii="Times New Roman" w:cs="Times New Roman" w:eastAsia="Times New Roman" w:hAnsi="Times New Roman"/>
                <w:sz w:val="20"/>
                <w:szCs w:val="20"/>
                <w:color w:val="auto"/>
                <w:w w:val="97"/>
              </w:rPr>
              <w:t>BBB+/Baa1</w:t>
            </w:r>
          </w:p>
        </w:tc>
      </w:tr>
      <w:tr>
        <w:trPr>
          <w:trHeight w:val="250"/>
        </w:trPr>
        <w:tc>
          <w:tcPr>
            <w:tcW w:w="21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Level D</w:t>
            </w:r>
          </w:p>
        </w:tc>
        <w:tc>
          <w:tcPr>
            <w:tcW w:w="460" w:type="dxa"/>
            <w:vAlign w:val="bottom"/>
            <w:tcBorders>
              <w:bottom w:val="single" w:sz="8" w:color="auto"/>
            </w:tcBorders>
          </w:tcPr>
          <w:p>
            <w:pPr>
              <w:spacing w:after="0"/>
              <w:rPr>
                <w:sz w:val="21"/>
                <w:szCs w:val="21"/>
                <w:color w:val="auto"/>
              </w:rPr>
            </w:pPr>
          </w:p>
        </w:tc>
        <w:tc>
          <w:tcPr>
            <w:tcW w:w="2660" w:type="dxa"/>
            <w:vAlign w:val="bottom"/>
            <w:tcBorders>
              <w:bottom w:val="single" w:sz="8" w:color="auto"/>
              <w:right w:val="single" w:sz="8" w:color="auto"/>
            </w:tcBorders>
            <w:gridSpan w:val="2"/>
          </w:tcPr>
          <w:p>
            <w:pPr>
              <w:jc w:val="center"/>
              <w:ind w:right="480"/>
              <w:spacing w:after="0"/>
              <w:rPr>
                <w:sz w:val="20"/>
                <w:szCs w:val="20"/>
                <w:color w:val="auto"/>
              </w:rPr>
            </w:pPr>
            <w:r>
              <w:rPr>
                <w:rFonts w:ascii="Times New Roman" w:cs="Times New Roman" w:eastAsia="Times New Roman" w:hAnsi="Times New Roman"/>
                <w:sz w:val="20"/>
                <w:szCs w:val="20"/>
                <w:color w:val="auto"/>
                <w:w w:val="99"/>
              </w:rPr>
              <w:t>BBB/Baa2</w:t>
            </w:r>
          </w:p>
        </w:tc>
      </w:tr>
      <w:tr>
        <w:trPr>
          <w:trHeight w:val="250"/>
        </w:trPr>
        <w:tc>
          <w:tcPr>
            <w:tcW w:w="21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Level E</w:t>
            </w:r>
          </w:p>
        </w:tc>
        <w:tc>
          <w:tcPr>
            <w:tcW w:w="460" w:type="dxa"/>
            <w:vAlign w:val="bottom"/>
            <w:tcBorders>
              <w:bottom w:val="single" w:sz="8" w:color="auto"/>
            </w:tcBorders>
          </w:tcPr>
          <w:p>
            <w:pPr>
              <w:spacing w:after="0"/>
              <w:rPr>
                <w:sz w:val="21"/>
                <w:szCs w:val="21"/>
                <w:color w:val="auto"/>
              </w:rPr>
            </w:pPr>
          </w:p>
        </w:tc>
        <w:tc>
          <w:tcPr>
            <w:tcW w:w="2660" w:type="dxa"/>
            <w:vAlign w:val="bottom"/>
            <w:tcBorders>
              <w:bottom w:val="single" w:sz="8" w:color="auto"/>
              <w:right w:val="single" w:sz="8" w:color="auto"/>
            </w:tcBorders>
            <w:gridSpan w:val="2"/>
          </w:tcPr>
          <w:p>
            <w:pPr>
              <w:jc w:val="center"/>
              <w:ind w:right="500"/>
              <w:spacing w:after="0"/>
              <w:rPr>
                <w:sz w:val="20"/>
                <w:szCs w:val="20"/>
                <w:color w:val="auto"/>
              </w:rPr>
            </w:pPr>
            <w:r>
              <w:rPr>
                <w:rFonts w:ascii="Times New Roman" w:cs="Times New Roman" w:eastAsia="Times New Roman" w:hAnsi="Times New Roman"/>
                <w:sz w:val="20"/>
                <w:szCs w:val="20"/>
                <w:color w:val="auto"/>
                <w:w w:val="99"/>
              </w:rPr>
              <w:t>BBB-/Baa3 or lower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413" w:right="339" w:bottom="1440" w:gutter="0" w:footer="0" w:header="0"/>
        </w:sectPr>
      </w:pPr>
    </w:p>
    <w:bookmarkStart w:id="14" w:name="page15"/>
    <w:bookmarkEnd w:id="14"/>
    <w:p>
      <w:pPr>
        <w:spacing w:after="0" w:line="21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For purposes of the foregoing, (i) if neither Moody’s nor S&amp;P shall have in effect a rating for the Index Debt (other than by reason of the circumstances referred to in the last sentence of this definition), then Ratings Level E shall be in effect; (ii) if only one of Moody’s or S&amp;P provides a rating for the Index Debt, the Ratings Level corresponding to such rating shall be in effect; (iii) if the ratings for the Index Debt established or deemed to have been established by Moody’s and S&amp;P shall fall within different Ratings Levels, the Ratings Level then in effect shall be based on the higher of the two ratings unless one of the two ratings is two or more Ratings Levels lower than the other, in which case the Ratings Level then in effect shall be determined by reference to the Ratings Level next above that of the lower of the two ratings; and (iv) if the ratings established or deemed to have been established by Moody’s or S&amp;P for the Index Debt shall be changed (other than as a result of a change in the rating system of Moody’s or S&amp;P), such change shall be effective as of the third Business Day following the date on which it is first announced by the applicable rating agency, irrespective of when notice of such change shall have been furnished by the Company to the Administrative Agent and the Lenders pursuant to Section 5.01 or otherwise. Each change in the Ratings Level shall apply during the period commencing on the effective date of such change and ending on the date immediately preceding the effective date of the next such change. If the rating system of Moody’s or S&amp;P shall change, or if either such rating agency shall cease to be in the business of rating corporate debt obligations, the Company and the Lenders shall negotiate in good faith to amend this definition to reflect such changed rating system or the unavailability of ratings from such rating agency and, pending the effectiveness of any such amendment, the Ratings Level shall be determined by reference to the rating most recently in effect prior to such change or cessation.</w:t>
      </w:r>
    </w:p>
    <w:p>
      <w:pPr>
        <w:spacing w:after="0" w:line="201"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Time</w:t>
      </w:r>
      <w:r>
        <w:rPr>
          <w:rFonts w:ascii="Times New Roman" w:cs="Times New Roman" w:eastAsia="Times New Roman" w:hAnsi="Times New Roman"/>
          <w:sz w:val="20"/>
          <w:szCs w:val="20"/>
          <w:color w:val="auto"/>
        </w:rPr>
        <w:t>” means, with respect to any Borrowings and payments in any Foreign Currency, the local time in the place of settlement for such Foreign Currency as may be determined by the Administrative Agent or the relevant Issuing Bank, as the case may be, to be necessary for timely settlement on the relevant date in accordance with normal banking procedures in the place of payment.</w:t>
      </w:r>
    </w:p>
    <w:p>
      <w:pPr>
        <w:spacing w:after="0" w:line="15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Approved Borrower Portal</w:t>
      </w:r>
      <w:r>
        <w:rPr>
          <w:rFonts w:ascii="Times New Roman" w:cs="Times New Roman" w:eastAsia="Times New Roman" w:hAnsi="Times New Roman"/>
          <w:sz w:val="20"/>
          <w:szCs w:val="20"/>
          <w:color w:val="auto"/>
        </w:rPr>
        <w:t>” has the meaning assigned to such term in Section 8.08(a).</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Approved Electronic Platform</w:t>
      </w:r>
      <w:r>
        <w:rPr>
          <w:rFonts w:ascii="Times New Roman" w:cs="Times New Roman" w:eastAsia="Times New Roman" w:hAnsi="Times New Roman"/>
          <w:sz w:val="20"/>
          <w:szCs w:val="20"/>
          <w:color w:val="auto"/>
        </w:rPr>
        <w:t>” has the meaning assigned to such term in Section 8.03(a).</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Approved Fund</w:t>
      </w:r>
      <w:r>
        <w:rPr>
          <w:rFonts w:ascii="Times New Roman" w:cs="Times New Roman" w:eastAsia="Times New Roman" w:hAnsi="Times New Roman"/>
          <w:sz w:val="20"/>
          <w:szCs w:val="20"/>
          <w:color w:val="auto"/>
        </w:rPr>
        <w:t>” has the meaning assigned to such term in Section 9.04(b).</w:t>
      </w:r>
    </w:p>
    <w:p>
      <w:pPr>
        <w:spacing w:after="0" w:line="202"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Arranger</w:t>
      </w:r>
      <w:r>
        <w:rPr>
          <w:rFonts w:ascii="Times New Roman" w:cs="Times New Roman" w:eastAsia="Times New Roman" w:hAnsi="Times New Roman"/>
          <w:sz w:val="20"/>
          <w:szCs w:val="20"/>
          <w:color w:val="auto"/>
        </w:rPr>
        <w:t>” means each of JPMorgan Chase Bank, N.A., BofA Securities, Inc., PNC Capital Markets LLC, Truist Securities, Inc. and Wells Fargo Securities, LLC in its capacity as a joint bookrunner and a joint lead arranger hereunder.</w:t>
      </w:r>
    </w:p>
    <w:p>
      <w:pPr>
        <w:spacing w:after="0" w:line="15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Assignment and Assumption</w:t>
      </w:r>
      <w:r>
        <w:rPr>
          <w:rFonts w:ascii="Times New Roman" w:cs="Times New Roman" w:eastAsia="Times New Roman" w:hAnsi="Times New Roman"/>
          <w:sz w:val="20"/>
          <w:szCs w:val="20"/>
          <w:color w:val="auto"/>
        </w:rPr>
        <w:t xml:space="preserve">” means an assignment and assumption agreement entered into by a Lender and an assignee (with the consent of any party whose consent is required by Section 9.04), and accepted by the Administrative Agent, in the form of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or any other form (including electronic records generated by the use of an electronic platform) approved by the Administrative Agent.</w:t>
      </w:r>
    </w:p>
    <w:p>
      <w:pPr>
        <w:spacing w:after="0" w:line="200" w:lineRule="exact"/>
        <w:rPr>
          <w:sz w:val="20"/>
          <w:szCs w:val="20"/>
          <w:color w:val="auto"/>
        </w:rPr>
      </w:pPr>
    </w:p>
    <w:p>
      <w:pPr>
        <w:spacing w:after="0" w:line="214"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Attributable Receivables Indebtedness</w:t>
      </w:r>
      <w:r>
        <w:rPr>
          <w:rFonts w:ascii="Times New Roman" w:cs="Times New Roman" w:eastAsia="Times New Roman" w:hAnsi="Times New Roman"/>
          <w:sz w:val="20"/>
          <w:szCs w:val="20"/>
          <w:color w:val="auto"/>
        </w:rPr>
        <w:t>” at any time shall mean the principal amount of Indebtedness which (i) if a Permitted Receivables Facility is structured as a secured lending arrangement, constitutes the principal amount of such Indebtedness or (ii) if a Permitted Receivables Facility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440" w:right="339" w:bottom="1440" w:gutter="0" w:footer="0" w:header="0"/>
        </w:sectPr>
      </w:pPr>
    </w:p>
    <w:bookmarkStart w:id="15" w:name="page16"/>
    <w:bookmarkEnd w:id="15"/>
    <w:p>
      <w:pPr>
        <w:jc w:val="both"/>
        <w:spacing w:after="0" w:line="283" w:lineRule="auto"/>
        <w:rPr>
          <w:sz w:val="20"/>
          <w:szCs w:val="20"/>
          <w:color w:val="auto"/>
        </w:rPr>
      </w:pPr>
      <w:r>
        <w:rPr>
          <w:rFonts w:ascii="Times New Roman" w:cs="Times New Roman" w:eastAsia="Times New Roman" w:hAnsi="Times New Roman"/>
          <w:sz w:val="20"/>
          <w:szCs w:val="20"/>
          <w:color w:val="auto"/>
        </w:rPr>
        <w:t>structured as a purchase agreement, would be outstanding at such time under the Permitted Receivables Facility if the same were structured as a secured lending arrangement rather than a purchase arrangement.</w:t>
      </w:r>
    </w:p>
    <w:p>
      <w:pPr>
        <w:spacing w:after="0" w:line="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Augmenting Lender</w:t>
      </w:r>
      <w:r>
        <w:rPr>
          <w:rFonts w:ascii="Times New Roman" w:cs="Times New Roman" w:eastAsia="Times New Roman" w:hAnsi="Times New Roman"/>
          <w:sz w:val="20"/>
          <w:szCs w:val="20"/>
          <w:color w:val="auto"/>
        </w:rPr>
        <w:t>” has the meaning assigned to such term in Section 2.21.</w:t>
      </w:r>
    </w:p>
    <w:p>
      <w:pPr>
        <w:spacing w:after="0" w:line="94"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Availability Period</w:t>
      </w:r>
      <w:r>
        <w:rPr>
          <w:rFonts w:ascii="Times New Roman" w:cs="Times New Roman" w:eastAsia="Times New Roman" w:hAnsi="Times New Roman"/>
          <w:sz w:val="20"/>
          <w:szCs w:val="20"/>
          <w:color w:val="auto"/>
        </w:rPr>
        <w:t>” means the period from and including the Restatement Effective Date to but excluding the earlier of the Maturity Date and the date of termination of the Commitments.</w:t>
      </w:r>
    </w:p>
    <w:p>
      <w:pPr>
        <w:spacing w:after="0" w:line="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Available Tenor</w:t>
      </w:r>
      <w:r>
        <w:rPr>
          <w:rFonts w:ascii="Times New Roman" w:cs="Times New Roman" w:eastAsia="Times New Roman" w:hAnsi="Times New Roman"/>
          <w:sz w:val="20"/>
          <w:szCs w:val="20"/>
          <w:color w:val="auto"/>
        </w:rPr>
        <w:t>” means, as of any date of determination and with respect to the then-current Benchmark for any Agreed Currency, as applicable, any tenor for such Benchmark (or component thereof) or payment period for interest calculated with reference to such Benchmark (or component thereof), as applicable, that is or may be used for determining the length of an Interest Period for any term rate or otherwise, for determining any frequency of making payments of interest calculated pursuant to this Agreement as of such date and not including, for the avoidance of doubt, any tenor for such Benchmark that is then-removed from the definition of “Interest Period” pursuant to clause (e) of Section 2.14.</w:t>
      </w:r>
    </w:p>
    <w:p>
      <w:pPr>
        <w:spacing w:after="0" w:line="3"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Bail-In Action</w:t>
      </w:r>
      <w:r>
        <w:rPr>
          <w:rFonts w:ascii="Times New Roman" w:cs="Times New Roman" w:eastAsia="Times New Roman" w:hAnsi="Times New Roman"/>
          <w:sz w:val="20"/>
          <w:szCs w:val="20"/>
          <w:color w:val="auto"/>
        </w:rPr>
        <w:t>” means the exercise of any Write-Down and Conversion Powers by the applicable Resolution Authority in respect of any liability of an Affected Financial Institution.</w:t>
      </w:r>
    </w:p>
    <w:p>
      <w:pPr>
        <w:spacing w:after="0" w:line="13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Bail-In Legislation</w:t>
      </w:r>
      <w:r>
        <w:rPr>
          <w:rFonts w:ascii="Times New Roman" w:cs="Times New Roman" w:eastAsia="Times New Roman" w:hAnsi="Times New Roman"/>
          <w:sz w:val="20"/>
          <w:szCs w:val="20"/>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11"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Bankruptcy Event</w:t>
      </w:r>
      <w:r>
        <w:rPr>
          <w:rFonts w:ascii="Times New Roman" w:cs="Times New Roman" w:eastAsia="Times New Roman" w:hAnsi="Times New Roman"/>
          <w:sz w:val="20"/>
          <w:szCs w:val="20"/>
          <w:color w:val="auto"/>
        </w:rPr>
        <w:t>” means, with respect to any Person, such Person becomes the subject of a voluntary or involuntary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or has had any order for relief in such proceeding entered in respect thereof, provided that a Bankruptcy Event shall not result solely by virtue of any ownership interest, or the acquisition of any ownership interest, in such Person by a Governmental Authority or instrumentality thereof, unless such ownership interest results in or provides such Person with immunity from the jurisdiction of courts within the United States or from the enforcement of judgments or writs of attachment on its assets or permits such Person (or such Governmental Authority or instrumentality) to reject, repudiate, disavow or disaffirm any contracts or agreements made by such Person.</w:t>
      </w:r>
    </w:p>
    <w:p>
      <w:pPr>
        <w:jc w:val="both"/>
        <w:ind w:firstLine="1296"/>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w:t>
      </w:r>
      <w:r>
        <w:rPr>
          <w:rFonts w:ascii="Times New Roman" w:cs="Times New Roman" w:eastAsia="Times New Roman" w:hAnsi="Times New Roman"/>
          <w:sz w:val="20"/>
          <w:szCs w:val="20"/>
          <w:color w:val="auto"/>
        </w:rPr>
        <w:t xml:space="preserve">” means, initially, with respect to any (i) RFR Loan in any Agreed Currency, the applicable Relevant Rate for such Agreed Currency or (ii) Term Benchmark Loan, the Relevant Rate for such Agreed Currency;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 Benchmark Transition Event or a Term CORRA Reelection Event and the related Benchmark Replacement Date have occurred with respect to the applicable Relevant Rate or the then-current Benchmark for such Agreed Currency, then “Benchmark” means the applicable Benchmark Replacement to the extent that such Benchmark Replacement has replaced such prior benchmark rate pursuant to clause (b) of Section 2.14.</w:t>
      </w:r>
    </w:p>
    <w:p>
      <w:pPr>
        <w:spacing w:after="0" w:line="159" w:lineRule="exact"/>
        <w:rPr>
          <w:sz w:val="20"/>
          <w:szCs w:val="20"/>
          <w:color w:val="auto"/>
        </w:rPr>
      </w:pPr>
    </w:p>
    <w:p>
      <w:pPr>
        <w:jc w:val="both"/>
        <w:ind w:firstLine="84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Replacement</w:t>
      </w:r>
      <w:r>
        <w:rPr>
          <w:rFonts w:ascii="Times New Roman" w:cs="Times New Roman" w:eastAsia="Times New Roman" w:hAnsi="Times New Roman"/>
          <w:sz w:val="20"/>
          <w:szCs w:val="20"/>
          <w:color w:val="auto"/>
        </w:rPr>
        <w:t>” means, for any Available Tenor, the first alternative set forth in the order below that can be determined by the Administrative Agent for the applicable Benchmark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40"/>
          </w:cols>
          <w:pgMar w:left="320" w:top="1413" w:right="339" w:bottom="1440" w:gutter="0" w:footer="0" w:header="0"/>
        </w:sectPr>
      </w:pPr>
    </w:p>
    <w:bookmarkStart w:id="16" w:name="page17"/>
    <w:bookmarkEnd w:id="16"/>
    <w:p>
      <w:pPr>
        <w:spacing w:after="0" w:line="283" w:lineRule="auto"/>
        <w:rPr>
          <w:sz w:val="20"/>
          <w:szCs w:val="20"/>
          <w:color w:val="auto"/>
        </w:rPr>
      </w:pPr>
      <w:r>
        <w:rPr>
          <w:rFonts w:ascii="Times New Roman" w:cs="Times New Roman" w:eastAsia="Times New Roman" w:hAnsi="Times New Roman"/>
          <w:sz w:val="20"/>
          <w:szCs w:val="20"/>
          <w:color w:val="auto"/>
        </w:rPr>
        <w:t xml:space="preserve">Replacement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case of any Loan denominated in a Foreign Currency (other than any Loan denominated in Canadian Dollars), “Benchmark Replacement” shall mean the alternative set forth in (2) below:</w:t>
      </w:r>
    </w:p>
    <w:p>
      <w:pPr>
        <w:spacing w:after="0" w:line="38" w:lineRule="exact"/>
        <w:rPr>
          <w:sz w:val="20"/>
          <w:szCs w:val="20"/>
          <w:color w:val="auto"/>
        </w:rPr>
      </w:pPr>
    </w:p>
    <w:p>
      <w:pPr>
        <w:jc w:val="both"/>
        <w:ind w:left="660" w:firstLine="644"/>
        <w:spacing w:after="0" w:line="261" w:lineRule="auto"/>
        <w:tabs>
          <w:tab w:leader="none" w:pos="1766"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any Loan denominated in Dollars, the Adjusted Daily Simple RFR for RFR Borrowings denominated in Dollars and/or in the case of any Loan denominated in Canadian Dollars, the Adjusted Daily Simple RFR for RFR Borrowings denominated in Canadian Dollars; or</w:t>
      </w:r>
    </w:p>
    <w:p>
      <w:pPr>
        <w:spacing w:after="0" w:line="73" w:lineRule="exact"/>
        <w:rPr>
          <w:rFonts w:ascii="Times New Roman" w:cs="Times New Roman" w:eastAsia="Times New Roman" w:hAnsi="Times New Roman"/>
          <w:sz w:val="20"/>
          <w:szCs w:val="20"/>
          <w:color w:val="auto"/>
        </w:rPr>
      </w:pPr>
    </w:p>
    <w:p>
      <w:pPr>
        <w:jc w:val="both"/>
        <w:ind w:left="660" w:firstLine="644"/>
        <w:spacing w:after="0" w:line="253" w:lineRule="auto"/>
        <w:tabs>
          <w:tab w:leader="none" w:pos="1739"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sum of: (a) the alternate benchmark rate that has been selected by the Administrative Agent and the Company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syndicated credit facilities denominated in the applicable Agreed Currency at such time in the United States and (b) the related Benchmark Replacement Adjustment;</w:t>
      </w:r>
    </w:p>
    <w:p>
      <w:pPr>
        <w:spacing w:after="0" w:line="138"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notwithstanding anything to the contrary in this Agreement or in any other Loan Document, upon the occurrence of a Term CORRA Reelection Event, and the delivery of a Term CORRA Notice, on the applicable Benchmark Replacement Date the “Benchmark Replacement” shall revert to and shall be deemed to be the Adjusted Term CORRA Rate.</w:t>
      </w:r>
    </w:p>
    <w:p>
      <w:pPr>
        <w:spacing w:after="0" w:line="114" w:lineRule="exact"/>
        <w:rPr>
          <w:sz w:val="20"/>
          <w:szCs w:val="20"/>
          <w:color w:val="auto"/>
        </w:rPr>
      </w:pPr>
    </w:p>
    <w:p>
      <w:pPr>
        <w:jc w:val="both"/>
        <w:ind w:left="660" w:firstLine="648"/>
        <w:spacing w:after="0" w:line="283" w:lineRule="auto"/>
        <w:rPr>
          <w:sz w:val="20"/>
          <w:szCs w:val="20"/>
          <w:color w:val="auto"/>
        </w:rPr>
      </w:pPr>
      <w:r>
        <w:rPr>
          <w:rFonts w:ascii="Times New Roman" w:cs="Times New Roman" w:eastAsia="Times New Roman" w:hAnsi="Times New Roman"/>
          <w:sz w:val="20"/>
          <w:szCs w:val="20"/>
          <w:color w:val="auto"/>
        </w:rPr>
        <w:t>If the Benchmark Replacement as determined pursuant to clause (1) or clause (2) would be less than the Floor, the Benchmark Replacement will be deemed to be the Floor for the purposes of this Agreement and the other Loan Documents.</w:t>
      </w:r>
    </w:p>
    <w:p>
      <w:pPr>
        <w:spacing w:after="0" w:line="160" w:lineRule="exact"/>
        <w:rPr>
          <w:sz w:val="20"/>
          <w:szCs w:val="20"/>
          <w:color w:val="auto"/>
        </w:rPr>
      </w:pPr>
    </w:p>
    <w:p>
      <w:pPr>
        <w:jc w:val="both"/>
        <w:ind w:firstLine="846"/>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Replacement Adjustment</w:t>
      </w:r>
      <w:r>
        <w:rPr>
          <w:rFonts w:ascii="Times New Roman" w:cs="Times New Roman" w:eastAsia="Times New Roman" w:hAnsi="Times New Roman"/>
          <w:sz w:val="20"/>
          <w:szCs w:val="20"/>
          <w:color w:val="auto"/>
        </w:rPr>
        <w:t>” means, with respect to any replacement of the then-current Benchmark with an Unadjusted Benchmark Replacement for any applicable Interest Period and Available Tenor for any setting of such Unadjusted Benchmark Replacement, the spread adjustment, or method for calculating or determining such spread adjustment, (which may be a positive or negative value or zero) that has been selected by the Administrative Agent and the Company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the applicable Agreed Currency at such time.</w:t>
      </w:r>
    </w:p>
    <w:p>
      <w:pPr>
        <w:spacing w:after="0" w:line="139" w:lineRule="exact"/>
        <w:rPr>
          <w:sz w:val="20"/>
          <w:szCs w:val="20"/>
          <w:color w:val="auto"/>
        </w:rPr>
      </w:pPr>
    </w:p>
    <w:p>
      <w:pPr>
        <w:jc w:val="both"/>
        <w:ind w:firstLine="1048"/>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Replacement Conforming Changes</w:t>
      </w:r>
      <w:r>
        <w:rPr>
          <w:rFonts w:ascii="Times New Roman" w:cs="Times New Roman" w:eastAsia="Times New Roman" w:hAnsi="Times New Roman"/>
          <w:sz w:val="20"/>
          <w:szCs w:val="20"/>
          <w:color w:val="auto"/>
        </w:rPr>
        <w:t>” means, with respect to any Benchmark Replacement and/or any Term Benchmark Loan denominated in Dollars or Canadian Dollars, as applicable, any technical, administrative or operational changes (including changes to the definition of “Alternate Base Rate,” the definition of “Canadian Prime Rate”, the definition of “Business Day,” the definition of “U.S. Government Securities Business Day,” the definition of “RFR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reasonably decides may be appropriate to reflect the adoption and implementation of such Benchmark and to permit the administration thereof by the Administrative Agent in a manner substantially consistent with market practice (or, if the Administrative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40"/>
          </w:cols>
          <w:pgMar w:left="320" w:top="1413" w:right="339" w:bottom="1440" w:gutter="0" w:footer="0" w:header="0"/>
        </w:sectPr>
      </w:pPr>
    </w:p>
    <w:bookmarkStart w:id="17" w:name="page18"/>
    <w:bookmarkEnd w:id="17"/>
    <w:p>
      <w:pPr>
        <w:jc w:val="both"/>
        <w:spacing w:after="0" w:line="281" w:lineRule="auto"/>
        <w:rPr>
          <w:sz w:val="20"/>
          <w:szCs w:val="20"/>
          <w:color w:val="auto"/>
        </w:rPr>
      </w:pPr>
      <w:r>
        <w:rPr>
          <w:rFonts w:ascii="Times New Roman" w:cs="Times New Roman" w:eastAsia="Times New Roman" w:hAnsi="Times New Roman"/>
          <w:sz w:val="19"/>
          <w:szCs w:val="19"/>
          <w:color w:val="auto"/>
        </w:rPr>
        <w:t>Agent decides that adoption of any portion of such market practice is not administratively feasible or if the Administrative Agent determines that no market practice for the administration of such Benchmark exists, in such other manner of administration as the Administrative Agent decides is reasonably necessary in connection with the administration of this Agreement and the other Loan Documents).</w:t>
      </w:r>
    </w:p>
    <w:p>
      <w:pPr>
        <w:spacing w:after="0" w:line="56" w:lineRule="exact"/>
        <w:rPr>
          <w:sz w:val="20"/>
          <w:szCs w:val="20"/>
          <w:color w:val="auto"/>
        </w:rPr>
      </w:pPr>
    </w:p>
    <w:p>
      <w:pPr>
        <w:jc w:val="both"/>
        <w:ind w:right="20" w:firstLine="85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Replacement Date</w:t>
      </w:r>
      <w:r>
        <w:rPr>
          <w:rFonts w:ascii="Times New Roman" w:cs="Times New Roman" w:eastAsia="Times New Roman" w:hAnsi="Times New Roman"/>
          <w:sz w:val="20"/>
          <w:szCs w:val="20"/>
          <w:color w:val="auto"/>
        </w:rPr>
        <w:t>” means, with respect to any Benchmark, the earliest to occur of the following events with respect to such then-current Benchmark:</w:t>
      </w:r>
    </w:p>
    <w:p>
      <w:pPr>
        <w:spacing w:after="0" w:line="65" w:lineRule="exact"/>
        <w:rPr>
          <w:sz w:val="20"/>
          <w:szCs w:val="20"/>
          <w:color w:val="auto"/>
        </w:rPr>
      </w:pPr>
    </w:p>
    <w:p>
      <w:pPr>
        <w:jc w:val="both"/>
        <w:ind w:left="660" w:firstLine="644"/>
        <w:spacing w:after="0" w:line="258" w:lineRule="auto"/>
        <w:tabs>
          <w:tab w:leader="none" w:pos="1759"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w:t>
      </w:r>
    </w:p>
    <w:p>
      <w:pPr>
        <w:spacing w:after="0" w:line="64" w:lineRule="exact"/>
        <w:rPr>
          <w:rFonts w:ascii="Times New Roman" w:cs="Times New Roman" w:eastAsia="Times New Roman" w:hAnsi="Times New Roman"/>
          <w:sz w:val="20"/>
          <w:szCs w:val="20"/>
          <w:color w:val="auto"/>
        </w:rPr>
      </w:pPr>
    </w:p>
    <w:p>
      <w:pPr>
        <w:jc w:val="both"/>
        <w:ind w:left="660" w:firstLine="644"/>
        <w:spacing w:after="0" w:line="253" w:lineRule="auto"/>
        <w:tabs>
          <w:tab w:leader="none" w:pos="1748"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clause (3) of the definition of “Benchmark Transition Event,” the first date on which such Benchmark (or the published component used in the calculation thereof) has been or, if such Benchmark (or such component thereof) is a term rate, all Available Tenors of such Benchmark (or component thereof) have been determined and announced by the regulatory supervisor for the administrator of such Benchmark (or such component thereof) to be no longer representative;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non-representativeness will be determined by reference to the most recent statement or publication referenced in such clause (3) and even if such Benchmark (or component thereof) or, if such Benchmark (or such component thereof) is a term rate, any Available Tenor of such Benchmark (or such component thereof) continues to be provided on such date; or</w:t>
      </w:r>
    </w:p>
    <w:p>
      <w:pPr>
        <w:spacing w:after="0" w:line="84" w:lineRule="exact"/>
        <w:rPr>
          <w:rFonts w:ascii="Times New Roman" w:cs="Times New Roman" w:eastAsia="Times New Roman" w:hAnsi="Times New Roman"/>
          <w:sz w:val="20"/>
          <w:szCs w:val="20"/>
          <w:color w:val="auto"/>
        </w:rPr>
      </w:pPr>
    </w:p>
    <w:p>
      <w:pPr>
        <w:ind w:left="660" w:firstLine="644"/>
        <w:spacing w:after="0" w:line="269" w:lineRule="auto"/>
        <w:tabs>
          <w:tab w:leader="none" w:pos="1768"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Term CORRA Reelection Event, the date that is thirty (30) days after the date a Term CORRA Notice (if any) is provided to the Lenders and the Company pursuant to Section 2.14(c).</w:t>
      </w:r>
    </w:p>
    <w:p>
      <w:pPr>
        <w:spacing w:after="0" w:line="65" w:lineRule="exact"/>
        <w:rPr>
          <w:sz w:val="20"/>
          <w:szCs w:val="20"/>
          <w:color w:val="auto"/>
        </w:rPr>
      </w:pPr>
    </w:p>
    <w:p>
      <w:pPr>
        <w:jc w:val="both"/>
        <w:ind w:left="660" w:firstLine="648"/>
        <w:spacing w:after="0" w:line="270" w:lineRule="auto"/>
        <w:rPr>
          <w:sz w:val="20"/>
          <w:szCs w:val="20"/>
          <w:color w:val="auto"/>
        </w:rPr>
      </w:pPr>
      <w:r>
        <w:rPr>
          <w:rFonts w:ascii="Times New Roman" w:cs="Times New Roman" w:eastAsia="Times New Roman" w:hAnsi="Times New Roman"/>
          <w:sz w:val="19"/>
          <w:szCs w:val="19"/>
          <w:color w:val="auto"/>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spacing w:after="0" w:line="67" w:lineRule="exact"/>
        <w:rPr>
          <w:sz w:val="20"/>
          <w:szCs w:val="20"/>
          <w:color w:val="auto"/>
        </w:rPr>
      </w:pPr>
    </w:p>
    <w:p>
      <w:pPr>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Transition Event</w:t>
      </w:r>
      <w:r>
        <w:rPr>
          <w:rFonts w:ascii="Times New Roman" w:cs="Times New Roman" w:eastAsia="Times New Roman" w:hAnsi="Times New Roman"/>
          <w:sz w:val="20"/>
          <w:szCs w:val="20"/>
          <w:color w:val="auto"/>
        </w:rPr>
        <w:t>” means, with respect to any Benchmark, the occurrence of one or more of the following events with respect to such then-current Benchmark:</w:t>
      </w:r>
    </w:p>
    <w:p>
      <w:pPr>
        <w:spacing w:after="0" w:line="65" w:lineRule="exact"/>
        <w:rPr>
          <w:sz w:val="20"/>
          <w:szCs w:val="20"/>
          <w:color w:val="auto"/>
        </w:rPr>
      </w:pPr>
    </w:p>
    <w:p>
      <w:pPr>
        <w:jc w:val="both"/>
        <w:ind w:left="660" w:firstLine="644"/>
        <w:spacing w:after="0" w:line="253" w:lineRule="auto"/>
        <w:tabs>
          <w:tab w:leader="none" w:pos="1862"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at the time of such statement or publication, there is no successor administrator that will continue to provide such Benchmark (or such component thereof) or, if such Benchmark (or such component thereof) is a term rate, any Available Tenor of such Benchmark (or such component thereof);</w:t>
      </w:r>
    </w:p>
    <w:p>
      <w:pPr>
        <w:spacing w:after="0" w:line="70" w:lineRule="exact"/>
        <w:rPr>
          <w:rFonts w:ascii="Times New Roman" w:cs="Times New Roman" w:eastAsia="Times New Roman" w:hAnsi="Times New Roman"/>
          <w:sz w:val="20"/>
          <w:szCs w:val="20"/>
          <w:color w:val="auto"/>
        </w:rPr>
      </w:pPr>
    </w:p>
    <w:p>
      <w:pPr>
        <w:jc w:val="both"/>
        <w:ind w:left="660" w:firstLine="644"/>
        <w:spacing w:after="0" w:line="268" w:lineRule="auto"/>
        <w:tabs>
          <w:tab w:leader="none" w:pos="1772"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public statement or publication of information by the regulatory supervisor for the administrator of such Benchmark (or the published component used in the calculation thereof), the Board, the NYFRB, the CME Term SOFR Administrator, the CORRA Administrator, the central bank for the Agreed Currency applicable to such Benchmark,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240"/>
          </w:cols>
          <w:pgMar w:left="320" w:top="1413" w:right="339" w:bottom="1440" w:gutter="0" w:footer="0" w:header="0"/>
        </w:sectPr>
      </w:pPr>
    </w:p>
    <w:bookmarkStart w:id="18" w:name="page19"/>
    <w:bookmarkEnd w:id="18"/>
    <w:p>
      <w:pPr>
        <w:jc w:val="both"/>
        <w:ind w:left="660"/>
        <w:spacing w:after="0" w:line="251" w:lineRule="auto"/>
        <w:rPr>
          <w:sz w:val="20"/>
          <w:szCs w:val="20"/>
          <w:color w:val="auto"/>
        </w:rPr>
      </w:pPr>
      <w:r>
        <w:rPr>
          <w:rFonts w:ascii="Times New Roman" w:cs="Times New Roman" w:eastAsia="Times New Roman" w:hAnsi="Times New Roman"/>
          <w:sz w:val="20"/>
          <w:szCs w:val="20"/>
          <w:color w:val="auto"/>
        </w:rPr>
        <w:t xml:space="preserve">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such Benchmark (or such component thereof) or, if such Benchmark (or such component thereof) is a term rate, all Available Tenors of such Benchmark (or such component thereof) permanently or indefinitely; </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at the time of such statement or publication, there is no successor administrator that will continue to provide such Benchmark (or such component thereof) or, if such Benchmark (or such component thereof) is a term rate, any Available Tenor of such Benchmark (or such component thereof); or</w:t>
      </w:r>
    </w:p>
    <w:p>
      <w:pPr>
        <w:spacing w:after="0" w:line="87" w:lineRule="exact"/>
        <w:rPr>
          <w:sz w:val="20"/>
          <w:szCs w:val="20"/>
          <w:color w:val="auto"/>
        </w:rPr>
      </w:pPr>
    </w:p>
    <w:p>
      <w:pPr>
        <w:jc w:val="both"/>
        <w:ind w:left="660" w:firstLine="644"/>
        <w:spacing w:after="0" w:line="258" w:lineRule="auto"/>
        <w:tabs>
          <w:tab w:leader="none" w:pos="1772"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public statement or publication of information by the regulatory supervisor for the administrator of such Benchmark (or the published component used in the calculation thereof) announcing that such Benchmark (or such component thereof) or, if such Benchmark (or such component thereof) is a term rate, all Available Tenors of such Benchmark (or such component thereof) are no longer, or as of a specified future date will no longer be, representative.</w:t>
      </w:r>
    </w:p>
    <w:p>
      <w:pPr>
        <w:spacing w:after="0" w:line="15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For the avoidance of doubt, a “Benchmark Transition Event” will be deemed to have occurred with respect to any</w:t>
      </w:r>
    </w:p>
    <w:p>
      <w:pPr>
        <w:spacing w:after="0" w:line="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Benchmark if a public statement or publication of information set forth above has occurred with respect to each then-current</w:t>
      </w:r>
    </w:p>
    <w:p>
      <w:pPr>
        <w:spacing w:after="0" w:line="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Available Tenor of such Benchmark (or the published component used in the calculation thereof).</w:t>
      </w:r>
    </w:p>
    <w:p>
      <w:pPr>
        <w:spacing w:after="0" w:line="16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Unavailability Period</w:t>
      </w:r>
      <w:r>
        <w:rPr>
          <w:rFonts w:ascii="Times New Roman" w:cs="Times New Roman" w:eastAsia="Times New Roman" w:hAnsi="Times New Roman"/>
          <w:sz w:val="20"/>
          <w:szCs w:val="20"/>
          <w:color w:val="auto"/>
        </w:rPr>
        <w:t>” means, with respect to any Benchmark, the period (if any) (x) beginning at the time that a Benchmark Replacement Date pursuant to clauses (1) or (2) of that definition has occurred if, at such time, no Benchmark Replacement has replaced such then-current Benchmark for all purposes hereunder and under any Loan Document in accordance with Section 2.14 and (y) ending at the time that a Benchmark Replacement has replaced such then-current Benchmark for all purposes hereunder and under any Loan Document in accordance with Section 2.14.</w:t>
      </w:r>
    </w:p>
    <w:p>
      <w:pPr>
        <w:spacing w:after="0" w:line="138"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Beneficial Ownership Certification</w:t>
      </w:r>
      <w:r>
        <w:rPr>
          <w:rFonts w:ascii="Times New Roman" w:cs="Times New Roman" w:eastAsia="Times New Roman" w:hAnsi="Times New Roman"/>
          <w:sz w:val="20"/>
          <w:szCs w:val="20"/>
          <w:color w:val="auto"/>
        </w:rPr>
        <w:t>” means a certification regarding beneficial ownership or control as required by the Beneficial Ownership Regulation.</w:t>
      </w:r>
    </w:p>
    <w:p>
      <w:pPr>
        <w:spacing w:after="0" w:line="11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Beneficial Ownership Regulation</w:t>
      </w:r>
      <w:r>
        <w:rPr>
          <w:rFonts w:ascii="Times New Roman" w:cs="Times New Roman" w:eastAsia="Times New Roman" w:hAnsi="Times New Roman"/>
          <w:sz w:val="20"/>
          <w:szCs w:val="20"/>
          <w:color w:val="auto"/>
        </w:rPr>
        <w:t>” means 31 C.F.R. § 1010.230.</w:t>
      </w:r>
    </w:p>
    <w:p>
      <w:pPr>
        <w:spacing w:after="0" w:line="16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Benefit Plan</w:t>
      </w:r>
      <w:r>
        <w:rPr>
          <w:rFonts w:ascii="Times New Roman" w:cs="Times New Roman" w:eastAsia="Times New Roman" w:hAnsi="Times New Roman"/>
          <w:sz w:val="20"/>
          <w:szCs w:val="20"/>
          <w:color w:val="auto"/>
        </w:rPr>
        <w:t>” means any of (a) an “employee benefit plan” (as defined in Section 3(3) of ERISA) that is subject to Title I of ERISA, (b) a “plan” as defined in Section 4975 of the Code to which Section 4975 of the Code applies, and (c) any Person whose assets include (for purposes of the Plan Asset Regulations or otherwise for purposes of Title I of ERISA or Section 4975 of the Code) the assets of any such “employee benefit plan” or “plan”.</w:t>
      </w:r>
    </w:p>
    <w:p>
      <w:pPr>
        <w:spacing w:after="0" w:line="145"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BHC Act Affiliate</w:t>
      </w:r>
      <w:r>
        <w:rPr>
          <w:rFonts w:ascii="Times New Roman" w:cs="Times New Roman" w:eastAsia="Times New Roman" w:hAnsi="Times New Roman"/>
          <w:sz w:val="20"/>
          <w:szCs w:val="20"/>
          <w:color w:val="auto"/>
        </w:rPr>
        <w:t>” of a party means an “affiliate” (as such term is defined under, and interpreted in accordance with, 12 U.S.C. 1841(k)) of such party.</w:t>
      </w:r>
    </w:p>
    <w:p>
      <w:pPr>
        <w:spacing w:after="0" w:line="11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Blocking Law</w:t>
      </w:r>
      <w:r>
        <w:rPr>
          <w:rFonts w:ascii="Times New Roman" w:cs="Times New Roman" w:eastAsia="Times New Roman" w:hAnsi="Times New Roman"/>
          <w:sz w:val="20"/>
          <w:szCs w:val="20"/>
          <w:color w:val="auto"/>
        </w:rPr>
        <w:t>” has the meaning assigned to it in Section 3.15(b).</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Board</w:t>
      </w:r>
      <w:r>
        <w:rPr>
          <w:rFonts w:ascii="Times New Roman" w:cs="Times New Roman" w:eastAsia="Times New Roman" w:hAnsi="Times New Roman"/>
          <w:sz w:val="20"/>
          <w:szCs w:val="20"/>
          <w:color w:val="auto"/>
        </w:rPr>
        <w:t>” means the Board of Governors of the Federal Reserve System of the United States of America.</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means the Company or any Foreign Subsidiary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240"/>
          </w:cols>
          <w:pgMar w:left="320" w:top="1413" w:right="339" w:bottom="1440" w:gutter="0" w:footer="0" w:header="0"/>
        </w:sectPr>
      </w:pPr>
    </w:p>
    <w:bookmarkStart w:id="19" w:name="page20"/>
    <w:bookmarkEnd w:id="19"/>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Borrower DTTP Filing</w:t>
      </w:r>
      <w:r>
        <w:rPr>
          <w:rFonts w:ascii="Times New Roman" w:cs="Times New Roman" w:eastAsia="Times New Roman" w:hAnsi="Times New Roman"/>
          <w:sz w:val="20"/>
          <w:szCs w:val="20"/>
          <w:color w:val="auto"/>
        </w:rPr>
        <w:t>” means an HM Revenue &amp; Customs’ Form DTTP2 duly completed and filed by the relevant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Borrower, which:</w:t>
      </w:r>
    </w:p>
    <w:p>
      <w:pPr>
        <w:spacing w:after="0" w:line="187" w:lineRule="exact"/>
        <w:rPr>
          <w:sz w:val="20"/>
          <w:szCs w:val="20"/>
          <w:color w:val="auto"/>
        </w:rPr>
      </w:pPr>
    </w:p>
    <w:p>
      <w:pPr>
        <w:jc w:val="both"/>
        <w:ind w:firstLine="1304"/>
        <w:spacing w:after="0" w:line="258" w:lineRule="auto"/>
        <w:tabs>
          <w:tab w:leader="none" w:pos="1597"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 it relates to a Treaty Lender that is a Lender on the Restatement Effective Date, contains the scheme reference number and jurisdiction of tax residence stated on that Lender’s signature page to this Agreement, and is filed with HM Revenue &amp; Customs within 30 days of the Restatement Effective Date, or (if later) within 30 days of the date such Borrower becomes a Borrower under this Agreement (as the case may be); or</w:t>
      </w:r>
    </w:p>
    <w:p>
      <w:pPr>
        <w:spacing w:after="0" w:line="158" w:lineRule="exact"/>
        <w:rPr>
          <w:rFonts w:ascii="Times New Roman" w:cs="Times New Roman" w:eastAsia="Times New Roman" w:hAnsi="Times New Roman"/>
          <w:sz w:val="20"/>
          <w:szCs w:val="20"/>
          <w:color w:val="auto"/>
        </w:rPr>
      </w:pPr>
    </w:p>
    <w:p>
      <w:pPr>
        <w:jc w:val="both"/>
        <w:ind w:firstLine="1304"/>
        <w:spacing w:after="0" w:line="258" w:lineRule="auto"/>
        <w:tabs>
          <w:tab w:leader="none" w:pos="1582"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 it relates to a Treaty Lender that is not a Lender on the Restatement Effective Date, contains the scheme reference number and jurisdiction of tax residence stated in respect of that Lender in the documentation which it executes on becoming a Party as a Lender, and is filed with HM Revenue &amp; Customs within 30 days of the date such Lender becomes a Lender under this Agreement, or (if later) within 30 days of the date such Borrower becomes a Borrower under this Agreement (as the case may be).</w:t>
      </w:r>
    </w:p>
    <w:p>
      <w:pPr>
        <w:spacing w:after="0" w:line="159"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Borrowing</w:t>
      </w:r>
      <w:r>
        <w:rPr>
          <w:rFonts w:ascii="Times New Roman" w:cs="Times New Roman" w:eastAsia="Times New Roman" w:hAnsi="Times New Roman"/>
          <w:sz w:val="20"/>
          <w:szCs w:val="20"/>
          <w:color w:val="auto"/>
        </w:rPr>
        <w:t>” means Revolving Loans of the same Type, made, converted or continued on the same date and, in the case of Term Benchmark Loans, as to which a single Interest Period is in effect.</w:t>
      </w:r>
    </w:p>
    <w:p>
      <w:pPr>
        <w:spacing w:after="0" w:line="133"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Borrowing Request</w:t>
      </w:r>
      <w:r>
        <w:rPr>
          <w:rFonts w:ascii="Times New Roman" w:cs="Times New Roman" w:eastAsia="Times New Roman" w:hAnsi="Times New Roman"/>
          <w:sz w:val="20"/>
          <w:szCs w:val="20"/>
          <w:color w:val="auto"/>
        </w:rPr>
        <w:t>” means a request by any Borrower for a Borrowing in accordance with Section 2.03, which shall be substantially in the form approved by the Administrative Agent and separately provided to the Company.</w:t>
      </w:r>
    </w:p>
    <w:p>
      <w:pPr>
        <w:spacing w:after="0" w:line="15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Borrowing Subsidiary Agreement</w:t>
      </w:r>
      <w:r>
        <w:rPr>
          <w:rFonts w:ascii="Times New Roman" w:cs="Times New Roman" w:eastAsia="Times New Roman" w:hAnsi="Times New Roman"/>
          <w:sz w:val="20"/>
          <w:szCs w:val="20"/>
          <w:color w:val="auto"/>
        </w:rPr>
        <w:t xml:space="preserve">” means a Borrowing Subsidiary Agreement substantially in the form of </w:t>
      </w:r>
      <w:r>
        <w:rPr>
          <w:rFonts w:ascii="Times New Roman" w:cs="Times New Roman" w:eastAsia="Times New Roman" w:hAnsi="Times New Roman"/>
          <w:sz w:val="20"/>
          <w:szCs w:val="20"/>
          <w:u w:val="single" w:color="auto"/>
          <w:color w:val="auto"/>
        </w:rPr>
        <w:t>Exhibit F-1</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Borrowing Subsidiary Termination</w:t>
      </w:r>
      <w:r>
        <w:rPr>
          <w:rFonts w:ascii="Times New Roman" w:cs="Times New Roman" w:eastAsia="Times New Roman" w:hAnsi="Times New Roman"/>
          <w:sz w:val="20"/>
          <w:szCs w:val="20"/>
          <w:color w:val="auto"/>
        </w:rPr>
        <w:t xml:space="preserve">” means a Borrowing Subsidiary Termination substantially in the form of </w:t>
      </w:r>
      <w:r>
        <w:rPr>
          <w:rFonts w:ascii="Times New Roman" w:cs="Times New Roman" w:eastAsia="Times New Roman" w:hAnsi="Times New Roman"/>
          <w:sz w:val="20"/>
          <w:szCs w:val="20"/>
          <w:u w:val="single" w:color="auto"/>
          <w:color w:val="auto"/>
        </w:rPr>
        <w:t>Exhibit F-2</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Business Day</w:t>
      </w:r>
      <w:r>
        <w:rPr>
          <w:rFonts w:ascii="Times New Roman" w:cs="Times New Roman" w:eastAsia="Times New Roman" w:hAnsi="Times New Roman"/>
          <w:sz w:val="19"/>
          <w:szCs w:val="19"/>
          <w:color w:val="auto"/>
        </w:rPr>
        <w:t xml:space="preserve">” means, any day (other than a Saturday or a Sunday) on which banks are open for business in New York City;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in addition to the foregoing, a Business Day shall be (i) in relation to Loans denominated in euro and in relation to the calculation or computation of the EURIBO Rate, any day which is a TARGET Day, (ii) in relation to Loans denominated in Japanese Yen and in relation to the calculation or computation of the TIBO Rate or the Japanese Prime Rate, any day (other than a Saturday or a Sunday) on which banks are open for business in Japan, (iii) in relation to Loans denominated in Canadian Dollars and in relation to the calculation or computation of CORRA or the Canadian Prime Rate, any day (other than a Saturday or a Sunday) on which banks are open for business in Toronto, Canada, (iv) in relation to RFR Loans and any interest rate settings, fundings, disbursements, settlements or payments of any such RFR Loan, or any other dealings in the applicable Agreed Currency of such RFR Loan, any such day that is only a RFR Business Day and</w:t>
      </w:r>
    </w:p>
    <w:p>
      <w:pPr>
        <w:spacing w:after="0" w:line="4" w:lineRule="exact"/>
        <w:rPr>
          <w:sz w:val="20"/>
          <w:szCs w:val="20"/>
          <w:color w:val="auto"/>
        </w:rPr>
      </w:pPr>
    </w:p>
    <w:p>
      <w:pPr>
        <w:jc w:val="both"/>
        <w:ind w:firstLine="8"/>
        <w:spacing w:after="0" w:line="253" w:lineRule="auto"/>
        <w:tabs>
          <w:tab w:leader="none" w:pos="304"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relation to Loans referencing the Adjusted Term SOFR Rate and any interest rate settings, fundings, disbursements, settlements or payments of any such Loans referencing the Adjusted Term SOFR Rate or any other dealings of such Loans referencing the Adjusted Term SOFR Rate, any such day that is a U.S. Government Securities Business Day.</w:t>
      </w:r>
    </w:p>
    <w:p>
      <w:pPr>
        <w:spacing w:after="0" w:line="162" w:lineRule="exact"/>
        <w:rPr>
          <w:sz w:val="20"/>
          <w:szCs w:val="20"/>
          <w:color w:val="auto"/>
        </w:rPr>
      </w:pPr>
    </w:p>
    <w:p>
      <w:pPr>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Canadian Borrower</w:t>
      </w:r>
      <w:r>
        <w:rPr>
          <w:rFonts w:ascii="Times New Roman" w:cs="Times New Roman" w:eastAsia="Times New Roman" w:hAnsi="Times New Roman"/>
          <w:sz w:val="20"/>
          <w:szCs w:val="20"/>
          <w:color w:val="auto"/>
        </w:rPr>
        <w:t>” means any Canadian Subsidiary that becomes a Foreign Subsidiary Borrower pursuant to Section 2.24 and that has not ceased to be a Foreign Subsidiary Borrower pursuant to such Section.</w:t>
      </w:r>
    </w:p>
    <w:p>
      <w:pPr>
        <w:spacing w:after="0" w:line="1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Canadian Dollars</w:t>
      </w:r>
      <w:r>
        <w:rPr>
          <w:rFonts w:ascii="Times New Roman" w:cs="Times New Roman" w:eastAsia="Times New Roman" w:hAnsi="Times New Roman"/>
          <w:sz w:val="20"/>
          <w:szCs w:val="20"/>
          <w:color w:val="auto"/>
        </w:rPr>
        <w:t>” means the lawful currency of Canada.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240"/>
          </w:cols>
          <w:pgMar w:left="320" w:top="1413" w:right="339" w:bottom="1440" w:gutter="0" w:footer="0" w:header="0"/>
        </w:sectPr>
      </w:pPr>
    </w:p>
    <w:bookmarkStart w:id="20" w:name="page21"/>
    <w:bookmarkEnd w:id="20"/>
    <w:p>
      <w:pPr>
        <w:jc w:val="both"/>
        <w:ind w:firstLine="1296"/>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Canadian Prime Rate</w:t>
      </w:r>
      <w:r>
        <w:rPr>
          <w:rFonts w:ascii="Times New Roman" w:cs="Times New Roman" w:eastAsia="Times New Roman" w:hAnsi="Times New Roman"/>
          <w:sz w:val="20"/>
          <w:szCs w:val="20"/>
          <w:color w:val="auto"/>
        </w:rPr>
        <w:t xml:space="preserve">” means, on any day, the rate determined by the Administrative Agent to be the higher of (i) the rate equal to the PRIMCAN Index rate that appears on the Bloomberg screen at 10:15 a.m. Toronto time on such day (or, in the event that the PRIMCAN Index is not published by Bloomberg, any other information services that publishes such index from time to time, as selected by the Administrative Agent in its reasonable discretion) and (ii) the Adjusted Term CORRA Rate for an interest period of one month in effect on such day, plus 1.00% per annum;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if any of the above rates shall be less than 1.00%, such rate shall be deemed to be 1.00% for purposes of this Agreement. Any change in the Canadian Prime Rate due to a change in the PRIMCAN Index or the Adjusted Term CORRA Rate shall be effective from and including the effective date of such change in the PRIMCAN Index or the Adjusted Term CORRA Rate, respectively.</w:t>
      </w:r>
    </w:p>
    <w:p>
      <w:pPr>
        <w:spacing w:after="0" w:line="11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Canadian Subsidiary</w:t>
      </w:r>
      <w:r>
        <w:rPr>
          <w:rFonts w:ascii="Times New Roman" w:cs="Times New Roman" w:eastAsia="Times New Roman" w:hAnsi="Times New Roman"/>
          <w:sz w:val="19"/>
          <w:szCs w:val="19"/>
          <w:color w:val="auto"/>
        </w:rPr>
        <w:t>” means any Subsidiary that is organized under the laws of Canada or any province or territory thereof.</w:t>
      </w:r>
    </w:p>
    <w:p>
      <w:pPr>
        <w:spacing w:after="0" w:line="173"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Capital Lease Obligations</w:t>
      </w:r>
      <w:r>
        <w:rPr>
          <w:rFonts w:ascii="Times New Roman" w:cs="Times New Roman" w:eastAsia="Times New Roman" w:hAnsi="Times New Roman"/>
          <w:sz w:val="20"/>
          <w:szCs w:val="20"/>
          <w:color w:val="auto"/>
        </w:rPr>
        <w:t>”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or financing leases on a balance sheet of such Person under GAAP, and the amount of such obligations shall be the capitalized amount thereof determined in accordance with GAAP.</w:t>
      </w:r>
    </w:p>
    <w:p>
      <w:pPr>
        <w:spacing w:after="0" w:line="17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Captive Insurance Subsidiary</w:t>
      </w:r>
      <w:r>
        <w:rPr>
          <w:rFonts w:ascii="Times New Roman" w:cs="Times New Roman" w:eastAsia="Times New Roman" w:hAnsi="Times New Roman"/>
          <w:sz w:val="20"/>
          <w:szCs w:val="20"/>
          <w:color w:val="auto"/>
        </w:rPr>
        <w:t>” means AMETEK (Bermuda) Ltd., a corporation organized and existing under the laws of</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Bermuda.</w:t>
      </w:r>
    </w:p>
    <w:p>
      <w:pPr>
        <w:spacing w:after="0" w:line="194"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CBR Loan</w:t>
      </w:r>
      <w:r>
        <w:rPr>
          <w:rFonts w:ascii="Times New Roman" w:cs="Times New Roman" w:eastAsia="Times New Roman" w:hAnsi="Times New Roman"/>
          <w:sz w:val="20"/>
          <w:szCs w:val="20"/>
          <w:color w:val="auto"/>
        </w:rPr>
        <w:t>” means a Loan that bears interest at a rate determined by reference to the Central Bank Rate, the Japanese Prime Rate or the Canadian Prime Rate.</w:t>
      </w:r>
    </w:p>
    <w:p>
      <w:pPr>
        <w:spacing w:after="0" w:line="14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CBR Spread</w:t>
      </w:r>
      <w:r>
        <w:rPr>
          <w:rFonts w:ascii="Times New Roman" w:cs="Times New Roman" w:eastAsia="Times New Roman" w:hAnsi="Times New Roman"/>
          <w:sz w:val="20"/>
          <w:szCs w:val="20"/>
          <w:color w:val="auto"/>
        </w:rPr>
        <w:t>” means the Applicable Rate applicable to such Loan that is replaced by a CBR Loan.</w:t>
      </w:r>
    </w:p>
    <w:p>
      <w:pPr>
        <w:spacing w:after="0" w:line="162"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Central Bank Rate</w:t>
      </w:r>
      <w:r>
        <w:rPr>
          <w:rFonts w:ascii="Times New Roman" w:cs="Times New Roman" w:eastAsia="Times New Roman" w:hAnsi="Times New Roman"/>
          <w:sz w:val="19"/>
          <w:szCs w:val="19"/>
          <w:color w:val="auto"/>
        </w:rPr>
        <w:t>” means, the greater of (I)(A) for any Loan denominated in (a) Pounds Sterling, the Bank of England (or any successor thereto)’s “Bank Rate” as published by the Bank of England (or any successor thereto) from time to time, (b) euro, one of the following three rates as may be selected by the Administrative Agent in its reasonable discretion: (1) the fixed rate for the main refinancing operations of the European Central Bank (or any successor thereto), or, if that rate is not published, the minimum bid rate for the main refinancing operations of the European Central Bank (or any successor thereto), each as published by the European Central Bank (or any successor thereto) from time to time, (2) the rate for the marginal lending facility of the European Central Bank (or any successor thereto), as published by the European Central Bank (or any successor thereto) from time to time or (3) the rate for the deposit facility of the central banking system of the Participating Member States, as published by the European Central Bank (or any successor thereto) from time to time,</w:t>
      </w:r>
    </w:p>
    <w:p>
      <w:pPr>
        <w:spacing w:after="0" w:line="4" w:lineRule="exact"/>
        <w:rPr>
          <w:sz w:val="20"/>
          <w:szCs w:val="20"/>
          <w:color w:val="auto"/>
        </w:rPr>
      </w:pPr>
    </w:p>
    <w:p>
      <w:pPr>
        <w:jc w:val="both"/>
        <w:ind w:firstLine="8"/>
        <w:spacing w:after="0" w:line="251" w:lineRule="auto"/>
        <w:tabs>
          <w:tab w:leader="none" w:pos="29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Swiss Francs, the policy rate of the Swiss National Bank (or any successor thereto) as published by the Swiss National Bank (or any successor thereto) from time to time and (d) any other Foreign Currency (other than the Japanese Yen and Canadian Dollars) determined after the Restatement Effective Date, a central bank rate as determined by the Administrative Agent in its reasonable discretion; plus (B) the applicable Central Bank Rate Adjustment and (II) the Floor.</w:t>
      </w:r>
    </w:p>
    <w:p>
      <w:pPr>
        <w:spacing w:after="0" w:line="16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Central Bank Rate Adjustment</w:t>
      </w:r>
      <w:r>
        <w:rPr>
          <w:rFonts w:ascii="Times New Roman" w:cs="Times New Roman" w:eastAsia="Times New Roman" w:hAnsi="Times New Roman"/>
          <w:sz w:val="20"/>
          <w:szCs w:val="20"/>
          <w:color w:val="auto"/>
        </w:rPr>
        <w:t>” means, for any day, for any Loan denominated in:</w:t>
      </w:r>
    </w:p>
    <w:p>
      <w:pPr>
        <w:spacing w:after="0" w:line="216" w:lineRule="exact"/>
        <w:rPr>
          <w:sz w:val="20"/>
          <w:szCs w:val="20"/>
          <w:color w:val="auto"/>
        </w:rPr>
      </w:pPr>
    </w:p>
    <w:p>
      <w:pPr>
        <w:jc w:val="both"/>
        <w:ind w:left="660" w:firstLine="644"/>
        <w:spacing w:after="0" w:line="261" w:lineRule="auto"/>
        <w:tabs>
          <w:tab w:leader="none" w:pos="1591"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Pounds Sterling, a rate equal to the difference (which may be a positive or negative value or zero) of (i) the average of Adjusted Daily Simple RFR for Pounds Sterling Borrowings for the five most recent RFR Business Days preceding such day for which Adjusted Daily Simple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1240"/>
          </w:cols>
          <w:pgMar w:left="320" w:top="1413" w:right="339" w:bottom="1440" w:gutter="0" w:footer="0" w:header="0"/>
        </w:sectPr>
      </w:pPr>
    </w:p>
    <w:bookmarkStart w:id="21" w:name="page22"/>
    <w:bookmarkEnd w:id="21"/>
    <w:p>
      <w:pPr>
        <w:jc w:val="both"/>
        <w:ind w:left="660"/>
        <w:spacing w:after="0" w:line="261" w:lineRule="auto"/>
        <w:rPr>
          <w:sz w:val="20"/>
          <w:szCs w:val="20"/>
          <w:color w:val="auto"/>
        </w:rPr>
      </w:pPr>
      <w:r>
        <w:rPr>
          <w:rFonts w:ascii="Times New Roman" w:cs="Times New Roman" w:eastAsia="Times New Roman" w:hAnsi="Times New Roman"/>
          <w:sz w:val="20"/>
          <w:szCs w:val="20"/>
          <w:color w:val="auto"/>
        </w:rPr>
        <w:t>RFR for Pounds Sterling Borrowings was available (excluding, from such averaging, the highest and the lowest such Adjusted Daily Simple RFR applicable during such period of five RFR Business Days) minus (ii) the Central Bank Rate in respect of Pounds Sterling in effect on the last RFR Business Day in such period,</w:t>
      </w:r>
    </w:p>
    <w:p>
      <w:pPr>
        <w:spacing w:after="0" w:line="73" w:lineRule="exact"/>
        <w:rPr>
          <w:sz w:val="20"/>
          <w:szCs w:val="20"/>
          <w:color w:val="auto"/>
        </w:rPr>
      </w:pPr>
    </w:p>
    <w:p>
      <w:pPr>
        <w:jc w:val="both"/>
        <w:ind w:left="660" w:firstLine="644"/>
        <w:spacing w:after="0" w:line="258" w:lineRule="auto"/>
        <w:tabs>
          <w:tab w:leader="none" w:pos="1594"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euro, a rate equal to the difference (which may be a positive or negative value or zero) of (i) the average of the Adjusted EURIBO Rate for the five most recent Business Days preceding such day for which the EURIBO Screen Rate was available (excluding, from such averaging, the highest and the lowest Adjusted EURIBO Rate applicable during such period of five Business Days) minus (ii) the Central Bank Rate in respect of euro in effect on the last Business Day in such period,</w:t>
      </w:r>
    </w:p>
    <w:p>
      <w:pPr>
        <w:spacing w:after="0" w:line="64" w:lineRule="exact"/>
        <w:rPr>
          <w:rFonts w:ascii="Times New Roman" w:cs="Times New Roman" w:eastAsia="Times New Roman" w:hAnsi="Times New Roman"/>
          <w:sz w:val="20"/>
          <w:szCs w:val="20"/>
          <w:color w:val="auto"/>
        </w:rPr>
      </w:pPr>
    </w:p>
    <w:p>
      <w:pPr>
        <w:jc w:val="both"/>
        <w:ind w:left="660" w:firstLine="644"/>
        <w:spacing w:after="0" w:line="257" w:lineRule="auto"/>
        <w:tabs>
          <w:tab w:leader="none" w:pos="160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Swiss Francs, a rate equal to the difference (which may be a positive or negative value or zero) of (i) the average of Adjusted Daily Simple RFR for Swiss Franc Borrowings for the five most recent RFR Business Days preceding such day for which SARON was available (excluding, from such averaging, the highest and the lowest such Adjusted Daily Simple RFR applicable during such period of five RFR Business Days)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(ii) the Central Bank Rate in respect of Swiss Francs in effect on the last RFR Business Day in such period, and</w:t>
      </w:r>
    </w:p>
    <w:p>
      <w:pPr>
        <w:spacing w:after="0" w:line="64" w:lineRule="exact"/>
        <w:rPr>
          <w:rFonts w:ascii="Times New Roman" w:cs="Times New Roman" w:eastAsia="Times New Roman" w:hAnsi="Times New Roman"/>
          <w:sz w:val="20"/>
          <w:szCs w:val="20"/>
          <w:color w:val="auto"/>
        </w:rPr>
      </w:pPr>
    </w:p>
    <w:p>
      <w:pPr>
        <w:ind w:left="660" w:firstLine="644"/>
        <w:spacing w:after="0" w:line="283" w:lineRule="auto"/>
        <w:tabs>
          <w:tab w:leader="none" w:pos="1629"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Foreign Currency (other than the Japanese Yen and Canadian Dollars) determined after the Restatement Effective Date, an adjustment as determined by the Administrative Agent in its reasonable discretion.</w:t>
      </w:r>
    </w:p>
    <w:p>
      <w:pPr>
        <w:spacing w:after="0" w:line="38"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20"/>
          <w:szCs w:val="20"/>
          <w:color w:val="auto"/>
        </w:rPr>
        <w:t>For purposes of this definition, (x) the term Central Bank Rate shall be determined disregarding clause (I)(B) of the definition of such term and (y) the EURIBO Rate on any day shall be based on the EURIBO Screen Rate on such day at approximately the time referred to in the definition of such term for deposits in the applicable Agreed Currency for a maturity of one month.</w:t>
      </w:r>
    </w:p>
    <w:p>
      <w:pPr>
        <w:spacing w:after="0" w:line="78"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Change in Control</w:t>
      </w:r>
      <w:r>
        <w:rPr>
          <w:rFonts w:ascii="Times New Roman" w:cs="Times New Roman" w:eastAsia="Times New Roman" w:hAnsi="Times New Roman"/>
          <w:sz w:val="20"/>
          <w:szCs w:val="20"/>
          <w:color w:val="auto"/>
        </w:rPr>
        <w:t>” means (a) the acquisition of ownership, directly or indirectly, beneficially or of record, by any Person or group (within the meaning of the Securities Exchange Act of 1934 and the rules of the SEC thereunder as in effect on the date hereof), of Equity Interests representing more than 35% of the aggregate ordinary voting power represented by the issued and outstanding Equity Interests of the Company or (b) the Company ceases to own, directly or indirectly, 100% (other than directors’ qualifying shares) of the ordinary voting and economic power of any Foreign Subsidiary Borrower.</w:t>
      </w:r>
    </w:p>
    <w:p>
      <w:pPr>
        <w:spacing w:after="0" w:line="84"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Change in Law</w:t>
      </w:r>
      <w:r>
        <w:rPr>
          <w:rFonts w:ascii="Times New Roman" w:cs="Times New Roman" w:eastAsia="Times New Roman" w:hAnsi="Times New Roman"/>
          <w:sz w:val="20"/>
          <w:szCs w:val="20"/>
          <w:color w:val="auto"/>
        </w:rPr>
        <w:t xml:space="preserve">” means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rules, guideline, requirement or directive (whether or not having the force of law) by any Governmental Authority; </w:t>
      </w:r>
      <w:r>
        <w:rPr>
          <w:rFonts w:ascii="Times New Roman" w:cs="Times New Roman" w:eastAsia="Times New Roman" w:hAnsi="Times New Roman"/>
          <w:sz w:val="20"/>
          <w:szCs w:val="20"/>
          <w:u w:val="single" w:color="auto"/>
          <w:color w:val="auto"/>
        </w:rPr>
        <w:t>provided however</w:t>
      </w:r>
      <w:r>
        <w:rPr>
          <w:rFonts w:ascii="Times New Roman" w:cs="Times New Roman" w:eastAsia="Times New Roman" w:hAnsi="Times New Roman"/>
          <w:sz w:val="20"/>
          <w:szCs w:val="20"/>
          <w:color w:val="auto"/>
        </w:rPr>
        <w:t>, that notwithstanding anything herein to the contrary, (i) the Dodd-Frank Wall Street Reform and Consumer Protection Act and all requests, rules, guidelines, requirements and directives thereunder, issued in connection therewith or in implementation thereof, and (ii) all requests, rules, guidelines, requirements and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w:t>
      </w:r>
    </w:p>
    <w:p>
      <w:pPr>
        <w:spacing w:after="0" w:line="8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Charges</w:t>
      </w:r>
      <w:r>
        <w:rPr>
          <w:rFonts w:ascii="Times New Roman" w:cs="Times New Roman" w:eastAsia="Times New Roman" w:hAnsi="Times New Roman"/>
          <w:sz w:val="20"/>
          <w:szCs w:val="20"/>
          <w:color w:val="auto"/>
        </w:rPr>
        <w:t>” has the meaning assigned to such term in Section 9.15.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1240"/>
          </w:cols>
          <w:pgMar w:left="320" w:top="1413" w:right="339" w:bottom="1440" w:gutter="0" w:footer="0" w:header="0"/>
        </w:sectPr>
      </w:pPr>
    </w:p>
    <w:bookmarkStart w:id="22" w:name="page23"/>
    <w:bookmarkEnd w:id="22"/>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Class</w:t>
      </w:r>
      <w:r>
        <w:rPr>
          <w:rFonts w:ascii="Times New Roman" w:cs="Times New Roman" w:eastAsia="Times New Roman" w:hAnsi="Times New Roman"/>
          <w:sz w:val="20"/>
          <w:szCs w:val="20"/>
          <w:color w:val="auto"/>
        </w:rPr>
        <w:t>”, when used in reference to any Loan or Borrowing, refers to whether such Loan, or the Loans comprising such Borrowing, are Revolving Loans.</w:t>
      </w:r>
    </w:p>
    <w:p>
      <w:pPr>
        <w:spacing w:after="0" w:line="38"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CME Term SOFR Administrator</w:t>
      </w:r>
      <w:r>
        <w:rPr>
          <w:rFonts w:ascii="Times New Roman" w:cs="Times New Roman" w:eastAsia="Times New Roman" w:hAnsi="Times New Roman"/>
          <w:sz w:val="20"/>
          <w:szCs w:val="20"/>
          <w:color w:val="auto"/>
        </w:rPr>
        <w:t>” means CME Group Benchmark Administration Limited as administrator of the forward-looking term Secured Overnight Financing Rate (SOFR) (or a successor administrator).</w:t>
      </w:r>
    </w:p>
    <w:p>
      <w:pPr>
        <w:spacing w:after="0" w:line="3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Code</w:t>
      </w:r>
      <w:r>
        <w:rPr>
          <w:rFonts w:ascii="Times New Roman" w:cs="Times New Roman" w:eastAsia="Times New Roman" w:hAnsi="Times New Roman"/>
          <w:sz w:val="20"/>
          <w:szCs w:val="20"/>
          <w:color w:val="auto"/>
        </w:rPr>
        <w:t>” means the Internal Revenue Code of 1986.</w:t>
      </w:r>
    </w:p>
    <w:p>
      <w:pPr>
        <w:spacing w:after="0" w:line="121"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Co-Documentation Agent</w:t>
      </w:r>
      <w:r>
        <w:rPr>
          <w:rFonts w:ascii="Times New Roman" w:cs="Times New Roman" w:eastAsia="Times New Roman" w:hAnsi="Times New Roman"/>
          <w:sz w:val="20"/>
          <w:szCs w:val="20"/>
          <w:color w:val="auto"/>
        </w:rPr>
        <w:t>” means each of U.S. Bank National Association, BNP Paribas, National Westminster Bank Plc, Commerzbank AG, New York Branch, The Bank of Nova Scotia, Citizens Bank, N.A. and ING Bank N.V. Dublin Branch in its capacity as co-documentation agent for the credit facility evidenced by this Agreement.</w:t>
      </w:r>
    </w:p>
    <w:p>
      <w:pPr>
        <w:spacing w:after="0" w:line="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COLI Policy</w:t>
      </w:r>
      <w:r>
        <w:rPr>
          <w:rFonts w:ascii="Times New Roman" w:cs="Times New Roman" w:eastAsia="Times New Roman" w:hAnsi="Times New Roman"/>
          <w:sz w:val="19"/>
          <w:szCs w:val="19"/>
          <w:color w:val="auto"/>
        </w:rPr>
        <w:t>” means a corporate-owned life insurance policy held by the Company with respect to certain of its employees.</w:t>
      </w:r>
    </w:p>
    <w:p>
      <w:pPr>
        <w:spacing w:after="0" w:line="119"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Commitment</w:t>
      </w:r>
      <w:r>
        <w:rPr>
          <w:rFonts w:ascii="Times New Roman" w:cs="Times New Roman" w:eastAsia="Times New Roman" w:hAnsi="Times New Roman"/>
          <w:sz w:val="20"/>
          <w:szCs w:val="20"/>
          <w:color w:val="auto"/>
        </w:rPr>
        <w:t>” means, with respect to each Lender, the commitment of such Lender to make Revolving Loans and to acquire participations in Letters of Credit hereunder, expressed as an amount representing the maximum aggregate amount of such Lender’s Revolving Credit Exposure hereunder, as such commitment may be (a) reduced or terminated from time to time pursuant to Section 2.09,</w:t>
      </w:r>
    </w:p>
    <w:p>
      <w:pPr>
        <w:spacing w:after="0" w:line="2" w:lineRule="exact"/>
        <w:rPr>
          <w:sz w:val="20"/>
          <w:szCs w:val="20"/>
          <w:color w:val="auto"/>
        </w:rPr>
      </w:pPr>
    </w:p>
    <w:p>
      <w:pPr>
        <w:jc w:val="both"/>
        <w:ind w:firstLine="8"/>
        <w:spacing w:after="0" w:line="251" w:lineRule="auto"/>
        <w:tabs>
          <w:tab w:leader="none" w:pos="281"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increased from time to time pursuant to Section 2.21 and (c) reduced or increased from time to time pursuant to assignments by or to such Lender pursuant to Section 9.04. The amount of each Lender’s Commitment as of the Restatement Effective Date is set forth on </w:t>
      </w:r>
      <w:r>
        <w:rPr>
          <w:rFonts w:ascii="Times New Roman" w:cs="Times New Roman" w:eastAsia="Times New Roman" w:hAnsi="Times New Roman"/>
          <w:sz w:val="20"/>
          <w:szCs w:val="20"/>
          <w:u w:val="single" w:color="auto"/>
          <w:color w:val="auto"/>
        </w:rPr>
        <w:t>Schedule 2.01A</w:t>
      </w:r>
      <w:r>
        <w:rPr>
          <w:rFonts w:ascii="Times New Roman" w:cs="Times New Roman" w:eastAsia="Times New Roman" w:hAnsi="Times New Roman"/>
          <w:sz w:val="20"/>
          <w:szCs w:val="20"/>
          <w:color w:val="auto"/>
        </w:rPr>
        <w:t>, or in the Assignment and Assumption or other documentation or record (as such term is defined in Section 9-102(a)(70) of the New York Uniform Commercial Code) contemplated hereby pursuant to which such Lender shall have assumed its Commitment, as applicable.</w:t>
      </w:r>
    </w:p>
    <w:p>
      <w:pPr>
        <w:spacing w:after="0" w:line="71"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Communications</w:t>
      </w:r>
      <w:r>
        <w:rPr>
          <w:rFonts w:ascii="Times New Roman" w:cs="Times New Roman" w:eastAsia="Times New Roman" w:hAnsi="Times New Roman"/>
          <w:sz w:val="20"/>
          <w:szCs w:val="20"/>
          <w:color w:val="auto"/>
        </w:rPr>
        <w:t>” means, collectively, any notice, demand, communication, information, document or other material provided by or on behalf of any Loan Party pursuant to any Loan Document or the transactions contemplated therein which is distributed by the Administrative Agent, any Lender or any Issuing Bank by means of electronic communications pursuant to Section 8.03(c), including through an Approved Electronic Platform.</w:t>
      </w:r>
    </w:p>
    <w:p>
      <w:pPr>
        <w:spacing w:after="0" w:line="6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means AMETEK, Inc., a Delaware corporation.</w:t>
      </w:r>
    </w:p>
    <w:p>
      <w:pPr>
        <w:spacing w:after="0" w:line="1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Computation Date</w:t>
      </w:r>
      <w:r>
        <w:rPr>
          <w:rFonts w:ascii="Times New Roman" w:cs="Times New Roman" w:eastAsia="Times New Roman" w:hAnsi="Times New Roman"/>
          <w:sz w:val="20"/>
          <w:szCs w:val="20"/>
          <w:color w:val="auto"/>
        </w:rPr>
        <w:t>” is defined in Section 2.04.</w:t>
      </w:r>
    </w:p>
    <w:p>
      <w:pPr>
        <w:spacing w:after="0" w:line="121" w:lineRule="exact"/>
        <w:rPr>
          <w:sz w:val="20"/>
          <w:szCs w:val="20"/>
          <w:color w:val="auto"/>
        </w:rPr>
      </w:pPr>
    </w:p>
    <w:p>
      <w:pPr>
        <w:jc w:val="both"/>
        <w:ind w:right="20"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Connection Income Taxes</w:t>
      </w:r>
      <w:r>
        <w:rPr>
          <w:rFonts w:ascii="Times New Roman" w:cs="Times New Roman" w:eastAsia="Times New Roman" w:hAnsi="Times New Roman"/>
          <w:sz w:val="20"/>
          <w:szCs w:val="20"/>
          <w:color w:val="auto"/>
        </w:rPr>
        <w:t>” means Other Connection Taxes that are imposed on or measured by net income (however denominated) or that are franchise Taxes or branch profits Taxes.</w:t>
      </w:r>
    </w:p>
    <w:p>
      <w:pPr>
        <w:spacing w:after="0" w:line="6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Capital Expenditures</w:t>
      </w:r>
      <w:r>
        <w:rPr>
          <w:rFonts w:ascii="Times New Roman" w:cs="Times New Roman" w:eastAsia="Times New Roman" w:hAnsi="Times New Roman"/>
          <w:sz w:val="20"/>
          <w:szCs w:val="20"/>
          <w:color w:val="auto"/>
        </w:rPr>
        <w:t>” means, without duplication, any expenditures for any purchase or other acquisition of any asset which would be classified as a fixed or capital asset on a consolidated balance sheet of the Company and its Subsidiaries prepared in accordance with GAAP.</w:t>
      </w:r>
    </w:p>
    <w:p>
      <w:pPr>
        <w:spacing w:after="0" w:line="69"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EBITDA</w:t>
      </w:r>
      <w:r>
        <w:rPr>
          <w:rFonts w:ascii="Times New Roman" w:cs="Times New Roman" w:eastAsia="Times New Roman" w:hAnsi="Times New Roman"/>
          <w:sz w:val="20"/>
          <w:szCs w:val="20"/>
          <w:color w:val="auto"/>
        </w:rPr>
        <w:t xml:space="preserve">” means Consolidated Net Income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to the extent deducted from revenues in determining Consolidated Net Income, (i) Consolidated Interest Expense, (ii) expense for income taxes paid or accrued, (iii) depreciation,</w:t>
      </w:r>
    </w:p>
    <w:p>
      <w:pPr>
        <w:spacing w:after="0" w:line="1" w:lineRule="exact"/>
        <w:rPr>
          <w:sz w:val="20"/>
          <w:szCs w:val="20"/>
          <w:color w:val="auto"/>
        </w:rPr>
      </w:pPr>
    </w:p>
    <w:p>
      <w:pPr>
        <w:jc w:val="both"/>
        <w:ind w:firstLine="8"/>
        <w:spacing w:after="0" w:line="253" w:lineRule="auto"/>
        <w:tabs>
          <w:tab w:leader="none" w:pos="353"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amortization, (v) the amount of any increase in the Company’s LIFO reserve (exclusive of any portion thereof attributable to sales of assets) during such period (and minus any decrease in the Company’s LIFO reserve (exclusive of any portion thereof attributable to sales of assets) during such period), (vi) non-cash expenses related to stock based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1900" w:h="16838" w:orient="portrait"/>
          <w:cols w:equalWidth="0" w:num="1">
            <w:col w:w="11240"/>
          </w:cols>
          <w:pgMar w:left="320" w:top="1413" w:right="339" w:bottom="1440" w:gutter="0" w:footer="0" w:header="0"/>
        </w:sectPr>
      </w:pPr>
    </w:p>
    <w:bookmarkStart w:id="23" w:name="page24"/>
    <w:bookmarkEnd w:id="23"/>
    <w:p>
      <w:pPr>
        <w:jc w:val="both"/>
        <w:spacing w:after="0" w:line="249" w:lineRule="auto"/>
        <w:rPr>
          <w:sz w:val="20"/>
          <w:szCs w:val="20"/>
          <w:color w:val="auto"/>
        </w:rPr>
      </w:pPr>
      <w:r>
        <w:rPr>
          <w:rFonts w:ascii="Times New Roman" w:cs="Times New Roman" w:eastAsia="Times New Roman" w:hAnsi="Times New Roman"/>
          <w:sz w:val="20"/>
          <w:szCs w:val="20"/>
          <w:color w:val="auto"/>
        </w:rPr>
        <w:t>compensation, (vii) other non-cash charges, without in any case giving effect to the amount for such period of gains or losses on sales of assets outside of the ordinary course of business, (viii) other extraordinary, unusual or nonrecurring charges, costs, expenses or losses (whether cash or non-cash) and (ix) restructuring, integration and other charges, costs and expenses that relate to any acquisition, disposition, asset sale, investment or any related transaction, in each case, not prohibited hereunder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aggregate amount permitted to be added back pursuant to this </w:t>
      </w:r>
      <w:r>
        <w:rPr>
          <w:rFonts w:ascii="Times New Roman" w:cs="Times New Roman" w:eastAsia="Times New Roman" w:hAnsi="Times New Roman"/>
          <w:sz w:val="20"/>
          <w:szCs w:val="20"/>
          <w:u w:val="single" w:color="auto"/>
          <w:color w:val="auto"/>
        </w:rPr>
        <w:t>clause (ix)</w:t>
      </w:r>
      <w:r>
        <w:rPr>
          <w:rFonts w:ascii="Times New Roman" w:cs="Times New Roman" w:eastAsia="Times New Roman" w:hAnsi="Times New Roman"/>
          <w:sz w:val="20"/>
          <w:szCs w:val="20"/>
          <w:color w:val="auto"/>
        </w:rPr>
        <w:t xml:space="preserve"> shall not exceed $100,000,000 during any period of four consecutive fiscal quarters (each such period, a “</w:t>
      </w:r>
      <w:r>
        <w:rPr>
          <w:rFonts w:ascii="Times New Roman" w:cs="Times New Roman" w:eastAsia="Times New Roman" w:hAnsi="Times New Roman"/>
          <w:sz w:val="20"/>
          <w:szCs w:val="20"/>
          <w:u w:val="single" w:color="auto"/>
          <w:color w:val="auto"/>
        </w:rPr>
        <w:t>Reference Period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minus</w:t>
      </w:r>
      <w:r>
        <w:rPr>
          <w:rFonts w:ascii="Times New Roman" w:cs="Times New Roman" w:eastAsia="Times New Roman" w:hAnsi="Times New Roman"/>
          <w:sz w:val="20"/>
          <w:szCs w:val="20"/>
          <w:color w:val="auto"/>
        </w:rPr>
        <w:t>, to the extent included in Consolidated Net Income, other extraordinary or nonrecurring gains, all calculated for the Company and its Subsidiaries on a consolidated basis. For the purposes of calculating Consolidated EBITDA for any Reference Period, if at any time during such Reference Period the Company or any Subsidiary shall have made a Disposition or Acquisition, Consolidated EBITDA for such Reference Period shall be calculated after giving effect thereto on a Pro Forma Basis as if such Disposition or Acquisition occurred on the first day of such Reference Period. As used in this definition, “</w:t>
      </w:r>
      <w:r>
        <w:rPr>
          <w:rFonts w:ascii="Times New Roman" w:cs="Times New Roman" w:eastAsia="Times New Roman" w:hAnsi="Times New Roman"/>
          <w:sz w:val="20"/>
          <w:szCs w:val="20"/>
          <w:u w:val="single" w:color="auto"/>
          <w:color w:val="auto"/>
        </w:rPr>
        <w:t>Acquisition</w:t>
      </w:r>
      <w:r>
        <w:rPr>
          <w:rFonts w:ascii="Times New Roman" w:cs="Times New Roman" w:eastAsia="Times New Roman" w:hAnsi="Times New Roman"/>
          <w:sz w:val="20"/>
          <w:szCs w:val="20"/>
          <w:color w:val="auto"/>
        </w:rPr>
        <w:t>” means any acquisition of property or series of related acquisitions of property that constitutes (i) assets comprising all or substantially all or any significant portion of a business or operating unit of a business, or (ii) all or substantially all of the common stock or other Equity Interests of a Person; and “</w:t>
      </w:r>
      <w:r>
        <w:rPr>
          <w:rFonts w:ascii="Times New Roman" w:cs="Times New Roman" w:eastAsia="Times New Roman" w:hAnsi="Times New Roman"/>
          <w:sz w:val="20"/>
          <w:szCs w:val="20"/>
          <w:u w:val="single" w:color="auto"/>
          <w:color w:val="auto"/>
        </w:rPr>
        <w:t>Disposition</w:t>
      </w:r>
      <w:r>
        <w:rPr>
          <w:rFonts w:ascii="Times New Roman" w:cs="Times New Roman" w:eastAsia="Times New Roman" w:hAnsi="Times New Roman"/>
          <w:sz w:val="20"/>
          <w:szCs w:val="20"/>
          <w:color w:val="auto"/>
        </w:rPr>
        <w:t>” means any disposition of property or series of related dispositions of property that constitutes (i) assets comprising all or substantially all of a business or operating unit of a business, or (ii) all or substantially all or any significant portion of the common stock or other Equity Interests of a Person.</w:t>
      </w:r>
    </w:p>
    <w:p>
      <w:pPr>
        <w:spacing w:after="0" w:line="93"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Interest Expense</w:t>
      </w:r>
      <w:r>
        <w:rPr>
          <w:rFonts w:ascii="Times New Roman" w:cs="Times New Roman" w:eastAsia="Times New Roman" w:hAnsi="Times New Roman"/>
          <w:sz w:val="20"/>
          <w:szCs w:val="20"/>
          <w:color w:val="auto"/>
        </w:rPr>
        <w:t>” means, with reference to any period, the interest expense (including without limitation interest expense under Capital Lease Obligations that is treated as interest in accordance with GAAP) of the Company and its Subsidiaries calculated on a consolidated basis for such period with respect to (a) all outstanding Indebtedness of the Company and its Subsidiaries allocable to such period in accordance with GAAP (including, without limitation, all commissions, discounts and other fees and charges owed with respect to letters of credit and bankers acceptance financing and net costs under interest rate Swap Agreements to the extent such net costs are allocable to such period in accordance with GAAP) and (b) the interest component of all Attributable Receivable Indebtedness of the Company and its Subsidiaries for such period, but excluding, however, amortization of deferred financing costs to the extent included in total interest expense, all as determined on a consolidated basis, in each case net of the total interest income (excluding non-cash interest income on investments issued with original issue discount) of the Company and its Subsidiaries for such period, determined on a consolidated basis.</w:t>
      </w:r>
    </w:p>
    <w:p>
      <w:pPr>
        <w:spacing w:after="0" w:line="88"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Net Income</w:t>
      </w:r>
      <w:r>
        <w:rPr>
          <w:rFonts w:ascii="Times New Roman" w:cs="Times New Roman" w:eastAsia="Times New Roman" w:hAnsi="Times New Roman"/>
          <w:sz w:val="20"/>
          <w:szCs w:val="20"/>
          <w:color w:val="auto"/>
        </w:rPr>
        <w:t>” means, with reference to any period, the net income (or loss) of the Company and its Subsidiaries calculated in accordance with GAAP on a consolidated basis (without duplication) for such period.</w:t>
      </w:r>
    </w:p>
    <w:p>
      <w:pPr>
        <w:spacing w:after="0" w:line="65"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Total Assets</w:t>
      </w:r>
      <w:r>
        <w:rPr>
          <w:rFonts w:ascii="Times New Roman" w:cs="Times New Roman" w:eastAsia="Times New Roman" w:hAnsi="Times New Roman"/>
          <w:sz w:val="20"/>
          <w:szCs w:val="20"/>
          <w:color w:val="auto"/>
        </w:rPr>
        <w:t>” means, as of the date of any determination thereof, total assets of the Company and its Subsidiaries calculated in accordance with GAAP on a consolidated basis as of such date.</w:t>
      </w:r>
    </w:p>
    <w:p>
      <w:pPr>
        <w:spacing w:after="0" w:line="38"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Total Indebtedness</w:t>
      </w:r>
      <w:r>
        <w:rPr>
          <w:rFonts w:ascii="Times New Roman" w:cs="Times New Roman" w:eastAsia="Times New Roman" w:hAnsi="Times New Roman"/>
          <w:sz w:val="20"/>
          <w:szCs w:val="20"/>
          <w:color w:val="auto"/>
        </w:rPr>
        <w:t>” means, as of any date, the sum, without duplication of (a) the aggregate principal amount of Indebtedness of the Company and its Subsidiaries outstanding as of such date in the amount that would be reflected on a balance sheet prepared as of such date on a consolidated basis in accordance with GAAP (but subject to Section 1.04) and (b) the aggregate amount of drawings and disbursements under letters of credit, letters of guaranty and bankers’ acceptances issued for the account of the Company or any Subsidiary, in each case, solely to the extent such drawings and disbursements have not been reimbursed within three Business Days (it being understood that all other obligations of the Company or any Subsidiary arising in respect of letters of credit, letters of guaranty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1900" w:h="16838" w:orient="portrait"/>
          <w:cols w:equalWidth="0" w:num="1">
            <w:col w:w="11240"/>
          </w:cols>
          <w:pgMar w:left="320" w:top="1413" w:right="339" w:bottom="1440" w:gutter="0" w:footer="0" w:header="0"/>
        </w:sectPr>
      </w:pPr>
    </w:p>
    <w:bookmarkStart w:id="24" w:name="page25"/>
    <w:bookmarkEnd w:id="24"/>
    <w:p>
      <w:pPr>
        <w:jc w:val="both"/>
        <w:spacing w:after="0" w:line="258" w:lineRule="auto"/>
        <w:rPr>
          <w:sz w:val="20"/>
          <w:szCs w:val="20"/>
          <w:color w:val="auto"/>
        </w:rPr>
      </w:pPr>
      <w:r>
        <w:rPr>
          <w:rFonts w:ascii="Times New Roman" w:cs="Times New Roman" w:eastAsia="Times New Roman" w:hAnsi="Times New Roman"/>
          <w:sz w:val="20"/>
          <w:szCs w:val="20"/>
          <w:color w:val="auto"/>
        </w:rPr>
        <w:t>bankers’ acceptances shall be excluded from “Consolidated Total Indebtedness”); provided that, for the purposes of determining Consolidated Total Indebtedness, at any time after the definitive agreement for any Material Acquisition shall have been executed, any Acquisition Indebtedness with respect to such Material Acquisition shall, unless such Material Acquisition shall have been consummated, be disregarded.</w:t>
      </w:r>
    </w:p>
    <w:p>
      <w:pPr>
        <w:spacing w:after="0" w:line="64"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Control</w:t>
      </w:r>
      <w:r>
        <w:rPr>
          <w:rFonts w:ascii="Times New Roman" w:cs="Times New Roman" w:eastAsia="Times New Roman" w:hAnsi="Times New Roman"/>
          <w:sz w:val="20"/>
          <w:szCs w:val="20"/>
          <w:color w:val="auto"/>
        </w:rPr>
        <w:t>” means the possession, directly or indirectly, of the power to direct or cause the direction of the management or policies of a Person, whether through the ability to exercise voting power, by contract or otherwise. The terms “Controlling” and “Controlled” have meanings correlative thereto.</w:t>
      </w:r>
    </w:p>
    <w:p>
      <w:pPr>
        <w:spacing w:after="0" w:line="5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CORRA</w:t>
      </w:r>
      <w:r>
        <w:rPr>
          <w:rFonts w:ascii="Times New Roman" w:cs="Times New Roman" w:eastAsia="Times New Roman" w:hAnsi="Times New Roman"/>
          <w:sz w:val="20"/>
          <w:szCs w:val="20"/>
          <w:color w:val="auto"/>
        </w:rPr>
        <w:t>” means the Canadian Overnight Repo Rate Average administered and published by the CORRA Administrator.</w:t>
      </w:r>
    </w:p>
    <w:p>
      <w:pPr>
        <w:spacing w:after="0" w:line="1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CORRA Administrator</w:t>
      </w:r>
      <w:r>
        <w:rPr>
          <w:rFonts w:ascii="Times New Roman" w:cs="Times New Roman" w:eastAsia="Times New Roman" w:hAnsi="Times New Roman"/>
          <w:sz w:val="20"/>
          <w:szCs w:val="20"/>
          <w:color w:val="auto"/>
        </w:rPr>
        <w:t>” means the Bank of Canada (or any successor administrator).</w:t>
      </w:r>
    </w:p>
    <w:p>
      <w:pPr>
        <w:spacing w:after="0" w:line="10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CORRA Determination Date</w:t>
      </w:r>
      <w:r>
        <w:rPr>
          <w:rFonts w:ascii="Times New Roman" w:cs="Times New Roman" w:eastAsia="Times New Roman" w:hAnsi="Times New Roman"/>
          <w:sz w:val="20"/>
          <w:szCs w:val="20"/>
          <w:color w:val="auto"/>
        </w:rPr>
        <w:t>” has the meaning specified in the definition of “Daily Simple CORRA”.</w:t>
      </w:r>
    </w:p>
    <w:p>
      <w:pPr>
        <w:spacing w:after="0" w:line="1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CORRA Rate Day</w:t>
      </w:r>
      <w:r>
        <w:rPr>
          <w:rFonts w:ascii="Times New Roman" w:cs="Times New Roman" w:eastAsia="Times New Roman" w:hAnsi="Times New Roman"/>
          <w:sz w:val="20"/>
          <w:szCs w:val="20"/>
          <w:color w:val="auto"/>
        </w:rPr>
        <w:t>” has the meaning specified in the definition of “Daily Simple CORRA”.</w:t>
      </w:r>
    </w:p>
    <w:p>
      <w:pPr>
        <w:spacing w:after="0" w:line="121" w:lineRule="exact"/>
        <w:rPr>
          <w:sz w:val="20"/>
          <w:szCs w:val="20"/>
          <w:color w:val="auto"/>
        </w:rPr>
      </w:pPr>
    </w:p>
    <w:p>
      <w:pPr>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Corresponding Tenor</w:t>
      </w:r>
      <w:r>
        <w:rPr>
          <w:rFonts w:ascii="Times New Roman" w:cs="Times New Roman" w:eastAsia="Times New Roman" w:hAnsi="Times New Roman"/>
          <w:sz w:val="20"/>
          <w:szCs w:val="20"/>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65" w:lineRule="exact"/>
        <w:rPr>
          <w:sz w:val="20"/>
          <w:szCs w:val="20"/>
          <w:color w:val="auto"/>
        </w:rPr>
      </w:pPr>
    </w:p>
    <w:p>
      <w:pPr>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Co-Syndication Agent</w:t>
      </w:r>
      <w:r>
        <w:rPr>
          <w:rFonts w:ascii="Times New Roman" w:cs="Times New Roman" w:eastAsia="Times New Roman" w:hAnsi="Times New Roman"/>
          <w:sz w:val="20"/>
          <w:szCs w:val="20"/>
          <w:color w:val="auto"/>
        </w:rPr>
        <w:t>” means each of Bank of America, N.A., PNC Bank, National Association, Truist Bank and Wells Fargo Bank, National Association in its capacity as co-syndication agent for the credit facility evidenced by this Agreement.</w:t>
      </w:r>
    </w:p>
    <w:p>
      <w:pPr>
        <w:spacing w:after="0" w:line="6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Covered Entity</w:t>
      </w:r>
      <w:r>
        <w:rPr>
          <w:rFonts w:ascii="Times New Roman" w:cs="Times New Roman" w:eastAsia="Times New Roman" w:hAnsi="Times New Roman"/>
          <w:sz w:val="20"/>
          <w:szCs w:val="20"/>
          <w:color w:val="auto"/>
        </w:rPr>
        <w:t>” means any of the following:</w:t>
      </w:r>
    </w:p>
    <w:p>
      <w:pPr>
        <w:spacing w:after="0" w:line="121" w:lineRule="exact"/>
        <w:rPr>
          <w:sz w:val="20"/>
          <w:szCs w:val="20"/>
          <w:color w:val="auto"/>
        </w:rPr>
      </w:pPr>
    </w:p>
    <w:p>
      <w:pPr>
        <w:ind w:left="1680" w:hanging="376"/>
        <w:spacing w:after="0"/>
        <w:tabs>
          <w:tab w:leader="none" w:pos="168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“covered entity” as that term is defined in, and interpreted in accordance with, 12 C.F.R. § 252.82(b);</w:t>
      </w:r>
    </w:p>
    <w:p>
      <w:pPr>
        <w:spacing w:after="0" w:line="107"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“covered bank” as that term is defined in, and interpreted in accordance with, 12 C.F.R. § 47.3(b); or</w:t>
      </w:r>
    </w:p>
    <w:p>
      <w:pPr>
        <w:spacing w:after="0" w:line="121" w:lineRule="exact"/>
        <w:rPr>
          <w:rFonts w:ascii="Times New Roman" w:cs="Times New Roman" w:eastAsia="Times New Roman" w:hAnsi="Times New Roman"/>
          <w:sz w:val="20"/>
          <w:szCs w:val="20"/>
          <w:color w:val="auto"/>
        </w:rPr>
      </w:pPr>
    </w:p>
    <w:p>
      <w:pPr>
        <w:ind w:left="1300" w:right="1560" w:firstLine="4"/>
        <w:spacing w:after="0" w:line="359" w:lineRule="auto"/>
        <w:tabs>
          <w:tab w:leader="none" w:pos="1795"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“covered FSI” as that term is defined in, and interpreted in accordance with, 12 C.F.R. § 382.2(b). “</w:t>
      </w:r>
      <w:r>
        <w:rPr>
          <w:rFonts w:ascii="Times New Roman" w:cs="Times New Roman" w:eastAsia="Times New Roman" w:hAnsi="Times New Roman"/>
          <w:sz w:val="20"/>
          <w:szCs w:val="20"/>
          <w:u w:val="single" w:color="auto"/>
          <w:color w:val="auto"/>
        </w:rPr>
        <w:t>Covered Party</w:t>
      </w:r>
      <w:r>
        <w:rPr>
          <w:rFonts w:ascii="Times New Roman" w:cs="Times New Roman" w:eastAsia="Times New Roman" w:hAnsi="Times New Roman"/>
          <w:sz w:val="20"/>
          <w:szCs w:val="20"/>
          <w:color w:val="auto"/>
        </w:rPr>
        <w:t>” has the meaning assigned to it in Section 9.19.</w:t>
      </w: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CPS</w:t>
      </w:r>
      <w:r>
        <w:rPr>
          <w:rFonts w:ascii="Times New Roman" w:cs="Times New Roman" w:eastAsia="Times New Roman" w:hAnsi="Times New Roman"/>
          <w:sz w:val="20"/>
          <w:szCs w:val="20"/>
          <w:color w:val="auto"/>
        </w:rPr>
        <w:t>” means the Crown Prosecution Service of the United Kingdom (or any successor or replacement body from time to</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time).</w:t>
      </w:r>
    </w:p>
    <w:p>
      <w:pPr>
        <w:spacing w:after="0" w:line="99" w:lineRule="exact"/>
        <w:rPr>
          <w:sz w:val="20"/>
          <w:szCs w:val="20"/>
          <w:color w:val="auto"/>
        </w:rPr>
      </w:pPr>
    </w:p>
    <w:p>
      <w:pPr>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Credit Event</w:t>
      </w:r>
      <w:r>
        <w:rPr>
          <w:rFonts w:ascii="Times New Roman" w:cs="Times New Roman" w:eastAsia="Times New Roman" w:hAnsi="Times New Roman"/>
          <w:sz w:val="20"/>
          <w:szCs w:val="20"/>
          <w:color w:val="auto"/>
        </w:rPr>
        <w:t>” means a Borrowing, the issuance, amendment, renewal or extension of a Letter of Credit, an LC Disbursement or any of the foregoing.</w:t>
      </w:r>
    </w:p>
    <w:p>
      <w:pPr>
        <w:spacing w:after="0" w:line="3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Credit Party</w:t>
      </w:r>
      <w:r>
        <w:rPr>
          <w:rFonts w:ascii="Times New Roman" w:cs="Times New Roman" w:eastAsia="Times New Roman" w:hAnsi="Times New Roman"/>
          <w:sz w:val="20"/>
          <w:szCs w:val="20"/>
          <w:color w:val="auto"/>
        </w:rPr>
        <w:t>” means the Administrative Agent, any Issuing Bank or any other Lender.</w:t>
      </w:r>
    </w:p>
    <w:p>
      <w:pPr>
        <w:spacing w:after="0" w:line="121" w:lineRule="exact"/>
        <w:rPr>
          <w:sz w:val="20"/>
          <w:szCs w:val="20"/>
          <w:color w:val="auto"/>
        </w:rPr>
      </w:pPr>
    </w:p>
    <w:p>
      <w:pPr>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Criminal Pension Power</w:t>
      </w:r>
      <w:r>
        <w:rPr>
          <w:rFonts w:ascii="Times New Roman" w:cs="Times New Roman" w:eastAsia="Times New Roman" w:hAnsi="Times New Roman"/>
          <w:sz w:val="20"/>
          <w:szCs w:val="20"/>
          <w:color w:val="auto"/>
        </w:rPr>
        <w:t>” means any action taken under, pursuant to or in connection with section 58A, section 58B, section 58C or section 58D of the United Kingdom Pensions Act 2004.</w:t>
      </w:r>
    </w:p>
    <w:p>
      <w:pPr>
        <w:spacing w:after="0" w:line="6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CTA</w:t>
      </w:r>
      <w:r>
        <w:rPr>
          <w:rFonts w:ascii="Times New Roman" w:cs="Times New Roman" w:eastAsia="Times New Roman" w:hAnsi="Times New Roman"/>
          <w:sz w:val="20"/>
          <w:szCs w:val="20"/>
          <w:color w:val="auto"/>
        </w:rPr>
        <w:t>” means the United Kingdom Corporation Tax Act 2009.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1900" w:h="16838" w:orient="portrait"/>
          <w:cols w:equalWidth="0" w:num="1">
            <w:col w:w="11240"/>
          </w:cols>
          <w:pgMar w:left="320" w:top="1413" w:right="339" w:bottom="1440" w:gutter="0" w:footer="0" w:header="0"/>
        </w:sectPr>
      </w:pPr>
    </w:p>
    <w:bookmarkStart w:id="25" w:name="page26"/>
    <w:bookmarkEnd w:id="25"/>
    <w:p>
      <w:pPr>
        <w:jc w:val="both"/>
        <w:ind w:firstLine="1296"/>
        <w:spacing w:after="0" w:line="26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Daily Simple CORRA</w:t>
      </w:r>
      <w:r>
        <w:rPr>
          <w:rFonts w:ascii="Times New Roman" w:cs="Times New Roman" w:eastAsia="Times New Roman" w:hAnsi="Times New Roman"/>
          <w:sz w:val="19"/>
          <w:szCs w:val="19"/>
          <w:color w:val="auto"/>
        </w:rPr>
        <w:t>” means, for any day (a “</w:t>
      </w:r>
      <w:r>
        <w:rPr>
          <w:rFonts w:ascii="Times New Roman" w:cs="Times New Roman" w:eastAsia="Times New Roman" w:hAnsi="Times New Roman"/>
          <w:sz w:val="19"/>
          <w:szCs w:val="19"/>
          <w:u w:val="single" w:color="auto"/>
          <w:color w:val="auto"/>
        </w:rPr>
        <w:t>CORRA Rate Day</w:t>
      </w:r>
      <w:r>
        <w:rPr>
          <w:rFonts w:ascii="Times New Roman" w:cs="Times New Roman" w:eastAsia="Times New Roman" w:hAnsi="Times New Roman"/>
          <w:sz w:val="19"/>
          <w:szCs w:val="19"/>
          <w:color w:val="auto"/>
        </w:rPr>
        <w:t>”), a rate per annum equal to CORRA for the day (such day, the “</w:t>
      </w:r>
      <w:r>
        <w:rPr>
          <w:rFonts w:ascii="Times New Roman" w:cs="Times New Roman" w:eastAsia="Times New Roman" w:hAnsi="Times New Roman"/>
          <w:sz w:val="19"/>
          <w:szCs w:val="19"/>
          <w:u w:val="single" w:color="auto"/>
          <w:color w:val="auto"/>
        </w:rPr>
        <w:t>CORRA Determination Date</w:t>
      </w:r>
      <w:r>
        <w:rPr>
          <w:rFonts w:ascii="Times New Roman" w:cs="Times New Roman" w:eastAsia="Times New Roman" w:hAnsi="Times New Roman"/>
          <w:sz w:val="19"/>
          <w:szCs w:val="19"/>
          <w:color w:val="auto"/>
        </w:rPr>
        <w:t>”) that is five (5) RFR Business Days prior to (i) if such CORRA Rate Day is an RFR Business Day, such CORRA Rate Day or (ii) if such CORRA Rate Day is not an RFR Business Day, the RFR Business Day immediately preceding such CORRA Rate Day, in each case, as such CORRA is published by the CORRA Administrator on the CORRA Administrator’s website. Any change in Daily Simple CORRA due to a change in CORRA shall be effective from and including the effective date of such change in CORRA without notice to the Company. If by 5:00 p.m. (Toronto time) on any given CORRA Determination Date, CORRA in respect of such CORRA Determination Date has not been published on the CORRA Administrator’s website and a Benchmark Replacement Date with respect to the Daily Simple CORRA has not occurred, then CORRA for such CORRA Determination Date will be CORRA as published in respect of the first preceding RFR Business Day for which such CORRA was published on the CORRA Administrator’s website, so long as such first preceding RFR Business Day is not more than five (5) RFR Business Days prior to such CORRA Determination Date.</w:t>
      </w:r>
    </w:p>
    <w:p>
      <w:pPr>
        <w:spacing w:after="0" w:line="72"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Daily Simple RFR</w:t>
      </w:r>
      <w:r>
        <w:rPr>
          <w:rFonts w:ascii="Times New Roman" w:cs="Times New Roman" w:eastAsia="Times New Roman" w:hAnsi="Times New Roman"/>
          <w:sz w:val="20"/>
          <w:szCs w:val="20"/>
          <w:color w:val="auto"/>
        </w:rPr>
        <w:t>” means, for any day (an “</w:t>
      </w:r>
      <w:r>
        <w:rPr>
          <w:rFonts w:ascii="Times New Roman" w:cs="Times New Roman" w:eastAsia="Times New Roman" w:hAnsi="Times New Roman"/>
          <w:sz w:val="20"/>
          <w:szCs w:val="20"/>
          <w:u w:val="single" w:color="auto"/>
          <w:color w:val="auto"/>
        </w:rPr>
        <w:t>RFR Interest Day</w:t>
      </w:r>
      <w:r>
        <w:rPr>
          <w:rFonts w:ascii="Times New Roman" w:cs="Times New Roman" w:eastAsia="Times New Roman" w:hAnsi="Times New Roman"/>
          <w:sz w:val="20"/>
          <w:szCs w:val="20"/>
          <w:color w:val="auto"/>
        </w:rPr>
        <w:t>”), an interest rate per annum equal to, for any RFR Loan denominated in (i) Pounds Sterling, SONIA for the day that is five (5) RFR Business Days prior to (A) if such RFR Interest Day is an RFR Business Day, such RFR Interest Day or (B) if such RFR Interest Day is not an RFR Business Day, the RFR Business Day immediately preceding such RFR Interest Day, (ii) Swiss Francs, SARON for the day that is five (5) RFR Business Days prior to (A) if such RFR Interest Day is an RFR Business Day, such RFR Interest Day or (B) if such RFR Interest Day is not an RFR Business Day, the RFR Business Day immediately preceding such RFR Interest Day, (iii) Dollars, Daily Simple SOFR (following a Benchmark Transition Event and a Benchmark Replacement Date with respect to the Term SOFR Rate), and (iv) Canadian Dollars, Daily Simple CORRA (following a Benchmark Transition Event and a Benchmark Replacement Date with respect to Term CORRA).</w:t>
      </w:r>
    </w:p>
    <w:p>
      <w:pPr>
        <w:spacing w:after="0" w:line="87" w:lineRule="exact"/>
        <w:rPr>
          <w:sz w:val="20"/>
          <w:szCs w:val="20"/>
          <w:color w:val="auto"/>
        </w:rPr>
      </w:pPr>
    </w:p>
    <w:p>
      <w:pPr>
        <w:jc w:val="both"/>
        <w:ind w:firstLine="1296"/>
        <w:spacing w:after="0" w:line="26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Daily Simple SOFR</w:t>
      </w:r>
      <w:r>
        <w:rPr>
          <w:rFonts w:ascii="Times New Roman" w:cs="Times New Roman" w:eastAsia="Times New Roman" w:hAnsi="Times New Roman"/>
          <w:sz w:val="19"/>
          <w:szCs w:val="19"/>
          <w:color w:val="auto"/>
        </w:rPr>
        <w:t>” means, for any day (a “</w:t>
      </w:r>
      <w:r>
        <w:rPr>
          <w:rFonts w:ascii="Times New Roman" w:cs="Times New Roman" w:eastAsia="Times New Roman" w:hAnsi="Times New Roman"/>
          <w:sz w:val="19"/>
          <w:szCs w:val="19"/>
          <w:u w:val="single" w:color="auto"/>
          <w:color w:val="auto"/>
        </w:rPr>
        <w:t>SOFR Rate Day</w:t>
      </w:r>
      <w:r>
        <w:rPr>
          <w:rFonts w:ascii="Times New Roman" w:cs="Times New Roman" w:eastAsia="Times New Roman" w:hAnsi="Times New Roman"/>
          <w:sz w:val="19"/>
          <w:szCs w:val="19"/>
          <w:color w:val="auto"/>
        </w:rPr>
        <w:t>”), a rate per annum equal to SOFR for the day (such day, a “</w:t>
      </w:r>
      <w:r>
        <w:rPr>
          <w:rFonts w:ascii="Times New Roman" w:cs="Times New Roman" w:eastAsia="Times New Roman" w:hAnsi="Times New Roman"/>
          <w:sz w:val="19"/>
          <w:szCs w:val="19"/>
          <w:u w:val="single" w:color="auto"/>
          <w:color w:val="auto"/>
        </w:rPr>
        <w:t>SOFR Determination Date</w:t>
      </w:r>
      <w:r>
        <w:rPr>
          <w:rFonts w:ascii="Times New Roman" w:cs="Times New Roman" w:eastAsia="Times New Roman" w:hAnsi="Times New Roman"/>
          <w:sz w:val="19"/>
          <w:szCs w:val="19"/>
          <w:color w:val="auto"/>
        </w:rPr>
        <w:t>”) that is five (5) RFR Business Days prior to (i) if such SOFR Rate Day is an RFR Business Day, such SOFR Rate Day or (ii) if such SOFR Rate Day is not an RFR Business Day, the RFR Business Day immediately preceding such SOFR Rate Day, in each case, as such SOFR is published by the SOFR Administrator on the SOFR Administrator’s Website. Any change in Daily Simple SOFR due to a change in SOFR shall be effective from and including the effective date of such change in SOFR without notice to the Company. If by 5:00 p.m. (New York City time) on the second (2nd) RFR Business Day immediately following any SOFR Determination Date, SOFR in respect of such SOFR Determination Date has not been published on the SOFR Administrator’s Website and a Benchmark Replacement Date with respect to the Daily Simple SOFR has not occurred, then SOFR for such SOFR Determination Date will be SOFR as published in respect of the first preceding RFR Business Day for which such SOFR was published on the SOFR Administrator’s Website.</w:t>
      </w:r>
    </w:p>
    <w:p>
      <w:pPr>
        <w:spacing w:after="0" w:line="78"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“Default” means any event or condition which constitutes an Event of Default or which upon notice, lapse of time or both would, unless cured or waived, become an Event of Default.</w:t>
      </w:r>
    </w:p>
    <w:p>
      <w:pPr>
        <w:spacing w:after="0" w:line="38"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“Default Right” has the meaning assigned to that term in, and shall be interpreted in accordance with, 12 C.F.R. §§ 252.81, 47.2 or 382.1, as applicable.</w:t>
      </w:r>
    </w:p>
    <w:p>
      <w:pPr>
        <w:spacing w:after="0" w:line="38"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0"/>
          <w:szCs w:val="20"/>
          <w:color w:val="auto"/>
        </w:rPr>
        <w:t>“Defaulting Lender” means any Lender that (a) has failed, within two (2) Business Days of the date required to be funded or paid, to (i) fund any portion of its Loans, (ii) fund any portion of its participations in Letters of Credit or (iii) pay over to any Credit Party any other amount required to be paid by it hereunder, unless, in the case of clause (i) above, such Lender notifies the Administrative Agent in writing that such failure is the result of such Lender’s good faith determination that a condition precedent to funding (specifically identified and including the particular default, if any) has not been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1900" w:h="16838" w:orient="portrait"/>
          <w:cols w:equalWidth="0" w:num="1">
            <w:col w:w="11240"/>
          </w:cols>
          <w:pgMar w:left="320" w:top="1413" w:right="339" w:bottom="1440" w:gutter="0" w:footer="0" w:header="0"/>
        </w:sectPr>
      </w:pPr>
    </w:p>
    <w:bookmarkStart w:id="26" w:name="page27"/>
    <w:bookmarkEnd w:id="26"/>
    <w:p>
      <w:pPr>
        <w:jc w:val="both"/>
        <w:spacing w:after="0" w:line="266" w:lineRule="auto"/>
        <w:rPr>
          <w:sz w:val="20"/>
          <w:szCs w:val="20"/>
          <w:color w:val="auto"/>
        </w:rPr>
      </w:pPr>
      <w:r>
        <w:rPr>
          <w:rFonts w:ascii="Times New Roman" w:cs="Times New Roman" w:eastAsia="Times New Roman" w:hAnsi="Times New Roman"/>
          <w:sz w:val="19"/>
          <w:szCs w:val="19"/>
          <w:color w:val="auto"/>
        </w:rPr>
        <w:t>satisfied, (b) has notified the Company or any Credit Party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(specifically identified and including the particular default, if any) to funding a loan under this Agreement cannot be satisfied) or generally under other agreements in which it commits to extend credit, (c) has failed, within three (3) Business Days after request by a Credit Party, acting in good faith, to provide a certification in writing from an authorized officer of such Lender that it will comply with its obligations (and is financially able to meet such obligations as of the date of certification) to fund prospective Loans and participations in then outstanding Letters of Credit under this Agreement, provided that such Lender shall cease to be a Defaulting Lender pursuant to this clause (c) upon such Credit Party’s receipt of such certification in form and substance satisfactory to it and the Administrative Agent, or (d) has become the subject of (i) a Bankruptcy Event or (ii) a Bail-In Action.</w:t>
      </w:r>
    </w:p>
    <w:p>
      <w:pPr>
        <w:spacing w:after="0" w:line="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“Dividing Person” has the meaning assigned to it in the definition of “Division”.</w:t>
      </w:r>
    </w:p>
    <w:p>
      <w:pPr>
        <w:spacing w:after="0" w:line="121"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“Division” means the division of the assets, liabilities and/or obligations of a Person (the “Dividing Person”) among two or more Persons (whether pursuant to a “plan of division” or similar arrangement), which may or may not include the Dividing Person and pursuant to which the Dividing Person may or may not survive.</w:t>
      </w:r>
    </w:p>
    <w:p>
      <w:pPr>
        <w:spacing w:after="0" w:line="73"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19"/>
          <w:szCs w:val="19"/>
          <w:color w:val="auto"/>
        </w:rPr>
        <w:t>“Dollar Amount” of any amount of any currency means, at the time of determination thereof, (a) if such amount is expressed in Dollars, such amount, (b) if such amount is expressed in a Foreign Currency, the equivalent of such amount in Dollars determined by using the rate of exchange for the purchase of Dollars with such Foreign Currency last provided (either by publication or otherwise provided to the Administrative Agent) by the applicable Reuters source on the Business Day (New York City time) immediately preceding the date of determination or if such service ceases to be available or ceases to provide a rate of exchange for the purchase of Dollars with such Foreign Currency, as provided by such other publicly available information service which provides that rate of exchange at such time in place of Reuters chosen by the Administrative Agent in its sole discretion (or if such service ceases to be available or ceases to provide such rate of exchange, the equivalent of such amount in Dollars as determined by the Administrative Agent using any method of determination it deems appropriate in its sole discretion) and (c) if such amount is denominated in any other currency, the equivalent of such amount in Dollars as determined by the Administrative Agent using any method of determination it deems appropriate in its sole discretion.</w:t>
      </w:r>
    </w:p>
    <w:p>
      <w:pPr>
        <w:spacing w:after="0" w:line="7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Dollars</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refers to lawful money of the United States of America.</w:t>
      </w:r>
    </w:p>
    <w:p>
      <w:pPr>
        <w:spacing w:after="0" w:line="10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Domestic Subsidiary</w:t>
      </w:r>
      <w:r>
        <w:rPr>
          <w:rFonts w:ascii="Times New Roman" w:cs="Times New Roman" w:eastAsia="Times New Roman" w:hAnsi="Times New Roman"/>
          <w:sz w:val="20"/>
          <w:szCs w:val="20"/>
          <w:color w:val="auto"/>
        </w:rPr>
        <w:t>” means a Subsidiary organized under the laws of a jurisdiction located in the United States of</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America.</w:t>
      </w:r>
    </w:p>
    <w:p>
      <w:pPr>
        <w:spacing w:after="0" w:line="92" w:lineRule="exact"/>
        <w:rPr>
          <w:sz w:val="20"/>
          <w:szCs w:val="20"/>
          <w:color w:val="auto"/>
        </w:rPr>
      </w:pPr>
    </w:p>
    <w:p>
      <w:pPr>
        <w:jc w:val="both"/>
        <w:ind w:firstLine="1296"/>
        <w:spacing w:after="0" w:line="27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EEA Financial Institution</w:t>
      </w:r>
      <w:r>
        <w:rPr>
          <w:rFonts w:ascii="Times New Roman" w:cs="Times New Roman" w:eastAsia="Times New Roman" w:hAnsi="Times New Roman"/>
          <w:sz w:val="19"/>
          <w:szCs w:val="19"/>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EEA Member Country</w:t>
      </w:r>
      <w:r>
        <w:rPr>
          <w:rFonts w:ascii="Times New Roman" w:cs="Times New Roman" w:eastAsia="Times New Roman" w:hAnsi="Times New Roman"/>
          <w:sz w:val="20"/>
          <w:szCs w:val="20"/>
          <w:color w:val="auto"/>
        </w:rPr>
        <w:t>” means any of the member states of the European Union, Iceland, Liechtenstein, and Norway.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1900" w:h="16838" w:orient="portrait"/>
          <w:cols w:equalWidth="0" w:num="1">
            <w:col w:w="11240"/>
          </w:cols>
          <w:pgMar w:left="320" w:top="1413" w:right="339" w:bottom="1440" w:gutter="0" w:footer="0" w:header="0"/>
        </w:sectPr>
      </w:pPr>
    </w:p>
    <w:bookmarkStart w:id="27" w:name="page28"/>
    <w:bookmarkEnd w:id="27"/>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EEA Resolution Authority</w:t>
      </w:r>
      <w:r>
        <w:rPr>
          <w:rFonts w:ascii="Times New Roman" w:cs="Times New Roman" w:eastAsia="Times New Roman" w:hAnsi="Times New Roman"/>
          <w:sz w:val="20"/>
          <w:szCs w:val="20"/>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38"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Electronic Signature</w:t>
      </w:r>
      <w:r>
        <w:rPr>
          <w:rFonts w:ascii="Times New Roman" w:cs="Times New Roman" w:eastAsia="Times New Roman" w:hAnsi="Times New Roman"/>
          <w:sz w:val="20"/>
          <w:szCs w:val="20"/>
          <w:color w:val="auto"/>
        </w:rPr>
        <w:t>” means an electronic sound, symbol, or process attached to, or associated with, a contract or other record and adopted by a Person with the intent to sign, authenticate or accept such contract or record.</w:t>
      </w:r>
    </w:p>
    <w:p>
      <w:pPr>
        <w:spacing w:after="0" w:line="38"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Eligible Foreign Subsidiary</w:t>
      </w:r>
      <w:r>
        <w:rPr>
          <w:rFonts w:ascii="Times New Roman" w:cs="Times New Roman" w:eastAsia="Times New Roman" w:hAnsi="Times New Roman"/>
          <w:sz w:val="20"/>
          <w:szCs w:val="20"/>
          <w:color w:val="auto"/>
        </w:rPr>
        <w:t>” means any Foreign Subsidiary that is approved from time to time by the Administrative Agent and each of the Lenders.</w:t>
      </w:r>
    </w:p>
    <w:p>
      <w:pPr>
        <w:spacing w:after="0" w:line="5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Environmental Laws</w:t>
      </w:r>
      <w:r>
        <w:rPr>
          <w:rFonts w:ascii="Times New Roman" w:cs="Times New Roman" w:eastAsia="Times New Roman" w:hAnsi="Times New Roman"/>
          <w:sz w:val="20"/>
          <w:szCs w:val="20"/>
          <w:color w:val="auto"/>
        </w:rPr>
        <w:t>” means all laws, rules, regulations, codes, ordinances, orders, decrees, judgments, injunctions, notices or binding agreements issued, promulgated or entered into by any Governmental Authority, relating in any way to the environment, preservation or reclamation of natural resources, the management, release or threatened release of any Hazardous Material.</w:t>
      </w:r>
    </w:p>
    <w:p>
      <w:pPr>
        <w:spacing w:after="0" w:line="6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Environmental Liability</w:t>
      </w:r>
      <w:r>
        <w:rPr>
          <w:rFonts w:ascii="Times New Roman" w:cs="Times New Roman" w:eastAsia="Times New Roman" w:hAnsi="Times New Roman"/>
          <w:sz w:val="20"/>
          <w:szCs w:val="20"/>
          <w:color w:val="auto"/>
        </w:rPr>
        <w:t>” means any liability, contingent or otherwise (including any liability for damages, costs of environmental remediation, fines, penalties or indemnities), of the Company or any Subsidiary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84"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Equity Interests</w:t>
      </w:r>
      <w:r>
        <w:rPr>
          <w:rFonts w:ascii="Times New Roman" w:cs="Times New Roman" w:eastAsia="Times New Roman" w:hAnsi="Times New Roman"/>
          <w:sz w:val="20"/>
          <w:szCs w:val="20"/>
          <w:color w:val="auto"/>
        </w:rPr>
        <w:t>” 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of the foregoing.</w:t>
      </w:r>
    </w:p>
    <w:p>
      <w:pPr>
        <w:spacing w:after="0" w:line="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w:t>
      </w:r>
      <w:r>
        <w:rPr>
          <w:rFonts w:ascii="Times New Roman" w:cs="Times New Roman" w:eastAsia="Times New Roman" w:hAnsi="Times New Roman"/>
          <w:sz w:val="20"/>
          <w:szCs w:val="20"/>
          <w:color w:val="auto"/>
        </w:rPr>
        <w:t>” means the Employee Retirement Income Security Act of 1974, as amended from time to time.</w:t>
      </w:r>
    </w:p>
    <w:p>
      <w:pPr>
        <w:spacing w:after="0" w:line="108"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 Affiliate</w:t>
      </w:r>
      <w:r>
        <w:rPr>
          <w:rFonts w:ascii="Times New Roman" w:cs="Times New Roman" w:eastAsia="Times New Roman" w:hAnsi="Times New Roman"/>
          <w:sz w:val="20"/>
          <w:szCs w:val="20"/>
          <w:color w:val="auto"/>
        </w:rPr>
        <w:t>” means any trade or business (whether or not incorporated) that, together with the Company, is treated as a single employer under Section 414(b) or (c) of the Code or, solely for purposes of Section 302 of ERISA and Section 412 of the Code, is treated as a single employer under Section 414 of the Code.</w:t>
      </w:r>
    </w:p>
    <w:p>
      <w:pPr>
        <w:spacing w:after="0" w:line="73"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 Event</w:t>
      </w:r>
      <w:r>
        <w:rPr>
          <w:rFonts w:ascii="Times New Roman" w:cs="Times New Roman" w:eastAsia="Times New Roman" w:hAnsi="Times New Roman"/>
          <w:sz w:val="20"/>
          <w:szCs w:val="20"/>
          <w:color w:val="auto"/>
        </w:rPr>
        <w:t>” means (a) any “reportable event”, as defined in Section 4043 of ERISA or the regulations issued thereunder with respect to a Plan (other than an event for which the 30-day notice period is waived); (b) the failure to satisfy the “minimum funding standard” (as defined in Section 412 of the Code or Section 302 of ERISA), whether or not waived; (c) the filing pursuant to Section 412(c) of the Code or Section 302(c) of ERISA of an application for a waiver of the minimum funding standard with respect to any Plan; (d) the incurrence by the Company or any of its ERISA Affiliates of any liability under Title IV of ERISA with respect to the termination of any Plan; (e) the receipt by the Company or any ERISA Affiliate from the PBGC or a plan administrator of any notice relating to an intention to terminate any Plan or Plans or to appoint a trustee to administer any Plan; (f) the incurrence by the Company or any of its ERISA Affiliates of any liability with respect to the withdrawal or partial withdrawal of the Company or any of its ERISA Affiliates from any Plan or Multiemployer Plan; or (g) the receipt by the Company or any ERISA Affiliate of any notice, or the receipt by any Multiemployer Plan from the Company or any ERISA Affiliate of any notice, concerning the imposition upon the Company or any of its ERISA Affiliates of Withdrawal Liability or a determination that a Multiemployer Plan is, or is expected to be, insolvent or in reorganization, within the meaning of Title IV of ERISA.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ectPr>
          <w:pgSz w:w="11900" w:h="16838" w:orient="portrait"/>
          <w:cols w:equalWidth="0" w:num="1">
            <w:col w:w="11240"/>
          </w:cols>
          <w:pgMar w:left="320" w:top="1413" w:right="339" w:bottom="1440" w:gutter="0" w:footer="0" w:header="0"/>
        </w:sectPr>
      </w:pPr>
    </w:p>
    <w:bookmarkStart w:id="28" w:name="page29"/>
    <w:bookmarkEnd w:id="28"/>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Establishment</w:t>
      </w:r>
      <w:r>
        <w:rPr>
          <w:rFonts w:ascii="Times New Roman" w:cs="Times New Roman" w:eastAsia="Times New Roman" w:hAnsi="Times New Roman"/>
          <w:sz w:val="20"/>
          <w:szCs w:val="20"/>
          <w:color w:val="auto"/>
        </w:rPr>
        <w:t>” means, in respect of any Person, any place of operations where such Person carries out a non-transitory economic activity with human means and goods, assets or services.</w:t>
      </w:r>
    </w:p>
    <w:p>
      <w:pPr>
        <w:spacing w:after="0" w:line="3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w:t>
      </w:r>
      <w:r>
        <w:rPr>
          <w:rFonts w:ascii="Times New Roman" w:cs="Times New Roman" w:eastAsia="Times New Roman" w:hAnsi="Times New Roman"/>
          <w:sz w:val="20"/>
          <w:szCs w:val="20"/>
          <w:color w:val="auto"/>
        </w:rPr>
        <w:t>” means the European Union.</w:t>
      </w:r>
    </w:p>
    <w:p>
      <w:pPr>
        <w:spacing w:after="0" w:line="121"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 Bail-In Legislation Schedule</w:t>
      </w:r>
      <w:r>
        <w:rPr>
          <w:rFonts w:ascii="Times New Roman" w:cs="Times New Roman" w:eastAsia="Times New Roman" w:hAnsi="Times New Roman"/>
          <w:sz w:val="20"/>
          <w:szCs w:val="20"/>
          <w:color w:val="auto"/>
        </w:rPr>
        <w:t>” means the EU Bail-In Legislation Schedule published by the Loan Market Association (or any successor Person), as in effect from time to time.</w:t>
      </w:r>
    </w:p>
    <w:p>
      <w:pPr>
        <w:spacing w:after="0" w:line="65" w:lineRule="exact"/>
        <w:rPr>
          <w:sz w:val="20"/>
          <w:szCs w:val="20"/>
          <w:color w:val="auto"/>
        </w:rPr>
      </w:pPr>
    </w:p>
    <w:p>
      <w:pPr>
        <w:jc w:val="both"/>
        <w:ind w:right="20"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EURIBO Rate</w:t>
      </w:r>
      <w:r>
        <w:rPr>
          <w:rFonts w:ascii="Times New Roman" w:cs="Times New Roman" w:eastAsia="Times New Roman" w:hAnsi="Times New Roman"/>
          <w:sz w:val="20"/>
          <w:szCs w:val="20"/>
          <w:color w:val="auto"/>
        </w:rPr>
        <w:t>” means, with respect to any Term Benchmark Borrowing denominated in euro and for any Interest Period, the EURIBO Screen Rate, two (2) TARGET Days prior to the commencement of such Interest Period.</w:t>
      </w:r>
    </w:p>
    <w:p>
      <w:pPr>
        <w:spacing w:after="0" w:line="38"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EURIBO Screen Rate</w:t>
      </w:r>
      <w:r>
        <w:rPr>
          <w:rFonts w:ascii="Times New Roman" w:cs="Times New Roman" w:eastAsia="Times New Roman" w:hAnsi="Times New Roman"/>
          <w:sz w:val="20"/>
          <w:szCs w:val="20"/>
          <w:color w:val="auto"/>
        </w:rPr>
        <w:t>” means the euro interbank offered rate administered by the European Money Markets Institute (or any other person which takes over the administration of that rate) for the relevant period displayed (before any correction, recalculation or republication by the administrator) on page EURIBOR01 of the Reuters screen (or any replacement Reuters page which displays that rate) or on the appropriate page of such other information service which publishes that rate from time to time in place of Reuters as published at approximately 11:00 a.m. Brussels time on the applicable date of determination. If such page or service ceases to be available, the Administrative Agent may specify another page or service displaying the relevant rate after consultation with the Company.</w:t>
      </w:r>
    </w:p>
    <w:p>
      <w:pPr>
        <w:spacing w:after="0" w:line="8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euro</w:t>
      </w:r>
      <w:r>
        <w:rPr>
          <w:rFonts w:ascii="Times New Roman" w:cs="Times New Roman" w:eastAsia="Times New Roman" w:hAnsi="Times New Roman"/>
          <w:sz w:val="20"/>
          <w:szCs w:val="20"/>
          <w:color w:val="auto"/>
        </w:rPr>
        <w:t>” and/or “</w:t>
      </w:r>
      <w:r>
        <w:rPr>
          <w:rFonts w:ascii="Times New Roman" w:cs="Times New Roman" w:eastAsia="Times New Roman" w:hAnsi="Times New Roman"/>
          <w:sz w:val="20"/>
          <w:szCs w:val="20"/>
          <w:u w:val="single" w:color="auto"/>
          <w:color w:val="auto"/>
        </w:rPr>
        <w:t>EUR</w:t>
      </w:r>
      <w:r>
        <w:rPr>
          <w:rFonts w:ascii="Times New Roman" w:cs="Times New Roman" w:eastAsia="Times New Roman" w:hAnsi="Times New Roman"/>
          <w:sz w:val="20"/>
          <w:szCs w:val="20"/>
          <w:color w:val="auto"/>
        </w:rPr>
        <w:t>” means the single currency of the Participating Member States.</w:t>
      </w:r>
    </w:p>
    <w:p>
      <w:pPr>
        <w:spacing w:after="0" w:line="10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Euro Holdings</w:t>
      </w:r>
      <w:r>
        <w:rPr>
          <w:rFonts w:ascii="Times New Roman" w:cs="Times New Roman" w:eastAsia="Times New Roman" w:hAnsi="Times New Roman"/>
          <w:sz w:val="20"/>
          <w:szCs w:val="20"/>
          <w:color w:val="auto"/>
        </w:rPr>
        <w:t>” has the meaning assigned to such term in the definition of Foreign Subsidiary Borrower.</w:t>
      </w:r>
    </w:p>
    <w:p>
      <w:pPr>
        <w:spacing w:after="0" w:line="1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Event of Default</w:t>
      </w:r>
      <w:r>
        <w:rPr>
          <w:rFonts w:ascii="Times New Roman" w:cs="Times New Roman" w:eastAsia="Times New Roman" w:hAnsi="Times New Roman"/>
          <w:sz w:val="20"/>
          <w:szCs w:val="20"/>
          <w:color w:val="auto"/>
        </w:rPr>
        <w:t>” has the meaning assigned to such term in Article VII.</w:t>
      </w:r>
    </w:p>
    <w:p>
      <w:pPr>
        <w:spacing w:after="0" w:line="121"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Taxes</w:t>
      </w:r>
      <w:r>
        <w:rPr>
          <w:rFonts w:ascii="Times New Roman" w:cs="Times New Roman" w:eastAsia="Times New Roman" w:hAnsi="Times New Roman"/>
          <w:sz w:val="20"/>
          <w:szCs w:val="20"/>
          <w:color w:val="auto"/>
        </w:rPr>
        <w:t>”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Letter of Credit or Commitment pursuant to a law in effect on the date on which (i) such Lender acquires such interest in the Loan, Letter of Credit or Commitment (other than pursuant to an assignment request by any Borrower under Section 2.20(b) or Section 9.02(d)) or (ii) such Lender changes its lending office, except in each case to the extent that, pursuant to Section 2.17, amounts with respect to such Taxes were payable either to such Lender’s assignor immediately before such Lender acquired the applicable interest in a Loan, Letter of Credit or Commitment or to such Lender immediately before it changed its lending office, (c) Taxes attributable to such Recipient’s failure to comply with Section 2.17(f), (d) any withholding Taxes imposed under FATCA and (e) any Taxes payable under Part XIII of the Tax Act that are imposed on a payment (or deemed payment) by or on account of any obligation of a Loan Party hereunder or under any other Loan Document by reason of a Recipient (i) not dealing at arm’s length (for purposes of the Tax Act) with the applicable Loan Party at the time of such payment, (ii) being a “specified shareholder” (as defined in subsection 18(5) of the Tax Act) of any Loan Party or not dealing at arm’s length (for purposes of the Tax Act) with a “specified shareholder” (as defined in subsection 18(5) of the Tax Act) of any Loan Party or (iii) being an entity in respect of which a Loan Party is a “specified entity” (within the meaning of subsection 18.4(1) of the Tax Act), except in the case of (i) through (iii) above where the non-arm’s length relationship arises or where the Recipient is a “specified shareholder” or does not deal at arm’s length with a “specified shareholder”, or where the Recipient is an entity in respect of which a Loan Party is a specified entity solely as a result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ectPr>
          <w:pgSz w:w="11900" w:h="16838" w:orient="portrait"/>
          <w:cols w:equalWidth="0" w:num="1">
            <w:col w:w="11240"/>
          </w:cols>
          <w:pgMar w:left="320" w:top="1413" w:right="339" w:bottom="1440" w:gutter="0" w:footer="0" w:header="0"/>
        </w:sectPr>
      </w:pPr>
    </w:p>
    <w:bookmarkStart w:id="29" w:name="page30"/>
    <w:bookmarkEnd w:id="29"/>
    <w:p>
      <w:pPr>
        <w:jc w:val="both"/>
        <w:spacing w:after="0" w:line="283" w:lineRule="auto"/>
        <w:rPr>
          <w:sz w:val="20"/>
          <w:szCs w:val="20"/>
          <w:color w:val="auto"/>
        </w:rPr>
      </w:pPr>
      <w:r>
        <w:rPr>
          <w:rFonts w:ascii="Times New Roman" w:cs="Times New Roman" w:eastAsia="Times New Roman" w:hAnsi="Times New Roman"/>
          <w:sz w:val="20"/>
          <w:szCs w:val="20"/>
          <w:color w:val="auto"/>
        </w:rPr>
        <w:t>of such Recipient having become a party to, received or perfected a security interest under, or received or enforced any rights under, this Agreement or any other Loan Document.</w:t>
      </w:r>
    </w:p>
    <w:p>
      <w:pPr>
        <w:spacing w:after="0" w:line="3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Existing Credit Agreement</w:t>
      </w:r>
      <w:r>
        <w:rPr>
          <w:rFonts w:ascii="Times New Roman" w:cs="Times New Roman" w:eastAsia="Times New Roman" w:hAnsi="Times New Roman"/>
          <w:sz w:val="20"/>
          <w:szCs w:val="20"/>
          <w:color w:val="auto"/>
        </w:rPr>
        <w:t>” has the meaning assigned to such term in the recitals hereto.</w:t>
      </w:r>
    </w:p>
    <w:p>
      <w:pPr>
        <w:spacing w:after="0" w:line="1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Existing Letters of Credit</w:t>
      </w:r>
      <w:r>
        <w:rPr>
          <w:rFonts w:ascii="Times New Roman" w:cs="Times New Roman" w:eastAsia="Times New Roman" w:hAnsi="Times New Roman"/>
          <w:sz w:val="20"/>
          <w:szCs w:val="20"/>
          <w:color w:val="auto"/>
        </w:rPr>
        <w:t>” is defined in Section 2.06(a).</w:t>
      </w:r>
    </w:p>
    <w:p>
      <w:pPr>
        <w:spacing w:after="0" w:line="10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Existing Loans</w:t>
      </w:r>
      <w:r>
        <w:rPr>
          <w:rFonts w:ascii="Times New Roman" w:cs="Times New Roman" w:eastAsia="Times New Roman" w:hAnsi="Times New Roman"/>
          <w:sz w:val="20"/>
          <w:szCs w:val="20"/>
          <w:color w:val="auto"/>
        </w:rPr>
        <w:t>” has the meaning assigned to such term in Section 2.01.</w:t>
      </w:r>
    </w:p>
    <w:p>
      <w:pPr>
        <w:spacing w:after="0" w:line="1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Existing Maturity Date</w:t>
      </w:r>
      <w:r>
        <w:rPr>
          <w:rFonts w:ascii="Times New Roman" w:cs="Times New Roman" w:eastAsia="Times New Roman" w:hAnsi="Times New Roman"/>
          <w:sz w:val="20"/>
          <w:szCs w:val="20"/>
          <w:color w:val="auto"/>
        </w:rPr>
        <w:t>” has the meaning assigned to such term in Section 2.22(a).</w:t>
      </w:r>
    </w:p>
    <w:p>
      <w:pPr>
        <w:spacing w:after="0" w:line="121"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Export Controls</w:t>
      </w:r>
      <w:r>
        <w:rPr>
          <w:rFonts w:ascii="Times New Roman" w:cs="Times New Roman" w:eastAsia="Times New Roman" w:hAnsi="Times New Roman"/>
          <w:sz w:val="20"/>
          <w:szCs w:val="20"/>
          <w:color w:val="auto"/>
        </w:rPr>
        <w:t>” means the Arms Export Control Act and the International Traffic in Arms Regulations administered by the Directorate of Defense Trade Controls of the U.S. Department of State, the Export Control Reform Act of 2018 and Export Administration Regulations administered by the Bureau of Industry and Security of the U.S. Department of Commerce, and any other U.S. or non-U.S. laws and regulations related to export controls and applicable to the Company.</w:t>
      </w:r>
    </w:p>
    <w:p>
      <w:pPr>
        <w:spacing w:after="0" w:line="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Extending Lender</w:t>
      </w:r>
      <w:r>
        <w:rPr>
          <w:rFonts w:ascii="Times New Roman" w:cs="Times New Roman" w:eastAsia="Times New Roman" w:hAnsi="Times New Roman"/>
          <w:sz w:val="20"/>
          <w:szCs w:val="20"/>
          <w:color w:val="auto"/>
        </w:rPr>
        <w:t>” has the meaning assigned to such term in Section 2.22(a).</w:t>
      </w:r>
    </w:p>
    <w:p>
      <w:pPr>
        <w:spacing w:after="0" w:line="121"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Extension Request</w:t>
      </w:r>
      <w:r>
        <w:rPr>
          <w:rFonts w:ascii="Times New Roman" w:cs="Times New Roman" w:eastAsia="Times New Roman" w:hAnsi="Times New Roman"/>
          <w:sz w:val="20"/>
          <w:szCs w:val="20"/>
          <w:color w:val="auto"/>
        </w:rPr>
        <w:t>” means a written request from the Borrower to the Administrative Agent requesting an extension of the Maturity Date pursuant to Section 2.22.</w:t>
      </w:r>
    </w:p>
    <w:p>
      <w:pPr>
        <w:spacing w:after="0" w:line="6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FATCA</w:t>
      </w:r>
      <w:r>
        <w:rPr>
          <w:rFonts w:ascii="Times New Roman" w:cs="Times New Roman" w:eastAsia="Times New Roman" w:hAnsi="Times New Roman"/>
          <w:sz w:val="20"/>
          <w:szCs w:val="20"/>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 entered into pursuant to Section 1471(b)(1) of the Code and any fiscal or regulatory legislation, rules or practices adopted pursuant to any intergovernmental agreement, treaty or convention among Governmental Authorities and implementing such Sections of the Code.</w:t>
      </w:r>
    </w:p>
    <w:p>
      <w:pPr>
        <w:spacing w:after="0" w:line="84"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Federal Funds Effective Rate</w:t>
      </w:r>
      <w:r>
        <w:rPr>
          <w:rFonts w:ascii="Times New Roman" w:cs="Times New Roman" w:eastAsia="Times New Roman" w:hAnsi="Times New Roman"/>
          <w:sz w:val="20"/>
          <w:szCs w:val="20"/>
          <w:color w:val="auto"/>
        </w:rPr>
        <w:t xml:space="preserve">” means, for any day, the rate calculated by the NYFRB based on such day’s federal funds transactions by depositary institutions, as determined in such manner as shall be set forth on the NYFRB’s Website from time to time, and published on the next succeeding Business Day by the NYFRB as the effective federal funds rate;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Federal Funds Effective Rate as so determined would be less than zero, such rate shall be deemed to be zero for the purposes of this Agreement.</w:t>
      </w:r>
    </w:p>
    <w:p>
      <w:pPr>
        <w:spacing w:after="0" w:line="7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Financial Covenant Transition Condition</w:t>
      </w:r>
      <w:r>
        <w:rPr>
          <w:rFonts w:ascii="Times New Roman" w:cs="Times New Roman" w:eastAsia="Times New Roman" w:hAnsi="Times New Roman"/>
          <w:sz w:val="20"/>
          <w:szCs w:val="20"/>
          <w:color w:val="auto"/>
        </w:rPr>
        <w:t>” means that (i) the aggregate principal Dollar Amount outstanding under the Specified Debt Financings (taken as a whole) is $275,000,000 or less and (ii) the Company has delivered a certificate to the Administrative Agent certifying to the fact set forth in the immediately preceding clause (i).</w:t>
      </w:r>
    </w:p>
    <w:p>
      <w:pPr>
        <w:spacing w:after="0" w:line="73"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Financial Covenant Transition Date</w:t>
      </w:r>
      <w:r>
        <w:rPr>
          <w:rFonts w:ascii="Times New Roman" w:cs="Times New Roman" w:eastAsia="Times New Roman" w:hAnsi="Times New Roman"/>
          <w:sz w:val="20"/>
          <w:szCs w:val="20"/>
          <w:color w:val="auto"/>
        </w:rPr>
        <w:t>” means the first day of the first fiscal quarter that begins after the Financial Covenant Transition Condition has been satisfied.</w:t>
      </w:r>
    </w:p>
    <w:p>
      <w:pPr>
        <w:spacing w:after="0" w:line="6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Financial Officer</w:t>
      </w:r>
      <w:r>
        <w:rPr>
          <w:rFonts w:ascii="Times New Roman" w:cs="Times New Roman" w:eastAsia="Times New Roman" w:hAnsi="Times New Roman"/>
          <w:sz w:val="20"/>
          <w:szCs w:val="20"/>
          <w:color w:val="auto"/>
        </w:rPr>
        <w:t>” means the chief financial officer, principal accounting officer, treasurer or controller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ectPr>
          <w:pgSz w:w="11900" w:h="16838" w:orient="portrait"/>
          <w:cols w:equalWidth="0" w:num="1">
            <w:col w:w="11240"/>
          </w:cols>
          <w:pgMar w:left="320" w:top="1413" w:right="339" w:bottom="1440" w:gutter="0" w:footer="0" w:header="0"/>
        </w:sectPr>
      </w:pPr>
    </w:p>
    <w:bookmarkStart w:id="30" w:name="page31"/>
    <w:bookmarkEnd w:id="30"/>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“Financials” means the annual or quarterly financial statements, and accompanying certificates and other documents, of the Company and its Subsidiaries required to be delivered pursuant to Section 5.01(a) or 5.01(b).</w:t>
      </w:r>
    </w:p>
    <w:p>
      <w:pPr>
        <w:spacing w:after="0" w:line="38"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“Floor” means the benchmark rate floor, if any, provided in this Agreement initially (as of the execution of this Agreement, the modification, amendment or renewal of this Agreement or otherwise) with respect to the Adjusted Term SOFR Rate, the Adjusted EURIBO Rate, the Adjusted TIBO Rate, the Adjusted Term CORRA Rate, the Japanese Prime Rate, each Adjusted Daily Simple RFR, the Central Bank Rate or the Canadian Prime Rate, as applicable. For the avoidance of doubt, the initial Floor for each of the Adjusted Term SOFR Rate, the Adjusted EURIBO Rate, the Adjusted TIBO Rate, the Adjusted Term CORRA Rate, the Japanese Prime Rate, each Adjusted Daily Simple RFR or the Central Bank Rate shall be zero.</w:t>
      </w:r>
    </w:p>
    <w:p>
      <w:pPr>
        <w:spacing w:after="0" w:line="8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Currencies</w:t>
      </w:r>
      <w:r>
        <w:rPr>
          <w:rFonts w:ascii="Times New Roman" w:cs="Times New Roman" w:eastAsia="Times New Roman" w:hAnsi="Times New Roman"/>
          <w:sz w:val="20"/>
          <w:szCs w:val="20"/>
          <w:color w:val="auto"/>
        </w:rPr>
        <w:t>” means Agreed Currencies other than Dollars.</w:t>
      </w:r>
    </w:p>
    <w:p>
      <w:pPr>
        <w:spacing w:after="0" w:line="108" w:lineRule="exact"/>
        <w:rPr>
          <w:sz w:val="20"/>
          <w:szCs w:val="20"/>
          <w:color w:val="auto"/>
        </w:rPr>
      </w:pPr>
    </w:p>
    <w:p>
      <w:pPr>
        <w:jc w:val="both"/>
        <w:ind w:right="20" w:firstLine="1296"/>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Currency LC Exposure</w:t>
      </w:r>
      <w:r>
        <w:rPr>
          <w:rFonts w:ascii="Times New Roman" w:cs="Times New Roman" w:eastAsia="Times New Roman" w:hAnsi="Times New Roman"/>
          <w:sz w:val="20"/>
          <w:szCs w:val="20"/>
          <w:color w:val="auto"/>
        </w:rPr>
        <w:t>” means, at any time, the sum of (a) the Dollar Amount of the aggregate undrawn and unexpired amount of all outstanding Foreign Currency Letters of Credit at such time plus (b) the aggregate principal Dollar Amount of all LC Disbursements in respect of Foreign Currency Letters of Credit that have not yet been reimbursed at such time.</w:t>
      </w:r>
    </w:p>
    <w:p>
      <w:pPr>
        <w:spacing w:after="0" w:line="5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Currency Letter of Credit</w:t>
      </w:r>
      <w:r>
        <w:rPr>
          <w:rFonts w:ascii="Times New Roman" w:cs="Times New Roman" w:eastAsia="Times New Roman" w:hAnsi="Times New Roman"/>
          <w:sz w:val="20"/>
          <w:szCs w:val="20"/>
          <w:color w:val="auto"/>
        </w:rPr>
        <w:t>” means a Letter of Credit denominated in a Foreign Currency.</w:t>
      </w:r>
    </w:p>
    <w:p>
      <w:pPr>
        <w:spacing w:after="0" w:line="121"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Currency Payment Office</w:t>
      </w:r>
      <w:r>
        <w:rPr>
          <w:rFonts w:ascii="Times New Roman" w:cs="Times New Roman" w:eastAsia="Times New Roman" w:hAnsi="Times New Roman"/>
          <w:sz w:val="20"/>
          <w:szCs w:val="20"/>
          <w:color w:val="auto"/>
        </w:rPr>
        <w:t>” of the Administrative Agent shall mean, for each Foreign Currency, the office, branch, affiliate or correspondent bank of the Administrative Agent for such currency as specified from time to time by the Administrative Agent to the Company and each Lender.</w:t>
      </w:r>
    </w:p>
    <w:p>
      <w:pPr>
        <w:spacing w:after="0" w:line="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Currency Sublimit</w:t>
      </w:r>
      <w:r>
        <w:rPr>
          <w:rFonts w:ascii="Times New Roman" w:cs="Times New Roman" w:eastAsia="Times New Roman" w:hAnsi="Times New Roman"/>
          <w:sz w:val="20"/>
          <w:szCs w:val="20"/>
          <w:color w:val="auto"/>
        </w:rPr>
        <w:t>” means $1,500,000,000.</w:t>
      </w:r>
    </w:p>
    <w:p>
      <w:pPr>
        <w:spacing w:after="0" w:line="10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Lender</w:t>
      </w:r>
      <w:r>
        <w:rPr>
          <w:rFonts w:ascii="Times New Roman" w:cs="Times New Roman" w:eastAsia="Times New Roman" w:hAnsi="Times New Roman"/>
          <w:sz w:val="20"/>
          <w:szCs w:val="20"/>
          <w:color w:val="auto"/>
        </w:rPr>
        <w:t>” means any Lender that is not a U.S. Person.</w:t>
      </w:r>
    </w:p>
    <w:p>
      <w:pPr>
        <w:spacing w:after="0" w:line="1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Subsidiary</w:t>
      </w:r>
      <w:r>
        <w:rPr>
          <w:rFonts w:ascii="Times New Roman" w:cs="Times New Roman" w:eastAsia="Times New Roman" w:hAnsi="Times New Roman"/>
          <w:sz w:val="20"/>
          <w:szCs w:val="20"/>
          <w:color w:val="auto"/>
        </w:rPr>
        <w:t>” means any Subsidiary which is not a Domestic Subsidiary.</w:t>
      </w:r>
    </w:p>
    <w:p>
      <w:pPr>
        <w:spacing w:after="0" w:line="108"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Foreign Subsidiary Borrower</w:t>
      </w:r>
      <w:r>
        <w:rPr>
          <w:rFonts w:ascii="Times New Roman" w:cs="Times New Roman" w:eastAsia="Times New Roman" w:hAnsi="Times New Roman"/>
          <w:sz w:val="19"/>
          <w:szCs w:val="19"/>
          <w:color w:val="auto"/>
        </w:rPr>
        <w:t>” means (i) Ametek European Holdings Limited, an entity organized under the laws of England and Wales with company number 07397586 (“</w:t>
      </w:r>
      <w:r>
        <w:rPr>
          <w:rFonts w:ascii="Times New Roman" w:cs="Times New Roman" w:eastAsia="Times New Roman" w:hAnsi="Times New Roman"/>
          <w:sz w:val="19"/>
          <w:szCs w:val="19"/>
          <w:u w:val="single" w:color="auto"/>
          <w:color w:val="auto"/>
        </w:rPr>
        <w:t>Euro Holdings</w:t>
      </w:r>
      <w:r>
        <w:rPr>
          <w:rFonts w:ascii="Times New Roman" w:cs="Times New Roman" w:eastAsia="Times New Roman" w:hAnsi="Times New Roman"/>
          <w:sz w:val="19"/>
          <w:szCs w:val="19"/>
          <w:color w:val="auto"/>
        </w:rPr>
        <w:t>”), (ii) Tubes Holdco Limited, an entity organized under the laws of England and Wales with company number 08087520 (“</w:t>
      </w:r>
      <w:r>
        <w:rPr>
          <w:rFonts w:ascii="Times New Roman" w:cs="Times New Roman" w:eastAsia="Times New Roman" w:hAnsi="Times New Roman"/>
          <w:sz w:val="19"/>
          <w:szCs w:val="19"/>
          <w:u w:val="single" w:color="auto"/>
          <w:color w:val="auto"/>
        </w:rPr>
        <w:t>Tubes</w:t>
      </w:r>
      <w:r>
        <w:rPr>
          <w:rFonts w:ascii="Times New Roman" w:cs="Times New Roman" w:eastAsia="Times New Roman" w:hAnsi="Times New Roman"/>
          <w:sz w:val="19"/>
          <w:szCs w:val="19"/>
          <w:color w:val="auto"/>
        </w:rPr>
        <w:t>”), (iii) AMETEK Aerospace and Defense Group UK Limited, an entity organized under the laws of England and Wales with company number 08330514 (“</w:t>
      </w:r>
      <w:r>
        <w:rPr>
          <w:rFonts w:ascii="Times New Roman" w:cs="Times New Roman" w:eastAsia="Times New Roman" w:hAnsi="Times New Roman"/>
          <w:sz w:val="19"/>
          <w:szCs w:val="19"/>
          <w:u w:val="single" w:color="auto"/>
          <w:color w:val="auto"/>
        </w:rPr>
        <w:t>Aerospace</w:t>
      </w:r>
      <w:r>
        <w:rPr>
          <w:rFonts w:ascii="Times New Roman" w:cs="Times New Roman" w:eastAsia="Times New Roman" w:hAnsi="Times New Roman"/>
          <w:sz w:val="19"/>
          <w:szCs w:val="19"/>
          <w:color w:val="auto"/>
        </w:rPr>
        <w:t>”), (iv) AMETEK Instruments Group UK Limited, an entity organized under the laws of England and Wales with company number 08330531 (“</w:t>
      </w:r>
      <w:r>
        <w:rPr>
          <w:rFonts w:ascii="Times New Roman" w:cs="Times New Roman" w:eastAsia="Times New Roman" w:hAnsi="Times New Roman"/>
          <w:sz w:val="19"/>
          <w:szCs w:val="19"/>
          <w:u w:val="single" w:color="auto"/>
          <w:color w:val="auto"/>
        </w:rPr>
        <w:t>Instruments</w:t>
      </w:r>
      <w:r>
        <w:rPr>
          <w:rFonts w:ascii="Times New Roman" w:cs="Times New Roman" w:eastAsia="Times New Roman" w:hAnsi="Times New Roman"/>
          <w:sz w:val="19"/>
          <w:szCs w:val="19"/>
          <w:color w:val="auto"/>
        </w:rPr>
        <w:t>”), (v) AMETEK Canada Limited Partnership, a limited partnership formed under the laws of the Province of Alberta (“</w:t>
      </w:r>
      <w:r>
        <w:rPr>
          <w:rFonts w:ascii="Times New Roman" w:cs="Times New Roman" w:eastAsia="Times New Roman" w:hAnsi="Times New Roman"/>
          <w:sz w:val="19"/>
          <w:szCs w:val="19"/>
          <w:u w:val="single" w:color="auto"/>
          <w:color w:val="auto"/>
        </w:rPr>
        <w:t>AMETEK Canada</w:t>
      </w:r>
      <w:r>
        <w:rPr>
          <w:rFonts w:ascii="Times New Roman" w:cs="Times New Roman" w:eastAsia="Times New Roman" w:hAnsi="Times New Roman"/>
          <w:sz w:val="19"/>
          <w:szCs w:val="19"/>
          <w:color w:val="auto"/>
        </w:rPr>
        <w:t xml:space="preserve">”), (vi) AMETEK Material Analysis Holdings GmbH, a limited liability company </w:t>
      </w:r>
      <w:r>
        <w:rPr>
          <w:rFonts w:ascii="Times New Roman" w:cs="Times New Roman" w:eastAsia="Times New Roman" w:hAnsi="Times New Roman"/>
          <w:sz w:val="19"/>
          <w:szCs w:val="19"/>
          <w:i w:val="1"/>
          <w:iCs w:val="1"/>
          <w:color w:val="auto"/>
        </w:rPr>
        <w:t>(Gesellschaft mit beschränkter Haftung)</w:t>
      </w:r>
      <w:r>
        <w:rPr>
          <w:rFonts w:ascii="Times New Roman" w:cs="Times New Roman" w:eastAsia="Times New Roman" w:hAnsi="Times New Roman"/>
          <w:sz w:val="19"/>
          <w:szCs w:val="19"/>
          <w:color w:val="auto"/>
        </w:rPr>
        <w:t xml:space="preserve"> incorporated under the laws of Germany and registered with the commercial register (</w:t>
      </w:r>
      <w:r>
        <w:rPr>
          <w:rFonts w:ascii="Times New Roman" w:cs="Times New Roman" w:eastAsia="Times New Roman" w:hAnsi="Times New Roman"/>
          <w:sz w:val="19"/>
          <w:szCs w:val="19"/>
          <w:i w:val="1"/>
          <w:iCs w:val="1"/>
          <w:color w:val="auto"/>
        </w:rPr>
        <w:t>Handelsregister</w:t>
      </w:r>
      <w:r>
        <w:rPr>
          <w:rFonts w:ascii="Times New Roman" w:cs="Times New Roman" w:eastAsia="Times New Roman" w:hAnsi="Times New Roman"/>
          <w:sz w:val="19"/>
          <w:szCs w:val="19"/>
          <w:color w:val="auto"/>
        </w:rPr>
        <w:t>) at the local court (</w:t>
      </w:r>
      <w:r>
        <w:rPr>
          <w:rFonts w:ascii="Times New Roman" w:cs="Times New Roman" w:eastAsia="Times New Roman" w:hAnsi="Times New Roman"/>
          <w:sz w:val="19"/>
          <w:szCs w:val="19"/>
          <w:i w:val="1"/>
          <w:iCs w:val="1"/>
          <w:color w:val="auto"/>
        </w:rPr>
        <w:t>Amtsgericht</w:t>
      </w:r>
      <w:r>
        <w:rPr>
          <w:rFonts w:ascii="Times New Roman" w:cs="Times New Roman" w:eastAsia="Times New Roman" w:hAnsi="Times New Roman"/>
          <w:sz w:val="19"/>
          <w:szCs w:val="19"/>
          <w:color w:val="auto"/>
        </w:rPr>
        <w:t>) of Kleve under HRB 9403 (“</w:t>
      </w:r>
      <w:r>
        <w:rPr>
          <w:rFonts w:ascii="Times New Roman" w:cs="Times New Roman" w:eastAsia="Times New Roman" w:hAnsi="Times New Roman"/>
          <w:sz w:val="19"/>
          <w:szCs w:val="19"/>
          <w:u w:val="single" w:color="auto"/>
          <w:color w:val="auto"/>
        </w:rPr>
        <w:t>AMETEK Germany</w:t>
      </w:r>
      <w:r>
        <w:rPr>
          <w:rFonts w:ascii="Times New Roman" w:cs="Times New Roman" w:eastAsia="Times New Roman" w:hAnsi="Times New Roman"/>
          <w:sz w:val="19"/>
          <w:szCs w:val="19"/>
          <w:color w:val="auto"/>
        </w:rPr>
        <w:t>” and, together with Euro Holdings, Tubes, Aerospace, Instruments and AMETEK Canada, the “</w:t>
      </w:r>
      <w:r>
        <w:rPr>
          <w:rFonts w:ascii="Times New Roman" w:cs="Times New Roman" w:eastAsia="Times New Roman" w:hAnsi="Times New Roman"/>
          <w:sz w:val="19"/>
          <w:szCs w:val="19"/>
          <w:u w:val="single" w:color="auto"/>
          <w:color w:val="auto"/>
        </w:rPr>
        <w:t>Initial Foreign Subsidiary Borrowers</w:t>
      </w:r>
      <w:r>
        <w:rPr>
          <w:rFonts w:ascii="Times New Roman" w:cs="Times New Roman" w:eastAsia="Times New Roman" w:hAnsi="Times New Roman"/>
          <w:sz w:val="19"/>
          <w:szCs w:val="19"/>
          <w:color w:val="auto"/>
        </w:rPr>
        <w:t>”) and</w:t>
      </w:r>
    </w:p>
    <w:p>
      <w:pPr>
        <w:spacing w:after="0" w:line="7" w:lineRule="exact"/>
        <w:rPr>
          <w:sz w:val="20"/>
          <w:szCs w:val="20"/>
          <w:color w:val="auto"/>
        </w:rPr>
      </w:pPr>
    </w:p>
    <w:p>
      <w:pPr>
        <w:ind w:right="20" w:firstLine="8"/>
        <w:spacing w:after="0" w:line="253" w:lineRule="auto"/>
        <w:tabs>
          <w:tab w:leader="none" w:pos="394"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Eligible Foreign Subsidiary that becomes a Foreign Subsidiary Borrower pursuant to Section 2.24, in each case, provided that such Foreign Subsidiary Borrower has not ceased to be a Foreign Subsidiary Borrower pursuant to Section 2.24.</w:t>
      </w:r>
    </w:p>
    <w:p>
      <w:pPr>
        <w:spacing w:after="0" w:line="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GAAP</w:t>
      </w:r>
      <w:r>
        <w:rPr>
          <w:rFonts w:ascii="Times New Roman" w:cs="Times New Roman" w:eastAsia="Times New Roman" w:hAnsi="Times New Roman"/>
          <w:sz w:val="20"/>
          <w:szCs w:val="20"/>
          <w:color w:val="auto"/>
        </w:rPr>
        <w:t>” means generally accepted accounting principles in the United States of America.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ectPr>
          <w:pgSz w:w="11900" w:h="16838" w:orient="portrait"/>
          <w:cols w:equalWidth="0" w:num="1">
            <w:col w:w="11240"/>
          </w:cols>
          <w:pgMar w:left="320" w:top="1413" w:right="339" w:bottom="1440" w:gutter="0" w:footer="0" w:header="0"/>
        </w:sectPr>
      </w:pPr>
    </w:p>
    <w:bookmarkStart w:id="31" w:name="page32"/>
    <w:bookmarkEnd w:id="31"/>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German Borrower</w:t>
      </w:r>
      <w:r>
        <w:rPr>
          <w:rFonts w:ascii="Times New Roman" w:cs="Times New Roman" w:eastAsia="Times New Roman" w:hAnsi="Times New Roman"/>
          <w:sz w:val="20"/>
          <w:szCs w:val="20"/>
          <w:color w:val="auto"/>
        </w:rPr>
        <w:t>” means any Foreign Subsidiary Borrower that qualifies as a resident party domiciled in Germany (</w:t>
      </w:r>
      <w:r>
        <w:rPr>
          <w:rFonts w:ascii="Times New Roman" w:cs="Times New Roman" w:eastAsia="Times New Roman" w:hAnsi="Times New Roman"/>
          <w:sz w:val="20"/>
          <w:szCs w:val="20"/>
          <w:i w:val="1"/>
          <w:iCs w:val="1"/>
          <w:color w:val="auto"/>
        </w:rPr>
        <w:t>Inländer</w:t>
      </w:r>
      <w:r>
        <w:rPr>
          <w:rFonts w:ascii="Times New Roman" w:cs="Times New Roman" w:eastAsia="Times New Roman" w:hAnsi="Times New Roman"/>
          <w:sz w:val="20"/>
          <w:szCs w:val="20"/>
          <w:color w:val="auto"/>
        </w:rPr>
        <w:t>) within the meaning of Section 2 paragraph 15 German Foreign Trade Act (</w:t>
      </w:r>
      <w:r>
        <w:rPr>
          <w:rFonts w:ascii="Times New Roman" w:cs="Times New Roman" w:eastAsia="Times New Roman" w:hAnsi="Times New Roman"/>
          <w:sz w:val="20"/>
          <w:szCs w:val="20"/>
          <w:i w:val="1"/>
          <w:iCs w:val="1"/>
          <w:color w:val="auto"/>
        </w:rPr>
        <w:t>Außenwirtschaftsgesetz</w:t>
      </w:r>
      <w:r>
        <w:rPr>
          <w:rFonts w:ascii="Times New Roman" w:cs="Times New Roman" w:eastAsia="Times New Roman" w:hAnsi="Times New Roman"/>
          <w:sz w:val="20"/>
          <w:szCs w:val="20"/>
          <w:color w:val="auto"/>
        </w:rPr>
        <w:t>) (including its directors, managers, officers, agents and employees).</w:t>
      </w:r>
    </w:p>
    <w:p>
      <w:pPr>
        <w:spacing w:after="0" w:line="7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Governmental Authority</w:t>
      </w:r>
      <w:r>
        <w:rPr>
          <w:rFonts w:ascii="Times New Roman" w:cs="Times New Roman" w:eastAsia="Times New Roman" w:hAnsi="Times New Roman"/>
          <w:sz w:val="20"/>
          <w:szCs w:val="20"/>
          <w:color w:val="auto"/>
        </w:rPr>
        <w:t>” means the government of the United States of America,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 and any group or body charged with setting financial accounting or regulatory capital rules or standards (including, without limitation, the Financial Accounting Standards Board, the Bank for International Settlements or the Basel Committee on Banking Supervision or any successor or similar authority to any of the foregoing).</w:t>
      </w:r>
    </w:p>
    <w:p>
      <w:pPr>
        <w:spacing w:after="0" w:line="71"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Guarantee</w:t>
      </w:r>
      <w:r>
        <w:rPr>
          <w:rFonts w:ascii="Times New Roman" w:cs="Times New Roman" w:eastAsia="Times New Roman" w:hAnsi="Times New Roman"/>
          <w:sz w:val="19"/>
          <w:szCs w:val="19"/>
          <w:color w:val="auto"/>
        </w:rPr>
        <w:t>” of or by any Person (the “</w:t>
      </w:r>
      <w:r>
        <w:rPr>
          <w:rFonts w:ascii="Times New Roman" w:cs="Times New Roman" w:eastAsia="Times New Roman" w:hAnsi="Times New Roman"/>
          <w:sz w:val="19"/>
          <w:szCs w:val="19"/>
          <w:u w:val="single" w:color="auto"/>
          <w:color w:val="auto"/>
        </w:rPr>
        <w:t>guarantor</w:t>
      </w:r>
      <w:r>
        <w:rPr>
          <w:rFonts w:ascii="Times New Roman" w:cs="Times New Roman" w:eastAsia="Times New Roman" w:hAnsi="Times New Roman"/>
          <w:sz w:val="19"/>
          <w:szCs w:val="19"/>
          <w:color w:val="auto"/>
        </w:rPr>
        <w:t>”) means any obligation, contingent or otherwise, of the guarantor guaranteeing or having the economic effect of guaranteeing any Indebtedness or other obligation of any other Person (the “</w:t>
      </w:r>
      <w:r>
        <w:rPr>
          <w:rFonts w:ascii="Times New Roman" w:cs="Times New Roman" w:eastAsia="Times New Roman" w:hAnsi="Times New Roman"/>
          <w:sz w:val="19"/>
          <w:szCs w:val="19"/>
          <w:u w:val="single" w:color="auto"/>
          <w:color w:val="auto"/>
        </w:rPr>
        <w:t>primary obligor</w:t>
      </w:r>
      <w:r>
        <w:rPr>
          <w:rFonts w:ascii="Times New Roman" w:cs="Times New Roman" w:eastAsia="Times New Roman" w:hAnsi="Times New Roman"/>
          <w:sz w:val="19"/>
          <w:szCs w:val="19"/>
          <w:color w:val="auto"/>
        </w:rPr>
        <w:t xml:space="preserve">”)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the term “Guarantee” shall not include endorsements for collection or deposit in the ordinary course of business.</w:t>
      </w:r>
    </w:p>
    <w:p>
      <w:pPr>
        <w:spacing w:after="0" w:line="75" w:lineRule="exact"/>
        <w:rPr>
          <w:sz w:val="20"/>
          <w:szCs w:val="20"/>
          <w:color w:val="auto"/>
        </w:rPr>
      </w:pPr>
    </w:p>
    <w:p>
      <w:pPr>
        <w:jc w:val="both"/>
        <w:ind w:firstLine="1296"/>
        <w:spacing w:after="0" w:line="28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Hazardous Materials</w:t>
      </w:r>
      <w:r>
        <w:rPr>
          <w:rFonts w:ascii="Times New Roman" w:cs="Times New Roman" w:eastAsia="Times New Roman" w:hAnsi="Times New Roman"/>
          <w:sz w:val="19"/>
          <w:szCs w:val="19"/>
          <w:color w:val="auto"/>
        </w:rPr>
        <w:t>” means all explosive or radioactive substances or wastes and all hazardous or toxic substances, wastes or other pollutants, including petroleum or petroleum distillates, asbestos or asbestos containing materials, polychlorinated biphenyls, radon gas, infectious or medical wastes and all other substances or wastes of any nature regulated pursuant to any Environmental Law.</w:t>
      </w:r>
    </w:p>
    <w:p>
      <w:pPr>
        <w:spacing w:after="0" w:line="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Increasing Lender</w:t>
      </w:r>
      <w:r>
        <w:rPr>
          <w:rFonts w:ascii="Times New Roman" w:cs="Times New Roman" w:eastAsia="Times New Roman" w:hAnsi="Times New Roman"/>
          <w:sz w:val="20"/>
          <w:szCs w:val="20"/>
          <w:color w:val="auto"/>
        </w:rPr>
        <w:t>” has the meaning assigned to such term in Section 2.21.</w:t>
      </w:r>
    </w:p>
    <w:p>
      <w:pPr>
        <w:spacing w:after="0" w:line="1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Term Loan</w:t>
      </w:r>
      <w:r>
        <w:rPr>
          <w:rFonts w:ascii="Times New Roman" w:cs="Times New Roman" w:eastAsia="Times New Roman" w:hAnsi="Times New Roman"/>
          <w:sz w:val="20"/>
          <w:szCs w:val="20"/>
          <w:color w:val="auto"/>
        </w:rPr>
        <w:t>” has the meaning assigned to such term in Section 2.21.</w:t>
      </w:r>
    </w:p>
    <w:p>
      <w:pPr>
        <w:spacing w:after="0" w:line="1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Term Loan Amendment</w:t>
      </w:r>
      <w:r>
        <w:rPr>
          <w:rFonts w:ascii="Times New Roman" w:cs="Times New Roman" w:eastAsia="Times New Roman" w:hAnsi="Times New Roman"/>
          <w:sz w:val="20"/>
          <w:szCs w:val="20"/>
          <w:color w:val="auto"/>
        </w:rPr>
        <w:t>” has the meaning assigned to such term in Section 2.21.</w:t>
      </w:r>
    </w:p>
    <w:p>
      <w:pPr>
        <w:spacing w:after="0" w:line="108"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Indebtedness</w:t>
      </w:r>
      <w:r>
        <w:rPr>
          <w:rFonts w:ascii="Times New Roman" w:cs="Times New Roman" w:eastAsia="Times New Roman" w:hAnsi="Times New Roman"/>
          <w:sz w:val="19"/>
          <w:szCs w:val="19"/>
          <w:color w:val="auto"/>
        </w:rPr>
        <w:t>” of any Person means, without duplication, (a) all obligations of such Person for borrowed money, (b) all obligations of such Person evidenced by bonds, debentures, notes or similar instruments, (c) all obligations of such Person under conditional sale or other title retention agreements relating to property acquired by such Person, (d) all obligations of such Person in respect of the deferred purchase price of property or services which in accordance with GAAP would be shown on the liability side of the balance sheet of such Person, (e) all Indebtedness of others secured by (or for which the holder of such Indebtedness has an existing right, contingent or otherwise, to be secured by) any Lien on property owned or acquired by such Person, whether or not the Indebtedness secured thereby has been assumed, (f) all Guarantees by such Person of Indebtedness of others, (g) all Capital Lease Obligations of such Person, (h) all obligations, contingent or otherwise, of such Person as an account party in respect of letters of credit and bank guarantees, (i) all obligations, contingent or otherwise, of such Person in respect of bankers’ acceptances, (j) all Attributable Receivables Indebtedness of such Person, or</w:t>
      </w:r>
    </w:p>
    <w:p>
      <w:pPr>
        <w:spacing w:after="0" w:line="7" w:lineRule="exact"/>
        <w:rPr>
          <w:sz w:val="20"/>
          <w:szCs w:val="20"/>
          <w:color w:val="auto"/>
        </w:rPr>
      </w:pPr>
    </w:p>
    <w:p>
      <w:pPr>
        <w:ind w:firstLine="8"/>
        <w:spacing w:after="0" w:line="253" w:lineRule="auto"/>
        <w:tabs>
          <w:tab w:leader="none" w:pos="297"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obligations of such Person under Sale and Leaseback Transactions; provided that Indebtedness shall not include trade payables and accrued expenses, in each case arising in the ordinary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ectPr>
          <w:pgSz w:w="11900" w:h="16838" w:orient="portrait"/>
          <w:cols w:equalWidth="0" w:num="1">
            <w:col w:w="11240"/>
          </w:cols>
          <w:pgMar w:left="320" w:top="1413" w:right="339" w:bottom="1440" w:gutter="0" w:footer="0" w:header="0"/>
        </w:sectPr>
      </w:pPr>
    </w:p>
    <w:bookmarkStart w:id="32" w:name="page33"/>
    <w:bookmarkEnd w:id="32"/>
    <w:p>
      <w:pPr>
        <w:jc w:val="both"/>
        <w:spacing w:after="0" w:line="261" w:lineRule="auto"/>
        <w:rPr>
          <w:sz w:val="20"/>
          <w:szCs w:val="20"/>
          <w:color w:val="auto"/>
        </w:rPr>
      </w:pPr>
      <w:r>
        <w:rPr>
          <w:rFonts w:ascii="Times New Roman" w:cs="Times New Roman" w:eastAsia="Times New Roman" w:hAnsi="Times New Roman"/>
          <w:sz w:val="20"/>
          <w:szCs w:val="20"/>
          <w:color w:val="auto"/>
        </w:rPr>
        <w:t>course of business. For all purposes of this Agreement, the Indebtedness of any Person shall include all Indebtedness of any partnership or joint venture or limited liability company in which such Person is a general partner or a joint venturer or a member, but in any such case, only to the extent any such Indebtedness is recourse to such Person.</w:t>
      </w:r>
    </w:p>
    <w:p>
      <w:pPr>
        <w:spacing w:after="0" w:line="7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Indemnified Taxes</w:t>
      </w:r>
      <w:r>
        <w:rPr>
          <w:rFonts w:ascii="Times New Roman" w:cs="Times New Roman" w:eastAsia="Times New Roman" w:hAnsi="Times New Roman"/>
          <w:sz w:val="20"/>
          <w:szCs w:val="20"/>
          <w:color w:val="auto"/>
        </w:rPr>
        <w:t>” means (a) Taxes, other than Excluded Taxes, imposed on or with respect to any payment made by or on account of any obligation of any Loan Party under any Loan Document and (b) to the extent not otherwise described in clause (a) hereof, Other Taxes.</w:t>
      </w:r>
    </w:p>
    <w:p>
      <w:pPr>
        <w:spacing w:after="0" w:line="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Indemnitee</w:t>
      </w:r>
      <w:r>
        <w:rPr>
          <w:rFonts w:ascii="Times New Roman" w:cs="Times New Roman" w:eastAsia="Times New Roman" w:hAnsi="Times New Roman"/>
          <w:sz w:val="20"/>
          <w:szCs w:val="20"/>
          <w:color w:val="auto"/>
        </w:rPr>
        <w:t>” has the meaning assigned to such term in Section 9.03(b).</w:t>
      </w:r>
    </w:p>
    <w:p>
      <w:pPr>
        <w:spacing w:after="0" w:line="108"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Index Debt</w:t>
      </w:r>
      <w:r>
        <w:rPr>
          <w:rFonts w:ascii="Times New Roman" w:cs="Times New Roman" w:eastAsia="Times New Roman" w:hAnsi="Times New Roman"/>
          <w:sz w:val="20"/>
          <w:szCs w:val="20"/>
          <w:color w:val="auto"/>
        </w:rPr>
        <w:t>” means senior, unsecured, long-term indebtedness for borrowed money of the Company that is not guaranteed by any other person or entity or subject to any other credit enhancement.</w:t>
      </w:r>
    </w:p>
    <w:p>
      <w:pPr>
        <w:spacing w:after="0" w:line="3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Indicor Acquired Business</w:t>
      </w:r>
      <w:r>
        <w:rPr>
          <w:rFonts w:ascii="Times New Roman" w:cs="Times New Roman" w:eastAsia="Times New Roman" w:hAnsi="Times New Roman"/>
          <w:sz w:val="20"/>
          <w:szCs w:val="20"/>
          <w:color w:val="auto"/>
        </w:rPr>
        <w:t>” means the Indicor Target and its subsidiaries.</w:t>
      </w:r>
    </w:p>
    <w:p>
      <w:pPr>
        <w:spacing w:after="0" w:line="121"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Indicor Acquisition</w:t>
      </w:r>
      <w:r>
        <w:rPr>
          <w:rFonts w:ascii="Times New Roman" w:cs="Times New Roman" w:eastAsia="Times New Roman" w:hAnsi="Times New Roman"/>
          <w:sz w:val="20"/>
          <w:szCs w:val="20"/>
          <w:color w:val="auto"/>
        </w:rPr>
        <w:t>” means the Company’s direct or indirect acquisition of all of the outstanding Equity Interests of the Indicor Target in the manner contemplated by the Indicor Acquisition Agreement.</w:t>
      </w:r>
    </w:p>
    <w:p>
      <w:pPr>
        <w:spacing w:after="0" w:line="38"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Indicor Acquisition Agreement</w:t>
      </w:r>
      <w:r>
        <w:rPr>
          <w:rFonts w:ascii="Times New Roman" w:cs="Times New Roman" w:eastAsia="Times New Roman" w:hAnsi="Times New Roman"/>
          <w:sz w:val="20"/>
          <w:szCs w:val="20"/>
          <w:color w:val="auto"/>
        </w:rPr>
        <w:t>” means that certain Equity Purchase Agreement (together with the schedules and exhibits thereto) dated as of May 5, 2026 entered into among the Company and the sellers party thereto.</w:t>
      </w:r>
    </w:p>
    <w:p>
      <w:pPr>
        <w:spacing w:after="0" w:line="38"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Indicor Acquisition Agreement Representations</w:t>
      </w:r>
      <w:r>
        <w:rPr>
          <w:rFonts w:ascii="Times New Roman" w:cs="Times New Roman" w:eastAsia="Times New Roman" w:hAnsi="Times New Roman"/>
          <w:sz w:val="20"/>
          <w:szCs w:val="20"/>
          <w:color w:val="auto"/>
        </w:rPr>
        <w:t>” means such of the representations made by or with respect to the Indicor Acquired Business in the Indicor Acquisition Agreement as are material to the interests of the Lenders, but only to the extent that the Company has (or a subsidiary of the Company has) the right to terminate the Company’s (or such subsidiary’s) obligations under the Indicor Acquisition Agreement, or to decline to consummate the Indicor Acquisition pursuant to the Indicor Acquisition Agreement, as a result of a breach of such representations in the Indicor Acquisition Agreement.</w:t>
      </w:r>
    </w:p>
    <w:p>
      <w:pPr>
        <w:spacing w:after="0" w:line="65"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Indicor Bridge Facility</w:t>
      </w:r>
      <w:r>
        <w:rPr>
          <w:rFonts w:ascii="Times New Roman" w:cs="Times New Roman" w:eastAsia="Times New Roman" w:hAnsi="Times New Roman"/>
          <w:sz w:val="20"/>
          <w:szCs w:val="20"/>
          <w:color w:val="auto"/>
        </w:rPr>
        <w:t>” means a 364-day senior unsecured bridge loan facility in an aggregate principal amount of up to $5,000,000,000, the proceeds of which shall be used to pay a portion of the purchase price of the Indicor Acquisition.</w:t>
      </w:r>
    </w:p>
    <w:p>
      <w:pPr>
        <w:spacing w:after="0" w:line="38"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Indicor Certain Funds Purpose</w:t>
      </w:r>
      <w:r>
        <w:rPr>
          <w:rFonts w:ascii="Times New Roman" w:cs="Times New Roman" w:eastAsia="Times New Roman" w:hAnsi="Times New Roman"/>
          <w:sz w:val="20"/>
          <w:szCs w:val="20"/>
          <w:color w:val="auto"/>
        </w:rPr>
        <w:t>” means (i) the payment of the consideration pursuant to the terms of the Indicor Acquisition Agreement, (ii) the Indicor Refinancing and (iii) the payment of fees, costs and expenses related to the Indicor Transactions.</w:t>
      </w:r>
    </w:p>
    <w:p>
      <w:pPr>
        <w:spacing w:after="0" w:line="52"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Indicor Closing Date</w:t>
      </w:r>
      <w:r>
        <w:rPr>
          <w:rFonts w:ascii="Times New Roman" w:cs="Times New Roman" w:eastAsia="Times New Roman" w:hAnsi="Times New Roman"/>
          <w:sz w:val="20"/>
          <w:szCs w:val="20"/>
          <w:color w:val="auto"/>
        </w:rPr>
        <w:t>” means the date on which the conditions specified in Section 4.04 are satisfied, including the consummation of the Indicor Acquisition.</w:t>
      </w:r>
    </w:p>
    <w:p>
      <w:pPr>
        <w:spacing w:after="0" w:line="65" w:lineRule="exact"/>
        <w:rPr>
          <w:sz w:val="20"/>
          <w:szCs w:val="20"/>
          <w:color w:val="auto"/>
        </w:rPr>
      </w:pPr>
    </w:p>
    <w:p>
      <w:pPr>
        <w:jc w:val="both"/>
        <w:ind w:right="20"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Indicor Closing Date Revolving Commitments</w:t>
      </w:r>
      <w:r>
        <w:rPr>
          <w:rFonts w:ascii="Times New Roman" w:cs="Times New Roman" w:eastAsia="Times New Roman" w:hAnsi="Times New Roman"/>
          <w:sz w:val="20"/>
          <w:szCs w:val="20"/>
          <w:color w:val="auto"/>
        </w:rPr>
        <w:t>” means Commitments of the Lenders to make the Indicor Closing Date Revolving Loans.</w:t>
      </w:r>
    </w:p>
    <w:p>
      <w:pPr>
        <w:spacing w:after="0" w:line="6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Indicor Closing Date Revolving Commitments Expiration Date</w:t>
      </w:r>
      <w:r>
        <w:rPr>
          <w:rFonts w:ascii="Times New Roman" w:cs="Times New Roman" w:eastAsia="Times New Roman" w:hAnsi="Times New Roman"/>
          <w:sz w:val="20"/>
          <w:szCs w:val="20"/>
          <w:color w:val="auto"/>
        </w:rPr>
        <w:t>” means the date which is the earliest of (i) the date that is five business days after the “Termination Date” (as defined in the Indicor Acquisition Agreement as in effect on May 5, 2026 and as such date may be extended in accordance with Section 9.1(d) of the Indicor Acquisition Agreement as in effect on May 5, 2026, but in no event to exceed May 5, 2027)), (ii) the occurrence of the Indicor Closing Date (after giving effect to the making of any Indicor Closing Date Revolving Loans on such date), and (iii) the date the Company notifies the Administrative Agent in writing that the Indicor Acquisition Agreement is terminated or a public announcement by the Company of its intention not to proceed with the Indicor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ectPr>
          <w:pgSz w:w="11900" w:h="16838" w:orient="portrait"/>
          <w:cols w:equalWidth="0" w:num="1">
            <w:col w:w="11240"/>
          </w:cols>
          <w:pgMar w:left="320" w:top="1413" w:right="339" w:bottom="1440" w:gutter="0" w:footer="0" w:header="0"/>
        </w:sectPr>
      </w:pPr>
    </w:p>
    <w:bookmarkStart w:id="33" w:name="page34"/>
    <w:bookmarkEnd w:id="33"/>
    <w:p>
      <w:pPr>
        <w:jc w:val="both"/>
        <w:ind w:firstLine="1296"/>
        <w:spacing w:after="0" w:line="31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Indicor Closing Date Revolving Loans</w:t>
      </w:r>
      <w:r>
        <w:rPr>
          <w:rFonts w:ascii="Times New Roman" w:cs="Times New Roman" w:eastAsia="Times New Roman" w:hAnsi="Times New Roman"/>
          <w:sz w:val="19"/>
          <w:szCs w:val="19"/>
          <w:color w:val="auto"/>
        </w:rPr>
        <w:t>” means Revolving Loans to be made by the Lenders in Dollars to the Company which are used for Indicor Certain Funds Purposes in an aggregate amount not to exceed the Indicor Closing Date Revolving Loans Sublimit.</w:t>
      </w:r>
    </w:p>
    <w:p>
      <w:pPr>
        <w:spacing w:after="0" w:line="1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Indicor Closing Date Revolving Loans Sublimit</w:t>
      </w:r>
      <w:r>
        <w:rPr>
          <w:rFonts w:ascii="Times New Roman" w:cs="Times New Roman" w:eastAsia="Times New Roman" w:hAnsi="Times New Roman"/>
          <w:sz w:val="20"/>
          <w:szCs w:val="20"/>
          <w:color w:val="auto"/>
        </w:rPr>
        <w:t>” means $1,000,000,000, which shall automatically be reduced to $0 on the Indicor Closing Date (after giving effect to any Indicor Closing Date Revolving Loans made on such date). The Indicor Closing Date Revolving Loans Sublimit is part of, and not in addition to, the Revolving Commitments, and shall expire on the Indicor Closing Date Revolving Commitments Expiration Date.</w:t>
      </w:r>
    </w:p>
    <w:p>
      <w:pPr>
        <w:spacing w:after="0" w:line="78"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Indicor Permitted Debt Facilities</w:t>
      </w:r>
      <w:r>
        <w:rPr>
          <w:rFonts w:ascii="Times New Roman" w:cs="Times New Roman" w:eastAsia="Times New Roman" w:hAnsi="Times New Roman"/>
          <w:sz w:val="20"/>
          <w:szCs w:val="20"/>
          <w:color w:val="auto"/>
        </w:rPr>
        <w:t>” means, collectively, (i) the Indicor Bridge Facility, (ii) the Indicor Term Loan Facility and (iii) the Indicor Senior Notes.</w:t>
      </w:r>
    </w:p>
    <w:p>
      <w:pPr>
        <w:spacing w:after="0" w:line="6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Indicor Refinancing</w:t>
      </w:r>
      <w:r>
        <w:rPr>
          <w:rFonts w:ascii="Times New Roman" w:cs="Times New Roman" w:eastAsia="Times New Roman" w:hAnsi="Times New Roman"/>
          <w:sz w:val="20"/>
          <w:szCs w:val="20"/>
          <w:color w:val="auto"/>
        </w:rPr>
        <w:t>” means the repayment of the Paid Indebtedness (as defined in the Acquisition Agreement as in effect on May 5, 2026) of the Indicor Acquired Business and obtain the release of all guarantees by, and security interests in the assets of, the Indicor Acquired Business under such Paid Indebtedness.</w:t>
      </w:r>
    </w:p>
    <w:p>
      <w:pPr>
        <w:spacing w:after="0" w:line="7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Indicor Senior Notes</w:t>
      </w:r>
      <w:r>
        <w:rPr>
          <w:rFonts w:ascii="Times New Roman" w:cs="Times New Roman" w:eastAsia="Times New Roman" w:hAnsi="Times New Roman"/>
          <w:sz w:val="20"/>
          <w:szCs w:val="20"/>
          <w:color w:val="auto"/>
        </w:rPr>
        <w:t>” means senior unsecured notes of the Company in an aggregate principal amount of up to $5,000,000,000, which, to the extent of the net cash proceeds thereof, will refinance the Indicor Term Loan Facility (or, if the Indicor Term Loan Facility shall not then be in effect, the Indicor Bridge Facility).</w:t>
      </w:r>
    </w:p>
    <w:p>
      <w:pPr>
        <w:spacing w:after="0" w:line="6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Indicor Specified Representations</w:t>
      </w:r>
      <w:r>
        <w:rPr>
          <w:rFonts w:ascii="Times New Roman" w:cs="Times New Roman" w:eastAsia="Times New Roman" w:hAnsi="Times New Roman"/>
          <w:sz w:val="20"/>
          <w:szCs w:val="20"/>
          <w:color w:val="auto"/>
        </w:rPr>
        <w:t>” means the representations and warranties of the Company set forth in Section 3.01 (with respect to the Company only), 3.02 (with respect to the execution, delivery and performance of the Loan Documents and the Indicor Transactions and the Indicor Certain Funds Advances), 3.03(b) (with respect to the Loan Documents and the Indicor Transactions and the Indicor Certain Funds Advances, but excluding “any applicable law or regulation” and “any order of any Governmental Authority”), 3.03(c) (limited to this Agreement or any other debt instruments with an aggregate principal and/or committed amount in excess of $100,000,000) (after giving effect to the Indicor Transactions and without giving effect to any “material adverse effect” or similar qualifier)), 3.07(c)(ii), 3.08, 3.12, 3.18 and 3.19.</w:t>
      </w:r>
    </w:p>
    <w:p>
      <w:pPr>
        <w:spacing w:after="0" w:line="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Indicor Target</w:t>
      </w:r>
      <w:r>
        <w:rPr>
          <w:rFonts w:ascii="Times New Roman" w:cs="Times New Roman" w:eastAsia="Times New Roman" w:hAnsi="Times New Roman"/>
          <w:sz w:val="20"/>
          <w:szCs w:val="20"/>
          <w:color w:val="auto"/>
        </w:rPr>
        <w:t>” means Indicor Holdings, LLC, a Delaware limited liability company.</w:t>
      </w:r>
    </w:p>
    <w:p>
      <w:pPr>
        <w:spacing w:after="0" w:line="121"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Indicor Term Loan Credit Agreement</w:t>
      </w:r>
      <w:r>
        <w:rPr>
          <w:rFonts w:ascii="Times New Roman" w:cs="Times New Roman" w:eastAsia="Times New Roman" w:hAnsi="Times New Roman"/>
          <w:sz w:val="20"/>
          <w:szCs w:val="20"/>
          <w:color w:val="auto"/>
        </w:rPr>
        <w:t>” means that certain Term Loan Credit Agreement, dated as of June 9, 2026, among the Company, the lenders from time to time party thereto and Bank of America, N.A. as administrative agent (as in effect on the Restatement Effective Date).</w:t>
      </w:r>
    </w:p>
    <w:p>
      <w:pPr>
        <w:spacing w:after="0" w:line="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Indicor Term Loan Facility</w:t>
      </w:r>
      <w:r>
        <w:rPr>
          <w:rFonts w:ascii="Times New Roman" w:cs="Times New Roman" w:eastAsia="Times New Roman" w:hAnsi="Times New Roman"/>
          <w:sz w:val="20"/>
          <w:szCs w:val="20"/>
          <w:color w:val="auto"/>
        </w:rPr>
        <w:t>” means the term loan credit facility established pursuant to the Indicor Term Loan Credit</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Agreement.</w:t>
      </w:r>
    </w:p>
    <w:p>
      <w:pPr>
        <w:spacing w:after="0" w:line="9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Indicor Transactions</w:t>
      </w:r>
      <w:r>
        <w:rPr>
          <w:rFonts w:ascii="Times New Roman" w:cs="Times New Roman" w:eastAsia="Times New Roman" w:hAnsi="Times New Roman"/>
          <w:sz w:val="20"/>
          <w:szCs w:val="20"/>
          <w:color w:val="auto"/>
        </w:rPr>
        <w:t>” means (i) the Indicor Acquisition, (ii) the Company obtaining $5,000,000,000 of gross proceeds from a combination of (w) the issuance by the Company of senior unsecured debt securities through a public offering or in a private placement (including the Indicor Senior Notes) or the borrowing by the Company of senior unsecured term loans under the Indicor Term Loan Credit Agreement, (x) the borrowing by the Company of Loans under this Agreement and the issuance of commercial paper by the Company under its commercial paper program, or (y) a combination of the foregoing, (iii) the Company’s making of the payments described in the definition of Indicor Certain Funds Purpose and (iv) the transactions related to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ectPr>
          <w:pgSz w:w="11900" w:h="16838" w:orient="portrait"/>
          <w:cols w:equalWidth="0" w:num="1">
            <w:col w:w="11240"/>
          </w:cols>
          <w:pgMar w:left="320" w:top="1413" w:right="339" w:bottom="1440" w:gutter="0" w:footer="0" w:header="0"/>
        </w:sectPr>
      </w:pPr>
    </w:p>
    <w:bookmarkStart w:id="34" w:name="page35"/>
    <w:bookmarkEnd w:id="34"/>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Ineligible Institution</w:t>
      </w:r>
      <w:r>
        <w:rPr>
          <w:rFonts w:ascii="Times New Roman" w:cs="Times New Roman" w:eastAsia="Times New Roman" w:hAnsi="Times New Roman"/>
          <w:sz w:val="20"/>
          <w:szCs w:val="20"/>
          <w:color w:val="auto"/>
        </w:rPr>
        <w:t>” has the meaning assigned to such term in Section 9.04(b).</w:t>
      </w:r>
    </w:p>
    <w:p>
      <w:pPr>
        <w:spacing w:after="0" w:line="1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Information</w:t>
      </w:r>
      <w:r>
        <w:rPr>
          <w:rFonts w:ascii="Times New Roman" w:cs="Times New Roman" w:eastAsia="Times New Roman" w:hAnsi="Times New Roman"/>
          <w:sz w:val="20"/>
          <w:szCs w:val="20"/>
          <w:color w:val="auto"/>
        </w:rPr>
        <w:t>” has the meaning assigned to such term in Section 9.12.</w:t>
      </w:r>
    </w:p>
    <w:p>
      <w:pPr>
        <w:spacing w:after="0" w:line="108"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Information Memorandum</w:t>
      </w:r>
      <w:r>
        <w:rPr>
          <w:rFonts w:ascii="Times New Roman" w:cs="Times New Roman" w:eastAsia="Times New Roman" w:hAnsi="Times New Roman"/>
          <w:sz w:val="20"/>
          <w:szCs w:val="20"/>
          <w:color w:val="auto"/>
        </w:rPr>
        <w:t>” means the Confidential Information Memorandum dated May 2026 relating to the Company and the Transactions.</w:t>
      </w:r>
    </w:p>
    <w:p>
      <w:pPr>
        <w:spacing w:after="0" w:line="3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Initial Foreign Subsidiary Borrower</w:t>
      </w:r>
      <w:r>
        <w:rPr>
          <w:rFonts w:ascii="Times New Roman" w:cs="Times New Roman" w:eastAsia="Times New Roman" w:hAnsi="Times New Roman"/>
          <w:sz w:val="20"/>
          <w:szCs w:val="20"/>
          <w:color w:val="auto"/>
        </w:rPr>
        <w:t>” has the meaning assigned to such term in the definition of Foreign Subsidiary</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Borrower.</w:t>
      </w:r>
    </w:p>
    <w:p>
      <w:pPr>
        <w:spacing w:after="0" w:line="106"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Intercompany Loans</w:t>
      </w:r>
      <w:r>
        <w:rPr>
          <w:rFonts w:ascii="Times New Roman" w:cs="Times New Roman" w:eastAsia="Times New Roman" w:hAnsi="Times New Roman"/>
          <w:sz w:val="20"/>
          <w:szCs w:val="20"/>
          <w:color w:val="auto"/>
        </w:rPr>
        <w:t>” means intercompany loans and advances from (a) the Company to its Subsidiaries (other than to the Captive Insurance Subsidiary unless required by applicable law or required to fund its insurance operations), and (b) any Subsidiary to any other Subsidiary (other than the Captive Insurance Subsidiary unless required by applicable law or required to fund its insurance operations) or to the Company.</w:t>
      </w:r>
    </w:p>
    <w:p>
      <w:pPr>
        <w:spacing w:after="0" w:line="7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Interest Coverage Ratio</w:t>
      </w:r>
      <w:r>
        <w:rPr>
          <w:rFonts w:ascii="Times New Roman" w:cs="Times New Roman" w:eastAsia="Times New Roman" w:hAnsi="Times New Roman"/>
          <w:sz w:val="20"/>
          <w:szCs w:val="20"/>
          <w:color w:val="auto"/>
        </w:rPr>
        <w:t>” means, as of the last day of any fiscal quarter of the Company, the ratio of (a) Consolidated EBITDA for the period of four (4) consecutive fiscal quarters ending with the end of such fiscal quarter to (b) Consolidated Interest Expense for the period of four (4) consecutive fiscal quarters ending with the end of such fiscal quarter, all calculated for the Company and its Subsidiaries on a consolidated basis.</w:t>
      </w:r>
    </w:p>
    <w:p>
      <w:pPr>
        <w:spacing w:after="0" w:line="64"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Interest Election Request</w:t>
      </w:r>
      <w:r>
        <w:rPr>
          <w:rFonts w:ascii="Times New Roman" w:cs="Times New Roman" w:eastAsia="Times New Roman" w:hAnsi="Times New Roman"/>
          <w:sz w:val="20"/>
          <w:szCs w:val="20"/>
          <w:color w:val="auto"/>
        </w:rPr>
        <w:t>” means a request by the applicable Borrower to convert or continue a Borrowing in accordance with Section 2.08, which shall be substantially in the form approved by the Administrative Agent and separately provided to the Company.</w:t>
      </w:r>
    </w:p>
    <w:p>
      <w:pPr>
        <w:spacing w:after="0" w:line="52"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Interest Payment Date</w:t>
      </w:r>
      <w:r>
        <w:rPr>
          <w:rFonts w:ascii="Times New Roman" w:cs="Times New Roman" w:eastAsia="Times New Roman" w:hAnsi="Times New Roman"/>
          <w:sz w:val="20"/>
          <w:szCs w:val="20"/>
          <w:color w:val="auto"/>
        </w:rPr>
        <w:t>” means (a) with respect to any ABR Loan and any Loan that bears interest at the Japanese Prime Rate or the Canadian Prime Rate, the last day of each March, June, September and December and the Maturity Date, (b) with respect to any RFR Loan, each date that is on the numerically corresponding day in each calendar month that is one month after the Borrowing of such RFR Loan (or, if there is no such numerically corresponding day in such month, then the last day of such month) and the Maturity Date and (c) with respect to any Term Benchmark Loan, the last day of each Interest Period applicable to the Borrowing of which such Loan is a part and, in the case of a Term Benchmark Borrowing with an Interest Period of more than three months’ duration, each day prior to the last day of such Interest Period that occurs at intervals of three months’ duration after the first day of such Interest Period and the Maturity Date.</w:t>
      </w:r>
    </w:p>
    <w:p>
      <w:pPr>
        <w:spacing w:after="0" w:line="85"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Interest Period</w:t>
      </w:r>
      <w:r>
        <w:rPr>
          <w:rFonts w:ascii="Times New Roman" w:cs="Times New Roman" w:eastAsia="Times New Roman" w:hAnsi="Times New Roman"/>
          <w:sz w:val="20"/>
          <w:szCs w:val="20"/>
          <w:color w:val="auto"/>
        </w:rPr>
        <w:t xml:space="preserve">” means with respect to any Term Benchmark Borrowing, the period commencing on the date of such Borrowing and ending on the numerically corresponding day in the calendar month that is one, three or, other than with respect to a Term Benchmark Borrowing denominated in Canadian Dollars, six months thereafter (in each case, subject to the availability for the Benchmark applicable to the relevant Loan or Commitment for any Agreed Currency), as the applicable Borrower (or the Company on behalf of the applicable Borrower) may elect;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(i)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(ii) any Interest Period that commences on the last Business Day of a calendar month (or on a day for which there is no numerically corresponding day in the last calendar month of such Interest Period) shall end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ectPr>
          <w:pgSz w:w="11900" w:h="16838" w:orient="portrait"/>
          <w:cols w:equalWidth="0" w:num="1">
            <w:col w:w="11240"/>
          </w:cols>
          <w:pgMar w:left="320" w:top="1413" w:right="339" w:bottom="1440" w:gutter="0" w:footer="0" w:header="0"/>
        </w:sectPr>
      </w:pPr>
    </w:p>
    <w:bookmarkStart w:id="35" w:name="page36"/>
    <w:bookmarkEnd w:id="35"/>
    <w:p>
      <w:pPr>
        <w:jc w:val="both"/>
        <w:spacing w:after="0" w:line="258" w:lineRule="auto"/>
        <w:rPr>
          <w:sz w:val="20"/>
          <w:szCs w:val="20"/>
          <w:color w:val="auto"/>
        </w:rPr>
      </w:pPr>
      <w:r>
        <w:rPr>
          <w:rFonts w:ascii="Times New Roman" w:cs="Times New Roman" w:eastAsia="Times New Roman" w:hAnsi="Times New Roman"/>
          <w:sz w:val="20"/>
          <w:szCs w:val="20"/>
          <w:color w:val="auto"/>
        </w:rPr>
        <w:t>last Business Day of the last calendar month of such Interest Period and (iii) no tenor that has been removed from this definition pursuant to Section 2.14(e) shall be available for specification in such Borrowing Request or Interest Election Request. For purposes hereof, the date of a Borrowing initially shall be the date on which such Borrowing is made and thereafter shall be the effective date of the most recent conversion or continuation of such Borrowing.</w:t>
      </w:r>
    </w:p>
    <w:p>
      <w:pPr>
        <w:spacing w:after="0" w:line="6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IRS</w:t>
      </w:r>
      <w:r>
        <w:rPr>
          <w:rFonts w:ascii="Times New Roman" w:cs="Times New Roman" w:eastAsia="Times New Roman" w:hAnsi="Times New Roman"/>
          <w:sz w:val="20"/>
          <w:szCs w:val="20"/>
          <w:color w:val="auto"/>
        </w:rPr>
        <w:t>” means the United States Internal Revenue Service.</w:t>
      </w:r>
    </w:p>
    <w:p>
      <w:pPr>
        <w:spacing w:after="0" w:line="121"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Issuing Bank</w:t>
      </w:r>
      <w:r>
        <w:rPr>
          <w:rFonts w:ascii="Times New Roman" w:cs="Times New Roman" w:eastAsia="Times New Roman" w:hAnsi="Times New Roman"/>
          <w:sz w:val="20"/>
          <w:szCs w:val="20"/>
          <w:color w:val="auto"/>
        </w:rPr>
        <w:t>” means JPMorgan Chase Bank, N.A., Bank of America, N.A., PNC Bank, National Association, Truist Bank, Wells Fargo Bank, National Association, BNP Paribas, The Bank of Nova Scotia, Citizens Bank, N.A. and each other Lender designated by the Company as an “Issuing Bank” hereunder that has agreed to such designation, each in its capacity as the issuer of Letters of Credit hereunder, and its successors in such capacity as provided in Section 2.06(i). Any Issuing Bank may, in its discretion, arrange for one or more Letters of Credit to be issued by Affiliates of such Issuing Bank, in which case the term “Issuing Bank” shall include any such Affiliate with respect to Letters of Credit issued by such Affiliate. Each reference herein to the “Issuing Bank” in connection with a Letter of Credit or other matter shall be deemed to be a reference to the relevant Issuing Bank with respect thereto, and, further, references herein to “the Issuing Bank” shall be deemed to refer to each of the Issuing Banks or the relevant Issuing Bank, as the context requires.</w:t>
      </w:r>
    </w:p>
    <w:p>
      <w:pPr>
        <w:spacing w:after="0" w:line="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ITA</w:t>
      </w:r>
      <w:r>
        <w:rPr>
          <w:rFonts w:ascii="Times New Roman" w:cs="Times New Roman" w:eastAsia="Times New Roman" w:hAnsi="Times New Roman"/>
          <w:sz w:val="20"/>
          <w:szCs w:val="20"/>
          <w:color w:val="auto"/>
        </w:rPr>
        <w:t>” means the United Kingdom Income Tax Act 2007.</w:t>
      </w:r>
    </w:p>
    <w:p>
      <w:pPr>
        <w:spacing w:after="0" w:line="108" w:lineRule="exact"/>
        <w:rPr>
          <w:sz w:val="20"/>
          <w:szCs w:val="20"/>
          <w:color w:val="auto"/>
        </w:rPr>
      </w:pPr>
    </w:p>
    <w:p>
      <w:pPr>
        <w:jc w:val="both"/>
        <w:ind w:right="20"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Japanese Prime Rate</w:t>
      </w:r>
      <w:r>
        <w:rPr>
          <w:rFonts w:ascii="Times New Roman" w:cs="Times New Roman" w:eastAsia="Times New Roman" w:hAnsi="Times New Roman"/>
          <w:sz w:val="20"/>
          <w:szCs w:val="20"/>
          <w:color w:val="auto"/>
        </w:rPr>
        <w:t>” means for any Loan denominated in Japanese Yen the greater of (a) (i) the Japanese local bank prime rate plus (ii) the Japanese Prime Rate Adjustment and (b) the Floor.</w:t>
      </w:r>
    </w:p>
    <w:p>
      <w:pPr>
        <w:spacing w:after="0" w:line="52"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Japanese Prime Rate Adjustment</w:t>
      </w:r>
      <w:r>
        <w:rPr>
          <w:rFonts w:ascii="Times New Roman" w:cs="Times New Roman" w:eastAsia="Times New Roman" w:hAnsi="Times New Roman"/>
          <w:sz w:val="20"/>
          <w:szCs w:val="20"/>
          <w:color w:val="auto"/>
        </w:rPr>
        <w:t xml:space="preserve">” means, for any day, for any Loan denominated in Japanese Yen, a rate equal to the difference (which may be a positive or negative value or zero) of (i) the average of the TIBO Rate for the five most recent Business Days preceding such day for which the TIBO Screen Rate was available (excluding, from such averaging, the highest and the lowest TIBO Rate applicable during such period of five Business Days) minus (ii) the Japanese Prime Rate in effect on the last Business Day in such period;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for purposes of this definition, the Japanese Prime Rate shall be determined disregarding clause (a)(ii) of the definition of such term. For purposes of this definition, the TIBO Rate on any day shall be based on the TIBO Screen Rate on such day at approximately the time referred to in the definition of such term for deposits in Japanese Yen for a maturity of one month.</w:t>
      </w:r>
    </w:p>
    <w:p>
      <w:pPr>
        <w:spacing w:after="0" w:line="8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Japanese Yen</w:t>
      </w:r>
      <w:r>
        <w:rPr>
          <w:rFonts w:ascii="Times New Roman" w:cs="Times New Roman" w:eastAsia="Times New Roman" w:hAnsi="Times New Roman"/>
          <w:sz w:val="20"/>
          <w:szCs w:val="20"/>
          <w:color w:val="auto"/>
        </w:rPr>
        <w:t>” means the lawful currency of Japan.</w:t>
      </w:r>
    </w:p>
    <w:p>
      <w:pPr>
        <w:spacing w:after="0" w:line="10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Collateral Account</w:t>
      </w:r>
      <w:r>
        <w:rPr>
          <w:rFonts w:ascii="Times New Roman" w:cs="Times New Roman" w:eastAsia="Times New Roman" w:hAnsi="Times New Roman"/>
          <w:sz w:val="20"/>
          <w:szCs w:val="20"/>
          <w:color w:val="auto"/>
        </w:rPr>
        <w:t>” has the meaning assigned to such term in Section 2.06(j).</w:t>
      </w:r>
    </w:p>
    <w:p>
      <w:pPr>
        <w:spacing w:after="0" w:line="1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Disbursement</w:t>
      </w:r>
      <w:r>
        <w:rPr>
          <w:rFonts w:ascii="Times New Roman" w:cs="Times New Roman" w:eastAsia="Times New Roman" w:hAnsi="Times New Roman"/>
          <w:sz w:val="20"/>
          <w:szCs w:val="20"/>
          <w:color w:val="auto"/>
        </w:rPr>
        <w:t>” means a payment made by an Issuing Bank pursuant to a Letter of Credit.</w:t>
      </w:r>
    </w:p>
    <w:p>
      <w:pPr>
        <w:spacing w:after="0" w:line="108"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Exposure</w:t>
      </w:r>
      <w:r>
        <w:rPr>
          <w:rFonts w:ascii="Times New Roman" w:cs="Times New Roman" w:eastAsia="Times New Roman" w:hAnsi="Times New Roman"/>
          <w:sz w:val="20"/>
          <w:szCs w:val="20"/>
          <w:color w:val="auto"/>
        </w:rPr>
        <w:t>” means, at any time, the sum of (a) the aggregate undrawn Dollar Amount of all outstanding Letters of Credit at such time plus (b) the aggregate Dollar Amount of all LC Disbursements that have not yet been reimbursed by or on behalf of the Company at such time. The LC Exposure of any Lender at any time shall be its Applicable Percentage of the LC Exposure at such time. For all purposes of this Agreement, if on any date of determination a Letter of Credit has expired by its terms but any amount may still be drawn thereunder by reason of the operation of Article 29(a) of the Uniform Customs and Practice for Documentary Credits, International Chamber of Commerce Publication No. 600 (or such later version thereof as may be in effect at the applicable time) or Rule 3.13 or Rule 3.14 of the International Standby Practices, International Chamber of Commerce Publication No. 590 (or such later version thereof as may be in effect at the applicable time) or similar terms in the governing rules or laws or of the Letter of Credit itself, or if compliant documents have been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ectPr>
          <w:pgSz w:w="11900" w:h="16838" w:orient="portrait"/>
          <w:cols w:equalWidth="0" w:num="1">
            <w:col w:w="11240"/>
          </w:cols>
          <w:pgMar w:left="320" w:top="1413" w:right="339" w:bottom="1440" w:gutter="0" w:footer="0" w:header="0"/>
        </w:sectPr>
      </w:pPr>
    </w:p>
    <w:bookmarkStart w:id="36" w:name="page37"/>
    <w:bookmarkEnd w:id="36"/>
    <w:p>
      <w:pPr>
        <w:jc w:val="both"/>
        <w:spacing w:after="0" w:line="258" w:lineRule="auto"/>
        <w:rPr>
          <w:sz w:val="20"/>
          <w:szCs w:val="20"/>
          <w:color w:val="auto"/>
        </w:rPr>
      </w:pPr>
      <w:r>
        <w:rPr>
          <w:rFonts w:ascii="Times New Roman" w:cs="Times New Roman" w:eastAsia="Times New Roman" w:hAnsi="Times New Roman"/>
          <w:sz w:val="20"/>
          <w:szCs w:val="20"/>
          <w:color w:val="auto"/>
        </w:rPr>
        <w:t>but not yet honored, such Letter of Credit shall be deemed to be “outstanding” and “undrawn” in the amount so remaining available to be paid, and the obligations of the Borrowers and each Lender shall remain in full force and effect until the relevant Issuing Bank and the Lenders shall have no further obligations to make any payments or disbursements under any circumstances with respect to any Letter of Credit.</w:t>
      </w:r>
    </w:p>
    <w:p>
      <w:pPr>
        <w:spacing w:after="0" w:line="6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Lender Parent</w:t>
      </w:r>
      <w:r>
        <w:rPr>
          <w:rFonts w:ascii="Times New Roman" w:cs="Times New Roman" w:eastAsia="Times New Roman" w:hAnsi="Times New Roman"/>
          <w:sz w:val="20"/>
          <w:szCs w:val="20"/>
          <w:color w:val="auto"/>
        </w:rPr>
        <w:t>” means, with respect to any Lender, any Person as to which such Lender is, directly or indirectly, 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subsidiary.</w:t>
      </w:r>
    </w:p>
    <w:p>
      <w:pPr>
        <w:spacing w:after="0" w:line="106"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Lender-Related Person</w:t>
      </w:r>
      <w:r>
        <w:rPr>
          <w:rFonts w:ascii="Times New Roman" w:cs="Times New Roman" w:eastAsia="Times New Roman" w:hAnsi="Times New Roman"/>
          <w:sz w:val="20"/>
          <w:szCs w:val="20"/>
          <w:color w:val="auto"/>
        </w:rPr>
        <w:t>” means the Administrative Agent, any Arranger, any Co-Syndication Agent, any Co-Documentation Agent, any Issuing Bank and any Lender, and any Related Party of any of the foregoing Persons.</w:t>
      </w:r>
    </w:p>
    <w:p>
      <w:pPr>
        <w:spacing w:after="0" w:line="6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Lenders</w:t>
      </w:r>
      <w:r>
        <w:rPr>
          <w:rFonts w:ascii="Times New Roman" w:cs="Times New Roman" w:eastAsia="Times New Roman" w:hAnsi="Times New Roman"/>
          <w:sz w:val="20"/>
          <w:szCs w:val="20"/>
          <w:color w:val="auto"/>
        </w:rPr>
        <w:t xml:space="preserve"> ” means the Persons listed on </w:t>
      </w:r>
      <w:r>
        <w:rPr>
          <w:rFonts w:ascii="Times New Roman" w:cs="Times New Roman" w:eastAsia="Times New Roman" w:hAnsi="Times New Roman"/>
          <w:sz w:val="20"/>
          <w:szCs w:val="20"/>
          <w:u w:val="single" w:color="auto"/>
          <w:color w:val="auto"/>
        </w:rPr>
        <w:t>Schedule 2.01A</w:t>
      </w:r>
      <w:r>
        <w:rPr>
          <w:rFonts w:ascii="Times New Roman" w:cs="Times New Roman" w:eastAsia="Times New Roman" w:hAnsi="Times New Roman"/>
          <w:sz w:val="20"/>
          <w:szCs w:val="20"/>
          <w:color w:val="auto"/>
        </w:rPr>
        <w:t xml:space="preserve"> and any other Person that shall have become a Lender hereunder pursuant to Section 2.21 or pursuant to an Assignment and Assumption or otherwise, other than any such Person that ceases to be a party hereto pursuant to an Assignment and Assumption or otherwise. Unless the context otherwise requires, the term “Lenders” includes the Issuing Banks.</w:t>
      </w:r>
    </w:p>
    <w:p>
      <w:pPr>
        <w:spacing w:after="0" w:line="6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 of Credit</w:t>
      </w:r>
      <w:r>
        <w:rPr>
          <w:rFonts w:ascii="Times New Roman" w:cs="Times New Roman" w:eastAsia="Times New Roman" w:hAnsi="Times New Roman"/>
          <w:sz w:val="20"/>
          <w:szCs w:val="20"/>
          <w:color w:val="auto"/>
        </w:rPr>
        <w:t>” means any letter of credit issued pursuant to this Agreement.</w:t>
      </w:r>
    </w:p>
    <w:p>
      <w:pPr>
        <w:spacing w:after="0" w:line="1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 of Credit Agreement</w:t>
      </w:r>
      <w:r>
        <w:rPr>
          <w:rFonts w:ascii="Times New Roman" w:cs="Times New Roman" w:eastAsia="Times New Roman" w:hAnsi="Times New Roman"/>
          <w:sz w:val="20"/>
          <w:szCs w:val="20"/>
          <w:color w:val="auto"/>
        </w:rPr>
        <w:t>” has the meaning assigned to such term in Section 2.06(b).</w:t>
      </w:r>
    </w:p>
    <w:p>
      <w:pPr>
        <w:spacing w:after="0" w:line="108"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 of Credit Commitment</w:t>
      </w:r>
      <w:r>
        <w:rPr>
          <w:rFonts w:ascii="Times New Roman" w:cs="Times New Roman" w:eastAsia="Times New Roman" w:hAnsi="Times New Roman"/>
          <w:sz w:val="20"/>
          <w:szCs w:val="20"/>
          <w:color w:val="auto"/>
        </w:rPr>
        <w:t xml:space="preserve">” means, with respect to each Issuing Bank, the commitment of such Issuing Bank to issue Letters of Credit hereunder. The initial amount of each Issuing Bank’s Letter of Credit Commitment is set forth on </w:t>
      </w:r>
      <w:r>
        <w:rPr>
          <w:rFonts w:ascii="Times New Roman" w:cs="Times New Roman" w:eastAsia="Times New Roman" w:hAnsi="Times New Roman"/>
          <w:sz w:val="20"/>
          <w:szCs w:val="20"/>
          <w:u w:val="single" w:color="auto"/>
          <w:color w:val="auto"/>
        </w:rPr>
        <w:t>Schedule 2.01B</w:t>
      </w:r>
      <w:r>
        <w:rPr>
          <w:rFonts w:ascii="Times New Roman" w:cs="Times New Roman" w:eastAsia="Times New Roman" w:hAnsi="Times New Roman"/>
          <w:sz w:val="20"/>
          <w:szCs w:val="20"/>
          <w:color w:val="auto"/>
        </w:rPr>
        <w:t>, or if an Issuing Bank has entered into an Assignment and Assumption, the amount set forth for such Issuing Bank as its Letter of Credit Commitment in the Register maintained by the Administrative Agent. The Letter of Credit Commitment of an Issuing Bank may be modified from time to time by agreement between such Issuing Bank and the Company, and notified to the Administrative Agent.</w:t>
      </w:r>
    </w:p>
    <w:p>
      <w:pPr>
        <w:spacing w:after="0" w:line="65"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Leverage Pricing Termination Date</w:t>
      </w:r>
      <w:r>
        <w:rPr>
          <w:rFonts w:ascii="Times New Roman" w:cs="Times New Roman" w:eastAsia="Times New Roman" w:hAnsi="Times New Roman"/>
          <w:sz w:val="20"/>
          <w:szCs w:val="20"/>
          <w:color w:val="auto"/>
        </w:rPr>
        <w:t>” means the earlier of (i) the first date on which the Company delivers to the Administrative Agent the compliance certificate required pursuant to Section 5.01(c) in respect of the first fiscal quarter ending after the Financial Covenant Transition Date and (ii) the date on which the first compliance certificate required pursuant to Section 5.01(c) in respect of the first fiscal quarter ending after the Financial Covenant Transition Date is required to be delivered to the Administrative Agent pursuant to the terms hereof.</w:t>
      </w:r>
    </w:p>
    <w:p>
      <w:pPr>
        <w:spacing w:after="0" w:line="6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Liabilities</w:t>
      </w:r>
      <w:r>
        <w:rPr>
          <w:rFonts w:ascii="Times New Roman" w:cs="Times New Roman" w:eastAsia="Times New Roman" w:hAnsi="Times New Roman"/>
          <w:sz w:val="20"/>
          <w:szCs w:val="20"/>
          <w:color w:val="auto"/>
        </w:rPr>
        <w:t>” means any losses, claims (including intraparty claims), demands, damages or liabilities of any kind.</w:t>
      </w:r>
    </w:p>
    <w:p>
      <w:pPr>
        <w:spacing w:after="0" w:line="121" w:lineRule="exact"/>
        <w:rPr>
          <w:sz w:val="20"/>
          <w:szCs w:val="20"/>
          <w:color w:val="auto"/>
        </w:rPr>
      </w:pPr>
    </w:p>
    <w:p>
      <w:pPr>
        <w:jc w:val="both"/>
        <w:ind w:right="20" w:firstLine="1296"/>
        <w:spacing w:after="0" w:line="26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Lien</w:t>
      </w:r>
      <w:r>
        <w:rPr>
          <w:rFonts w:ascii="Times New Roman" w:cs="Times New Roman" w:eastAsia="Times New Roman" w:hAnsi="Times New Roman"/>
          <w:sz w:val="19"/>
          <w:szCs w:val="19"/>
          <w:color w:val="auto"/>
        </w:rPr>
        <w:t>” means, with respect to any asset, (a) any mortgage, deed of trust, lien, pledge, hypothecation, encumbrance, charge or security interest in, on or of such asset, (b) the interest of a vendor or a lessor under any conditional sale agreement, capital lease or title retention agreement (or any financing lease having substantially the same economic effect as any of the foregoing) relating to such asset and</w:t>
      </w:r>
    </w:p>
    <w:p>
      <w:pPr>
        <w:spacing w:after="0" w:line="2" w:lineRule="exact"/>
        <w:rPr>
          <w:sz w:val="20"/>
          <w:szCs w:val="20"/>
          <w:color w:val="auto"/>
        </w:rPr>
      </w:pPr>
    </w:p>
    <w:p>
      <w:pPr>
        <w:ind w:left="280" w:hanging="272"/>
        <w:spacing w:after="0"/>
        <w:tabs>
          <w:tab w:leader="none" w:pos="28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securities, any purchase option, call or similar right of a third party with respect to such securities.</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66" w:lineRule="exact"/>
        <w:rPr>
          <w:rFonts w:ascii="Times New Roman" w:cs="Times New Roman" w:eastAsia="Times New Roman" w:hAnsi="Times New Roman"/>
          <w:sz w:val="20"/>
          <w:szCs w:val="20"/>
          <w:color w:val="auto"/>
        </w:rPr>
      </w:pPr>
    </w:p>
    <w:p>
      <w:pPr>
        <w:ind w:left="55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28</w:t>
      </w:r>
    </w:p>
    <w:p>
      <w:pPr>
        <w:sectPr>
          <w:pgSz w:w="11900" w:h="16838" w:orient="portrait"/>
          <w:cols w:equalWidth="0" w:num="1">
            <w:col w:w="11240"/>
          </w:cols>
          <w:pgMar w:left="320" w:top="1413" w:right="339" w:bottom="1440" w:gutter="0" w:footer="0" w:header="0"/>
        </w:sectPr>
      </w:pPr>
    </w:p>
    <w:bookmarkStart w:id="37" w:name="page38"/>
    <w:bookmarkEnd w:id="37"/>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Liquidity</w:t>
      </w:r>
      <w:r>
        <w:rPr>
          <w:rFonts w:ascii="Times New Roman" w:cs="Times New Roman" w:eastAsia="Times New Roman" w:hAnsi="Times New Roman"/>
          <w:sz w:val="20"/>
          <w:szCs w:val="20"/>
          <w:color w:val="auto"/>
        </w:rPr>
        <w:t>” means, as of any date of determination, the lesser of (x) $1,250,000,000 and (y) the aggregate amount of unrestricted and unencumbered (subject to Permitted Encumbrances) cash and cash equivalents maintained by the Company and its Subsidiaries as of such date.</w:t>
      </w:r>
    </w:p>
    <w:p>
      <w:pPr>
        <w:spacing w:after="0" w:line="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LLC</w:t>
      </w:r>
      <w:r>
        <w:rPr>
          <w:rFonts w:ascii="Times New Roman" w:cs="Times New Roman" w:eastAsia="Times New Roman" w:hAnsi="Times New Roman"/>
          <w:sz w:val="20"/>
          <w:szCs w:val="20"/>
          <w:color w:val="auto"/>
        </w:rPr>
        <w:t>” means any Person that is a limited liability company under the laws of its jurisdiction of formation.</w:t>
      </w:r>
    </w:p>
    <w:p>
      <w:pPr>
        <w:spacing w:after="0" w:line="108"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Loan Documents</w:t>
      </w:r>
      <w:r>
        <w:rPr>
          <w:rFonts w:ascii="Times New Roman" w:cs="Times New Roman" w:eastAsia="Times New Roman" w:hAnsi="Times New Roman"/>
          <w:sz w:val="19"/>
          <w:szCs w:val="19"/>
          <w:color w:val="auto"/>
        </w:rPr>
        <w:t>” means this Agreement, any promissory notes issued pursuant to Section 2.10(e) of this Agreement and any Letter of Credit applications, any Letter of Credit Agreement, and any agreements between the Company and an Issuing Bank regarding such Issuing Bank’s Letter of Credit Commitment or the respective rights and obligations between the Company and such Issuing Bank in connection with the issuance of Letters of Credit. Any reference in this Agreement or any other Loan Document to a Loan Document shall include all appendices, exhibits or schedules thereto, and all amendments, restatements, supplements or other modifications thereto, and shall refer to this Agreement or such Loan Document as the same may be in effect at any and all times such reference becomes operative.</w:t>
      </w:r>
    </w:p>
    <w:p>
      <w:pPr>
        <w:spacing w:after="0" w:line="7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 Parties</w:t>
      </w:r>
      <w:r>
        <w:rPr>
          <w:rFonts w:ascii="Times New Roman" w:cs="Times New Roman" w:eastAsia="Times New Roman" w:hAnsi="Times New Roman"/>
          <w:sz w:val="20"/>
          <w:szCs w:val="20"/>
          <w:color w:val="auto"/>
        </w:rPr>
        <w:t>” means the Borrowers.</w:t>
      </w:r>
    </w:p>
    <w:p>
      <w:pPr>
        <w:spacing w:after="0" w:line="1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Loans</w:t>
      </w:r>
      <w:r>
        <w:rPr>
          <w:rFonts w:ascii="Times New Roman" w:cs="Times New Roman" w:eastAsia="Times New Roman" w:hAnsi="Times New Roman"/>
          <w:sz w:val="20"/>
          <w:szCs w:val="20"/>
          <w:color w:val="auto"/>
        </w:rPr>
        <w:t>” means the loans made by the Lenders to the Borrowers pursuant to this Agreement.</w:t>
      </w:r>
    </w:p>
    <w:p>
      <w:pPr>
        <w:spacing w:after="0" w:line="108"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Adverse Effect</w:t>
      </w:r>
      <w:r>
        <w:rPr>
          <w:rFonts w:ascii="Times New Roman" w:cs="Times New Roman" w:eastAsia="Times New Roman" w:hAnsi="Times New Roman"/>
          <w:sz w:val="20"/>
          <w:szCs w:val="20"/>
          <w:color w:val="auto"/>
        </w:rPr>
        <w:t>” means (a) a material adverse change in, or a material adverse effect upon, the operations, business, properties, or financial condition of the Company and the Subsidiaries taken as a whole, (b) a material impairment of the ability of the Company and its Subsidiaries to perform under any material Loan Document or (c) a material adverse effect upon the legality, validity, binding effect or enforceability against the Company or any Subsidiary of any material Loan Document.</w:t>
      </w:r>
    </w:p>
    <w:p>
      <w:pPr>
        <w:spacing w:after="0" w:line="78"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Indebtedness</w:t>
      </w:r>
      <w:r>
        <w:rPr>
          <w:rFonts w:ascii="Times New Roman" w:cs="Times New Roman" w:eastAsia="Times New Roman" w:hAnsi="Times New Roman"/>
          <w:sz w:val="20"/>
          <w:szCs w:val="20"/>
          <w:color w:val="auto"/>
        </w:rPr>
        <w:t>” means Indebtedness (other than the Loans and Letters of Credit), or obligations in respect of one or more Swap Agreements, of any one or more of the Company and its Subsidiaries in an aggregate principal amount exceeding $250,000,000. For purposes of determining Material Indebtedness, the “principal amount” of the obligations of the Company or any Subsidiary in respect of any Swap Agreement at any time shall be the maximum aggregate amount (giving effect to any netting agreements) that the Company or such Subsidiary would be required to pay if such Swap Agreement were terminated at such time.</w:t>
      </w:r>
    </w:p>
    <w:p>
      <w:pPr>
        <w:spacing w:after="0" w:line="70"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Maturity Date</w:t>
      </w:r>
      <w:r>
        <w:rPr>
          <w:rFonts w:ascii="Times New Roman" w:cs="Times New Roman" w:eastAsia="Times New Roman" w:hAnsi="Times New Roman"/>
          <w:sz w:val="20"/>
          <w:szCs w:val="20"/>
          <w:color w:val="auto"/>
        </w:rPr>
        <w:t xml:space="preserve">” means, with respect to any Lender, the later of (i) June 9, 2031 and (ii) if the Maturity Date is extended for such Lender pursuant to Section 2.22, such extended Maturity Date as determined pursuant to such Section 2.22;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in each case, if such date is not a Business Day, the Maturity Date shall be the next preceding Business Day.</w:t>
      </w:r>
    </w:p>
    <w:p>
      <w:pPr>
        <w:spacing w:after="0" w:line="5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Maximum Rate</w:t>
      </w:r>
      <w:r>
        <w:rPr>
          <w:rFonts w:ascii="Times New Roman" w:cs="Times New Roman" w:eastAsia="Times New Roman" w:hAnsi="Times New Roman"/>
          <w:sz w:val="20"/>
          <w:szCs w:val="20"/>
          <w:color w:val="auto"/>
        </w:rPr>
        <w:t>” has the meaning assigned to such term in Section 9.15.</w:t>
      </w:r>
    </w:p>
    <w:p>
      <w:pPr>
        <w:spacing w:after="0" w:line="12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Moody’s</w:t>
      </w:r>
      <w:r>
        <w:rPr>
          <w:rFonts w:ascii="Times New Roman" w:cs="Times New Roman" w:eastAsia="Times New Roman" w:hAnsi="Times New Roman"/>
          <w:sz w:val="20"/>
          <w:szCs w:val="20"/>
          <w:color w:val="auto"/>
        </w:rPr>
        <w:t>” means Moody’s Investors Service, Inc.</w:t>
      </w:r>
    </w:p>
    <w:p>
      <w:pPr>
        <w:spacing w:after="0" w:line="10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Multiemployer Plan</w:t>
      </w:r>
      <w:r>
        <w:rPr>
          <w:rFonts w:ascii="Times New Roman" w:cs="Times New Roman" w:eastAsia="Times New Roman" w:hAnsi="Times New Roman"/>
          <w:sz w:val="20"/>
          <w:szCs w:val="20"/>
          <w:color w:val="auto"/>
        </w:rPr>
        <w:t>” means a multiemployer plan as defined in Section 4001(a)(3) of ERISA.</w:t>
      </w:r>
    </w:p>
    <w:p>
      <w:pPr>
        <w:spacing w:after="0" w:line="1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Non-Consenting Lender</w:t>
      </w:r>
      <w:r>
        <w:rPr>
          <w:rFonts w:ascii="Times New Roman" w:cs="Times New Roman" w:eastAsia="Times New Roman" w:hAnsi="Times New Roman"/>
          <w:sz w:val="20"/>
          <w:szCs w:val="20"/>
          <w:color w:val="auto"/>
        </w:rPr>
        <w:t>” has the meaning assigned to such term in Section 9.02(d).</w:t>
      </w:r>
    </w:p>
    <w:p>
      <w:pPr>
        <w:spacing w:after="0" w:line="1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Non-Extending Lender</w:t>
      </w:r>
      <w:r>
        <w:rPr>
          <w:rFonts w:ascii="Times New Roman" w:cs="Times New Roman" w:eastAsia="Times New Roman" w:hAnsi="Times New Roman"/>
          <w:sz w:val="20"/>
          <w:szCs w:val="20"/>
          <w:color w:val="auto"/>
        </w:rPr>
        <w:t>” has the meaning assigned to such term in Section 2.22(a).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ectPr>
          <w:pgSz w:w="11900" w:h="16838" w:orient="portrait"/>
          <w:cols w:equalWidth="0" w:num="1">
            <w:col w:w="11240"/>
          </w:cols>
          <w:pgMar w:left="320" w:top="1413" w:right="339" w:bottom="1440" w:gutter="0" w:footer="0" w:header="0"/>
        </w:sectPr>
      </w:pPr>
    </w:p>
    <w:bookmarkStart w:id="38" w:name="page39"/>
    <w:bookmarkEnd w:id="38"/>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Non-U.S. Administrative Agent</w:t>
      </w:r>
      <w:r>
        <w:rPr>
          <w:rFonts w:ascii="Times New Roman" w:cs="Times New Roman" w:eastAsia="Times New Roman" w:hAnsi="Times New Roman"/>
          <w:sz w:val="20"/>
          <w:szCs w:val="20"/>
          <w:color w:val="auto"/>
        </w:rPr>
        <w:t>” means J.P. Morgan SE (or any of its designated branch offices or affiliates), in its capacity as administrative agent for the Lenders hereunder.</w:t>
      </w:r>
    </w:p>
    <w:p>
      <w:pPr>
        <w:spacing w:after="0" w:line="38"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Non-U.S. Pension Plan</w:t>
      </w:r>
      <w:r>
        <w:rPr>
          <w:rFonts w:ascii="Times New Roman" w:cs="Times New Roman" w:eastAsia="Times New Roman" w:hAnsi="Times New Roman"/>
          <w:sz w:val="20"/>
          <w:szCs w:val="20"/>
          <w:color w:val="auto"/>
        </w:rPr>
        <w:t>” means any plan, scheme, fund (including any superannuation fund) or other similar program established, sponsored or maintained outside the United States by the Company or any one or more of its Subsidiaries primarily for the benefit of employees of the Company or such Subsidiaries residing outside the United States, which plan, fund or other similar program provides, or results in, retirement income, a deferral of income in contemplation of retirement or payments to be made upon termination of employment, and which plan is not subject to ERISA or the Code. For the avoidance of doubt, each UK DB Plan shall be a Non-U.S. Pension Plan for the purposes of this Agreement.</w:t>
      </w:r>
    </w:p>
    <w:p>
      <w:pPr>
        <w:spacing w:after="0" w:line="84"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Notifiable Event</w:t>
      </w:r>
      <w:r>
        <w:rPr>
          <w:rFonts w:ascii="Times New Roman" w:cs="Times New Roman" w:eastAsia="Times New Roman" w:hAnsi="Times New Roman"/>
          <w:sz w:val="20"/>
          <w:szCs w:val="20"/>
          <w:color w:val="auto"/>
        </w:rPr>
        <w:t>” means an event that is notifiable to the Pensions Regulator under section 69 or section 69A of the United Kingdom Pensions Act 2004 and associated regulations.</w:t>
      </w:r>
    </w:p>
    <w:p>
      <w:pPr>
        <w:spacing w:after="0" w:line="6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NYFRB</w:t>
      </w:r>
      <w:r>
        <w:rPr>
          <w:rFonts w:ascii="Times New Roman" w:cs="Times New Roman" w:eastAsia="Times New Roman" w:hAnsi="Times New Roman"/>
          <w:sz w:val="20"/>
          <w:szCs w:val="20"/>
          <w:color w:val="auto"/>
        </w:rPr>
        <w:t>” means the Federal Reserve Bank of New York.</w:t>
      </w:r>
    </w:p>
    <w:p>
      <w:pPr>
        <w:spacing w:after="0" w:line="121"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NYFRB Rate</w:t>
      </w:r>
      <w:r>
        <w:rPr>
          <w:rFonts w:ascii="Times New Roman" w:cs="Times New Roman" w:eastAsia="Times New Roman" w:hAnsi="Times New Roman"/>
          <w:sz w:val="20"/>
          <w:szCs w:val="20"/>
          <w:color w:val="auto"/>
        </w:rPr>
        <w:t xml:space="preserve">” means, for any day, the greater of (a) the Federal Funds Effective Rate in effect on such day and (b) the Overnight Bank Funding Rate in effect on such day (or for any day that is not a Business Day, for the immediately preceding Business Day);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none of such rates are published for any day that is a Business Day, the term “NYFRB Rate” means the rate for a federal funds transaction quoted at 11:00 a.m., New York City time, on such day received by the Administrative Agent from a federal funds broker of recognized standing selected by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if any of the aforesaid rates as so determined would be less than zero, such rate shall be deemed to be zero for purposes of this Agreement.</w:t>
      </w:r>
    </w:p>
    <w:p>
      <w:pPr>
        <w:spacing w:after="0" w:line="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NYFRB’s Website</w:t>
      </w:r>
      <w:r>
        <w:rPr>
          <w:rFonts w:ascii="Times New Roman" w:cs="Times New Roman" w:eastAsia="Times New Roman" w:hAnsi="Times New Roman"/>
          <w:sz w:val="20"/>
          <w:szCs w:val="20"/>
          <w:color w:val="auto"/>
        </w:rPr>
        <w:t>” means the website of the NYFRB at http://www.newyorkfed.org, or any successor source.</w:t>
      </w:r>
    </w:p>
    <w:p>
      <w:pPr>
        <w:spacing w:after="0" w:line="121"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Obligations</w:t>
      </w:r>
      <w:r>
        <w:rPr>
          <w:rFonts w:ascii="Times New Roman" w:cs="Times New Roman" w:eastAsia="Times New Roman" w:hAnsi="Times New Roman"/>
          <w:sz w:val="20"/>
          <w:szCs w:val="20"/>
          <w:color w:val="auto"/>
        </w:rPr>
        <w:t>” means all unpaid principal of and accrued and unpaid interest on the Loans, all LC Exposure, all accrued and unpaid fees and all expenses, reimbursements, indemnities and other obligations and indebtedness (including interest and fees accruing during the pendency of any bankruptcy, insolvency, receivership or other similar proceeding, regardless of whether allowed or allowable in such proceeding), obligations and liabilities of any of the Company and its Subsidiaries to any of the Lenders, the Administrative Agent, any Issuing Bank or any indemnified party, individually or collectively, existing on the Original Effective Date or arising thereafter, direct or indirect, joint or several, absolute or contingent, matured or unmatured, liquidated or unliquidated, secured or unsecured, arising by contract, operation of law or otherwise, arising or incurred under this Agreement or any of the other Loan Documents.</w:t>
      </w:r>
    </w:p>
    <w:p>
      <w:pPr>
        <w:spacing w:after="0" w:line="8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OFAC</w:t>
      </w:r>
      <w:r>
        <w:rPr>
          <w:rFonts w:ascii="Times New Roman" w:cs="Times New Roman" w:eastAsia="Times New Roman" w:hAnsi="Times New Roman"/>
          <w:sz w:val="20"/>
          <w:szCs w:val="20"/>
          <w:color w:val="auto"/>
        </w:rPr>
        <w:t>” means the Office of Foreign Assets Control of the U.S. Department of the Treasury.</w:t>
      </w:r>
    </w:p>
    <w:p>
      <w:pPr>
        <w:spacing w:after="0" w:line="10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Original Effective Date</w:t>
      </w:r>
      <w:r>
        <w:rPr>
          <w:rFonts w:ascii="Times New Roman" w:cs="Times New Roman" w:eastAsia="Times New Roman" w:hAnsi="Times New Roman"/>
          <w:sz w:val="20"/>
          <w:szCs w:val="20"/>
          <w:color w:val="auto"/>
        </w:rPr>
        <w:t>” means September 22, 2011.</w:t>
      </w:r>
    </w:p>
    <w:p>
      <w:pPr>
        <w:spacing w:after="0" w:line="121"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Other Connection Taxes</w:t>
      </w:r>
      <w:r>
        <w:rPr>
          <w:rFonts w:ascii="Times New Roman" w:cs="Times New Roman" w:eastAsia="Times New Roman" w:hAnsi="Times New Roman"/>
          <w:sz w:val="20"/>
          <w:szCs w:val="20"/>
          <w:color w:val="auto"/>
        </w:rPr>
        <w:t>” means, with respect to any Recipient, Taxes imposed as a result of a present or former connection between such Recipient and the jurisdiction imposing such Taxes (other than a connection arising from such Recipient having executed, delivered, become a party to, performed its obligations under, received payments under, received or perfected a security interest under, or engaged in any other transaction pursuant to, or enforced, any Loan Document, or sold or assigned an interest in any Loan, Letter of Credit or Loan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ectPr>
          <w:pgSz w:w="11900" w:h="16838" w:orient="portrait"/>
          <w:cols w:equalWidth="0" w:num="1">
            <w:col w:w="11240"/>
          </w:cols>
          <w:pgMar w:left="320" w:top="1413" w:right="339" w:bottom="1440" w:gutter="0" w:footer="0" w:header="0"/>
        </w:sectPr>
      </w:pPr>
    </w:p>
    <w:bookmarkStart w:id="39" w:name="page40"/>
    <w:bookmarkEnd w:id="39"/>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Other Taxes</w:t>
      </w:r>
      <w:r>
        <w:rPr>
          <w:rFonts w:ascii="Times New Roman" w:cs="Times New Roman" w:eastAsia="Times New Roman" w:hAnsi="Times New Roman"/>
          <w:sz w:val="20"/>
          <w:szCs w:val="20"/>
          <w:color w:val="auto"/>
        </w:rPr>
        <w:t>” means any present or future stamp, court, documentary, intangible, recording, filing, excise or property, or other similar Taxes that arise from any payment made under, from the execution, delivery, performance, enforcement or registration of, or from the registration, receipt or perfection of a security interest under, or otherwise with respect to, any Loan Document, except any such Taxes that are Other Connection Taxes imposed with respect to an assignment (other than an assignment under Section 2.20(b) or Section 9.02(d)).</w:t>
      </w:r>
    </w:p>
    <w:p>
      <w:pPr>
        <w:spacing w:after="0" w:line="84"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Outbound Investment Rules</w:t>
      </w:r>
      <w:r>
        <w:rPr>
          <w:rFonts w:ascii="Times New Roman" w:cs="Times New Roman" w:eastAsia="Times New Roman" w:hAnsi="Times New Roman"/>
          <w:sz w:val="20"/>
          <w:szCs w:val="20"/>
          <w:color w:val="auto"/>
        </w:rPr>
        <w:t>” means the regulations administered and enforced, together with any related public guidance issued, by the United States Treasury Department under U.S. Executive Order 14105 of August 9, 2023, or any similar law or regulation; as of the date of this Agreement, and as codified at 31 C.F.R. § 850.101 et seq.</w:t>
      </w:r>
    </w:p>
    <w:p>
      <w:pPr>
        <w:spacing w:after="0" w:line="7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Overnight Bank Funding Rate</w:t>
      </w:r>
      <w:r>
        <w:rPr>
          <w:rFonts w:ascii="Times New Roman" w:cs="Times New Roman" w:eastAsia="Times New Roman" w:hAnsi="Times New Roman"/>
          <w:sz w:val="20"/>
          <w:szCs w:val="20"/>
          <w:color w:val="auto"/>
        </w:rPr>
        <w:t>” means, for any day, the rate comprised of both overnight federal funds and overnight eurodollar transactions denominated in Dollars by U.S.-managed banking offices of depository institutions, as such composite rate shall be determined by the NYFRB as set forth on the NYFRB’s Website from time to time, and published on the next succeeding Business Day by the NYFRB as an overnight bank funding rate.</w:t>
      </w:r>
    </w:p>
    <w:p>
      <w:pPr>
        <w:spacing w:after="0" w:line="64"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Overnight Rate</w:t>
      </w:r>
      <w:r>
        <w:rPr>
          <w:rFonts w:ascii="Times New Roman" w:cs="Times New Roman" w:eastAsia="Times New Roman" w:hAnsi="Times New Roman"/>
          <w:sz w:val="20"/>
          <w:szCs w:val="20"/>
          <w:color w:val="auto"/>
        </w:rPr>
        <w:t>” means, for any day, (a) with respect to any amount denominated in Dollars, the NYFRB Rate and (b) with respect to any amount denominated in a Foreign Currency, an overnight rate determined by the Administrative Agent or the relevant Issuing Bank, as the case may be, in accordance with banking industry rules on interbank compensation.</w:t>
      </w:r>
    </w:p>
    <w:p>
      <w:pPr>
        <w:spacing w:after="0" w:line="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has the meaning assigned to such term in Section 9.04(c).</w:t>
      </w:r>
    </w:p>
    <w:p>
      <w:pPr>
        <w:spacing w:after="0" w:line="1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Participant Register</w:t>
      </w:r>
      <w:r>
        <w:rPr>
          <w:rFonts w:ascii="Times New Roman" w:cs="Times New Roman" w:eastAsia="Times New Roman" w:hAnsi="Times New Roman"/>
          <w:sz w:val="20"/>
          <w:szCs w:val="20"/>
          <w:color w:val="auto"/>
        </w:rPr>
        <w:t>” has the meaning assigned to such term in Section 9.04(c).</w:t>
      </w:r>
    </w:p>
    <w:p>
      <w:pPr>
        <w:spacing w:after="0" w:line="108" w:lineRule="exact"/>
        <w:rPr>
          <w:sz w:val="20"/>
          <w:szCs w:val="20"/>
          <w:color w:val="auto"/>
        </w:rPr>
      </w:pPr>
    </w:p>
    <w:p>
      <w:pPr>
        <w:jc w:val="both"/>
        <w:ind w:right="20"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Participating Member State</w:t>
      </w:r>
      <w:r>
        <w:rPr>
          <w:rFonts w:ascii="Times New Roman" w:cs="Times New Roman" w:eastAsia="Times New Roman" w:hAnsi="Times New Roman"/>
          <w:sz w:val="20"/>
          <w:szCs w:val="20"/>
          <w:color w:val="auto"/>
        </w:rPr>
        <w:t>” means any member state of the European Union that adopts or has adopted the euro as its lawful currency in accordance with legislation of the European Union relating to economic and monetary union.</w:t>
      </w:r>
    </w:p>
    <w:p>
      <w:pPr>
        <w:spacing w:after="0" w:line="3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Patriot Act</w:t>
      </w:r>
      <w:r>
        <w:rPr>
          <w:rFonts w:ascii="Times New Roman" w:cs="Times New Roman" w:eastAsia="Times New Roman" w:hAnsi="Times New Roman"/>
          <w:sz w:val="20"/>
          <w:szCs w:val="20"/>
          <w:color w:val="auto"/>
        </w:rPr>
        <w:t>” has the meaning assigned to such term in Section 9.13.</w:t>
      </w:r>
    </w:p>
    <w:p>
      <w:pPr>
        <w:spacing w:after="0" w:line="1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Payment</w:t>
      </w:r>
      <w:r>
        <w:rPr>
          <w:rFonts w:ascii="Times New Roman" w:cs="Times New Roman" w:eastAsia="Times New Roman" w:hAnsi="Times New Roman"/>
          <w:sz w:val="20"/>
          <w:szCs w:val="20"/>
          <w:color w:val="auto"/>
        </w:rPr>
        <w:t>” has the meaning assigned to such term in Section 8.06(c).</w:t>
      </w:r>
    </w:p>
    <w:p>
      <w:pPr>
        <w:spacing w:after="0" w:line="10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Payment Notice</w:t>
      </w:r>
      <w:r>
        <w:rPr>
          <w:rFonts w:ascii="Times New Roman" w:cs="Times New Roman" w:eastAsia="Times New Roman" w:hAnsi="Times New Roman"/>
          <w:sz w:val="20"/>
          <w:szCs w:val="20"/>
          <w:color w:val="auto"/>
        </w:rPr>
        <w:t>” has the meaning assigned to such term in Section 8.06(c).</w:t>
      </w:r>
    </w:p>
    <w:p>
      <w:pPr>
        <w:spacing w:after="0" w:line="121"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PBGC</w:t>
      </w:r>
      <w:r>
        <w:rPr>
          <w:rFonts w:ascii="Times New Roman" w:cs="Times New Roman" w:eastAsia="Times New Roman" w:hAnsi="Times New Roman"/>
          <w:sz w:val="20"/>
          <w:szCs w:val="20"/>
          <w:color w:val="auto"/>
        </w:rPr>
        <w:t>” means the Pension Benefit Guaranty Corporation referred to and defined in ERISA and any successor entity performing similar functions.</w:t>
      </w:r>
    </w:p>
    <w:p>
      <w:pPr>
        <w:spacing w:after="0" w:line="38"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Pensions Regulator</w:t>
      </w:r>
      <w:r>
        <w:rPr>
          <w:rFonts w:ascii="Times New Roman" w:cs="Times New Roman" w:eastAsia="Times New Roman" w:hAnsi="Times New Roman"/>
          <w:sz w:val="20"/>
          <w:szCs w:val="20"/>
          <w:color w:val="auto"/>
        </w:rPr>
        <w:t>” means the body corporate established under section 1 of the United Kingdom Pensions Act 2004 (or any replacement or successor body from time to time).</w:t>
      </w:r>
    </w:p>
    <w:p>
      <w:pPr>
        <w:spacing w:after="0" w:line="3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Periodic Term CORRA Determination Day</w:t>
      </w:r>
      <w:r>
        <w:rPr>
          <w:rFonts w:ascii="Times New Roman" w:cs="Times New Roman" w:eastAsia="Times New Roman" w:hAnsi="Times New Roman"/>
          <w:sz w:val="20"/>
          <w:szCs w:val="20"/>
          <w:color w:val="auto"/>
        </w:rPr>
        <w:t>” has the meaning assigned to such term in the definition of “Term CORRA.”</w:t>
      </w:r>
    </w:p>
    <w:p>
      <w:pPr>
        <w:spacing w:after="0" w:line="121"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Earn-Out Indebtedness</w:t>
      </w:r>
      <w:r>
        <w:rPr>
          <w:rFonts w:ascii="Times New Roman" w:cs="Times New Roman" w:eastAsia="Times New Roman" w:hAnsi="Times New Roman"/>
          <w:sz w:val="20"/>
          <w:szCs w:val="20"/>
          <w:color w:val="auto"/>
        </w:rPr>
        <w:t>” means Indebtedness or earn-out obligation of the Company or any Subsidiary incurred in connection with any acquisition, which Indebtedness or earn-out obligation is not secured by any assets of the Company or any Subsidiary (including, without limitation, the assets so acquired) and is only payable by the Company and its Subsidiaries in the event certain future performance goals are achieved with respect to the assets acquired.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ectPr>
          <w:pgSz w:w="11900" w:h="16838" w:orient="portrait"/>
          <w:cols w:equalWidth="0" w:num="1">
            <w:col w:w="11240"/>
          </w:cols>
          <w:pgMar w:left="320" w:top="1413" w:right="339" w:bottom="1440" w:gutter="0" w:footer="0" w:header="0"/>
        </w:sectPr>
      </w:pPr>
    </w:p>
    <w:bookmarkStart w:id="40" w:name="page41"/>
    <w:bookmarkEnd w:id="40"/>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Encumbrances</w:t>
      </w:r>
      <w:r>
        <w:rPr>
          <w:rFonts w:ascii="Times New Roman" w:cs="Times New Roman" w:eastAsia="Times New Roman" w:hAnsi="Times New Roman"/>
          <w:sz w:val="20"/>
          <w:szCs w:val="20"/>
          <w:color w:val="auto"/>
        </w:rPr>
        <w:t>” means:</w:t>
      </w:r>
    </w:p>
    <w:p>
      <w:pPr>
        <w:spacing w:after="0" w:line="121" w:lineRule="exact"/>
        <w:rPr>
          <w:sz w:val="20"/>
          <w:szCs w:val="20"/>
          <w:color w:val="auto"/>
        </w:rPr>
      </w:pPr>
    </w:p>
    <w:p>
      <w:pPr>
        <w:ind w:left="1580" w:hanging="276"/>
        <w:spacing w:after="0"/>
        <w:tabs>
          <w:tab w:leader="none" w:pos="1580"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Liens imposed by law for Taxes or UK Taxes that are not yet due or are being contested in compliance with Section 5.04;</w:t>
      </w:r>
    </w:p>
    <w:p>
      <w:pPr>
        <w:spacing w:after="0" w:line="119" w:lineRule="exact"/>
        <w:rPr>
          <w:rFonts w:ascii="Times New Roman" w:cs="Times New Roman" w:eastAsia="Times New Roman" w:hAnsi="Times New Roman"/>
          <w:sz w:val="19"/>
          <w:szCs w:val="19"/>
          <w:color w:val="auto"/>
        </w:rPr>
      </w:pPr>
    </w:p>
    <w:p>
      <w:pPr>
        <w:jc w:val="both"/>
        <w:ind w:firstLine="1304"/>
        <w:spacing w:after="0" w:line="261" w:lineRule="auto"/>
        <w:tabs>
          <w:tab w:leader="none" w:pos="1594"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carriers’, warehousemen’s, mechanics’, materialmen’s, repairmen’s and other like Liens imposed by law, arising in the ordinary course of business and securing obligations that are not overdue by more than sixty (60) days or are being contested in compliance with Section 5.04;</w:t>
      </w:r>
    </w:p>
    <w:p>
      <w:pPr>
        <w:spacing w:after="0" w:line="73" w:lineRule="exact"/>
        <w:rPr>
          <w:rFonts w:ascii="Times New Roman" w:cs="Times New Roman" w:eastAsia="Times New Roman" w:hAnsi="Times New Roman"/>
          <w:sz w:val="20"/>
          <w:szCs w:val="20"/>
          <w:color w:val="auto"/>
        </w:rPr>
      </w:pPr>
    </w:p>
    <w:p>
      <w:pPr>
        <w:ind w:firstLine="1304"/>
        <w:spacing w:after="0" w:line="283" w:lineRule="auto"/>
        <w:tabs>
          <w:tab w:leader="none" w:pos="157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pledges and deposits made in the ordinary course of business in compliance with workers’ compensation, unemployment insurance and other social security laws or regulations;</w:t>
      </w:r>
    </w:p>
    <w:p>
      <w:pPr>
        <w:spacing w:after="0" w:line="38" w:lineRule="exact"/>
        <w:rPr>
          <w:rFonts w:ascii="Times New Roman" w:cs="Times New Roman" w:eastAsia="Times New Roman" w:hAnsi="Times New Roman"/>
          <w:sz w:val="20"/>
          <w:szCs w:val="20"/>
          <w:color w:val="auto"/>
        </w:rPr>
      </w:pPr>
    </w:p>
    <w:p>
      <w:pPr>
        <w:ind w:firstLine="1304"/>
        <w:spacing w:after="0" w:line="283" w:lineRule="auto"/>
        <w:tabs>
          <w:tab w:leader="none" w:pos="16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deposits to secure the performance of bids, trade contracts, leases, statutory obligations, surety and appeal bonds, performance bonds and other obligations of a like nature, in each case in the ordinary course of business;</w:t>
      </w:r>
    </w:p>
    <w:p>
      <w:pPr>
        <w:spacing w:after="0" w:line="38" w:lineRule="exact"/>
        <w:rPr>
          <w:rFonts w:ascii="Times New Roman" w:cs="Times New Roman" w:eastAsia="Times New Roman" w:hAnsi="Times New Roman"/>
          <w:sz w:val="20"/>
          <w:szCs w:val="20"/>
          <w:color w:val="auto"/>
        </w:rPr>
      </w:pPr>
    </w:p>
    <w:p>
      <w:pPr>
        <w:ind w:left="1580" w:hanging="276"/>
        <w:spacing w:after="0"/>
        <w:tabs>
          <w:tab w:leader="none" w:pos="158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judgment Liens in respect of judgments that do not constitute an Event of Default under clause (k) of Article VII;</w:t>
      </w:r>
    </w:p>
    <w:p>
      <w:pPr>
        <w:spacing w:after="0" w:line="121" w:lineRule="exact"/>
        <w:rPr>
          <w:rFonts w:ascii="Times New Roman" w:cs="Times New Roman" w:eastAsia="Times New Roman" w:hAnsi="Times New Roman"/>
          <w:sz w:val="20"/>
          <w:szCs w:val="20"/>
          <w:color w:val="auto"/>
        </w:rPr>
      </w:pPr>
    </w:p>
    <w:p>
      <w:pPr>
        <w:jc w:val="both"/>
        <w:ind w:firstLine="1304"/>
        <w:spacing w:after="0" w:line="261" w:lineRule="auto"/>
        <w:tabs>
          <w:tab w:leader="none" w:pos="1549"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easements, zoning restrictions, rights-of-way and similar encumbrances on real property imposed by law or arising in the ordinary course of business that do not secure any monetary obligations and do not materially detract from the value of the affected property or interfere with the ordinary conduct of business of the Company or any Subsidiary;</w:t>
      </w:r>
    </w:p>
    <w:p>
      <w:pPr>
        <w:spacing w:after="0" w:line="73" w:lineRule="exact"/>
        <w:rPr>
          <w:rFonts w:ascii="Times New Roman" w:cs="Times New Roman" w:eastAsia="Times New Roman" w:hAnsi="Times New Roman"/>
          <w:sz w:val="20"/>
          <w:szCs w:val="20"/>
          <w:color w:val="auto"/>
        </w:rPr>
      </w:pPr>
    </w:p>
    <w:p>
      <w:pPr>
        <w:ind w:left="1600" w:hanging="296"/>
        <w:spacing w:after="0"/>
        <w:tabs>
          <w:tab w:leader="none" w:pos="160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leases or subleases granted to third Persons not interfering with the ordinary course of business of the Company or any</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Subsidiary;</w:t>
      </w:r>
    </w:p>
    <w:p>
      <w:pPr>
        <w:spacing w:after="0" w:line="99" w:lineRule="exact"/>
        <w:rPr>
          <w:rFonts w:ascii="Times New Roman" w:cs="Times New Roman" w:eastAsia="Times New Roman" w:hAnsi="Times New Roman"/>
          <w:sz w:val="20"/>
          <w:szCs w:val="20"/>
          <w:color w:val="auto"/>
        </w:rPr>
      </w:pPr>
    </w:p>
    <w:p>
      <w:pPr>
        <w:jc w:val="both"/>
        <w:ind w:firstLine="1304"/>
        <w:spacing w:after="0" w:line="258" w:lineRule="auto"/>
        <w:tabs>
          <w:tab w:leader="none" w:pos="1588"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in favor of a banking or other financial institution arising as a matter of law or in the ordinary course of business under customary general terms and conditions encumbering deposits or other funds maintained with a financial institution (including the right of set-off) and that are within the general parameters customary in the banking industry or arising pursuant to such banking institution’s general terms and conditions;</w:t>
      </w:r>
    </w:p>
    <w:p>
      <w:pPr>
        <w:spacing w:after="0" w:line="64" w:lineRule="exact"/>
        <w:rPr>
          <w:rFonts w:ascii="Times New Roman" w:cs="Times New Roman" w:eastAsia="Times New Roman" w:hAnsi="Times New Roman"/>
          <w:sz w:val="20"/>
          <w:szCs w:val="20"/>
          <w:color w:val="auto"/>
        </w:rPr>
      </w:pPr>
    </w:p>
    <w:p>
      <w:pPr>
        <w:jc w:val="both"/>
        <w:ind w:firstLine="1304"/>
        <w:spacing w:after="0" w:line="261" w:lineRule="auto"/>
        <w:tabs>
          <w:tab w:leader="none" w:pos="1536"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specific items of inventory or other goods (other than fixed or capital assets) and proceeds thereof of any Person securing such Person’s obligations in respect of bankers’ acceptances or letters of credit issued or created for the account of such Person to facilitate the purchase, shipment or storage of such inventory or other goods in the ordinary course of business;</w:t>
      </w:r>
    </w:p>
    <w:p>
      <w:pPr>
        <w:spacing w:after="0" w:line="73" w:lineRule="exact"/>
        <w:rPr>
          <w:rFonts w:ascii="Times New Roman" w:cs="Times New Roman" w:eastAsia="Times New Roman" w:hAnsi="Times New Roman"/>
          <w:sz w:val="20"/>
          <w:szCs w:val="20"/>
          <w:color w:val="auto"/>
        </w:rPr>
      </w:pPr>
    </w:p>
    <w:p>
      <w:pPr>
        <w:ind w:firstLine="1304"/>
        <w:spacing w:after="0" w:line="283" w:lineRule="auto"/>
        <w:tabs>
          <w:tab w:leader="none" w:pos="1561"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in favor of customs and revenue authorities arising as a matter of law to secure payment of customs duties in connection with the importation of goods in the ordinary course of business so long as such Liens only cover the related goods;</w:t>
      </w:r>
    </w:p>
    <w:p>
      <w:pPr>
        <w:spacing w:after="0" w:line="38" w:lineRule="exact"/>
        <w:rPr>
          <w:rFonts w:ascii="Times New Roman" w:cs="Times New Roman" w:eastAsia="Times New Roman" w:hAnsi="Times New Roman"/>
          <w:sz w:val="20"/>
          <w:szCs w:val="20"/>
          <w:color w:val="auto"/>
        </w:rPr>
      </w:pPr>
    </w:p>
    <w:p>
      <w:pPr>
        <w:ind w:firstLine="1304"/>
        <w:spacing w:after="0" w:line="283" w:lineRule="auto"/>
        <w:tabs>
          <w:tab w:leader="none" w:pos="1587"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encumbering reasonable customary initial deposits and margin deposits and similar Liens attaching to commodity trading accounts or other brokerage accounts incurred in the ordinary course of business and not for speculative purposes;</w:t>
      </w:r>
    </w:p>
    <w:p>
      <w:pPr>
        <w:spacing w:after="0" w:line="38" w:lineRule="exact"/>
        <w:rPr>
          <w:rFonts w:ascii="Times New Roman" w:cs="Times New Roman" w:eastAsia="Times New Roman" w:hAnsi="Times New Roman"/>
          <w:sz w:val="20"/>
          <w:szCs w:val="20"/>
          <w:color w:val="auto"/>
        </w:rPr>
      </w:pPr>
    </w:p>
    <w:p>
      <w:pPr>
        <w:ind w:firstLine="1304"/>
        <w:spacing w:after="0" w:line="283" w:lineRule="auto"/>
        <w:tabs>
          <w:tab w:leader="none" w:pos="1562"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earnest money deposits made by the Company or any Subsidiary in connection with any letter of intent or purchase agreement with respect to an Acquisition or other investment permitted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ectPr>
          <w:pgSz w:w="11900" w:h="16838" w:orient="portrait"/>
          <w:cols w:equalWidth="0" w:num="1">
            <w:col w:w="11240"/>
          </w:cols>
          <w:pgMar w:left="320" w:top="1413" w:right="339" w:bottom="1440" w:gutter="0" w:footer="0" w:header="0"/>
        </w:sectPr>
      </w:pPr>
    </w:p>
    <w:bookmarkStart w:id="41" w:name="page42"/>
    <w:bookmarkEnd w:id="41"/>
    <w:p>
      <w:pPr>
        <w:ind w:right="20" w:firstLine="1304"/>
        <w:spacing w:after="0" w:line="283" w:lineRule="auto"/>
        <w:tabs>
          <w:tab w:leader="none" w:pos="167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deposits of cash and cash equivalents with a trustee or a similar representative made to defease or to satisfy and discharge any debt securities;</w:t>
      </w:r>
    </w:p>
    <w:p>
      <w:pPr>
        <w:spacing w:after="0" w:line="38" w:lineRule="exact"/>
        <w:rPr>
          <w:rFonts w:ascii="Times New Roman" w:cs="Times New Roman" w:eastAsia="Times New Roman" w:hAnsi="Times New Roman"/>
          <w:sz w:val="20"/>
          <w:szCs w:val="20"/>
          <w:color w:val="auto"/>
        </w:rPr>
      </w:pPr>
    </w:p>
    <w:p>
      <w:pPr>
        <w:ind w:left="1580" w:hanging="276"/>
        <w:spacing w:after="0"/>
        <w:tabs>
          <w:tab w:leader="none" w:pos="158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that are contractual rights of set-off; and</w:t>
      </w:r>
    </w:p>
    <w:p>
      <w:pPr>
        <w:spacing w:after="0" w:line="121" w:lineRule="exact"/>
        <w:rPr>
          <w:rFonts w:ascii="Times New Roman" w:cs="Times New Roman" w:eastAsia="Times New Roman" w:hAnsi="Times New Roman"/>
          <w:sz w:val="20"/>
          <w:szCs w:val="20"/>
          <w:color w:val="auto"/>
        </w:rPr>
      </w:pPr>
    </w:p>
    <w:p>
      <w:pPr>
        <w:ind w:right="20" w:firstLine="1304"/>
        <w:spacing w:after="0" w:line="269" w:lineRule="auto"/>
        <w:tabs>
          <w:tab w:leader="none" w:pos="158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representing any interest or title of a licensor, lessor or sublicensor or sublessor, or a licensee, lessee or sublicensee or sublessee, in the property subject to any lease, license or sublicense or concession agreement permitted by this Agreement.</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term “Permitted Encumbrances” shall not include any Lien securing Indebtedness.</w:t>
      </w:r>
    </w:p>
    <w:p>
      <w:pPr>
        <w:spacing w:after="0" w:line="121" w:lineRule="exact"/>
        <w:rPr>
          <w:sz w:val="20"/>
          <w:szCs w:val="20"/>
          <w:color w:val="auto"/>
        </w:rPr>
      </w:pPr>
    </w:p>
    <w:p>
      <w:pPr>
        <w:jc w:val="both"/>
        <w:ind w:right="20"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Receivables Facilit</w:t>
      </w:r>
      <w:r>
        <w:rPr>
          <w:rFonts w:ascii="Times New Roman" w:cs="Times New Roman" w:eastAsia="Times New Roman" w:hAnsi="Times New Roman"/>
          <w:sz w:val="20"/>
          <w:szCs w:val="20"/>
          <w:color w:val="auto"/>
        </w:rPr>
        <w:t>y” shall mean the receivables facility or facilities providing for the sale or grant of a security interest by the Company and/or one or more of its Subsidiaries of Permitted Receivables Facility Assets or an undivided interest therein.</w:t>
      </w:r>
    </w:p>
    <w:p>
      <w:pPr>
        <w:spacing w:after="0" w:line="6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Receivables Facility Assets</w:t>
      </w:r>
      <w:r>
        <w:rPr>
          <w:rFonts w:ascii="Times New Roman" w:cs="Times New Roman" w:eastAsia="Times New Roman" w:hAnsi="Times New Roman"/>
          <w:sz w:val="20"/>
          <w:szCs w:val="20"/>
          <w:color w:val="auto"/>
        </w:rPr>
        <w:t>” shall mean (i) Receivables (whether now existing or arising in the future) of the Company and its Subsidiaries and all proceeds thereof, (ii) collections on Receivables, related assets in respect of Receivables and supporting documentation in respect of Receivables and (iii) lockboxes, lockbox accounts and collection accounts in respect of Receivables.</w:t>
      </w:r>
    </w:p>
    <w:p>
      <w:pPr>
        <w:spacing w:after="0" w:line="7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Receivables Related Assets</w:t>
      </w:r>
      <w:r>
        <w:rPr>
          <w:rFonts w:ascii="Times New Roman" w:cs="Times New Roman" w:eastAsia="Times New Roman" w:hAnsi="Times New Roman"/>
          <w:sz w:val="20"/>
          <w:szCs w:val="20"/>
          <w:color w:val="auto"/>
        </w:rPr>
        <w:t>” means any other assets that are customarily transferred or in respect of which security interests are customarily granted in connection with asset securitization transactions involving receivables similar to Receivables and any collections or proceeds of any of the foregoing.</w:t>
      </w:r>
    </w:p>
    <w:p>
      <w:pPr>
        <w:spacing w:after="0" w:line="60"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Person</w:t>
      </w:r>
      <w:r>
        <w:rPr>
          <w:rFonts w:ascii="Times New Roman" w:cs="Times New Roman" w:eastAsia="Times New Roman" w:hAnsi="Times New Roman"/>
          <w:sz w:val="20"/>
          <w:szCs w:val="20"/>
          <w:color w:val="auto"/>
        </w:rPr>
        <w:t>” means any natural person, corporation, limited liability company, trust, joint venture, association, company, partnership, Governmental Authority or other entity.</w:t>
      </w:r>
    </w:p>
    <w:p>
      <w:pPr>
        <w:spacing w:after="0" w:line="5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means any employee pension benefit plan (other than a Multiemployer Plan) subject to the provisions of Title IV of ERISA or Section 412 of the Code or Section 302 of ERISA, and in respect of which the Company or any ERISA Affiliate is (or, if such plan were terminated, would under Section 4069 of ERISA be deemed to be) an “employer” as defined in Section 3(5) of ERISA.</w:t>
      </w:r>
    </w:p>
    <w:p>
      <w:pPr>
        <w:spacing w:after="0" w:line="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Plan Asset Regulations</w:t>
      </w:r>
      <w:r>
        <w:rPr>
          <w:rFonts w:ascii="Times New Roman" w:cs="Times New Roman" w:eastAsia="Times New Roman" w:hAnsi="Times New Roman"/>
          <w:sz w:val="20"/>
          <w:szCs w:val="20"/>
          <w:color w:val="auto"/>
        </w:rPr>
        <w:t xml:space="preserve">” means 29 CFR § 2510.3-101 </w:t>
      </w:r>
      <w:r>
        <w:rPr>
          <w:rFonts w:ascii="Times New Roman" w:cs="Times New Roman" w:eastAsia="Times New Roman" w:hAnsi="Times New Roman"/>
          <w:sz w:val="20"/>
          <w:szCs w:val="20"/>
          <w:i w:val="1"/>
          <w:iCs w:val="1"/>
          <w:color w:val="auto"/>
        </w:rPr>
        <w:t>et seq.</w:t>
      </w:r>
      <w:r>
        <w:rPr>
          <w:rFonts w:ascii="Times New Roman" w:cs="Times New Roman" w:eastAsia="Times New Roman" w:hAnsi="Times New Roman"/>
          <w:sz w:val="20"/>
          <w:szCs w:val="20"/>
          <w:color w:val="auto"/>
        </w:rPr>
        <w:t>, as modified by Section 3(42) of ERISA, as amended from</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time to time.</w:t>
      </w:r>
    </w:p>
    <w:p>
      <w:pPr>
        <w:spacing w:after="0" w:line="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Pounds Sterling</w:t>
      </w:r>
      <w:r>
        <w:rPr>
          <w:rFonts w:ascii="Times New Roman" w:cs="Times New Roman" w:eastAsia="Times New Roman" w:hAnsi="Times New Roman"/>
          <w:sz w:val="20"/>
          <w:szCs w:val="20"/>
          <w:color w:val="auto"/>
        </w:rPr>
        <w:t>” means the lawful currency of the United Kingdom.</w:t>
      </w:r>
    </w:p>
    <w:p>
      <w:pPr>
        <w:spacing w:after="0" w:line="121" w:lineRule="exact"/>
        <w:rPr>
          <w:sz w:val="20"/>
          <w:szCs w:val="20"/>
          <w:color w:val="auto"/>
        </w:rPr>
      </w:pPr>
    </w:p>
    <w:p>
      <w:pPr>
        <w:jc w:val="both"/>
        <w:ind w:firstLine="1296"/>
        <w:spacing w:after="0" w:line="27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Prime Rate</w:t>
      </w:r>
      <w:r>
        <w:rPr>
          <w:rFonts w:ascii="Times New Roman" w:cs="Times New Roman" w:eastAsia="Times New Roman" w:hAnsi="Times New Roman"/>
          <w:sz w:val="19"/>
          <w:szCs w:val="19"/>
          <w:color w:val="auto"/>
        </w:rPr>
        <w:t>” means the rate of interest last quoted by The Wall Street Journal as the “Prime Rate” in the U.S. or, if The Wall Street Journal ceases to quote such rate, the highest per annum interest rate published by the Board in Federal Reserve Statistical Release H.15 (519) (Selected Interest Rates) as the “bank prime loan” rate or, if such rate is no longer quoted therein, any similar rate quoted therein (as determined by the Administrative Agent) or any similar release by the Board (as determined by the Administrative Agent). Each change in the Prime Rate shall be effective from and including the date such change is publicly announced or quoted as being effective.</w:t>
      </w:r>
    </w:p>
    <w:p>
      <w:pPr>
        <w:spacing w:after="0" w:line="6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 Forma Basis</w:t>
      </w:r>
      <w:r>
        <w:rPr>
          <w:rFonts w:ascii="Times New Roman" w:cs="Times New Roman" w:eastAsia="Times New Roman" w:hAnsi="Times New Roman"/>
          <w:sz w:val="20"/>
          <w:szCs w:val="20"/>
          <w:color w:val="auto"/>
        </w:rPr>
        <w:t xml:space="preserve">” means, with respect to any event, that the Company is in compliance on a </w:t>
      </w:r>
      <w:r>
        <w:rPr>
          <w:rFonts w:ascii="Times New Roman" w:cs="Times New Roman" w:eastAsia="Times New Roman" w:hAnsi="Times New Roman"/>
          <w:sz w:val="20"/>
          <w:szCs w:val="20"/>
          <w:u w:val="single" w:color="auto"/>
          <w:color w:val="auto"/>
        </w:rPr>
        <w:t>pro forma</w:t>
      </w:r>
      <w:r>
        <w:rPr>
          <w:rFonts w:ascii="Times New Roman" w:cs="Times New Roman" w:eastAsia="Times New Roman" w:hAnsi="Times New Roman"/>
          <w:sz w:val="20"/>
          <w:szCs w:val="20"/>
          <w:color w:val="auto"/>
        </w:rPr>
        <w:t xml:space="preserve"> basis with the applicable covenant, calculation or requirement herein recomputed as if the event with respect to which compliance on a Pro Forma Basis is being tested had occurred on the first day of the four fiscal quarter period most recently ended on or prior to such date for which financial statements have been delivered pursuant to Section 5.01.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ectPr>
          <w:pgSz w:w="11900" w:h="16838" w:orient="portrait"/>
          <w:cols w:equalWidth="0" w:num="1">
            <w:col w:w="11240"/>
          </w:cols>
          <w:pgMar w:left="320" w:top="1413" w:right="339" w:bottom="1440" w:gutter="0" w:footer="0" w:header="0"/>
        </w:sectPr>
      </w:pPr>
    </w:p>
    <w:bookmarkStart w:id="42" w:name="page43"/>
    <w:bookmarkEnd w:id="42"/>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Protected Party</w:t>
      </w:r>
      <w:r>
        <w:rPr>
          <w:rFonts w:ascii="Times New Roman" w:cs="Times New Roman" w:eastAsia="Times New Roman" w:hAnsi="Times New Roman"/>
          <w:sz w:val="20"/>
          <w:szCs w:val="20"/>
          <w:color w:val="auto"/>
        </w:rPr>
        <w:t>” means any Credit Party that is or will be subject to any liability or required to make any payment for or on account of UK Tax, in relation to a sum received or receivable (or any sum deemed for the purposes of UK Tax to be received or receivable) under any Loan Document.</w:t>
      </w:r>
    </w:p>
    <w:p>
      <w:pPr>
        <w:spacing w:after="0" w:line="73"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PTE</w:t>
      </w:r>
      <w:r>
        <w:rPr>
          <w:rFonts w:ascii="Times New Roman" w:cs="Times New Roman" w:eastAsia="Times New Roman" w:hAnsi="Times New Roman"/>
          <w:sz w:val="20"/>
          <w:szCs w:val="20"/>
          <w:color w:val="auto"/>
        </w:rPr>
        <w:t>” means a prohibited transaction class exemption issued by the U.S. Department of Labor, as any such exemption may be amended from time to time.</w:t>
      </w:r>
    </w:p>
    <w:p>
      <w:pPr>
        <w:spacing w:after="0" w:line="65" w:lineRule="exact"/>
        <w:rPr>
          <w:sz w:val="20"/>
          <w:szCs w:val="20"/>
          <w:color w:val="auto"/>
        </w:rPr>
      </w:pPr>
    </w:p>
    <w:p>
      <w:pPr>
        <w:jc w:val="both"/>
        <w:ind w:right="20"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QFC</w:t>
      </w:r>
      <w:r>
        <w:rPr>
          <w:rFonts w:ascii="Times New Roman" w:cs="Times New Roman" w:eastAsia="Times New Roman" w:hAnsi="Times New Roman"/>
          <w:sz w:val="20"/>
          <w:szCs w:val="20"/>
          <w:color w:val="auto"/>
        </w:rPr>
        <w:t>” has the meaning assigned to the term “qualified financial contract” in, and shall be interpreted in accordance with, 12 U.S.C. 5390(c)(8)(D).</w:t>
      </w:r>
    </w:p>
    <w:p>
      <w:pPr>
        <w:spacing w:after="0" w:line="3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QFC Credit Support</w:t>
      </w:r>
      <w:r>
        <w:rPr>
          <w:rFonts w:ascii="Times New Roman" w:cs="Times New Roman" w:eastAsia="Times New Roman" w:hAnsi="Times New Roman"/>
          <w:sz w:val="20"/>
          <w:szCs w:val="20"/>
          <w:color w:val="auto"/>
        </w:rPr>
        <w:t>” has the meaning assigned to it in Section 9.19.</w:t>
      </w:r>
    </w:p>
    <w:p>
      <w:pPr>
        <w:spacing w:after="0" w:line="1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Qualifying Lender</w:t>
      </w:r>
      <w:r>
        <w:rPr>
          <w:rFonts w:ascii="Times New Roman" w:cs="Times New Roman" w:eastAsia="Times New Roman" w:hAnsi="Times New Roman"/>
          <w:sz w:val="20"/>
          <w:szCs w:val="20"/>
          <w:color w:val="auto"/>
        </w:rPr>
        <w:t>” means:</w:t>
      </w:r>
    </w:p>
    <w:p>
      <w:pPr>
        <w:spacing w:after="0" w:line="108" w:lineRule="exact"/>
        <w:rPr>
          <w:sz w:val="20"/>
          <w:szCs w:val="20"/>
          <w:color w:val="auto"/>
        </w:rPr>
      </w:pPr>
    </w:p>
    <w:p>
      <w:pPr>
        <w:ind w:firstLine="656"/>
        <w:spacing w:after="0" w:line="283" w:lineRule="auto"/>
        <w:tabs>
          <w:tab w:leader="none" w:pos="891"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Lender (other than a Lender within clause (ii) below) that is beneficially entitled to interest payable to that Lender in respect of an advance under a Loan Document and is:</w:t>
      </w:r>
    </w:p>
    <w:p>
      <w:pPr>
        <w:spacing w:after="0" w:line="52" w:lineRule="exact"/>
        <w:rPr>
          <w:sz w:val="20"/>
          <w:szCs w:val="20"/>
          <w:color w:val="auto"/>
        </w:rPr>
      </w:pPr>
    </w:p>
    <w:p>
      <w:pPr>
        <w:ind w:left="1080" w:hanging="424"/>
        <w:spacing w:after="0"/>
        <w:tabs>
          <w:tab w:leader="none" w:pos="108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Lender:</w:t>
      </w:r>
    </w:p>
    <w:p>
      <w:pPr>
        <w:spacing w:after="0" w:line="107"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which is a bank (as defined for the purpose of section 879 of the ITA) making an advance under a Loan Document; or</w:t>
      </w:r>
    </w:p>
    <w:p>
      <w:pPr>
        <w:spacing w:after="0" w:line="121" w:lineRule="exact"/>
        <w:rPr>
          <w:rFonts w:ascii="Times New Roman" w:cs="Times New Roman" w:eastAsia="Times New Roman" w:hAnsi="Times New Roman"/>
          <w:sz w:val="20"/>
          <w:szCs w:val="20"/>
          <w:color w:val="auto"/>
        </w:rPr>
      </w:pPr>
    </w:p>
    <w:p>
      <w:pPr>
        <w:ind w:left="1960" w:hanging="656"/>
        <w:spacing w:after="0" w:line="269" w:lineRule="auto"/>
        <w:tabs>
          <w:tab w:leader="none" w:pos="1822"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respect of an advance made under a Loan Document by a person that was a bank (as defined for the purpose of section 879 of the ITA) at the time that that advance was made,</w:t>
      </w:r>
    </w:p>
    <w:p>
      <w:pPr>
        <w:spacing w:after="0" w:line="65" w:lineRule="exact"/>
        <w:rPr>
          <w:sz w:val="20"/>
          <w:szCs w:val="20"/>
          <w:color w:val="auto"/>
        </w:rPr>
      </w:pPr>
    </w:p>
    <w:p>
      <w:pPr>
        <w:ind w:left="1300" w:right="20"/>
        <w:spacing w:after="0" w:line="283" w:lineRule="auto"/>
        <w:rPr>
          <w:sz w:val="20"/>
          <w:szCs w:val="20"/>
          <w:color w:val="auto"/>
        </w:rPr>
      </w:pPr>
      <w:r>
        <w:rPr>
          <w:rFonts w:ascii="Times New Roman" w:cs="Times New Roman" w:eastAsia="Times New Roman" w:hAnsi="Times New Roman"/>
          <w:sz w:val="20"/>
          <w:szCs w:val="20"/>
          <w:color w:val="auto"/>
        </w:rPr>
        <w:t>and which is within the charge to United Kingdom corporation tax as respects any payments of interest made in respect of that advance or would be within such charge as respects such payment apart from Section 18A of the CTA; or</w:t>
      </w:r>
    </w:p>
    <w:p>
      <w:pPr>
        <w:spacing w:after="0" w:line="38" w:lineRule="exact"/>
        <w:rPr>
          <w:sz w:val="20"/>
          <w:szCs w:val="20"/>
          <w:color w:val="auto"/>
        </w:rPr>
      </w:pPr>
    </w:p>
    <w:p>
      <w:pPr>
        <w:ind w:left="1080" w:hanging="424"/>
        <w:spacing w:after="0"/>
        <w:tabs>
          <w:tab w:leader="none" w:pos="108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Lender which is:</w:t>
      </w:r>
    </w:p>
    <w:p>
      <w:pPr>
        <w:spacing w:after="0" w:line="121"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company resident in the United Kingdom for United Kingdom tax purposes; or</w:t>
      </w:r>
    </w:p>
    <w:p>
      <w:pPr>
        <w:spacing w:after="0" w:line="107"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partnership each member of which is:</w:t>
      </w:r>
    </w:p>
    <w:p>
      <w:pPr>
        <w:spacing w:after="0" w:line="121" w:lineRule="exact"/>
        <w:rPr>
          <w:rFonts w:ascii="Times New Roman" w:cs="Times New Roman" w:eastAsia="Times New Roman" w:hAnsi="Times New Roman"/>
          <w:sz w:val="20"/>
          <w:szCs w:val="20"/>
          <w:color w:val="auto"/>
        </w:rPr>
      </w:pPr>
    </w:p>
    <w:p>
      <w:pPr>
        <w:ind w:left="2380" w:hanging="428"/>
        <w:spacing w:after="0"/>
        <w:tabs>
          <w:tab w:leader="none" w:pos="2380" w:val="left"/>
        </w:tabs>
        <w:numPr>
          <w:ilvl w:val="2"/>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company resident in the United Kingdom; or</w:t>
      </w:r>
    </w:p>
    <w:p>
      <w:pPr>
        <w:spacing w:after="0" w:line="107" w:lineRule="exact"/>
        <w:rPr>
          <w:rFonts w:ascii="Times New Roman" w:cs="Times New Roman" w:eastAsia="Times New Roman" w:hAnsi="Times New Roman"/>
          <w:sz w:val="20"/>
          <w:szCs w:val="20"/>
          <w:color w:val="auto"/>
        </w:rPr>
      </w:pPr>
    </w:p>
    <w:p>
      <w:pPr>
        <w:ind w:left="2600" w:hanging="648"/>
        <w:spacing w:after="0" w:line="258" w:lineRule="auto"/>
        <w:tabs>
          <w:tab w:leader="none" w:pos="2430" w:val="left"/>
        </w:tabs>
        <w:numPr>
          <w:ilvl w:val="2"/>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company not so resident in the United Kingdom which carries on a trade in the United Kingdom through a permanent establishment and which brings into account in computing its chargeable profits (for the purposes of section 19 of the CTA) the whole of any share of interest payable in respect of that advance that falls to it by reason of Part 17 of the CTA; or</w:t>
      </w:r>
    </w:p>
    <w:p>
      <w:pPr>
        <w:spacing w:after="0" w:line="77" w:lineRule="exact"/>
        <w:rPr>
          <w:rFonts w:ascii="Times New Roman" w:cs="Times New Roman" w:eastAsia="Times New Roman" w:hAnsi="Times New Roman"/>
          <w:sz w:val="20"/>
          <w:szCs w:val="20"/>
          <w:color w:val="auto"/>
        </w:rPr>
      </w:pPr>
    </w:p>
    <w:p>
      <w:pPr>
        <w:ind w:left="1960" w:hanging="656"/>
        <w:spacing w:after="0" w:line="261" w:lineRule="auto"/>
        <w:tabs>
          <w:tab w:leader="none" w:pos="1750"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company not so resident in the United Kingdom which carries on a trade in the United Kingdom through a permanent establishment and which brings into account interest payable in respect of that advance in computing its chargeable profits (within the meaning given by section 19 of the CTA); or</w:t>
      </w:r>
    </w:p>
    <w:p>
      <w:pPr>
        <w:spacing w:after="0" w:line="73"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Treaty Lender;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ectPr>
          <w:pgSz w:w="11900" w:h="16838" w:orient="portrait"/>
          <w:cols w:equalWidth="0" w:num="1">
            <w:col w:w="11240"/>
          </w:cols>
          <w:pgMar w:left="320" w:top="1413" w:right="339" w:bottom="1440" w:gutter="0" w:footer="0" w:header="0"/>
        </w:sectPr>
      </w:pPr>
    </w:p>
    <w:bookmarkStart w:id="43" w:name="page44"/>
    <w:bookmarkEnd w:id="43"/>
    <w:p>
      <w:pPr>
        <w:ind w:left="960" w:hanging="304"/>
        <w:spacing w:after="0"/>
        <w:tabs>
          <w:tab w:leader="none" w:pos="96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Lender which is a building society (as defined for the purpose of section 880 of the ITA) making an advance under a Loan</w:t>
      </w:r>
    </w:p>
    <w:p>
      <w:pPr>
        <w:spacing w:after="0" w:line="28"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Document.</w:t>
      </w:r>
    </w:p>
    <w:p>
      <w:pPr>
        <w:spacing w:after="0" w:line="92" w:lineRule="exact"/>
        <w:rPr>
          <w:sz w:val="20"/>
          <w:szCs w:val="20"/>
          <w:color w:val="auto"/>
        </w:rPr>
      </w:pPr>
    </w:p>
    <w:p>
      <w:pPr>
        <w:jc w:val="both"/>
        <w:ind w:firstLine="1296"/>
        <w:spacing w:after="0" w:line="27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Qualifying Material Acquisition</w:t>
      </w:r>
      <w:r>
        <w:rPr>
          <w:rFonts w:ascii="Times New Roman" w:cs="Times New Roman" w:eastAsia="Times New Roman" w:hAnsi="Times New Roman"/>
          <w:sz w:val="19"/>
          <w:szCs w:val="19"/>
          <w:color w:val="auto"/>
        </w:rPr>
        <w:t>” means any acquisition, or the last to occur of a series of acquisitions consummated within a period of six consecutive months, if the aggregate consideration paid or to be paid in respect of such acquisition (or, if applicable, acquisitions) exceeds $150,000,000 and the Company has designated such acquisition (or, if applicable, acquisitions) as a “Qualifying Material Acquisition” by written notice to the Administrative Agent. For the avoidance of doubt, once any acquisition has been so designated as (or as a part of) a Qualifying Material Acquisition, it may not be designated as (or as a part of) any other Qualifying Material Acquisition.</w:t>
      </w:r>
    </w:p>
    <w:p>
      <w:pPr>
        <w:spacing w:after="0" w:line="49"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Receivables</w:t>
      </w:r>
      <w:r>
        <w:rPr>
          <w:rFonts w:ascii="Times New Roman" w:cs="Times New Roman" w:eastAsia="Times New Roman" w:hAnsi="Times New Roman"/>
          <w:sz w:val="20"/>
          <w:szCs w:val="20"/>
          <w:color w:val="auto"/>
        </w:rPr>
        <w:t>” shall mean all accounts receivable (including, without limitation, all rights to payment created by or arising from sales of goods, leases of goods or the rendition of services rendered no matter how evidenced whether or not earned by performance).</w:t>
      </w:r>
    </w:p>
    <w:p>
      <w:pPr>
        <w:spacing w:after="0" w:line="3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Recipient</w:t>
      </w:r>
      <w:r>
        <w:rPr>
          <w:rFonts w:ascii="Times New Roman" w:cs="Times New Roman" w:eastAsia="Times New Roman" w:hAnsi="Times New Roman"/>
          <w:sz w:val="20"/>
          <w:szCs w:val="20"/>
          <w:color w:val="auto"/>
        </w:rPr>
        <w:t>” means, as applicable, (a) the Administrative Agent, (b) any Lender and (c) any Issuing Bank.</w:t>
      </w:r>
    </w:p>
    <w:p>
      <w:pPr>
        <w:spacing w:after="0" w:line="121"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Reference Time</w:t>
      </w:r>
      <w:r>
        <w:rPr>
          <w:rFonts w:ascii="Times New Roman" w:cs="Times New Roman" w:eastAsia="Times New Roman" w:hAnsi="Times New Roman"/>
          <w:sz w:val="20"/>
          <w:szCs w:val="20"/>
          <w:color w:val="auto"/>
        </w:rPr>
        <w:t>” with respect to any setting of the then-current Benchmark means (i) if such Benchmark is the Term SOFR Rate, 5:00 a.m., Chicago time, on the day that is two (2) U.S. Government Securities Business Days preceding the date of such setting, (ii) if such Benchmark is the EURIBO Rate, 11:00 a.m., Brussels time two (2) TARGET Days preceding the date of such setting, (iii) if such Benchmark is the TIBO Rate, 11:00 a.m. Japan time two (2) Business Days preceding the date of such setting, (iv) if the RFR for such Benchmark is SONIA, then four (4) RFR Business Days prior to such setting, (v) if the RFR for such Benchmark is SARON, then five (5) RFR Business Days prior to such setting, (vi) if, following a Benchmark Transition Event and Benchmark Replacement Date with respect to the Term SOFR Rate, the RFR for such Benchmark is Daily Simple SOFR, then four (4) RFR Business Days prior to such setting, (vii) if such Benchmark is the Adjusted Term CORRA Rate, 1:00 p.m. Toronto local time on the day that is two Business Days preceding the date of such setting, (viii) if, following a Benchmark Transition Event and Benchmark Replacement Date with respect to Term CORRA, the RFR for such Benchmark is Daily Simple CORRA, then four RFR Business Days prior to such setting or (ix) if such Benchmark is none of the Term SOFR Rate, Daily Simple SOFR, the EURIBO Rate, the TIBO Rate, SONIA, SARON, Term CORRA or Daily Simple CORRA, the time determined by the Administrative Agent in its reasonable discretion.</w:t>
      </w:r>
    </w:p>
    <w:p>
      <w:pPr>
        <w:spacing w:after="0" w:line="9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has the meaning set forth in Section 9.04.</w:t>
      </w:r>
    </w:p>
    <w:p>
      <w:pPr>
        <w:spacing w:after="0" w:line="121" w:lineRule="exact"/>
        <w:rPr>
          <w:sz w:val="20"/>
          <w:szCs w:val="20"/>
          <w:color w:val="auto"/>
        </w:rPr>
      </w:pPr>
    </w:p>
    <w:p>
      <w:pPr>
        <w:jc w:val="both"/>
        <w:ind w:right="20"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Regulation</w:t>
      </w:r>
      <w:r>
        <w:rPr>
          <w:rFonts w:ascii="Times New Roman" w:cs="Times New Roman" w:eastAsia="Times New Roman" w:hAnsi="Times New Roman"/>
          <w:sz w:val="20"/>
          <w:szCs w:val="20"/>
          <w:color w:val="auto"/>
        </w:rPr>
        <w:t>” means Regulation (EU) 2015/848 of the European Parliament and of the Council of 20 May 2015 on insolvency proceedings (recast).</w:t>
      </w:r>
    </w:p>
    <w:p>
      <w:pPr>
        <w:spacing w:after="0" w:line="65" w:lineRule="exact"/>
        <w:rPr>
          <w:sz w:val="20"/>
          <w:szCs w:val="20"/>
          <w:color w:val="auto"/>
        </w:rPr>
      </w:pPr>
    </w:p>
    <w:p>
      <w:pPr>
        <w:jc w:val="both"/>
        <w:ind w:right="20"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Related Parties</w:t>
      </w:r>
      <w:r>
        <w:rPr>
          <w:rFonts w:ascii="Times New Roman" w:cs="Times New Roman" w:eastAsia="Times New Roman" w:hAnsi="Times New Roman"/>
          <w:sz w:val="20"/>
          <w:szCs w:val="20"/>
          <w:color w:val="auto"/>
        </w:rPr>
        <w:t>” means, with respect to any specified Person, such Person’s Affiliates and the respective directors, officers, employees, agents and advisors of such Person and such Person’s Affiliates.</w:t>
      </w:r>
    </w:p>
    <w:p>
      <w:pPr>
        <w:spacing w:after="0" w:line="6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Relevant Governmental Body</w:t>
      </w:r>
      <w:r>
        <w:rPr>
          <w:rFonts w:ascii="Times New Roman" w:cs="Times New Roman" w:eastAsia="Times New Roman" w:hAnsi="Times New Roman"/>
          <w:sz w:val="20"/>
          <w:szCs w:val="20"/>
          <w:color w:val="auto"/>
        </w:rPr>
        <w:t>” means (i) with respect to a Benchmark Replacement in respect of Loans denominated in Dollars, the Board, the NYFRB or a committee officially endorsed or convened by the Board and/or the NYFRB or, in each case, any successor thereto, (ii) with respect to a Benchmark Replacement in respect of Loans denominated in Pounds Sterling, the Bank of England, or a committee officially endorsed or convened by the Bank of England or, in each case, any successor thereto, (iii) with respect to a Benchmark Replacement in respect of Loans denominated in euro, the European Central Bank, or a committee officially endorsed or convened by the European Central Bank or, in each case, any successor thereto, (iv) with respect to a Benchmark Replacement in respect of Loans denominated in Japanese Yen, the Bank of Japan, or a committee officially endorsed or convened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ectPr>
          <w:pgSz w:w="11900" w:h="16838" w:orient="portrait"/>
          <w:cols w:equalWidth="0" w:num="1">
            <w:col w:w="11240"/>
          </w:cols>
          <w:pgMar w:left="320" w:top="1413" w:right="339" w:bottom="1440" w:gutter="0" w:footer="0" w:header="0"/>
        </w:sectPr>
      </w:pPr>
    </w:p>
    <w:bookmarkStart w:id="44" w:name="page45"/>
    <w:bookmarkEnd w:id="44"/>
    <w:p>
      <w:pPr>
        <w:jc w:val="both"/>
        <w:spacing w:after="0" w:line="250" w:lineRule="auto"/>
        <w:rPr>
          <w:sz w:val="20"/>
          <w:szCs w:val="20"/>
          <w:color w:val="auto"/>
        </w:rPr>
      </w:pPr>
      <w:r>
        <w:rPr>
          <w:rFonts w:ascii="Times New Roman" w:cs="Times New Roman" w:eastAsia="Times New Roman" w:hAnsi="Times New Roman"/>
          <w:sz w:val="20"/>
          <w:szCs w:val="20"/>
          <w:color w:val="auto"/>
        </w:rPr>
        <w:t>Bank of Japan or, in each case, any successor thereto, (v) with respect to a Benchmark Replacement in respect of Loans denominated in Swiss Francs, the Swiss National Bank, or a committee officially endorsed or convened by the Swiss National Bank or, in each case, any successor thereto, (vi) with respect to a Benchmark Replacement in respect of Loans denominated in Canadian Dollars, the Bank of Canada, or a committee officially endorsed or convened by the Bank of Canada or, in each case, any successor thereto and (vii) with respect to a Benchmark Replacement in respect of Loans denominated in any other currency, (a) the central bank for the currency in which such Benchmark Replacement is denominated or any central bank or other supervisor which is responsible for supervising either (1) such Benchmark Replacement or (2) the administrator of such Benchmark Replacement or (b) any working group or committee officially endorsed or convened by (1) the central bank for the currency in which such Benchmark Replacement is denominated, (2) any central bank or other supervisor that is responsible for supervising either (A) such Benchmark Replacement or (B) the administrator of such Benchmark Replacement, (3) a group of those central banks or other supervisors or (4) the Financial Stability Board or any part thereof.</w:t>
      </w:r>
    </w:p>
    <w:p>
      <w:pPr>
        <w:spacing w:after="0" w:line="8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Relevant Rate</w:t>
      </w:r>
      <w:r>
        <w:rPr>
          <w:rFonts w:ascii="Times New Roman" w:cs="Times New Roman" w:eastAsia="Times New Roman" w:hAnsi="Times New Roman"/>
          <w:sz w:val="20"/>
          <w:szCs w:val="20"/>
          <w:color w:val="auto"/>
        </w:rPr>
        <w:t>” means (i) with respect to any Term Benchmark Borrowing denominated in Dollars, the Term SOFR Rate,</w:t>
      </w:r>
    </w:p>
    <w:p>
      <w:pPr>
        <w:spacing w:after="0" w:line="28" w:lineRule="exact"/>
        <w:rPr>
          <w:sz w:val="20"/>
          <w:szCs w:val="20"/>
          <w:color w:val="auto"/>
        </w:rPr>
      </w:pPr>
    </w:p>
    <w:p>
      <w:pPr>
        <w:jc w:val="both"/>
        <w:ind w:firstLine="8"/>
        <w:spacing w:after="0" w:line="248" w:lineRule="auto"/>
        <w:tabs>
          <w:tab w:leader="none" w:pos="317"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Term Benchmark Borrowing denominated in euro, the EURIBO Rate, (iii) with respect to any Term Benchmark Borrowing denominated in Japanese Yen, the TIBO Rate, (iv) with respect to any Term Benchmark Borrowing denominated in Canadian Dollars, Term CORRA or (v) with respect to any RFR Borrowing denominated in Pounds Sterling, Swiss Francs, Dollars or Canadian Dollars, the applicable Daily Simple RFR, in each case, as applicable.</w:t>
      </w:r>
    </w:p>
    <w:p>
      <w:pPr>
        <w:spacing w:after="0" w:line="8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Relevant Screen Rate</w:t>
      </w:r>
      <w:r>
        <w:rPr>
          <w:rFonts w:ascii="Times New Roman" w:cs="Times New Roman" w:eastAsia="Times New Roman" w:hAnsi="Times New Roman"/>
          <w:sz w:val="20"/>
          <w:szCs w:val="20"/>
          <w:color w:val="auto"/>
        </w:rPr>
        <w:t>” means (i) with respect to any Term Benchmark Borrowing denominated in Dollars, the Term SOFR Reference Rate, (ii) with respect to any Term Benchmark Borrowing denominated in euro, the EURIBO Screen Rate, (iii) with respect to any Term Benchmark Borrowing denominated in Japanese Yen, the TIBO Screen Rate or (iv) with respect to any Term Benchmark Borrowing denominated in Canadian Dollars, Term CORRA, as applicable.</w:t>
      </w:r>
    </w:p>
    <w:p>
      <w:pPr>
        <w:spacing w:after="0" w:line="6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Replacement Lender</w:t>
      </w:r>
      <w:r>
        <w:rPr>
          <w:rFonts w:ascii="Times New Roman" w:cs="Times New Roman" w:eastAsia="Times New Roman" w:hAnsi="Times New Roman"/>
          <w:sz w:val="20"/>
          <w:szCs w:val="20"/>
          <w:color w:val="auto"/>
        </w:rPr>
        <w:t>” has the meaning assigned to such term in Section 2.22(c).</w:t>
      </w:r>
    </w:p>
    <w:p>
      <w:pPr>
        <w:spacing w:after="0" w:line="121"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Required Lenders</w:t>
      </w:r>
      <w:r>
        <w:rPr>
          <w:rFonts w:ascii="Times New Roman" w:cs="Times New Roman" w:eastAsia="Times New Roman" w:hAnsi="Times New Roman"/>
          <w:sz w:val="20"/>
          <w:szCs w:val="20"/>
          <w:color w:val="auto"/>
        </w:rPr>
        <w:t>” means, subject to Section 2.25, at any time, Lenders having Revolving Credit Exposures and unused Commitments representing more than 50% of the sum of the Total Revolving Credit Exposure and unused Commitments at such time.</w:t>
      </w:r>
    </w:p>
    <w:p>
      <w:pPr>
        <w:spacing w:after="0" w:line="65" w:lineRule="exact"/>
        <w:rPr>
          <w:sz w:val="20"/>
          <w:szCs w:val="20"/>
          <w:color w:val="auto"/>
        </w:rPr>
      </w:pPr>
    </w:p>
    <w:p>
      <w:pPr>
        <w:jc w:val="both"/>
        <w:ind w:right="20"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Resolution Authority</w:t>
      </w:r>
      <w:r>
        <w:rPr>
          <w:rFonts w:ascii="Times New Roman" w:cs="Times New Roman" w:eastAsia="Times New Roman" w:hAnsi="Times New Roman"/>
          <w:sz w:val="20"/>
          <w:szCs w:val="20"/>
          <w:color w:val="auto"/>
        </w:rPr>
        <w:t>” means an EEA Resolution Authority or, with respect to any UK Financial Institution, a UK Resolution Authority.</w:t>
      </w:r>
    </w:p>
    <w:p>
      <w:pPr>
        <w:spacing w:after="0" w:line="3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Response Date</w:t>
      </w:r>
      <w:r>
        <w:rPr>
          <w:rFonts w:ascii="Times New Roman" w:cs="Times New Roman" w:eastAsia="Times New Roman" w:hAnsi="Times New Roman"/>
          <w:sz w:val="20"/>
          <w:szCs w:val="20"/>
          <w:color w:val="auto"/>
        </w:rPr>
        <w:t>” has the meaning assigned to such term in Section 2.22(a).</w:t>
      </w:r>
    </w:p>
    <w:p>
      <w:pPr>
        <w:spacing w:after="0" w:line="121" w:lineRule="exact"/>
        <w:rPr>
          <w:sz w:val="20"/>
          <w:szCs w:val="20"/>
          <w:color w:val="auto"/>
        </w:rPr>
      </w:pPr>
    </w:p>
    <w:p>
      <w:pPr>
        <w:jc w:val="both"/>
        <w:ind w:right="20"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Restatement Effective Date</w:t>
      </w:r>
      <w:r>
        <w:rPr>
          <w:rFonts w:ascii="Times New Roman" w:cs="Times New Roman" w:eastAsia="Times New Roman" w:hAnsi="Times New Roman"/>
          <w:sz w:val="20"/>
          <w:szCs w:val="20"/>
          <w:color w:val="auto"/>
        </w:rPr>
        <w:t>” means the date on which the conditions specified in Section 4.01 are satisfied (or waived in accordance with Section 9.02).</w:t>
      </w:r>
    </w:p>
    <w:p>
      <w:pPr>
        <w:spacing w:after="0" w:line="6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Restricted Payment</w:t>
      </w:r>
      <w:r>
        <w:rPr>
          <w:rFonts w:ascii="Times New Roman" w:cs="Times New Roman" w:eastAsia="Times New Roman" w:hAnsi="Times New Roman"/>
          <w:sz w:val="20"/>
          <w:szCs w:val="20"/>
          <w:color w:val="auto"/>
        </w:rPr>
        <w:t>” means any dividend or other distribution (whether in cash, securities or other property) with respect to any Equity Interests in the Company or any Subsidiary, or any payment (whether in cash, securities or other property), including any sinking fund or similar deposit, on account of the purchase, redemption, retirement, acquisition, cancellation or termination of any such Equity Interests in the Company or any Subsidiary or any option, warrant or other right to acquire any such Equity Interests in the Company or any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ectPr>
          <w:pgSz w:w="11900" w:h="16838" w:orient="portrait"/>
          <w:cols w:equalWidth="0" w:num="1">
            <w:col w:w="11240"/>
          </w:cols>
          <w:pgMar w:left="320" w:top="1413" w:right="339" w:bottom="1440" w:gutter="0" w:footer="0" w:header="0"/>
        </w:sectPr>
      </w:pPr>
    </w:p>
    <w:bookmarkStart w:id="45" w:name="page46"/>
    <w:bookmarkEnd w:id="45"/>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Reuters</w:t>
      </w:r>
      <w:r>
        <w:rPr>
          <w:rFonts w:ascii="Times New Roman" w:cs="Times New Roman" w:eastAsia="Times New Roman" w:hAnsi="Times New Roman"/>
          <w:sz w:val="20"/>
          <w:szCs w:val="20"/>
          <w:color w:val="auto"/>
        </w:rPr>
        <w:t>” means, as applicable, Thomson Reuters Corp., Refinitiv, or any successor thereto.</w:t>
      </w:r>
    </w:p>
    <w:p>
      <w:pPr>
        <w:spacing w:after="0" w:line="121" w:lineRule="exact"/>
        <w:rPr>
          <w:sz w:val="20"/>
          <w:szCs w:val="20"/>
          <w:color w:val="auto"/>
        </w:rPr>
      </w:pPr>
    </w:p>
    <w:p>
      <w:pPr>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Credit Exposure</w:t>
      </w:r>
      <w:r>
        <w:rPr>
          <w:rFonts w:ascii="Times New Roman" w:cs="Times New Roman" w:eastAsia="Times New Roman" w:hAnsi="Times New Roman"/>
          <w:sz w:val="20"/>
          <w:szCs w:val="20"/>
          <w:color w:val="auto"/>
        </w:rPr>
        <w:t>” means, with respect to any Lender at any time, the sum of the outstanding principal amount of such Lender’s Revolving Loans and its LC Exposure at such time.</w:t>
      </w:r>
    </w:p>
    <w:p>
      <w:pPr>
        <w:spacing w:after="0" w:line="6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Loan</w:t>
      </w:r>
      <w:r>
        <w:rPr>
          <w:rFonts w:ascii="Times New Roman" w:cs="Times New Roman" w:eastAsia="Times New Roman" w:hAnsi="Times New Roman"/>
          <w:sz w:val="20"/>
          <w:szCs w:val="20"/>
          <w:color w:val="auto"/>
        </w:rPr>
        <w:t>” means a Loan made pursuant to Section 2.01.</w:t>
      </w:r>
    </w:p>
    <w:p>
      <w:pPr>
        <w:spacing w:after="0" w:line="108" w:lineRule="exact"/>
        <w:rPr>
          <w:sz w:val="20"/>
          <w:szCs w:val="20"/>
          <w:color w:val="auto"/>
        </w:rPr>
      </w:pPr>
    </w:p>
    <w:p>
      <w:pPr>
        <w:ind w:firstLine="1296"/>
        <w:spacing w:after="0" w:line="27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RFR</w:t>
      </w:r>
      <w:r>
        <w:rPr>
          <w:rFonts w:ascii="Times New Roman" w:cs="Times New Roman" w:eastAsia="Times New Roman" w:hAnsi="Times New Roman"/>
          <w:sz w:val="19"/>
          <w:szCs w:val="19"/>
          <w:color w:val="auto"/>
        </w:rPr>
        <w:t>” means, for any RFR Loan denominated in (a) Pounds Sterling, SONIA, (b) Swiss Francs, SARON, (c) Dollars (solely following a Benchmark Transition Event and a Benchmark Replacement Date with respect to the Term SOFR Rate), Daily Simple SOFR and</w:t>
      </w:r>
    </w:p>
    <w:p>
      <w:pPr>
        <w:spacing w:after="0" w:line="1" w:lineRule="exact"/>
        <w:rPr>
          <w:sz w:val="20"/>
          <w:szCs w:val="20"/>
          <w:color w:val="auto"/>
        </w:rPr>
      </w:pPr>
    </w:p>
    <w:p>
      <w:pPr>
        <w:jc w:val="both"/>
        <w:ind w:firstLine="8"/>
        <w:spacing w:after="0" w:line="253" w:lineRule="auto"/>
        <w:tabs>
          <w:tab w:leader="none" w:pos="293"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Canadian Dollars (solely following a Benchmark Transition Event and a Benchmark Replacement Date with respect to Term CORRA), Daily Simple CORRA, and when used in reference to any Loan or Borrowing, means that such Loan, or the Loans comprising such Borrowing, bears interest at a rate determined by reference to the applicable Adjusted Daily Simple RFR.</w:t>
      </w:r>
    </w:p>
    <w:p>
      <w:pPr>
        <w:spacing w:after="0" w:line="6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RFR Borrowing</w:t>
      </w:r>
      <w:r>
        <w:rPr>
          <w:rFonts w:ascii="Times New Roman" w:cs="Times New Roman" w:eastAsia="Times New Roman" w:hAnsi="Times New Roman"/>
          <w:sz w:val="20"/>
          <w:szCs w:val="20"/>
          <w:color w:val="auto"/>
        </w:rPr>
        <w:t>” means, as to any Borrowing, the RFR Loans comprising such Borrowing.</w:t>
      </w:r>
    </w:p>
    <w:p>
      <w:pPr>
        <w:spacing w:after="0" w:line="121"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RFR Business Day</w:t>
      </w:r>
      <w:r>
        <w:rPr>
          <w:rFonts w:ascii="Times New Roman" w:cs="Times New Roman" w:eastAsia="Times New Roman" w:hAnsi="Times New Roman"/>
          <w:sz w:val="20"/>
          <w:szCs w:val="20"/>
          <w:color w:val="auto"/>
        </w:rPr>
        <w:t>” means, for any Loan denominated in (a) Pounds Sterling, any day except for (i) a Saturday, (ii) a Sunday or (iii) a day on which banks are closed for general business in London, (b) Swiss Francs, any day except for (i) a Saturday, (ii) a Sunday or (iii) a day on which banks are closed for the settlement of payments and foreign exchange transactions in Zurich, (c) Dollars, a U.S. Government Securities Business Day and (d) Canadian Dollars, any day except for (i) a Saturday, (ii) a Sunday or (iii) a day on which commercial banks in Toronto are authorized or required to remain closed.</w:t>
      </w:r>
    </w:p>
    <w:p>
      <w:pPr>
        <w:spacing w:after="0" w:line="8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RFR Interest Day</w:t>
      </w:r>
      <w:r>
        <w:rPr>
          <w:rFonts w:ascii="Times New Roman" w:cs="Times New Roman" w:eastAsia="Times New Roman" w:hAnsi="Times New Roman"/>
          <w:sz w:val="20"/>
          <w:szCs w:val="20"/>
          <w:color w:val="auto"/>
        </w:rPr>
        <w:t>” has the meaning specified in the definition of “Daily Simple RFR”.</w:t>
      </w:r>
    </w:p>
    <w:p>
      <w:pPr>
        <w:spacing w:after="0" w:line="1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RFR Loan</w:t>
      </w:r>
      <w:r>
        <w:rPr>
          <w:rFonts w:ascii="Times New Roman" w:cs="Times New Roman" w:eastAsia="Times New Roman" w:hAnsi="Times New Roman"/>
          <w:sz w:val="20"/>
          <w:szCs w:val="20"/>
          <w:color w:val="auto"/>
        </w:rPr>
        <w:t>” means a Loan that bears interest at a rate based on the Adjusted Daily Simple RFR.</w:t>
      </w:r>
    </w:p>
    <w:p>
      <w:pPr>
        <w:spacing w:after="0" w:line="10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S&amp;P</w:t>
      </w:r>
      <w:r>
        <w:rPr>
          <w:rFonts w:ascii="Times New Roman" w:cs="Times New Roman" w:eastAsia="Times New Roman" w:hAnsi="Times New Roman"/>
          <w:sz w:val="20"/>
          <w:szCs w:val="20"/>
          <w:color w:val="auto"/>
        </w:rPr>
        <w:t>” means Standard &amp; Poor’s Rating Services, a Standard &amp; Poor’s Financial Services LLC business.</w:t>
      </w:r>
    </w:p>
    <w:p>
      <w:pPr>
        <w:spacing w:after="0" w:line="121" w:lineRule="exact"/>
        <w:rPr>
          <w:sz w:val="20"/>
          <w:szCs w:val="20"/>
          <w:color w:val="auto"/>
        </w:rPr>
      </w:pPr>
    </w:p>
    <w:p>
      <w:pPr>
        <w:jc w:val="both"/>
        <w:ind w:right="20"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Sale and Leaseback Transaction</w:t>
      </w:r>
      <w:r>
        <w:rPr>
          <w:rFonts w:ascii="Times New Roman" w:cs="Times New Roman" w:eastAsia="Times New Roman" w:hAnsi="Times New Roman"/>
          <w:sz w:val="20"/>
          <w:szCs w:val="20"/>
          <w:color w:val="auto"/>
        </w:rPr>
        <w:t>” means any sale or other transfer of any real property by any Person with the intent to lease such real property as lessee which is considered a sale leaseback transaction in accordance with GAAP.</w:t>
      </w:r>
    </w:p>
    <w:p>
      <w:pPr>
        <w:spacing w:after="0" w:line="6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Sanctioned Country</w:t>
      </w:r>
      <w:r>
        <w:rPr>
          <w:rFonts w:ascii="Times New Roman" w:cs="Times New Roman" w:eastAsia="Times New Roman" w:hAnsi="Times New Roman"/>
          <w:sz w:val="20"/>
          <w:szCs w:val="20"/>
          <w:color w:val="auto"/>
        </w:rPr>
        <w:t>” means, at any time, a country, region or territory which is itself the subject or target of any Sanctions (at the time of the Restatement Effective Date, the so-called Donetsk People’s Republic, the so-called Luhansk People’s Republic, the Crimea, Zaporizhzhia and Kherson Regions of Ukraine, Cuba, Iran and North Korea).</w:t>
      </w:r>
    </w:p>
    <w:p>
      <w:pPr>
        <w:spacing w:after="0" w:line="73" w:lineRule="exact"/>
        <w:rPr>
          <w:sz w:val="20"/>
          <w:szCs w:val="20"/>
          <w:color w:val="auto"/>
        </w:rPr>
      </w:pPr>
    </w:p>
    <w:p>
      <w:pPr>
        <w:jc w:val="both"/>
        <w:ind w:firstLine="1296"/>
        <w:spacing w:after="0" w:line="26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Sanctioned Person</w:t>
      </w:r>
      <w:r>
        <w:rPr>
          <w:rFonts w:ascii="Times New Roman" w:cs="Times New Roman" w:eastAsia="Times New Roman" w:hAnsi="Times New Roman"/>
          <w:sz w:val="19"/>
          <w:szCs w:val="19"/>
          <w:color w:val="auto"/>
        </w:rPr>
        <w:t>” means, at any time, any Person subject or target of any Sanctions, including (a) any Person listed in any Sanctions-related list of designated Persons that is published publicly and maintained by the U.S. Government, including by OFAC, the U.S. Department of State, the United Nations Security Council, the EU, His Majesty’s Treasury of the United Kingdom or any other relevant sanctions authority of a jurisdiction in which a Borrower is organized or where there are Borrowings, (b) any Person operating, organized or resident in a Sanctioned Country, (c) any Person owned or controlled by any such Person or Persons described in the foregoing clauses (a) or</w:t>
      </w:r>
    </w:p>
    <w:p>
      <w:pPr>
        <w:spacing w:after="0" w:line="2" w:lineRule="exact"/>
        <w:rPr>
          <w:sz w:val="20"/>
          <w:szCs w:val="20"/>
          <w:color w:val="auto"/>
        </w:rPr>
      </w:pPr>
    </w:p>
    <w:p>
      <w:pPr>
        <w:ind w:firstLine="8"/>
        <w:spacing w:after="0" w:line="253" w:lineRule="auto"/>
        <w:tabs>
          <w:tab w:leader="none" w:pos="289"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(including, without limitation for purposes of defining a Sanctioned Person, as ownership and control may be defined and/or established in and/or by any applicable laws, rules, regulations, or orders).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ectPr>
          <w:pgSz w:w="11900" w:h="16838" w:orient="portrait"/>
          <w:cols w:equalWidth="0" w:num="1">
            <w:col w:w="11240"/>
          </w:cols>
          <w:pgMar w:left="320" w:top="1413" w:right="339" w:bottom="1440" w:gutter="0" w:footer="0" w:header="0"/>
        </w:sectPr>
      </w:pPr>
    </w:p>
    <w:bookmarkStart w:id="46" w:name="page47"/>
    <w:bookmarkEnd w:id="46"/>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Sanctions</w:t>
      </w:r>
      <w:r>
        <w:rPr>
          <w:rFonts w:ascii="Times New Roman" w:cs="Times New Roman" w:eastAsia="Times New Roman" w:hAnsi="Times New Roman"/>
          <w:sz w:val="20"/>
          <w:szCs w:val="20"/>
          <w:color w:val="auto"/>
        </w:rPr>
        <w:t>” means all economic or financial sanctions, trade embargoes or similar restrictions imposed, administered or enforced from time to time by (a) the U.S. government, including those administered by OFAC or the U.S. Department of State or (b) the United Nations Security Council, the EU, His Majesty’s Treasury of the United Kingdom or any other relevant sanctions authority of a jurisdiction in which a Borrower is organized or where there are Borrowings.</w:t>
      </w:r>
    </w:p>
    <w:p>
      <w:pPr>
        <w:spacing w:after="0" w:line="64"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SARON</w:t>
      </w:r>
      <w:r>
        <w:rPr>
          <w:rFonts w:ascii="Times New Roman" w:cs="Times New Roman" w:eastAsia="Times New Roman" w:hAnsi="Times New Roman"/>
          <w:sz w:val="20"/>
          <w:szCs w:val="20"/>
          <w:color w:val="auto"/>
        </w:rPr>
        <w:t>” means, with respect to any Business Day, a rate per annum equal to the Swiss Average Rate Overnight for such Business Day published by the SARON Administrator on the SARON Administrator’s Website.</w:t>
      </w:r>
    </w:p>
    <w:p>
      <w:pPr>
        <w:spacing w:after="0" w:line="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SARON Administrator</w:t>
      </w:r>
      <w:r>
        <w:rPr>
          <w:rFonts w:ascii="Times New Roman" w:cs="Times New Roman" w:eastAsia="Times New Roman" w:hAnsi="Times New Roman"/>
          <w:sz w:val="20"/>
          <w:szCs w:val="20"/>
          <w:color w:val="auto"/>
        </w:rPr>
        <w:t>” means the SIX Swiss Exchange AG (or any successor administrator of the Swiss Average Rate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Overnight).</w:t>
      </w:r>
    </w:p>
    <w:p>
      <w:pPr>
        <w:spacing w:after="0" w:line="99" w:lineRule="exact"/>
        <w:rPr>
          <w:sz w:val="20"/>
          <w:szCs w:val="20"/>
          <w:color w:val="auto"/>
        </w:rPr>
      </w:pPr>
    </w:p>
    <w:p>
      <w:pPr>
        <w:jc w:val="both"/>
        <w:ind w:right="20"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SARON Administrator’s Website</w:t>
      </w:r>
      <w:r>
        <w:rPr>
          <w:rFonts w:ascii="Times New Roman" w:cs="Times New Roman" w:eastAsia="Times New Roman" w:hAnsi="Times New Roman"/>
          <w:sz w:val="20"/>
          <w:szCs w:val="20"/>
          <w:color w:val="auto"/>
        </w:rPr>
        <w:t>” means SIX Swiss Exchange AG’s website, currently at https://www.six-group.com, or any successor source for the Swiss Average Rate Overnight identified as such by the SARON Administrator from time to time.</w:t>
      </w:r>
    </w:p>
    <w:p>
      <w:pPr>
        <w:spacing w:after="0" w:line="6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w:t>
      </w:r>
      <w:r>
        <w:rPr>
          <w:rFonts w:ascii="Times New Roman" w:cs="Times New Roman" w:eastAsia="Times New Roman" w:hAnsi="Times New Roman"/>
          <w:sz w:val="20"/>
          <w:szCs w:val="20"/>
          <w:color w:val="auto"/>
        </w:rPr>
        <w:t>” means the United States Securities and Exchange Commission.</w:t>
      </w:r>
    </w:p>
    <w:p>
      <w:pPr>
        <w:spacing w:after="0" w:line="121"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Significant Subsidiary</w:t>
      </w:r>
      <w:r>
        <w:rPr>
          <w:rFonts w:ascii="Times New Roman" w:cs="Times New Roman" w:eastAsia="Times New Roman" w:hAnsi="Times New Roman"/>
          <w:sz w:val="20"/>
          <w:szCs w:val="20"/>
          <w:color w:val="auto"/>
        </w:rPr>
        <w:t>” means (i) each Foreign Subsidiary Borrower and (ii) each other Subsidiary which, as of the most recent fiscal quarter of the Company, for the period of four consecutive fiscal quarters then ended, for which financial statements have been delivered pursuant to Section 5.01, contributed greater than ten percent (10%) of Consolidated Total Assets as of such date.</w:t>
      </w:r>
    </w:p>
    <w:p>
      <w:pPr>
        <w:spacing w:after="0" w:line="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w:t>
      </w:r>
      <w:r>
        <w:rPr>
          <w:rFonts w:ascii="Times New Roman" w:cs="Times New Roman" w:eastAsia="Times New Roman" w:hAnsi="Times New Roman"/>
          <w:sz w:val="20"/>
          <w:szCs w:val="20"/>
          <w:color w:val="auto"/>
        </w:rPr>
        <w:t>” means a rate equal to the secured overnight financing rate as administered by the SOFR Administrator.</w:t>
      </w:r>
    </w:p>
    <w:p>
      <w:pPr>
        <w:spacing w:after="0" w:line="1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 Administrator</w:t>
      </w:r>
      <w:r>
        <w:rPr>
          <w:rFonts w:ascii="Times New Roman" w:cs="Times New Roman" w:eastAsia="Times New Roman" w:hAnsi="Times New Roman"/>
          <w:sz w:val="20"/>
          <w:szCs w:val="20"/>
          <w:color w:val="auto"/>
        </w:rPr>
        <w:t>” means the NYFRB (or a successor administrator of the secured overnight financing rate).</w:t>
      </w:r>
    </w:p>
    <w:p>
      <w:pPr>
        <w:spacing w:after="0" w:line="121" w:lineRule="exact"/>
        <w:rPr>
          <w:sz w:val="20"/>
          <w:szCs w:val="20"/>
          <w:color w:val="auto"/>
        </w:rPr>
      </w:pPr>
    </w:p>
    <w:p>
      <w:pPr>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 Administrator’s Website</w:t>
      </w:r>
      <w:r>
        <w:rPr>
          <w:rFonts w:ascii="Times New Roman" w:cs="Times New Roman" w:eastAsia="Times New Roman" w:hAnsi="Times New Roman"/>
          <w:sz w:val="20"/>
          <w:szCs w:val="20"/>
          <w:color w:val="auto"/>
        </w:rPr>
        <w:t>” means the NYFRB’s Website, currently at http://www.newyorkfed.org, or any successor source for the secured overnight financing rate identified as such by the SOFR Administrator from time to time.</w:t>
      </w:r>
    </w:p>
    <w:p>
      <w:pPr>
        <w:spacing w:after="0" w:line="6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 Determination Date</w:t>
      </w:r>
      <w:r>
        <w:rPr>
          <w:rFonts w:ascii="Times New Roman" w:cs="Times New Roman" w:eastAsia="Times New Roman" w:hAnsi="Times New Roman"/>
          <w:sz w:val="20"/>
          <w:szCs w:val="20"/>
          <w:color w:val="auto"/>
        </w:rPr>
        <w:t>” has the meaning specified in the definition of “Daily Simple SOFR”.</w:t>
      </w:r>
    </w:p>
    <w:p>
      <w:pPr>
        <w:spacing w:after="0" w:line="10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 Rate Day</w:t>
      </w:r>
      <w:r>
        <w:rPr>
          <w:rFonts w:ascii="Times New Roman" w:cs="Times New Roman" w:eastAsia="Times New Roman" w:hAnsi="Times New Roman"/>
          <w:sz w:val="20"/>
          <w:szCs w:val="20"/>
          <w:color w:val="auto"/>
        </w:rPr>
        <w:t>” has the meaning specified in the definition of “Daily Simple SOFR”.</w:t>
      </w:r>
    </w:p>
    <w:p>
      <w:pPr>
        <w:spacing w:after="0" w:line="121" w:lineRule="exact"/>
        <w:rPr>
          <w:sz w:val="20"/>
          <w:szCs w:val="20"/>
          <w:color w:val="auto"/>
        </w:rPr>
      </w:pPr>
    </w:p>
    <w:p>
      <w:pPr>
        <w:ind w:firstLine="1296"/>
        <w:spacing w:after="0" w:line="29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SONIA</w:t>
      </w:r>
      <w:r>
        <w:rPr>
          <w:rFonts w:ascii="Times New Roman" w:cs="Times New Roman" w:eastAsia="Times New Roman" w:hAnsi="Times New Roman"/>
          <w:sz w:val="19"/>
          <w:szCs w:val="19"/>
          <w:color w:val="auto"/>
        </w:rPr>
        <w:t>” means, with respect to any Business Day, a rate per annum equal to the Sterling Overnight Index Average for such Business Day published by the SONIA Administrator on the SONIA Administrator’s Website on the immediately succeeding Business Day.</w:t>
      </w:r>
    </w:p>
    <w:p>
      <w:pPr>
        <w:spacing w:after="0" w:line="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SONIA Administrator</w:t>
      </w:r>
      <w:r>
        <w:rPr>
          <w:rFonts w:ascii="Times New Roman" w:cs="Times New Roman" w:eastAsia="Times New Roman" w:hAnsi="Times New Roman"/>
          <w:sz w:val="20"/>
          <w:szCs w:val="20"/>
          <w:color w:val="auto"/>
        </w:rPr>
        <w:t>” means the Bank of England (or any successor administrator of the Sterling Overnight Index</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Average).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ectPr>
          <w:pgSz w:w="11900" w:h="16838" w:orient="portrait"/>
          <w:cols w:equalWidth="0" w:num="1">
            <w:col w:w="11240"/>
          </w:cols>
          <w:pgMar w:left="320" w:top="1413" w:right="339" w:bottom="1440" w:gutter="0" w:footer="0" w:header="0"/>
        </w:sectPr>
      </w:pPr>
    </w:p>
    <w:bookmarkStart w:id="47" w:name="page48"/>
    <w:bookmarkEnd w:id="47"/>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SONIA Administrator’s Website</w:t>
      </w:r>
      <w:r>
        <w:rPr>
          <w:rFonts w:ascii="Times New Roman" w:cs="Times New Roman" w:eastAsia="Times New Roman" w:hAnsi="Times New Roman"/>
          <w:sz w:val="20"/>
          <w:szCs w:val="20"/>
          <w:color w:val="auto"/>
        </w:rPr>
        <w:t>” means the Bank of England’s website, currently at http://www.bankofengland.co.uk, or any successor source for the Sterling Overnight Index Average identified as such by the SONIA Administrator from time to time.</w:t>
      </w:r>
    </w:p>
    <w:p>
      <w:pPr>
        <w:spacing w:after="0" w:line="38"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Specified Debt Financing</w:t>
      </w:r>
      <w:r>
        <w:rPr>
          <w:rFonts w:ascii="Times New Roman" w:cs="Times New Roman" w:eastAsia="Times New Roman" w:hAnsi="Times New Roman"/>
          <w:sz w:val="20"/>
          <w:szCs w:val="20"/>
          <w:color w:val="auto"/>
        </w:rPr>
        <w:t>” means each of (x) each series of the Company’s private placement notes outstanding as of the Restatement Effective Date, (y) any other series of private placement notes of the Company or any of its Subsidiaries that has the benefit of a leverage-based financial covenant or (z) any other Indebtedness for borrowed money, or committed facility in respect thereof, of the Company or any of its Subsidiaries that has the benefit of a leverage-based financial covenant, except, in each case, as applicable, any such series of private placement notes or other Indebtedness, or committed facility in respect thereof, that ceases to have the benefit of a leverage-based financial covenant simultaneously with this Agreement on the Financial Covenant Transition Date.</w:t>
      </w:r>
    </w:p>
    <w:p>
      <w:pPr>
        <w:spacing w:after="0" w:line="84"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Statutory Reserve Rate</w:t>
      </w:r>
      <w:r>
        <w:rPr>
          <w:rFonts w:ascii="Times New Roman" w:cs="Times New Roman" w:eastAsia="Times New Roman" w:hAnsi="Times New Roman"/>
          <w:sz w:val="20"/>
          <w:szCs w:val="20"/>
          <w:color w:val="auto"/>
        </w:rPr>
        <w:t>” means a fraction (expressed as a decimal), the numerator of which is the number one and the denominator of which is the number one minus the aggregate of the maximum reserve percentage (including any marginal, special, emergency or supplemental reserves) expressed as a decimal established by the Board to which the Administrative Agent is subject with respect to the Adjusted EURIBO Rate or the Adjusted TIBO Rate, as applicable, for eurocurrency funding (currently referred to as “Eurocurrency liabilities” in Regulation D of the Board) or any other reserve ratio or analogous requirement of any central banking or financial regulatory authority imposed in respect of the maintenance of the Commitments or the funding of the Loans. Such reserve percentage shall include those imposed pursuant to Regulation D of the Board. Term Benchmark Loans for which the associated Benchmark is adjusted by reference to the Statutory Reserve Rate (per the related definition of such Benchmark) shall be deemed to constitute eurocurrency funding and to be subject to such reserve requirements without benefit of or credit for proration, exemptions or offsets that may be available from time to time to any Lender under Regulation D of the Board or any comparable regulation. The Statutory Reserve Rate shall be adjusted automatically on and as of the effective date of any change in any reserve percentage.</w:t>
      </w:r>
    </w:p>
    <w:p>
      <w:pPr>
        <w:spacing w:after="0" w:line="78" w:lineRule="exact"/>
        <w:rPr>
          <w:sz w:val="20"/>
          <w:szCs w:val="20"/>
          <w:color w:val="auto"/>
        </w:rPr>
      </w:pPr>
    </w:p>
    <w:p>
      <w:pPr>
        <w:jc w:val="both"/>
        <w:ind w:right="20"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Subordinated Indebtedness</w:t>
      </w:r>
      <w:r>
        <w:rPr>
          <w:rFonts w:ascii="Times New Roman" w:cs="Times New Roman" w:eastAsia="Times New Roman" w:hAnsi="Times New Roman"/>
          <w:sz w:val="20"/>
          <w:szCs w:val="20"/>
          <w:color w:val="auto"/>
        </w:rPr>
        <w:t>” means any Indebtedness of the Company or any Subsidiary the payment of which is subordinated to payment of the obligations under the Loan Documents.</w:t>
      </w:r>
    </w:p>
    <w:p>
      <w:pPr>
        <w:spacing w:after="0" w:line="38"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subsidiary</w:t>
      </w:r>
      <w:r>
        <w:rPr>
          <w:rFonts w:ascii="Times New Roman" w:cs="Times New Roman" w:eastAsia="Times New Roman" w:hAnsi="Times New Roman"/>
          <w:sz w:val="20"/>
          <w:szCs w:val="20"/>
          <w:color w:val="auto"/>
        </w:rPr>
        <w:t>” means, with respect to any Person (the “</w:t>
      </w:r>
      <w:r>
        <w:rPr>
          <w:rFonts w:ascii="Times New Roman" w:cs="Times New Roman" w:eastAsia="Times New Roman" w:hAnsi="Times New Roman"/>
          <w:sz w:val="20"/>
          <w:szCs w:val="20"/>
          <w:u w:val="single" w:color="auto"/>
          <w:color w:val="auto"/>
        </w:rPr>
        <w:t>parent</w:t>
      </w:r>
      <w:r>
        <w:rPr>
          <w:rFonts w:ascii="Times New Roman" w:cs="Times New Roman" w:eastAsia="Times New Roman" w:hAnsi="Times New Roman"/>
          <w:sz w:val="20"/>
          <w:szCs w:val="20"/>
          <w:color w:val="auto"/>
        </w:rPr>
        <w: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 as well as any other corporation, limited liability company, partnership, association or other entity (a) of which securities or other ownership interests representing more than 50% of the equity or more than 50% of the ordinary voting power or, in the case of a partnership, more than 50% of the general partnership interests are, as of such date, owned, Controlled or held, or (b) that is, as of such date, otherwise Controlled, by the parent or one or more subsidiaries of the parent or by the parent and one or more subsidiaries of the parent.</w:t>
      </w:r>
    </w:p>
    <w:p>
      <w:pPr>
        <w:spacing w:after="0" w:line="8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Subsidiary</w:t>
      </w:r>
      <w:r>
        <w:rPr>
          <w:rFonts w:ascii="Times New Roman" w:cs="Times New Roman" w:eastAsia="Times New Roman" w:hAnsi="Times New Roman"/>
          <w:sz w:val="20"/>
          <w:szCs w:val="20"/>
          <w:color w:val="auto"/>
        </w:rPr>
        <w:t>” means any subsidiary of the Company.</w:t>
      </w:r>
    </w:p>
    <w:p>
      <w:pPr>
        <w:spacing w:after="0" w:line="10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Supported QFC</w:t>
      </w:r>
      <w:r>
        <w:rPr>
          <w:rFonts w:ascii="Times New Roman" w:cs="Times New Roman" w:eastAsia="Times New Roman" w:hAnsi="Times New Roman"/>
          <w:sz w:val="20"/>
          <w:szCs w:val="20"/>
          <w:color w:val="auto"/>
        </w:rPr>
        <w:t>” has the meaning assigned to it in Section 9.19.</w:t>
      </w:r>
    </w:p>
    <w:p>
      <w:pPr>
        <w:spacing w:after="0" w:line="121"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Swap Agreement</w:t>
      </w:r>
      <w:r>
        <w:rPr>
          <w:rFonts w:ascii="Times New Roman" w:cs="Times New Roman" w:eastAsia="Times New Roman" w:hAnsi="Times New Roman"/>
          <w:sz w:val="20"/>
          <w:szCs w:val="20"/>
          <w:color w:val="auto"/>
        </w:rPr>
        <w:t xml:space="preserve">” means any agreement with respect to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phantom stock or similar plan providing for payments only on account of services provided by current or former directors, officers, employees or consultants of the Company or the Subsidiaries shall be a Swap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ectPr>
          <w:pgSz w:w="11900" w:h="16838" w:orient="portrait"/>
          <w:cols w:equalWidth="0" w:num="1">
            <w:col w:w="11240"/>
          </w:cols>
          <w:pgMar w:left="320" w:top="1413" w:right="339" w:bottom="1440" w:gutter="0" w:footer="0" w:header="0"/>
        </w:sectPr>
      </w:pPr>
    </w:p>
    <w:bookmarkStart w:id="48" w:name="page49"/>
    <w:bookmarkEnd w:id="48"/>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Swiss Francs</w:t>
      </w:r>
      <w:r>
        <w:rPr>
          <w:rFonts w:ascii="Times New Roman" w:cs="Times New Roman" w:eastAsia="Times New Roman" w:hAnsi="Times New Roman"/>
          <w:sz w:val="20"/>
          <w:szCs w:val="20"/>
          <w:color w:val="auto"/>
        </w:rPr>
        <w:t>” means the lawful currency of Switzerland.</w:t>
      </w:r>
    </w:p>
    <w:p>
      <w:pPr>
        <w:spacing w:after="0" w:line="1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T2</w:t>
      </w:r>
      <w:r>
        <w:rPr>
          <w:rFonts w:ascii="Times New Roman" w:cs="Times New Roman" w:eastAsia="Times New Roman" w:hAnsi="Times New Roman"/>
          <w:sz w:val="20"/>
          <w:szCs w:val="20"/>
          <w:color w:val="auto"/>
        </w:rPr>
        <w:t>” means the real time gross settlement system operated by the Eurosystem, or any successor system.</w:t>
      </w:r>
    </w:p>
    <w:p>
      <w:pPr>
        <w:spacing w:after="0" w:line="108" w:lineRule="exact"/>
        <w:rPr>
          <w:sz w:val="20"/>
          <w:szCs w:val="20"/>
          <w:color w:val="auto"/>
        </w:rPr>
      </w:pPr>
    </w:p>
    <w:p>
      <w:pPr>
        <w:ind w:firstLine="1296"/>
        <w:spacing w:after="0" w:line="31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TARGET Day</w:t>
      </w:r>
      <w:r>
        <w:rPr>
          <w:rFonts w:ascii="Times New Roman" w:cs="Times New Roman" w:eastAsia="Times New Roman" w:hAnsi="Times New Roman"/>
          <w:sz w:val="19"/>
          <w:szCs w:val="19"/>
          <w:color w:val="auto"/>
        </w:rPr>
        <w:t>” means any day on which T2 (or, if such payment system ceases to be operative, such other payment system, if any, reasonably determined by the Administrative Agent to be a suitable replacement) is open for the settlement of payments in euro.</w:t>
      </w:r>
    </w:p>
    <w:p>
      <w:pPr>
        <w:spacing w:after="0" w:line="1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Tax Act</w:t>
      </w:r>
      <w:r>
        <w:rPr>
          <w:rFonts w:ascii="Times New Roman" w:cs="Times New Roman" w:eastAsia="Times New Roman" w:hAnsi="Times New Roman"/>
          <w:sz w:val="20"/>
          <w:szCs w:val="20"/>
          <w:color w:val="auto"/>
        </w:rPr>
        <w:t xml:space="preserve">” means the </w:t>
      </w:r>
      <w:r>
        <w:rPr>
          <w:rFonts w:ascii="Times New Roman" w:cs="Times New Roman" w:eastAsia="Times New Roman" w:hAnsi="Times New Roman"/>
          <w:sz w:val="20"/>
          <w:szCs w:val="20"/>
          <w:i w:val="1"/>
          <w:iCs w:val="1"/>
          <w:color w:val="auto"/>
        </w:rPr>
        <w:t>Income Tax Act</w:t>
      </w:r>
      <w:r>
        <w:rPr>
          <w:rFonts w:ascii="Times New Roman" w:cs="Times New Roman" w:eastAsia="Times New Roman" w:hAnsi="Times New Roman"/>
          <w:sz w:val="20"/>
          <w:szCs w:val="20"/>
          <w:color w:val="auto"/>
        </w:rPr>
        <w:t xml:space="preserve"> (Canada).</w:t>
      </w:r>
    </w:p>
    <w:p>
      <w:pPr>
        <w:spacing w:after="0" w:line="125" w:lineRule="exact"/>
        <w:rPr>
          <w:sz w:val="20"/>
          <w:szCs w:val="20"/>
          <w:color w:val="auto"/>
        </w:rPr>
      </w:pPr>
    </w:p>
    <w:p>
      <w:pPr>
        <w:ind w:right="20"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Tax Confirmation</w:t>
      </w:r>
      <w:r>
        <w:rPr>
          <w:rFonts w:ascii="Times New Roman" w:cs="Times New Roman" w:eastAsia="Times New Roman" w:hAnsi="Times New Roman"/>
          <w:sz w:val="20"/>
          <w:szCs w:val="20"/>
          <w:color w:val="auto"/>
        </w:rPr>
        <w:t>” means a confirmation by a Lender that the person beneficially entitled to interest payable to that Lender in respect of an advance under a Loan Document is either:</w:t>
      </w:r>
    </w:p>
    <w:p>
      <w:pPr>
        <w:spacing w:after="0" w:line="38" w:lineRule="exact"/>
        <w:rPr>
          <w:sz w:val="20"/>
          <w:szCs w:val="20"/>
          <w:color w:val="auto"/>
        </w:rPr>
      </w:pPr>
    </w:p>
    <w:p>
      <w:pPr>
        <w:ind w:left="1720" w:hanging="416"/>
        <w:spacing w:after="0"/>
        <w:tabs>
          <w:tab w:leader="none" w:pos="17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company resident in the United Kingdom for United Kingdom tax purposes; or</w:t>
      </w:r>
    </w:p>
    <w:p>
      <w:pPr>
        <w:spacing w:after="0" w:line="121"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partnership each member of which is:</w:t>
      </w:r>
    </w:p>
    <w:p>
      <w:pPr>
        <w:spacing w:after="0" w:line="107" w:lineRule="exact"/>
        <w:rPr>
          <w:rFonts w:ascii="Times New Roman" w:cs="Times New Roman" w:eastAsia="Times New Roman" w:hAnsi="Times New Roman"/>
          <w:sz w:val="20"/>
          <w:szCs w:val="20"/>
          <w:color w:val="auto"/>
        </w:rPr>
      </w:pPr>
    </w:p>
    <w:p>
      <w:pPr>
        <w:ind w:left="2380" w:hanging="428"/>
        <w:spacing w:after="0"/>
        <w:tabs>
          <w:tab w:leader="none" w:pos="2380" w:val="left"/>
        </w:tabs>
        <w:numPr>
          <w:ilvl w:val="1"/>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company resident in the United Kingdom; or</w:t>
      </w:r>
    </w:p>
    <w:p>
      <w:pPr>
        <w:spacing w:after="0" w:line="121" w:lineRule="exact"/>
        <w:rPr>
          <w:rFonts w:ascii="Times New Roman" w:cs="Times New Roman" w:eastAsia="Times New Roman" w:hAnsi="Times New Roman"/>
          <w:sz w:val="20"/>
          <w:szCs w:val="20"/>
          <w:color w:val="auto"/>
        </w:rPr>
      </w:pPr>
    </w:p>
    <w:p>
      <w:pPr>
        <w:jc w:val="both"/>
        <w:ind w:left="1300" w:firstLine="652"/>
        <w:spacing w:after="0" w:line="258" w:lineRule="auto"/>
        <w:tabs>
          <w:tab w:leader="none" w:pos="2426" w:val="left"/>
        </w:tabs>
        <w:numPr>
          <w:ilvl w:val="1"/>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company not so resident in the United Kingdom which carries on a trade in the United Kingdom through a permanent establishment and which brings into account in computing its chargeable profits (for the purposes of section 19 of the CTA) the whole of any share of interest payable in respect of that advance that falls to it by reason of Part 17 of the CTA; or</w:t>
      </w:r>
    </w:p>
    <w:p>
      <w:pPr>
        <w:spacing w:after="0" w:line="64" w:lineRule="exact"/>
        <w:rPr>
          <w:rFonts w:ascii="Times New Roman" w:cs="Times New Roman" w:eastAsia="Times New Roman" w:hAnsi="Times New Roman"/>
          <w:sz w:val="20"/>
          <w:szCs w:val="20"/>
          <w:color w:val="auto"/>
        </w:rPr>
      </w:pPr>
    </w:p>
    <w:p>
      <w:pPr>
        <w:jc w:val="both"/>
        <w:ind w:left="660" w:firstLine="644"/>
        <w:spacing w:after="0" w:line="268" w:lineRule="auto"/>
        <w:tabs>
          <w:tab w:leader="none" w:pos="1737"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company not so resident in the United Kingdom which carries on a trade in the United Kingdom through a permanent establishment and which brings into account interest payable in respect of that advance in computing its chargeable profits (within the meaning given by section 19 of the CTA).</w:t>
      </w:r>
    </w:p>
    <w:p>
      <w:pPr>
        <w:spacing w:after="0" w:line="5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Tax Credit</w:t>
      </w:r>
      <w:r>
        <w:rPr>
          <w:rFonts w:ascii="Times New Roman" w:cs="Times New Roman" w:eastAsia="Times New Roman" w:hAnsi="Times New Roman"/>
          <w:sz w:val="20"/>
          <w:szCs w:val="20"/>
          <w:color w:val="auto"/>
        </w:rPr>
        <w:t>” means a credit against, relief of remission for or repayment of any UK Tax.</w:t>
      </w:r>
    </w:p>
    <w:p>
      <w:pPr>
        <w:spacing w:after="0" w:line="1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Tax Deduction</w:t>
      </w:r>
      <w:r>
        <w:rPr>
          <w:rFonts w:ascii="Times New Roman" w:cs="Times New Roman" w:eastAsia="Times New Roman" w:hAnsi="Times New Roman"/>
          <w:sz w:val="19"/>
          <w:szCs w:val="19"/>
          <w:color w:val="auto"/>
        </w:rPr>
        <w:t>” means a deduction or withholding for or on account of UK Tax from a payment under any Loan Document.</w:t>
      </w:r>
    </w:p>
    <w:p>
      <w:pPr>
        <w:spacing w:after="0" w:line="119"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Tax Payment</w:t>
      </w:r>
      <w:r>
        <w:rPr>
          <w:rFonts w:ascii="Times New Roman" w:cs="Times New Roman" w:eastAsia="Times New Roman" w:hAnsi="Times New Roman"/>
          <w:sz w:val="20"/>
          <w:szCs w:val="20"/>
          <w:color w:val="auto"/>
        </w:rPr>
        <w:t>” means either an increased payment made by a Borrower to a Lender under Section 2.18(d) or a payment under Section 2.18(k).</w:t>
      </w:r>
    </w:p>
    <w:p>
      <w:pPr>
        <w:spacing w:after="0" w:line="38"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Taxes</w:t>
      </w:r>
      <w:r>
        <w:rPr>
          <w:rFonts w:ascii="Times New Roman" w:cs="Times New Roman" w:eastAsia="Times New Roman" w:hAnsi="Times New Roman"/>
          <w:sz w:val="20"/>
          <w:szCs w:val="20"/>
          <w:color w:val="auto"/>
        </w:rPr>
        <w:t>” means any present or future taxes, levies, imposts, duties, deductions, withholdings (including backup withholding), value added taxes, or any other goods and services, use or sales taxes, assessments, fees or other charges imposed by any Governmental Authority, including any interest, additions to tax or penalties applicable thereto, but excluding UK Tax.</w:t>
      </w:r>
    </w:p>
    <w:p>
      <w:pPr>
        <w:spacing w:after="0" w:line="5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Benchmark</w:t>
      </w:r>
      <w:r>
        <w:rPr>
          <w:rFonts w:ascii="Times New Roman" w:cs="Times New Roman" w:eastAsia="Times New Roman" w:hAnsi="Times New Roman"/>
          <w:sz w:val="20"/>
          <w:szCs w:val="20"/>
          <w:color w:val="auto"/>
        </w:rPr>
        <w:t>”, when used in reference to any Loan or Borrowing, means that such Loan, or the Loans comprising such Borrowing, bears interest at a rate determined by reference to the Adjusted Term SOFR Rate, the Adjusted EURIBO Rate, the Adjusted TIBO Rate or the Adjusted Term CORRA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ectPr>
          <w:pgSz w:w="11900" w:h="16838" w:orient="portrait"/>
          <w:cols w:equalWidth="0" w:num="1">
            <w:col w:w="11240"/>
          </w:cols>
          <w:pgMar w:left="320" w:top="1413" w:right="339" w:bottom="1440" w:gutter="0" w:footer="0" w:header="0"/>
        </w:sectPr>
      </w:pPr>
    </w:p>
    <w:bookmarkStart w:id="49" w:name="page50"/>
    <w:bookmarkEnd w:id="49"/>
    <w:p>
      <w:pPr>
        <w:jc w:val="both"/>
        <w:ind w:firstLine="1296"/>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CORRA</w:t>
      </w:r>
      <w:r>
        <w:rPr>
          <w:rFonts w:ascii="Times New Roman" w:cs="Times New Roman" w:eastAsia="Times New Roman" w:hAnsi="Times New Roman"/>
          <w:sz w:val="20"/>
          <w:szCs w:val="20"/>
          <w:color w:val="auto"/>
        </w:rPr>
        <w:t>” means, for any calculation with respect to any Term Benchmark Borrowing denominated in Canadian Dollars, the Term CORRA Reference Rate for a tenor comparable to the applicable Interest Period on the day (such day, the “</w:t>
      </w:r>
      <w:r>
        <w:rPr>
          <w:rFonts w:ascii="Times New Roman" w:cs="Times New Roman" w:eastAsia="Times New Roman" w:hAnsi="Times New Roman"/>
          <w:sz w:val="20"/>
          <w:szCs w:val="20"/>
          <w:u w:val="single" w:color="auto"/>
          <w:color w:val="auto"/>
        </w:rPr>
        <w:t>Periodic Term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CORRA Determination Day</w:t>
      </w:r>
      <w:r>
        <w:rPr>
          <w:rFonts w:ascii="Times New Roman" w:cs="Times New Roman" w:eastAsia="Times New Roman" w:hAnsi="Times New Roman"/>
          <w:sz w:val="20"/>
          <w:szCs w:val="20"/>
          <w:color w:val="auto"/>
        </w:rPr>
        <w:t xml:space="preserve">”) that is two (2) Business Days prior to the first day of such Interest Period, as such rate is published by the Term CORRA Administrator;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if as of 1:00 p.m. (Toronto time) on any Periodic Term CORRA Determination Day the Term CORRA Reference Rate for the applicable tenor has not been published by the Term CORRA Administrator and a Benchmark Replacement Date with respect to the Term CORRA Reference Rate has not occurred, then Term CORRA will be the Term CORRA Reference Rate for such tenor as published by the Term CORRA Administrator on the first preceding Business Day for which such Term CORRA Reference Rate for such tenor was published by the Term CORRA Administrator so long as such first preceding Business Day is not more than five (5) Business Days prior to such Periodic Term CORRA Determination Day.</w:t>
      </w:r>
    </w:p>
    <w:p>
      <w:pPr>
        <w:spacing w:after="0" w:line="6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CORRA Administrator</w:t>
      </w:r>
      <w:r>
        <w:rPr>
          <w:rFonts w:ascii="Times New Roman" w:cs="Times New Roman" w:eastAsia="Times New Roman" w:hAnsi="Times New Roman"/>
          <w:sz w:val="20"/>
          <w:szCs w:val="20"/>
          <w:color w:val="auto"/>
        </w:rPr>
        <w:t>” means Candeal Benchmark Administration Services Inc., TSX Inc., or any successor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administrator.</w:t>
      </w:r>
    </w:p>
    <w:p>
      <w:pPr>
        <w:spacing w:after="0" w:line="106"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CORRA Notice</w:t>
      </w:r>
      <w:r>
        <w:rPr>
          <w:rFonts w:ascii="Times New Roman" w:cs="Times New Roman" w:eastAsia="Times New Roman" w:hAnsi="Times New Roman"/>
          <w:sz w:val="20"/>
          <w:szCs w:val="20"/>
          <w:color w:val="auto"/>
        </w:rPr>
        <w:t>” means a notification by the Administrative Agent to the Lenders and the Company, in consultation with the Company, of the occurrence of a Term CORRA Reelection Event.</w:t>
      </w:r>
    </w:p>
    <w:p>
      <w:pPr>
        <w:spacing w:after="0" w:line="6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CORRA Reelection Event</w:t>
      </w:r>
      <w:r>
        <w:rPr>
          <w:rFonts w:ascii="Times New Roman" w:cs="Times New Roman" w:eastAsia="Times New Roman" w:hAnsi="Times New Roman"/>
          <w:sz w:val="20"/>
          <w:szCs w:val="20"/>
          <w:color w:val="auto"/>
        </w:rPr>
        <w:t>” means the determination by the Administrative Agent, in consultation with the Company, that (a) Term CORRA has been recommended for use by the Relevant Governmental Body, (b) the administration of Term CORRA is administratively feasible for the Administrative Agent and (c) a Benchmark Transition Event has previously occurred resulting in a Benchmark Replacement in accordance with Section 2.14(b) that is not Term CORRA.</w:t>
      </w:r>
    </w:p>
    <w:p>
      <w:pPr>
        <w:spacing w:after="0" w:line="6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CORRA Reference Rate</w:t>
      </w:r>
      <w:r>
        <w:rPr>
          <w:rFonts w:ascii="Times New Roman" w:cs="Times New Roman" w:eastAsia="Times New Roman" w:hAnsi="Times New Roman"/>
          <w:sz w:val="20"/>
          <w:szCs w:val="20"/>
          <w:color w:val="auto"/>
        </w:rPr>
        <w:t>” means the forward-looking term rate based on CORRA.</w:t>
      </w:r>
    </w:p>
    <w:p>
      <w:pPr>
        <w:spacing w:after="0" w:line="1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 Determination Day</w:t>
      </w:r>
      <w:r>
        <w:rPr>
          <w:rFonts w:ascii="Times New Roman" w:cs="Times New Roman" w:eastAsia="Times New Roman" w:hAnsi="Times New Roman"/>
          <w:sz w:val="20"/>
          <w:szCs w:val="20"/>
          <w:color w:val="auto"/>
        </w:rPr>
        <w:t>” has the meaning assigned to it under the definition of Term SOFR Reference Rate.</w:t>
      </w:r>
    </w:p>
    <w:p>
      <w:pPr>
        <w:spacing w:after="0" w:line="108"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 Rate</w:t>
      </w:r>
      <w:r>
        <w:rPr>
          <w:rFonts w:ascii="Times New Roman" w:cs="Times New Roman" w:eastAsia="Times New Roman" w:hAnsi="Times New Roman"/>
          <w:sz w:val="20"/>
          <w:szCs w:val="20"/>
          <w:color w:val="auto"/>
        </w:rPr>
        <w:t>” means, with respect to any Term Benchmark Borrowing denominated in Dollars and for any tenor comparable to the applicable Interest Period, the Term SOFR Reference Rate at approximately 5:00 a.m., Chicago time, two U.S. Government Securities Business Days prior to the commencement of such tenor comparable to the applicable Interest Period, as such rate is published by the CME Term SOFR Administrator.</w:t>
      </w:r>
    </w:p>
    <w:p>
      <w:pPr>
        <w:spacing w:after="0" w:line="78"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 Reference Rate</w:t>
      </w:r>
      <w:r>
        <w:rPr>
          <w:rFonts w:ascii="Times New Roman" w:cs="Times New Roman" w:eastAsia="Times New Roman" w:hAnsi="Times New Roman"/>
          <w:sz w:val="20"/>
          <w:szCs w:val="20"/>
          <w:color w:val="auto"/>
        </w:rPr>
        <w:t>” means, for any day and time (such day, the “</w:t>
      </w:r>
      <w:r>
        <w:rPr>
          <w:rFonts w:ascii="Times New Roman" w:cs="Times New Roman" w:eastAsia="Times New Roman" w:hAnsi="Times New Roman"/>
          <w:sz w:val="20"/>
          <w:szCs w:val="20"/>
          <w:u w:val="single" w:color="auto"/>
          <w:color w:val="auto"/>
        </w:rPr>
        <w:t>Term SOFR Determination Day</w:t>
      </w:r>
      <w:r>
        <w:rPr>
          <w:rFonts w:ascii="Times New Roman" w:cs="Times New Roman" w:eastAsia="Times New Roman" w:hAnsi="Times New Roman"/>
          <w:sz w:val="20"/>
          <w:szCs w:val="20"/>
          <w:color w:val="auto"/>
        </w:rPr>
        <w:t>”), with respect to any Term Benchmark Borrowing denominated in Dollars and for any tenor comparable to the applicable Interest Period, the rate per annum published by the CME Term SOFR Administrator and identified by the Administrative Agent as the forward-looking term rate based on SOFR. If by 5:00 pm (New York City time) on such Term SOFR Determination Day, the “Term SOFR Reference Rate” for the applicable tenor has not been published by the CME Term SOFR Administrator and a Benchmark Replacement Date with respect to the Term SOFR Rate has not occurred, then, so long as such day is otherwise a U.S. Government Securities Business Day, the Term SOFR Reference Rate for such Term SOFR Determination Day will be the Term SOFR Reference Rate as published in respect of the first preceding U.S. Government Securities Business Day for which such Term SOFR Reference Rate was published by the CME Term SOFR Administrator, so long as such first preceding U.S. Government Securities Business Day is not more than five (5) U.S. Government Securities Business Days prior to such Term SOFR Determination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ectPr>
          <w:pgSz w:w="11900" w:h="16838" w:orient="portrait"/>
          <w:cols w:equalWidth="0" w:num="1">
            <w:col w:w="11240"/>
          </w:cols>
          <w:pgMar w:left="320" w:top="1413" w:right="339" w:bottom="1440" w:gutter="0" w:footer="0" w:header="0"/>
        </w:sectPr>
      </w:pPr>
    </w:p>
    <w:bookmarkStart w:id="50" w:name="page51"/>
    <w:bookmarkEnd w:id="50"/>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TIBO Rate</w:t>
      </w:r>
      <w:r>
        <w:rPr>
          <w:rFonts w:ascii="Times New Roman" w:cs="Times New Roman" w:eastAsia="Times New Roman" w:hAnsi="Times New Roman"/>
          <w:sz w:val="20"/>
          <w:szCs w:val="20"/>
          <w:color w:val="auto"/>
        </w:rPr>
        <w:t>” means, with respect to any Term Benchmark Borrowing denominated in Japanese Yen and for any Interest Period, the TIBO Screen Rate two (2) Business Days prior to the commencement of such Interest Period.</w:t>
      </w:r>
    </w:p>
    <w:p>
      <w:pPr>
        <w:spacing w:after="0" w:line="38"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TIBO Screen Rate</w:t>
      </w:r>
      <w:r>
        <w:rPr>
          <w:rFonts w:ascii="Times New Roman" w:cs="Times New Roman" w:eastAsia="Times New Roman" w:hAnsi="Times New Roman"/>
          <w:sz w:val="20"/>
          <w:szCs w:val="20"/>
          <w:color w:val="auto"/>
        </w:rPr>
        <w:t>” means the Tokyo interbank offered rate administered by the Ippan Shadan Hojin JBA TIBOR Administration (or any other person which takes over the administration of that rate) for the relevant currency and period displayed on page DTIBOR01 of the Reuters screen (or, in the event such rate does not appear on such Reuters page or screen, on any successor or substitute page on such screen that displays such rate, or on the appropriate page of such other information service that publishes such rate as selected by the Administrative Agent from time to time in its reasonable discretion) as published at approximately 1:00 p.m., Japan time, on the applicable date of determination.</w:t>
      </w:r>
    </w:p>
    <w:p>
      <w:pPr>
        <w:spacing w:after="0" w:line="84"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Total Net Leverage Ratio</w:t>
      </w:r>
      <w:r>
        <w:rPr>
          <w:rFonts w:ascii="Times New Roman" w:cs="Times New Roman" w:eastAsia="Times New Roman" w:hAnsi="Times New Roman"/>
          <w:sz w:val="20"/>
          <w:szCs w:val="20"/>
          <w:color w:val="auto"/>
        </w:rPr>
        <w:t xml:space="preserve">” means, as of the last day of any fiscal quarter of the Company, the ratio of (a) (i) Consolidated Total Indebtedness as of such date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(ii) Liquidity as of such date to (b) Consolidated EBITDA for the period of four (4) consecutive fiscal quarters ending with the end of such fiscal quarter, all calculated for the Company and its Subsidiaries on a consolidated basis.</w:t>
      </w:r>
    </w:p>
    <w:p>
      <w:pPr>
        <w:spacing w:after="0" w:line="73"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Total Revolving Credit Exposure</w:t>
      </w:r>
      <w:r>
        <w:rPr>
          <w:rFonts w:ascii="Times New Roman" w:cs="Times New Roman" w:eastAsia="Times New Roman" w:hAnsi="Times New Roman"/>
          <w:sz w:val="20"/>
          <w:szCs w:val="20"/>
          <w:color w:val="auto"/>
        </w:rPr>
        <w:t>” means, at any time, the sum of the outstanding principal amount of all Lenders’ Revolving Loans and their LC Exposure at such time.</w:t>
      </w:r>
    </w:p>
    <w:p>
      <w:pPr>
        <w:spacing w:after="0" w:line="65" w:lineRule="exact"/>
        <w:rPr>
          <w:sz w:val="20"/>
          <w:szCs w:val="20"/>
          <w:color w:val="auto"/>
        </w:rPr>
      </w:pPr>
    </w:p>
    <w:p>
      <w:pPr>
        <w:jc w:val="both"/>
        <w:ind w:right="20"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Transactions</w:t>
      </w:r>
      <w:r>
        <w:rPr>
          <w:rFonts w:ascii="Times New Roman" w:cs="Times New Roman" w:eastAsia="Times New Roman" w:hAnsi="Times New Roman"/>
          <w:sz w:val="20"/>
          <w:szCs w:val="20"/>
          <w:color w:val="auto"/>
        </w:rPr>
        <w:t>” means the execution, delivery and performance by the Loan Parties of this Agreement and the other Loan Documents, the borrowing of Loans and other credit extensions, the use of the proceeds thereof and the issuance of Letters of Credit hereunder.</w:t>
      </w:r>
    </w:p>
    <w:p>
      <w:pPr>
        <w:spacing w:after="0" w:line="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Treaty Lender</w:t>
      </w:r>
      <w:r>
        <w:rPr>
          <w:rFonts w:ascii="Times New Roman" w:cs="Times New Roman" w:eastAsia="Times New Roman" w:hAnsi="Times New Roman"/>
          <w:sz w:val="20"/>
          <w:szCs w:val="20"/>
          <w:color w:val="auto"/>
        </w:rPr>
        <w:t>” means a Lender which:</w:t>
      </w:r>
    </w:p>
    <w:p>
      <w:pPr>
        <w:spacing w:after="0" w:line="108" w:lineRule="exact"/>
        <w:rPr>
          <w:sz w:val="20"/>
          <w:szCs w:val="20"/>
          <w:color w:val="auto"/>
        </w:rPr>
      </w:pPr>
    </w:p>
    <w:p>
      <w:pPr>
        <w:ind w:left="1540" w:hanging="236"/>
        <w:spacing w:after="0"/>
        <w:tabs>
          <w:tab w:leader="none" w:pos="154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treated as a resident of a Treaty State for the purposes of a Treaty;</w:t>
      </w:r>
    </w:p>
    <w:p>
      <w:pPr>
        <w:spacing w:after="0" w:line="121" w:lineRule="exact"/>
        <w:rPr>
          <w:rFonts w:ascii="Times New Roman" w:cs="Times New Roman" w:eastAsia="Times New Roman" w:hAnsi="Times New Roman"/>
          <w:sz w:val="20"/>
          <w:szCs w:val="20"/>
          <w:color w:val="auto"/>
        </w:rPr>
      </w:pPr>
    </w:p>
    <w:p>
      <w:pPr>
        <w:ind w:right="20" w:firstLine="1304"/>
        <w:spacing w:after="0" w:line="269" w:lineRule="auto"/>
        <w:tabs>
          <w:tab w:leader="none" w:pos="1625"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does not carry on a business in the United Kingdom through a permanent establishment with which that Lender’s participation in the Loan is effectively connected; and</w:t>
      </w:r>
    </w:p>
    <w:p>
      <w:pPr>
        <w:spacing w:after="0" w:line="64" w:lineRule="exact"/>
        <w:rPr>
          <w:rFonts w:ascii="Times New Roman" w:cs="Times New Roman" w:eastAsia="Times New Roman" w:hAnsi="Times New Roman"/>
          <w:sz w:val="20"/>
          <w:szCs w:val="20"/>
          <w:color w:val="auto"/>
        </w:rPr>
      </w:pPr>
    </w:p>
    <w:p>
      <w:pPr>
        <w:ind w:firstLine="1304"/>
        <w:spacing w:after="0" w:line="269" w:lineRule="auto"/>
        <w:tabs>
          <w:tab w:leader="none" w:pos="1649"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satisfies all other conditions under the Treaty (subject to completion of procedural formalities) for a payment of interest made by a Borrower under any Loan Document to be exempt from UK withholding tax.</w:t>
      </w:r>
    </w:p>
    <w:p>
      <w:pPr>
        <w:spacing w:after="0" w:line="65" w:lineRule="exact"/>
        <w:rPr>
          <w:sz w:val="20"/>
          <w:szCs w:val="20"/>
          <w:color w:val="auto"/>
        </w:rPr>
      </w:pPr>
    </w:p>
    <w:p>
      <w:pPr>
        <w:jc w:val="both"/>
        <w:ind w:right="20"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Treaty State</w:t>
      </w:r>
      <w:r>
        <w:rPr>
          <w:rFonts w:ascii="Times New Roman" w:cs="Times New Roman" w:eastAsia="Times New Roman" w:hAnsi="Times New Roman"/>
          <w:sz w:val="20"/>
          <w:szCs w:val="20"/>
          <w:color w:val="auto"/>
        </w:rPr>
        <w:t>” means a jurisdiction having a double taxation agreement (a “</w:t>
      </w:r>
      <w:r>
        <w:rPr>
          <w:rFonts w:ascii="Times New Roman" w:cs="Times New Roman" w:eastAsia="Times New Roman" w:hAnsi="Times New Roman"/>
          <w:sz w:val="20"/>
          <w:szCs w:val="20"/>
          <w:u w:val="single" w:color="auto"/>
          <w:color w:val="auto"/>
        </w:rPr>
        <w:t>Treaty</w:t>
      </w:r>
      <w:r>
        <w:rPr>
          <w:rFonts w:ascii="Times New Roman" w:cs="Times New Roman" w:eastAsia="Times New Roman" w:hAnsi="Times New Roman"/>
          <w:sz w:val="20"/>
          <w:szCs w:val="20"/>
          <w:color w:val="auto"/>
        </w:rPr>
        <w:t>”) with the United Kingdom which makes provision for full exemption from tax imposed by the United Kingdom on interest.</w:t>
      </w:r>
    </w:p>
    <w:p>
      <w:pPr>
        <w:spacing w:after="0" w:line="38"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Type</w:t>
      </w:r>
      <w:r>
        <w:rPr>
          <w:rFonts w:ascii="Times New Roman" w:cs="Times New Roman" w:eastAsia="Times New Roman" w:hAnsi="Times New Roman"/>
          <w:sz w:val="20"/>
          <w:szCs w:val="20"/>
          <w:color w:val="auto"/>
        </w:rPr>
        <w:t>”, when used in reference to any Loan or Borrowing, refers to whether the rate of interest on such Loan, or on the Loans comprising such Borrowing, is determined by reference to the Adjusted Term SOFR Rate, the Adjusted EURIBO Rate, the Adjusted TIBO Rate, the Adjusted Term CORRA Rate, the Adjusted Daily Simple RFR, the Alternate Base Rate, the Japanese Prime Rate, the Canadian Prime Rate or the Central Bank Rate.</w:t>
      </w:r>
    </w:p>
    <w:p>
      <w:pPr>
        <w:spacing w:after="0" w:line="7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UCC</w:t>
      </w:r>
      <w:r>
        <w:rPr>
          <w:rFonts w:ascii="Times New Roman" w:cs="Times New Roman" w:eastAsia="Times New Roman" w:hAnsi="Times New Roman"/>
          <w:sz w:val="20"/>
          <w:szCs w:val="20"/>
          <w:color w:val="auto"/>
        </w:rPr>
        <w:t>” means the Uniform Commercial Code.</w:t>
      </w:r>
    </w:p>
    <w:p>
      <w:pPr>
        <w:spacing w:after="0" w:line="108"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UK DB Plans</w:t>
      </w:r>
      <w:r>
        <w:rPr>
          <w:rFonts w:ascii="Times New Roman" w:cs="Times New Roman" w:eastAsia="Times New Roman" w:hAnsi="Times New Roman"/>
          <w:sz w:val="20"/>
          <w:szCs w:val="20"/>
          <w:color w:val="auto"/>
        </w:rPr>
        <w:t>” means, collectively, (i) the Airtechnology Group Pension Plan, which is currently governed by a trust deed and rules dated May 18, 2011, (ii) the Taylor Hobson Limited Pension, which was established by an Interim Deed dated February 1, 1999,</w:t>
      </w:r>
    </w:p>
    <w:p>
      <w:pPr>
        <w:jc w:val="both"/>
        <w:ind w:firstLine="8"/>
        <w:spacing w:after="0" w:line="251" w:lineRule="auto"/>
        <w:tabs>
          <w:tab w:leader="none" w:pos="352"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Fine Tubes Limited Retirement Benefits Scheme, which is currently governed by a Supplemental Deed and rules dated February 19, 2010, and (iv) the Land Instruments International Limited Pension and Life Assurance Scheme, which is currently governed by a trust deed and rules dated February 8, 2016, and each a “</w:t>
      </w:r>
      <w:r>
        <w:rPr>
          <w:rFonts w:ascii="Times New Roman" w:cs="Times New Roman" w:eastAsia="Times New Roman" w:hAnsi="Times New Roman"/>
          <w:sz w:val="20"/>
          <w:szCs w:val="20"/>
          <w:u w:val="single" w:color="auto"/>
          <w:color w:val="auto"/>
        </w:rPr>
        <w:t>UK DB Plan</w:t>
      </w:r>
      <w:r>
        <w:rPr>
          <w:rFonts w:ascii="Times New Roman" w:cs="Times New Roman" w:eastAsia="Times New Roman" w:hAnsi="Times New Roman"/>
          <w:sz w:val="20"/>
          <w:szCs w:val="20"/>
          <w:color w:val="auto"/>
        </w:rPr>
        <w:t>” and each of which shall constitute a Non-U.S. Pension Plan for the purposes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42</w:t>
      </w:r>
    </w:p>
    <w:p>
      <w:pPr>
        <w:sectPr>
          <w:pgSz w:w="11900" w:h="16838" w:orient="portrait"/>
          <w:cols w:equalWidth="0" w:num="1">
            <w:col w:w="11240"/>
          </w:cols>
          <w:pgMar w:left="320" w:top="1413" w:right="339" w:bottom="1440" w:gutter="0" w:footer="0" w:header="0"/>
        </w:sectPr>
      </w:pPr>
    </w:p>
    <w:bookmarkStart w:id="51" w:name="page52"/>
    <w:bookmarkEnd w:id="51"/>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UK Financial Institution</w:t>
      </w:r>
      <w:r>
        <w:rPr>
          <w:rFonts w:ascii="Times New Roman" w:cs="Times New Roman" w:eastAsia="Times New Roman" w:hAnsi="Times New Roman"/>
          <w:sz w:val="20"/>
          <w:szCs w:val="20"/>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6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UK Insolvency Event</w:t>
      </w:r>
      <w:r>
        <w:rPr>
          <w:rFonts w:ascii="Times New Roman" w:cs="Times New Roman" w:eastAsia="Times New Roman" w:hAnsi="Times New Roman"/>
          <w:sz w:val="20"/>
          <w:szCs w:val="20"/>
          <w:color w:val="auto"/>
        </w:rPr>
        <w:t>” means:</w:t>
      </w:r>
    </w:p>
    <w:p>
      <w:pPr>
        <w:spacing w:after="0" w:line="121" w:lineRule="exact"/>
        <w:rPr>
          <w:sz w:val="20"/>
          <w:szCs w:val="20"/>
          <w:color w:val="auto"/>
        </w:rPr>
      </w:pPr>
    </w:p>
    <w:p>
      <w:pPr>
        <w:jc w:val="both"/>
        <w:ind w:firstLine="1304"/>
        <w:spacing w:after="0" w:line="258" w:lineRule="auto"/>
        <w:tabs>
          <w:tab w:leader="none" w:pos="1773"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UK Relevant Entity is unable or admits inability to pay its debts as they fall due or is deemed to or declared to be unable to pay its debts under applicable law, suspends or threatens to suspend making payments on any of its debts or, by reason of actual or anticipated financial difficulties, commences negotiations with one or more of its creditors with a view to rescheduling any of its indebtedness;</w:t>
      </w:r>
    </w:p>
    <w:p>
      <w:pPr>
        <w:spacing w:after="0" w:line="64" w:lineRule="exact"/>
        <w:rPr>
          <w:rFonts w:ascii="Times New Roman" w:cs="Times New Roman" w:eastAsia="Times New Roman" w:hAnsi="Times New Roman"/>
          <w:sz w:val="20"/>
          <w:szCs w:val="20"/>
          <w:color w:val="auto"/>
        </w:rPr>
      </w:pPr>
    </w:p>
    <w:p>
      <w:pPr>
        <w:ind w:left="1860" w:hanging="556"/>
        <w:spacing w:after="0"/>
        <w:tabs>
          <w:tab w:leader="none" w:pos="186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value of the assets of any UK Relevant Entity, is less than its liabilities (taking into account contingent and</w:t>
      </w:r>
    </w:p>
    <w:p>
      <w:pPr>
        <w:spacing w:after="0" w:line="28"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prospective liabilities);</w:t>
      </w:r>
    </w:p>
    <w:p>
      <w:pPr>
        <w:spacing w:after="0" w:line="105" w:lineRule="exact"/>
        <w:rPr>
          <w:rFonts w:ascii="Times New Roman" w:cs="Times New Roman" w:eastAsia="Times New Roman" w:hAnsi="Times New Roman"/>
          <w:sz w:val="20"/>
          <w:szCs w:val="20"/>
          <w:color w:val="auto"/>
        </w:rPr>
      </w:pPr>
    </w:p>
    <w:p>
      <w:pPr>
        <w:ind w:right="20" w:firstLine="1304"/>
        <w:spacing w:after="0" w:line="269" w:lineRule="auto"/>
        <w:tabs>
          <w:tab w:leader="none" w:pos="1802"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moratorium is declared in respect of any indebtedness of any UK Relevant Entity; provided that if a moratorium occurs, the ending of the moratorium will not remedy any Event of Default caused by such moratorium;</w:t>
      </w:r>
    </w:p>
    <w:p>
      <w:pPr>
        <w:spacing w:after="0" w:line="64"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corporate action, legal proceedings or other procedure or step is taken in relation to:</w:t>
      </w:r>
    </w:p>
    <w:p>
      <w:pPr>
        <w:spacing w:after="0" w:line="108" w:lineRule="exact"/>
        <w:rPr>
          <w:sz w:val="20"/>
          <w:szCs w:val="20"/>
          <w:color w:val="auto"/>
        </w:rPr>
      </w:pPr>
    </w:p>
    <w:p>
      <w:pPr>
        <w:ind w:firstLine="1304"/>
        <w:spacing w:after="0" w:line="283" w:lineRule="auto"/>
        <w:tabs>
          <w:tab w:leader="none" w:pos="1964"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suspension of payments, a moratorium of any indebtedness, winding-up, dissolution, administration or reorganization (by way of voluntary arrangement, scheme of arrangement or otherwise) of any UK Relevant Entity;</w:t>
      </w:r>
    </w:p>
    <w:p>
      <w:pPr>
        <w:spacing w:after="0" w:line="51" w:lineRule="exact"/>
        <w:rPr>
          <w:rFonts w:ascii="Times New Roman" w:cs="Times New Roman" w:eastAsia="Times New Roman" w:hAnsi="Times New Roman"/>
          <w:sz w:val="20"/>
          <w:szCs w:val="20"/>
          <w:color w:val="auto"/>
        </w:rPr>
      </w:pPr>
    </w:p>
    <w:p>
      <w:pPr>
        <w:ind w:firstLine="1304"/>
        <w:spacing w:after="0" w:line="269" w:lineRule="auto"/>
        <w:tabs>
          <w:tab w:leader="none" w:pos="1804"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composition, compromise, assignment or arrangement with any creditor of any UK Relevant Entity (including but without limitation to a restructuring plan under Part 26A of the Companies Act 2006);</w:t>
      </w:r>
    </w:p>
    <w:p>
      <w:pPr>
        <w:spacing w:after="0" w:line="64" w:lineRule="exact"/>
        <w:rPr>
          <w:rFonts w:ascii="Times New Roman" w:cs="Times New Roman" w:eastAsia="Times New Roman" w:hAnsi="Times New Roman"/>
          <w:sz w:val="20"/>
          <w:szCs w:val="20"/>
          <w:color w:val="auto"/>
        </w:rPr>
      </w:pPr>
    </w:p>
    <w:p>
      <w:pPr>
        <w:ind w:firstLine="1304"/>
        <w:spacing w:after="0" w:line="269" w:lineRule="auto"/>
        <w:tabs>
          <w:tab w:leader="none" w:pos="1832"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appointment of a liquidator, receiver, administrative receiver, administrator, compulsory manager or other similar officer in respect of any UK Relevant Entity, or any of its assets; or</w:t>
      </w:r>
    </w:p>
    <w:p>
      <w:pPr>
        <w:spacing w:after="0" w:line="64" w:lineRule="exact"/>
        <w:rPr>
          <w:rFonts w:ascii="Times New Roman" w:cs="Times New Roman" w:eastAsia="Times New Roman" w:hAnsi="Times New Roman"/>
          <w:sz w:val="20"/>
          <w:szCs w:val="20"/>
          <w:color w:val="auto"/>
        </w:rPr>
      </w:pPr>
    </w:p>
    <w:p>
      <w:pPr>
        <w:ind w:left="1780" w:hanging="476"/>
        <w:spacing w:after="0"/>
        <w:tabs>
          <w:tab w:leader="none" w:pos="178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enforcement of any Lien over any assets of any UK Relevant Entity,</w:t>
      </w:r>
    </w:p>
    <w:p>
      <w:pPr>
        <w:spacing w:after="0" w:line="108" w:lineRule="exact"/>
        <w:rPr>
          <w:sz w:val="20"/>
          <w:szCs w:val="20"/>
          <w:color w:val="auto"/>
        </w:rPr>
      </w:pPr>
    </w:p>
    <w:p>
      <w:pPr>
        <w:ind w:firstLine="1296"/>
        <w:spacing w:after="0" w:line="283" w:lineRule="auto"/>
        <w:rPr>
          <w:sz w:val="20"/>
          <w:szCs w:val="20"/>
          <w:color w:val="auto"/>
        </w:rPr>
      </w:pPr>
      <w:r>
        <w:rPr>
          <w:rFonts w:ascii="Times New Roman" w:cs="Times New Roman" w:eastAsia="Times New Roman" w:hAnsi="Times New Roman"/>
          <w:sz w:val="20"/>
          <w:szCs w:val="20"/>
          <w:color w:val="auto"/>
        </w:rPr>
        <w:t>or any analogous procedure or step is taken in any jurisdiction, save that this paragraph (d) shall not apply to any winding-up petition which is frivolous or vexatious and is discharged, stayed or dismissed within 14 days of commencement; or</w:t>
      </w:r>
    </w:p>
    <w:p>
      <w:pPr>
        <w:spacing w:after="0" w:line="52" w:lineRule="exact"/>
        <w:rPr>
          <w:sz w:val="20"/>
          <w:szCs w:val="20"/>
          <w:color w:val="auto"/>
        </w:rPr>
      </w:pPr>
    </w:p>
    <w:p>
      <w:pPr>
        <w:ind w:firstLine="1304"/>
        <w:spacing w:after="0" w:line="269" w:lineRule="auto"/>
        <w:tabs>
          <w:tab w:leader="none" w:pos="1752"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expropriation, attachment, sequestration, distress or execution or any analogous process in any jurisdiction affects any asset or assets of a UK Relevant Entity.</w:t>
      </w:r>
    </w:p>
    <w:p>
      <w:pPr>
        <w:spacing w:after="0" w:line="65" w:lineRule="exact"/>
        <w:rPr>
          <w:sz w:val="20"/>
          <w:szCs w:val="20"/>
          <w:color w:val="auto"/>
        </w:rPr>
      </w:pPr>
    </w:p>
    <w:p>
      <w:pPr>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UK Non-Bank Lender</w:t>
      </w:r>
      <w:r>
        <w:rPr>
          <w:rFonts w:ascii="Times New Roman" w:cs="Times New Roman" w:eastAsia="Times New Roman" w:hAnsi="Times New Roman"/>
          <w:sz w:val="20"/>
          <w:szCs w:val="20"/>
          <w:color w:val="auto"/>
        </w:rPr>
        <w:t>” means a Lender which gives a Tax Confirmation in the Assignment and Assumption which it executes on becoming a party to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ectPr>
          <w:pgSz w:w="11900" w:h="16838" w:orient="portrait"/>
          <w:cols w:equalWidth="0" w:num="1">
            <w:col w:w="11240"/>
          </w:cols>
          <w:pgMar w:left="320" w:top="1413" w:right="339" w:bottom="1440" w:gutter="0" w:footer="0" w:header="0"/>
        </w:sectPr>
      </w:pPr>
    </w:p>
    <w:bookmarkStart w:id="52" w:name="page53"/>
    <w:bookmarkEnd w:id="52"/>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UK Relevant Entity</w:t>
      </w:r>
      <w:r>
        <w:rPr>
          <w:rFonts w:ascii="Times New Roman" w:cs="Times New Roman" w:eastAsia="Times New Roman" w:hAnsi="Times New Roman"/>
          <w:sz w:val="20"/>
          <w:szCs w:val="20"/>
          <w:color w:val="auto"/>
        </w:rPr>
        <w:t>” means any Loan Party capable of becoming subject of an order for winding-up or administration under the Insolvency Act 1986 of the United Kingdom.</w:t>
      </w:r>
    </w:p>
    <w:p>
      <w:pPr>
        <w:spacing w:after="0" w:line="38"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UK Resolution Authority</w:t>
      </w:r>
      <w:r>
        <w:rPr>
          <w:rFonts w:ascii="Times New Roman" w:cs="Times New Roman" w:eastAsia="Times New Roman" w:hAnsi="Times New Roman"/>
          <w:sz w:val="20"/>
          <w:szCs w:val="20"/>
          <w:color w:val="auto"/>
        </w:rPr>
        <w:t>” means the Bank of England or any other public administrative authority having responsibility for the resolution of any UK Financial Institution.</w:t>
      </w:r>
    </w:p>
    <w:p>
      <w:pPr>
        <w:spacing w:after="0" w:line="3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UKPTIL</w:t>
      </w:r>
      <w:r>
        <w:rPr>
          <w:rFonts w:ascii="Times New Roman" w:cs="Times New Roman" w:eastAsia="Times New Roman" w:hAnsi="Times New Roman"/>
          <w:sz w:val="20"/>
          <w:szCs w:val="20"/>
          <w:color w:val="auto"/>
        </w:rPr>
        <w:t>” has the meaning assigned to such term in Section 3.15(b).</w:t>
      </w:r>
    </w:p>
    <w:p>
      <w:pPr>
        <w:spacing w:after="0" w:line="121"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UK Tax</w:t>
      </w:r>
      <w:r>
        <w:rPr>
          <w:rFonts w:ascii="Times New Roman" w:cs="Times New Roman" w:eastAsia="Times New Roman" w:hAnsi="Times New Roman"/>
          <w:sz w:val="20"/>
          <w:szCs w:val="20"/>
          <w:color w:val="auto"/>
        </w:rPr>
        <w:t>” means any tax, levy, impost, duty or other charge or withholding of a similar nature (including any penalty or interest payable in connection with any failure to pay or any delay in paying any of the same) imposed by the government of the United Kingdom or any political subdivision thereof and any agency, authority, instrumentality, regulatory body, court, central bank or other entity exercising executive, legislative, judicial, taxing, regulatory or administrative powers or functions of or pertaining to government of the United Kingdom.</w:t>
      </w:r>
    </w:p>
    <w:p>
      <w:pPr>
        <w:spacing w:after="0" w:line="84"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Unadjusted Benchmark Replacement</w:t>
      </w:r>
      <w:r>
        <w:rPr>
          <w:rFonts w:ascii="Times New Roman" w:cs="Times New Roman" w:eastAsia="Times New Roman" w:hAnsi="Times New Roman"/>
          <w:sz w:val="20"/>
          <w:szCs w:val="20"/>
          <w:color w:val="auto"/>
        </w:rPr>
        <w:t>” means the applicable Benchmark Replacement excluding the related Benchmark Replacement Adjustment.</w:t>
      </w:r>
    </w:p>
    <w:p>
      <w:pPr>
        <w:spacing w:after="0" w:line="38"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Administrative Agent</w:t>
      </w:r>
      <w:r>
        <w:rPr>
          <w:rFonts w:ascii="Times New Roman" w:cs="Times New Roman" w:eastAsia="Times New Roman" w:hAnsi="Times New Roman"/>
          <w:sz w:val="20"/>
          <w:szCs w:val="20"/>
          <w:color w:val="auto"/>
        </w:rPr>
        <w:t>” means JPMorgan Chase Bank, N.A. (or any of its designated branch offices or affiliates), in its capacity as administrative agent for the Lenders hereunder.</w:t>
      </w:r>
    </w:p>
    <w:p>
      <w:pPr>
        <w:spacing w:after="0" w:line="38"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Government Securities Business Day</w:t>
      </w:r>
      <w:r>
        <w:rPr>
          <w:rFonts w:ascii="Times New Roman" w:cs="Times New Roman" w:eastAsia="Times New Roman" w:hAnsi="Times New Roman"/>
          <w:sz w:val="20"/>
          <w:szCs w:val="20"/>
          <w:color w:val="auto"/>
        </w:rPr>
        <w:t>”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spacing w:after="0" w:line="5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Person</w:t>
      </w:r>
      <w:r>
        <w:rPr>
          <w:rFonts w:ascii="Times New Roman" w:cs="Times New Roman" w:eastAsia="Times New Roman" w:hAnsi="Times New Roman"/>
          <w:sz w:val="20"/>
          <w:szCs w:val="20"/>
          <w:color w:val="auto"/>
        </w:rPr>
        <w:t>” means (i) for purposes of Sections 3.17 and 6.10 hereof, any United States citizen, lawful permanent resident, entity organized under the laws of the United States or any jurisdiction within the United States, including any foreign branch of any such entity, or any person in the United States and (ii) for all other purposes, a “United States person” within the meaning of Section 7701(a)(30) of the Code.</w:t>
      </w:r>
    </w:p>
    <w:p>
      <w:pPr>
        <w:spacing w:after="0" w:line="6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Special Resolution Regime</w:t>
      </w:r>
      <w:r>
        <w:rPr>
          <w:rFonts w:ascii="Times New Roman" w:cs="Times New Roman" w:eastAsia="Times New Roman" w:hAnsi="Times New Roman"/>
          <w:sz w:val="20"/>
          <w:szCs w:val="20"/>
          <w:color w:val="auto"/>
        </w:rPr>
        <w:t>” has the meaning assigned to it in Section 9.19.</w:t>
      </w:r>
    </w:p>
    <w:p>
      <w:pPr>
        <w:spacing w:after="0" w:line="1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Tax Compliance Certificate</w:t>
      </w:r>
      <w:r>
        <w:rPr>
          <w:rFonts w:ascii="Times New Roman" w:cs="Times New Roman" w:eastAsia="Times New Roman" w:hAnsi="Times New Roman"/>
          <w:sz w:val="20"/>
          <w:szCs w:val="20"/>
          <w:color w:val="auto"/>
        </w:rPr>
        <w:t>” has the meaning assigned to such term in Section 2.17(f)(ii)(B)(3).</w:t>
      </w:r>
    </w:p>
    <w:p>
      <w:pPr>
        <w:spacing w:after="0" w:line="121"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VAT</w:t>
      </w:r>
      <w:r>
        <w:rPr>
          <w:rFonts w:ascii="Times New Roman" w:cs="Times New Roman" w:eastAsia="Times New Roman" w:hAnsi="Times New Roman"/>
          <w:sz w:val="20"/>
          <w:szCs w:val="20"/>
          <w:color w:val="auto"/>
        </w:rPr>
        <w:t>” means value added tax as provided for in the United Kingdom Value Added Tax Act 1994 (as amended) and any other tax of a similar nature, wherever imposed.</w:t>
      </w:r>
    </w:p>
    <w:p>
      <w:pPr>
        <w:spacing w:after="0" w:line="65"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Withdrawal Liability</w:t>
      </w:r>
      <w:r>
        <w:rPr>
          <w:rFonts w:ascii="Times New Roman" w:cs="Times New Roman" w:eastAsia="Times New Roman" w:hAnsi="Times New Roman"/>
          <w:sz w:val="20"/>
          <w:szCs w:val="20"/>
          <w:color w:val="auto"/>
        </w:rPr>
        <w:t>” means liability to a Multiemployer Plan as a result of a complete or partial withdrawal from such Multiemployer Plan, as such terms are defined in Part I of Subtitle E of Title IV of ERISA.</w:t>
      </w:r>
    </w:p>
    <w:p>
      <w:pPr>
        <w:spacing w:after="0" w:line="6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Withholding Agent</w:t>
      </w:r>
      <w:r>
        <w:rPr>
          <w:rFonts w:ascii="Times New Roman" w:cs="Times New Roman" w:eastAsia="Times New Roman" w:hAnsi="Times New Roman"/>
          <w:sz w:val="20"/>
          <w:szCs w:val="20"/>
          <w:color w:val="auto"/>
        </w:rPr>
        <w:t>” means any Loan Party and the Administrative Agent.</w:t>
      </w:r>
    </w:p>
    <w:p>
      <w:pPr>
        <w:spacing w:after="0" w:line="121"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Write-Down and Conversion Powers</w:t>
      </w:r>
      <w:r>
        <w:rPr>
          <w:rFonts w:ascii="Times New Roman" w:cs="Times New Roman" w:eastAsia="Times New Roman" w:hAnsi="Times New Roman"/>
          <w:sz w:val="20"/>
          <w:szCs w:val="20"/>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ectPr>
          <w:pgSz w:w="11900" w:h="16838" w:orient="portrait"/>
          <w:cols w:equalWidth="0" w:num="1">
            <w:col w:w="11240"/>
          </w:cols>
          <w:pgMar w:left="320" w:top="1413" w:right="339" w:bottom="1440" w:gutter="0" w:footer="0" w:header="0"/>
        </w:sectPr>
      </w:pPr>
    </w:p>
    <w:bookmarkStart w:id="53" w:name="page54"/>
    <w:bookmarkEnd w:id="53"/>
    <w:p>
      <w:pPr>
        <w:jc w:val="both"/>
        <w:spacing w:after="0" w:line="258" w:lineRule="auto"/>
        <w:rPr>
          <w:sz w:val="20"/>
          <w:szCs w:val="20"/>
          <w:color w:val="auto"/>
        </w:rPr>
      </w:pPr>
      <w:r>
        <w:rPr>
          <w:rFonts w:ascii="Times New Roman" w:cs="Times New Roman" w:eastAsia="Times New Roman" w:hAnsi="Times New Roman"/>
          <w:sz w:val="20"/>
          <w:szCs w:val="20"/>
          <w:color w:val="auto"/>
        </w:rPr>
        <w:t>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64"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0"/>
          <w:szCs w:val="20"/>
          <w:color w:val="010000"/>
        </w:rPr>
        <w:t xml:space="preserve">SECTION 1.02. </w:t>
      </w:r>
      <w:r>
        <w:rPr>
          <w:rFonts w:ascii="Times New Roman" w:cs="Times New Roman" w:eastAsia="Times New Roman" w:hAnsi="Times New Roman"/>
          <w:sz w:val="20"/>
          <w:szCs w:val="20"/>
          <w:u w:val="single" w:color="auto"/>
          <w:color w:val="000000"/>
        </w:rPr>
        <w:t>Classification of Loans and Borrowings</w:t>
      </w:r>
      <w:r>
        <w:rPr>
          <w:rFonts w:ascii="Times New Roman" w:cs="Times New Roman" w:eastAsia="Times New Roman" w:hAnsi="Times New Roman"/>
          <w:sz w:val="20"/>
          <w:szCs w:val="20"/>
          <w:color w:val="000000"/>
        </w:rPr>
        <w:t>. For purposes of this Agreement, Loans may be classified and</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referred to by Class (</w:t>
      </w:r>
      <w:r>
        <w:rPr>
          <w:rFonts w:ascii="Times New Roman" w:cs="Times New Roman" w:eastAsia="Times New Roman" w:hAnsi="Times New Roman"/>
          <w:sz w:val="20"/>
          <w:szCs w:val="20"/>
          <w:u w:val="single" w:color="auto"/>
          <w:color w:val="000000"/>
        </w:rPr>
        <w:t>e.g.</w:t>
      </w:r>
      <w:r>
        <w:rPr>
          <w:rFonts w:ascii="Times New Roman" w:cs="Times New Roman" w:eastAsia="Times New Roman" w:hAnsi="Times New Roman"/>
          <w:sz w:val="20"/>
          <w:szCs w:val="20"/>
          <w:color w:val="000000"/>
        </w:rPr>
        <w:t>, a “</w:t>
      </w:r>
      <w:r>
        <w:rPr>
          <w:rFonts w:ascii="Times New Roman" w:cs="Times New Roman" w:eastAsia="Times New Roman" w:hAnsi="Times New Roman"/>
          <w:sz w:val="20"/>
          <w:szCs w:val="20"/>
          <w:u w:val="single" w:color="auto"/>
          <w:color w:val="000000"/>
        </w:rPr>
        <w:t>Revolving Loan</w:t>
      </w:r>
      <w:r>
        <w:rPr>
          <w:rFonts w:ascii="Times New Roman" w:cs="Times New Roman" w:eastAsia="Times New Roman" w:hAnsi="Times New Roman"/>
          <w:sz w:val="20"/>
          <w:szCs w:val="20"/>
          <w:color w:val="000000"/>
        </w:rPr>
        <w:t>”) or by Type (</w:t>
      </w:r>
      <w:r>
        <w:rPr>
          <w:rFonts w:ascii="Times New Roman" w:cs="Times New Roman" w:eastAsia="Times New Roman" w:hAnsi="Times New Roman"/>
          <w:sz w:val="20"/>
          <w:szCs w:val="20"/>
          <w:u w:val="single" w:color="auto"/>
          <w:color w:val="000000"/>
        </w:rPr>
        <w:t>e.g</w:t>
      </w:r>
      <w:r>
        <w:rPr>
          <w:rFonts w:ascii="Times New Roman" w:cs="Times New Roman" w:eastAsia="Times New Roman" w:hAnsi="Times New Roman"/>
          <w:sz w:val="20"/>
          <w:szCs w:val="20"/>
          <w:color w:val="000000"/>
        </w:rPr>
        <w:t>., a “</w:t>
      </w:r>
      <w:r>
        <w:rPr>
          <w:rFonts w:ascii="Times New Roman" w:cs="Times New Roman" w:eastAsia="Times New Roman" w:hAnsi="Times New Roman"/>
          <w:sz w:val="20"/>
          <w:szCs w:val="20"/>
          <w:u w:val="single" w:color="auto"/>
          <w:color w:val="000000"/>
        </w:rPr>
        <w:t>Term Benchmark Loan</w:t>
      </w:r>
      <w:r>
        <w:rPr>
          <w:rFonts w:ascii="Times New Roman" w:cs="Times New Roman" w:eastAsia="Times New Roman" w:hAnsi="Times New Roman"/>
          <w:sz w:val="20"/>
          <w:szCs w:val="20"/>
          <w:color w:val="000000"/>
        </w:rPr>
        <w:t>” or an “</w:t>
      </w:r>
      <w:r>
        <w:rPr>
          <w:rFonts w:ascii="Times New Roman" w:cs="Times New Roman" w:eastAsia="Times New Roman" w:hAnsi="Times New Roman"/>
          <w:sz w:val="20"/>
          <w:szCs w:val="20"/>
          <w:u w:val="single" w:color="auto"/>
          <w:color w:val="000000"/>
        </w:rPr>
        <w:t>RFR Loan</w:t>
      </w:r>
      <w:r>
        <w:rPr>
          <w:rFonts w:ascii="Times New Roman" w:cs="Times New Roman" w:eastAsia="Times New Roman" w:hAnsi="Times New Roman"/>
          <w:sz w:val="20"/>
          <w:szCs w:val="20"/>
          <w:color w:val="000000"/>
        </w:rPr>
        <w:t>”) or by Class and Type (</w:t>
      </w:r>
      <w:r>
        <w:rPr>
          <w:rFonts w:ascii="Times New Roman" w:cs="Times New Roman" w:eastAsia="Times New Roman" w:hAnsi="Times New Roman"/>
          <w:sz w:val="20"/>
          <w:szCs w:val="20"/>
          <w:u w:val="single" w:color="auto"/>
          <w:color w:val="000000"/>
        </w:rPr>
        <w:t>e.g</w:t>
      </w:r>
      <w:r>
        <w:rPr>
          <w:rFonts w:ascii="Times New Roman" w:cs="Times New Roman" w:eastAsia="Times New Roman" w:hAnsi="Times New Roman"/>
          <w:sz w:val="20"/>
          <w:szCs w:val="20"/>
          <w:color w:val="000000"/>
        </w:rPr>
        <w:t>., a “</w:t>
      </w:r>
      <w:r>
        <w:rPr>
          <w:rFonts w:ascii="Times New Roman" w:cs="Times New Roman" w:eastAsia="Times New Roman" w:hAnsi="Times New Roman"/>
          <w:sz w:val="20"/>
          <w:szCs w:val="20"/>
          <w:u w:val="single" w:color="auto"/>
          <w:color w:val="000000"/>
        </w:rPr>
        <w:t>Term Benchmark Revolving Loan</w:t>
      </w:r>
      <w:r>
        <w:rPr>
          <w:rFonts w:ascii="Times New Roman" w:cs="Times New Roman" w:eastAsia="Times New Roman" w:hAnsi="Times New Roman"/>
          <w:sz w:val="20"/>
          <w:szCs w:val="20"/>
          <w:color w:val="000000"/>
        </w:rPr>
        <w:t>” or an “</w:t>
      </w:r>
      <w:r>
        <w:rPr>
          <w:rFonts w:ascii="Times New Roman" w:cs="Times New Roman" w:eastAsia="Times New Roman" w:hAnsi="Times New Roman"/>
          <w:sz w:val="20"/>
          <w:szCs w:val="20"/>
          <w:u w:val="single" w:color="auto"/>
          <w:color w:val="000000"/>
        </w:rPr>
        <w:t>RFR Revolving Loan</w:t>
      </w:r>
      <w:r>
        <w:rPr>
          <w:rFonts w:ascii="Times New Roman" w:cs="Times New Roman" w:eastAsia="Times New Roman" w:hAnsi="Times New Roman"/>
          <w:sz w:val="20"/>
          <w:szCs w:val="20"/>
          <w:color w:val="000000"/>
        </w:rPr>
        <w:t>”). Borrowings also may be classified and referred to by Class (</w:t>
      </w:r>
      <w:r>
        <w:rPr>
          <w:rFonts w:ascii="Times New Roman" w:cs="Times New Roman" w:eastAsia="Times New Roman" w:hAnsi="Times New Roman"/>
          <w:sz w:val="20"/>
          <w:szCs w:val="20"/>
          <w:u w:val="single" w:color="auto"/>
          <w:color w:val="000000"/>
        </w:rPr>
        <w:t>e.g</w:t>
      </w:r>
      <w:r>
        <w:rPr>
          <w:rFonts w:ascii="Times New Roman" w:cs="Times New Roman" w:eastAsia="Times New Roman" w:hAnsi="Times New Roman"/>
          <w:sz w:val="20"/>
          <w:szCs w:val="20"/>
          <w:color w:val="000000"/>
        </w:rPr>
        <w:t>., a “</w:t>
      </w:r>
      <w:r>
        <w:rPr>
          <w:rFonts w:ascii="Times New Roman" w:cs="Times New Roman" w:eastAsia="Times New Roman" w:hAnsi="Times New Roman"/>
          <w:sz w:val="20"/>
          <w:szCs w:val="20"/>
          <w:u w:val="single" w:color="auto"/>
          <w:color w:val="000000"/>
        </w:rPr>
        <w:t>Revolving Borrowing</w:t>
      </w:r>
      <w:r>
        <w:rPr>
          <w:rFonts w:ascii="Times New Roman" w:cs="Times New Roman" w:eastAsia="Times New Roman" w:hAnsi="Times New Roman"/>
          <w:sz w:val="20"/>
          <w:szCs w:val="20"/>
          <w:color w:val="000000"/>
        </w:rPr>
        <w:t>”) or by Type (</w:t>
      </w:r>
      <w:r>
        <w:rPr>
          <w:rFonts w:ascii="Times New Roman" w:cs="Times New Roman" w:eastAsia="Times New Roman" w:hAnsi="Times New Roman"/>
          <w:sz w:val="20"/>
          <w:szCs w:val="20"/>
          <w:u w:val="single" w:color="auto"/>
          <w:color w:val="000000"/>
        </w:rPr>
        <w:t>e.g</w:t>
      </w:r>
      <w:r>
        <w:rPr>
          <w:rFonts w:ascii="Times New Roman" w:cs="Times New Roman" w:eastAsia="Times New Roman" w:hAnsi="Times New Roman"/>
          <w:sz w:val="20"/>
          <w:szCs w:val="20"/>
          <w:color w:val="000000"/>
        </w:rPr>
        <w:t>., a “</w:t>
      </w:r>
      <w:r>
        <w:rPr>
          <w:rFonts w:ascii="Times New Roman" w:cs="Times New Roman" w:eastAsia="Times New Roman" w:hAnsi="Times New Roman"/>
          <w:sz w:val="20"/>
          <w:szCs w:val="20"/>
          <w:u w:val="single" w:color="auto"/>
          <w:color w:val="000000"/>
        </w:rPr>
        <w:t>Term Benchmark Borrowing</w:t>
      </w:r>
      <w:r>
        <w:rPr>
          <w:rFonts w:ascii="Times New Roman" w:cs="Times New Roman" w:eastAsia="Times New Roman" w:hAnsi="Times New Roman"/>
          <w:sz w:val="20"/>
          <w:szCs w:val="20"/>
          <w:color w:val="000000"/>
        </w:rPr>
        <w:t>” or an “</w:t>
      </w:r>
      <w:r>
        <w:rPr>
          <w:rFonts w:ascii="Times New Roman" w:cs="Times New Roman" w:eastAsia="Times New Roman" w:hAnsi="Times New Roman"/>
          <w:sz w:val="20"/>
          <w:szCs w:val="20"/>
          <w:u w:val="single" w:color="auto"/>
          <w:color w:val="000000"/>
        </w:rPr>
        <w:t>RFR Borrowing</w:t>
      </w:r>
      <w:r>
        <w:rPr>
          <w:rFonts w:ascii="Times New Roman" w:cs="Times New Roman" w:eastAsia="Times New Roman" w:hAnsi="Times New Roman"/>
          <w:sz w:val="20"/>
          <w:szCs w:val="20"/>
          <w:color w:val="000000"/>
        </w:rPr>
        <w:t>”) or by Class and Type (</w:t>
      </w:r>
      <w:r>
        <w:rPr>
          <w:rFonts w:ascii="Times New Roman" w:cs="Times New Roman" w:eastAsia="Times New Roman" w:hAnsi="Times New Roman"/>
          <w:sz w:val="20"/>
          <w:szCs w:val="20"/>
          <w:u w:val="single" w:color="auto"/>
          <w:color w:val="000000"/>
        </w:rPr>
        <w:t>e.g</w:t>
      </w:r>
      <w:r>
        <w:rPr>
          <w:rFonts w:ascii="Times New Roman" w:cs="Times New Roman" w:eastAsia="Times New Roman" w:hAnsi="Times New Roman"/>
          <w:sz w:val="20"/>
          <w:szCs w:val="20"/>
          <w:color w:val="000000"/>
        </w:rPr>
        <w:t>., a “</w:t>
      </w:r>
      <w:r>
        <w:rPr>
          <w:rFonts w:ascii="Times New Roman" w:cs="Times New Roman" w:eastAsia="Times New Roman" w:hAnsi="Times New Roman"/>
          <w:sz w:val="20"/>
          <w:szCs w:val="20"/>
          <w:u w:val="single" w:color="auto"/>
          <w:color w:val="000000"/>
        </w:rPr>
        <w:t>Term</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0000"/>
        </w:rPr>
        <w:t>Benchmark Revolving Borrowing</w:t>
      </w:r>
      <w:r>
        <w:rPr>
          <w:rFonts w:ascii="Times New Roman" w:cs="Times New Roman" w:eastAsia="Times New Roman" w:hAnsi="Times New Roman"/>
          <w:sz w:val="20"/>
          <w:szCs w:val="20"/>
          <w:color w:val="000000"/>
        </w:rPr>
        <w:t>” or an “</w:t>
      </w:r>
      <w:r>
        <w:rPr>
          <w:rFonts w:ascii="Times New Roman" w:cs="Times New Roman" w:eastAsia="Times New Roman" w:hAnsi="Times New Roman"/>
          <w:sz w:val="20"/>
          <w:szCs w:val="20"/>
          <w:u w:val="single" w:color="auto"/>
          <w:color w:val="000000"/>
        </w:rPr>
        <w:t>RFR Revolving Borrowing</w:t>
      </w:r>
      <w:r>
        <w:rPr>
          <w:rFonts w:ascii="Times New Roman" w:cs="Times New Roman" w:eastAsia="Times New Roman" w:hAnsi="Times New Roman"/>
          <w:sz w:val="20"/>
          <w:szCs w:val="20"/>
          <w:color w:val="000000"/>
        </w:rPr>
        <w:t>”).</w:t>
      </w:r>
    </w:p>
    <w:p>
      <w:pPr>
        <w:spacing w:after="0" w:line="65"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0"/>
          <w:szCs w:val="20"/>
          <w:color w:val="010000"/>
        </w:rPr>
        <w:t xml:space="preserve">SECTION 1.03. </w:t>
      </w:r>
      <w:r>
        <w:rPr>
          <w:rFonts w:ascii="Times New Roman" w:cs="Times New Roman" w:eastAsia="Times New Roman" w:hAnsi="Times New Roman"/>
          <w:sz w:val="20"/>
          <w:szCs w:val="20"/>
          <w:u w:val="single" w:color="auto"/>
          <w:color w:val="000000"/>
        </w:rPr>
        <w:t>Terms Generally</w:t>
      </w:r>
      <w:r>
        <w:rPr>
          <w:rFonts w:ascii="Times New Roman" w:cs="Times New Roman" w:eastAsia="Times New Roman" w:hAnsi="Times New Roman"/>
          <w:sz w:val="20"/>
          <w:szCs w:val="20"/>
          <w:color w:val="000000"/>
        </w:rPr>
        <w:t>. The definitions of terms herein shall apply equally to the singular and plural forms of</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The word “law” shall be construed as referring to all statutes, rules, regulations, codes and other laws (including official rulings and interpretations thereunder having the force of law or with which affected Persons customarily comply), and all judgments, orders and decrees, of all Governmental Authorities. Unless the context requires otherwise</w:t>
      </w:r>
    </w:p>
    <w:p>
      <w:pPr>
        <w:spacing w:after="0" w:line="3" w:lineRule="exact"/>
        <w:rPr>
          <w:sz w:val="20"/>
          <w:szCs w:val="20"/>
          <w:color w:val="auto"/>
        </w:rPr>
      </w:pPr>
    </w:p>
    <w:p>
      <w:pPr>
        <w:jc w:val="both"/>
        <w:ind w:firstLine="8"/>
        <w:spacing w:after="0" w:line="260" w:lineRule="auto"/>
        <w:tabs>
          <w:tab w:leader="none" w:pos="282" w:val="left"/>
        </w:tabs>
        <w:numPr>
          <w:ilvl w:val="0"/>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definition of or reference to any agreement, instrument or other document herein shall be construed as referring to such agreement, instrument or other document as from time to time amended, restated, supplemented or otherwise modified (subject to any restrictions on such amendments, restatements, supplements or modifications set forth herein), (b) any definition of or reference to any law, statute, rule or regulation shall be construed as referring thereto as from time to time amended, supplemented or otherwise modified (including by succession of comparable successor laws), (c) any reference herein to any Person shall be construed to include such Person’s successors and assigns (subject to any restrictions on assignment set forth herein) and, in the case of any Governmental Authority, any other Governmental Authority that shall have succeeded to any or all functions thereof, (d) the words “herein”, “hereof” and “hereunder”, and words of similar import, shall be construed to refer to this Agreement in its entirety and not to any particular provision hereof, (e) all references herein to Articles, Sections, Exhibits and Schedules shall be construed to refer to Articles and Sections of, and Exhibits and Schedules to, this Agreement, (f) any reference to any law, rule or regulation herein shall, unless otherwise specified, refer to such law, rule or regulation as amended, modified or supplemented from time to time, (g) the words “asset” and “property” shall be construed to have the same meaning and effect and to refer to any and all tangible and intangible assets and properties, including cash, securities, accounts and contract rights and</w:t>
      </w:r>
    </w:p>
    <w:p>
      <w:pPr>
        <w:spacing w:after="0" w:line="8" w:lineRule="exact"/>
        <w:rPr>
          <w:rFonts w:ascii="Times New Roman" w:cs="Times New Roman" w:eastAsia="Times New Roman" w:hAnsi="Times New Roman"/>
          <w:sz w:val="19"/>
          <w:szCs w:val="19"/>
          <w:color w:val="auto"/>
        </w:rPr>
      </w:pPr>
    </w:p>
    <w:p>
      <w:pPr>
        <w:jc w:val="both"/>
        <w:ind w:firstLine="8"/>
        <w:spacing w:after="0" w:line="250" w:lineRule="auto"/>
        <w:tabs>
          <w:tab w:leader="none" w:pos="284"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reference herein to a merger, transfer, consolidation, amalgamation, consolidation, assignment, sale, disposition or transfer, or similar term, shall be deemed to apply to a division of or by a limited liability company, or an allocation of assets to a series of a limited liability company (or the unwinding of such a division or allocation), as if it were a merger, transfer, consolidation, amalgamation, consolidation, assignment, sale or transfer, or similar term, as applicable, to, of or with a separate Person, and any division of a limited liability company shall constitute a separate Person hereunder (and each division of any limited liability company that is a Subsidiary, joint venture or any other like term shall also constitute such a Person or entity).</w:t>
      </w:r>
    </w:p>
    <w:p>
      <w:pPr>
        <w:spacing w:after="0" w:line="8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010000"/>
        </w:rPr>
        <w:t xml:space="preserve">SECTION 1.04. </w:t>
      </w:r>
      <w:r>
        <w:rPr>
          <w:rFonts w:ascii="Times New Roman" w:cs="Times New Roman" w:eastAsia="Times New Roman" w:hAnsi="Times New Roman"/>
          <w:sz w:val="20"/>
          <w:szCs w:val="20"/>
          <w:u w:val="single" w:color="auto"/>
          <w:color w:val="000000"/>
        </w:rPr>
        <w:t>Accounting Terms; GAAP</w:t>
      </w:r>
      <w:r>
        <w:rPr>
          <w:rFonts w:ascii="Times New Roman" w:cs="Times New Roman" w:eastAsia="Times New Roman" w:hAnsi="Times New Roman"/>
          <w:sz w:val="20"/>
          <w:szCs w:val="20"/>
          <w:color w:val="000000"/>
        </w:rPr>
        <w:t>. Except as otherwise expressly provided herein, all terms of an accounting or</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 xml:space="preserve">financial nature shall be construed in accordance with GAAP, as in effect from time to time; </w:t>
      </w:r>
      <w:r>
        <w:rPr>
          <w:rFonts w:ascii="Times New Roman" w:cs="Times New Roman" w:eastAsia="Times New Roman" w:hAnsi="Times New Roman"/>
          <w:sz w:val="20"/>
          <w:szCs w:val="20"/>
          <w:u w:val="single" w:color="auto"/>
          <w:color w:val="000000"/>
        </w:rPr>
        <w:t>provided</w:t>
      </w:r>
      <w:r>
        <w:rPr>
          <w:rFonts w:ascii="Times New Roman" w:cs="Times New Roman" w:eastAsia="Times New Roman" w:hAnsi="Times New Roman"/>
          <w:sz w:val="20"/>
          <w:szCs w:val="20"/>
          <w:color w:val="000000"/>
        </w:rPr>
        <w:t xml:space="preserve"> that, if the Company notifies the Administrative Agent that the</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ectPr>
          <w:pgSz w:w="11900" w:h="16838" w:orient="portrait"/>
          <w:cols w:equalWidth="0" w:num="1">
            <w:col w:w="11240"/>
          </w:cols>
          <w:pgMar w:left="320" w:top="1413" w:right="339" w:bottom="1440" w:gutter="0" w:footer="0" w:header="0"/>
        </w:sectPr>
      </w:pPr>
    </w:p>
    <w:bookmarkStart w:id="54" w:name="page55"/>
    <w:bookmarkEnd w:id="54"/>
    <w:p>
      <w:pPr>
        <w:jc w:val="both"/>
        <w:spacing w:after="0" w:line="248" w:lineRule="auto"/>
        <w:rPr>
          <w:sz w:val="20"/>
          <w:szCs w:val="20"/>
          <w:color w:val="auto"/>
        </w:rPr>
      </w:pPr>
      <w:r>
        <w:rPr>
          <w:rFonts w:ascii="Times New Roman" w:cs="Times New Roman" w:eastAsia="Times New Roman" w:hAnsi="Times New Roman"/>
          <w:sz w:val="20"/>
          <w:szCs w:val="20"/>
          <w:color w:val="auto"/>
        </w:rPr>
        <w:t>Company requests an amendment to any provision hereof to eliminate the effect of any change occurring after the date hereof in GAAP or in the application thereof on the operation of such provision (or if the Administrative Agent notifies the Company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Notwithstanding any other provision contained herein, all terms of an accounting or financial nature used herein shall be construed, and all computations of amounts and ratios referred to herein shall be made (i) without giving effect to any election under Accounting Standards Codification 825 (or any other Accounting Standards Codification or Financial Accounting Standard having a similar result or effect) to value any Indebtedness or other liabilities of the Company or any Subsidiary at “fair value”, as defined therein and (ii) without giving effect to any treatment of Indebtedness under Accounting Standards Codification 470-20 or 2015-03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 Notwithstanding anything to the contrary contained in this Section 1.04 or in the definition of “Capital Lease Obligations,” any change in accounting for leases pursuant to GAAP resulting from the adoption of Financial Accounting Standards Board Accounting Standards Update No. 2016-02, Leases (Topic 842), to the extent such adoption would require treating any lease (or similar arrangement conveying the right to use) as a capital lease where such lease (or similar arrangement) would not have been required to be so treated under GAAP as in effect on December 31, 2015, such lease shall not be considered a capital lease, and all calculations and deliverables under this Agreement or any other Loan Document shall be made or delivered, as applicable, in accordance therewith.</w:t>
      </w:r>
    </w:p>
    <w:p>
      <w:pPr>
        <w:spacing w:after="0" w:line="17"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0"/>
          <w:szCs w:val="20"/>
          <w:color w:val="010000"/>
        </w:rPr>
        <w:t xml:space="preserve">SECTION 1.05. </w:t>
      </w:r>
      <w:r>
        <w:rPr>
          <w:rFonts w:ascii="Times New Roman" w:cs="Times New Roman" w:eastAsia="Times New Roman" w:hAnsi="Times New Roman"/>
          <w:sz w:val="20"/>
          <w:szCs w:val="20"/>
          <w:u w:val="single" w:color="auto"/>
          <w:color w:val="000000"/>
        </w:rPr>
        <w:t>Interest Rates; Benchmark Notification</w:t>
      </w:r>
      <w:r>
        <w:rPr>
          <w:rFonts w:ascii="Times New Roman" w:cs="Times New Roman" w:eastAsia="Times New Roman" w:hAnsi="Times New Roman"/>
          <w:sz w:val="20"/>
          <w:szCs w:val="20"/>
          <w:color w:val="000000"/>
        </w:rPr>
        <w:t>. The interest rate on a Loan denominated in Dollars or a Foreign</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Currency may be derived from an interest rate benchmark that may be discontinued or is, or may in the future become, the subject of regulatory reform. Upon the occurrence of a Benchmark Transition Event or a Term CORRA Reelection Event, Section 2.14(b) provides a mechanism for determining an alternative rate of interest. The Administrative Agent does not warrant or accept any responsibility for, and shall not have any liability with respect to, the administration, submission, performance or any other matter related to any interest rate used in this Agreement, or with respect to any alternative or successor rate thereto, or replacement rate thereof, including without limitation, whether the composition or characteristics of any such alternative, successor or replacement reference rate will be similar to, or produce the same value or economic equivalence of, the existing interest rate being replaced or have the same volume or liquidity as did any existing interest rate prior to its discontinuance or unavailability. The Administrative Agent and its affiliates and/or other related entities may engage in transactions that affect the calculation of any interest rate used in this Agreement or any alternative, successor or alternative rate (including any Benchmark Replacement) and/or any relevant adjustments thereto, in each case, in a manner adverse to the Borrowers. The Administrative Agent may select information sources or services in its reasonable discretion to ascertain any interest rate used in this Agreement, any component thereof, or rates referenced in the definition thereof, in each case pursuant to the terms of this Agreement, and shall have no liability to any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3"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0"/>
          <w:szCs w:val="20"/>
          <w:color w:val="010000"/>
        </w:rPr>
        <w:t xml:space="preserve">SECTION 1.06. </w:t>
      </w:r>
      <w:r>
        <w:rPr>
          <w:rFonts w:ascii="Times New Roman" w:cs="Times New Roman" w:eastAsia="Times New Roman" w:hAnsi="Times New Roman"/>
          <w:sz w:val="20"/>
          <w:szCs w:val="20"/>
          <w:u w:val="single" w:color="auto"/>
          <w:color w:val="000000"/>
        </w:rPr>
        <w:t>Status of Obligations</w:t>
      </w:r>
      <w:r>
        <w:rPr>
          <w:rFonts w:ascii="Times New Roman" w:cs="Times New Roman" w:eastAsia="Times New Roman" w:hAnsi="Times New Roman"/>
          <w:sz w:val="20"/>
          <w:szCs w:val="20"/>
          <w:color w:val="000000"/>
        </w:rPr>
        <w:t>. In the event that the Company or any other Loan Party shall at any time issue or</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have outstanding any Subordinated Indebtedness, the Company shall take or cause such other Loan Party to take all such actions as shall be necessary to cause the Obligations to</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ectPr>
          <w:pgSz w:w="11900" w:h="16838" w:orient="portrait"/>
          <w:cols w:equalWidth="0" w:num="1">
            <w:col w:w="11240"/>
          </w:cols>
          <w:pgMar w:left="320" w:top="1413" w:right="339" w:bottom="1440" w:gutter="0" w:footer="0" w:header="0"/>
        </w:sectPr>
      </w:pPr>
    </w:p>
    <w:bookmarkStart w:id="55" w:name="page56"/>
    <w:bookmarkEnd w:id="55"/>
    <w:p>
      <w:pPr>
        <w:jc w:val="both"/>
        <w:spacing w:after="0" w:line="264" w:lineRule="auto"/>
        <w:rPr>
          <w:sz w:val="20"/>
          <w:szCs w:val="20"/>
          <w:color w:val="auto"/>
        </w:rPr>
      </w:pPr>
      <w:r>
        <w:rPr>
          <w:rFonts w:ascii="Times New Roman" w:cs="Times New Roman" w:eastAsia="Times New Roman" w:hAnsi="Times New Roman"/>
          <w:sz w:val="19"/>
          <w:szCs w:val="19"/>
          <w:color w:val="auto"/>
        </w:rPr>
        <w:t>constitute senior indebtedness (however denominated) in respect of such Subordinated Indebtedness and to enable the Administrative Agent and the Lenders to have and exercise any payment blockage or other remedies available or potentially available to holders of senior indebtedness under the terms of such Subordinated Indebtedness. Without limiting the foregoing, the Obligations are hereby designated as “senior indebtedness” and as “designated senior indebtedness” and words of similar import under and in respect of any indenture or other agreement or instrument under which such Subordinated Indebtedness is outstanding and are further given all such other designations as shall be required under the terms of any such Subordinated Indebtedness in order that the Lenders may have and exercise any payment blockage or other remedies available or potentially available to holders of senior indebtedness under the terms of such Subordinated Indebtedness.</w:t>
      </w:r>
    </w:p>
    <w:p>
      <w:pPr>
        <w:jc w:val="both"/>
        <w:ind w:firstLine="1296"/>
        <w:spacing w:after="0" w:line="261" w:lineRule="auto"/>
        <w:rPr>
          <w:sz w:val="20"/>
          <w:szCs w:val="20"/>
          <w:color w:val="auto"/>
        </w:rPr>
      </w:pPr>
      <w:r>
        <w:rPr>
          <w:rFonts w:ascii="Times New Roman" w:cs="Times New Roman" w:eastAsia="Times New Roman" w:hAnsi="Times New Roman"/>
          <w:sz w:val="19"/>
          <w:szCs w:val="19"/>
          <w:color w:val="010000"/>
        </w:rPr>
        <w:t xml:space="preserve">SECTION 1.07. </w:t>
      </w:r>
      <w:r>
        <w:rPr>
          <w:rFonts w:ascii="Times New Roman" w:cs="Times New Roman" w:eastAsia="Times New Roman" w:hAnsi="Times New Roman"/>
          <w:sz w:val="19"/>
          <w:szCs w:val="19"/>
          <w:u w:val="single" w:color="auto"/>
          <w:color w:val="000000"/>
        </w:rPr>
        <w:t>Amendment and Restatement of Existing Credit Agreement</w:t>
      </w:r>
      <w:r>
        <w:rPr>
          <w:rFonts w:ascii="Times New Roman" w:cs="Times New Roman" w:eastAsia="Times New Roman" w:hAnsi="Times New Roman"/>
          <w:sz w:val="19"/>
          <w:szCs w:val="19"/>
          <w:color w:val="000000"/>
        </w:rPr>
        <w:t>. The parties to this Agreement agree that,</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upon (i) the execution and delivery by each of the parties hereto of this Agreement and (ii) satisfaction or waiver of the conditions set forth in Section 4.01, the terms and provisions of the Existing Credit Agreement shall be and hereby are amended, superseded and restated in their entirety by the terms and provisions of this Agreement. This Agreement is not intended to and shall not constitute a novation. The Borrowers, the Administrative Agent and the Lenders hereby further acknowledge and agree that this Agreement constitutes an amendment of the Existing Credit Agreement made under and in accordance with Section 9.02 thereof. All “Loans” made and “Obligations” incurred under the Existing Credit Agreement which are outstanding on the Restatement Effective Date (other than any “Term Loans” under (and as defined in) the Existing Credit Agreement to the extent repaid on the Restatement Effective Date) shall continue as Loans and Obligations under (and shall be governed by the terms of) this Agreement and the other Loan Documents. Without limiting the foregoing, upon the Restatement Effective Date: (a) all references in the “Loan Documents” (as defined in the Existing Credit Agreement) to the “Administrative Agent”, the “Credit Agreement” and the “Loan Documents” shall be deemed to refer to the Administrative Agent, this Agreement and the Loan Documents, (b) all obligations constituting “Obligations” owed to any Lender or any Affiliate of such Lender which are outstanding on the Restatement Effective Date shall continue as Obligations under this Agreement and the other Loan Documents, (c) the Administrative Agent shall make such reallocations, sales, assignments or other relevant actions in respect of each Lender’s Revolving Credit Exposure under the Existing Credit Agreement as are necessary in order that each such Lender’s Revolving Credit Exposure and outstanding Loans hereunder reflects such Lender’s Applicable Percentage of the outstanding aggregate Revolving Credit Exposures on the Restatement Effective Date and (d) the Borrowers hereby agree to compensate each Lender for any and all losses, costs and expenses incurred by such Lender in connection with the sale and assignment of any Term Benchmark Loans (including the “Eurocurrency Loans” under (and as defined in) the Existing Credit Agreement) and such reallocation described above, in each case on the terms and in the manner set forth in Section 2.16 hereof (unless waived by any Lender with Revolving Credit Exposure under the Existing Credit Agreement).</w:t>
      </w:r>
    </w:p>
    <w:p>
      <w:pPr>
        <w:spacing w:after="0" w:line="231"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0"/>
          <w:szCs w:val="20"/>
          <w:color w:val="010000"/>
        </w:rPr>
        <w:t xml:space="preserve">SECTION 1.08. </w:t>
      </w:r>
      <w:r>
        <w:rPr>
          <w:rFonts w:ascii="Times New Roman" w:cs="Times New Roman" w:eastAsia="Times New Roman" w:hAnsi="Times New Roman"/>
          <w:sz w:val="20"/>
          <w:szCs w:val="20"/>
          <w:u w:val="single" w:color="auto"/>
          <w:color w:val="000000"/>
        </w:rPr>
        <w:t>Divisions</w:t>
      </w:r>
      <w:r>
        <w:rPr>
          <w:rFonts w:ascii="Times New Roman" w:cs="Times New Roman" w:eastAsia="Times New Roman" w:hAnsi="Times New Roman"/>
          <w:sz w:val="20"/>
          <w:szCs w:val="20"/>
          <w:color w:val="000000"/>
        </w:rPr>
        <w:t>. For all purposes under the Loan Documents, in connection with any division or plan of division</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acquired on the first date of its existence by the holders of its Equity Interests at such time.</w:t>
      </w:r>
    </w:p>
    <w:p>
      <w:pPr>
        <w:spacing w:after="0" w:line="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010000"/>
        </w:rPr>
        <w:t xml:space="preserve">SECTION 1.09. </w:t>
      </w:r>
      <w:r>
        <w:rPr>
          <w:rFonts w:ascii="Times New Roman" w:cs="Times New Roman" w:eastAsia="Times New Roman" w:hAnsi="Times New Roman"/>
          <w:sz w:val="20"/>
          <w:szCs w:val="20"/>
          <w:u w:val="single" w:color="auto"/>
          <w:color w:val="000000"/>
        </w:rPr>
        <w:t>Letter of Credit Amounts</w:t>
      </w:r>
      <w:r>
        <w:rPr>
          <w:rFonts w:ascii="Times New Roman" w:cs="Times New Roman" w:eastAsia="Times New Roman" w:hAnsi="Times New Roman"/>
          <w:sz w:val="20"/>
          <w:szCs w:val="20"/>
          <w:color w:val="000000"/>
        </w:rPr>
        <w:t>. Unless otherwise specified herein, the amount of a Letter of Credit at any time</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 xml:space="preserve">shall be deemed to be the Dollar Amount of such Letter of Credit available to be drawn at such time; </w:t>
      </w:r>
      <w:r>
        <w:rPr>
          <w:rFonts w:ascii="Times New Roman" w:cs="Times New Roman" w:eastAsia="Times New Roman" w:hAnsi="Times New Roman"/>
          <w:sz w:val="20"/>
          <w:szCs w:val="20"/>
          <w:u w:val="single" w:color="auto"/>
          <w:color w:val="000000"/>
        </w:rPr>
        <w:t>provided</w:t>
      </w:r>
      <w:r>
        <w:rPr>
          <w:rFonts w:ascii="Times New Roman" w:cs="Times New Roman" w:eastAsia="Times New Roman" w:hAnsi="Times New Roman"/>
          <w:sz w:val="20"/>
          <w:szCs w:val="20"/>
          <w:color w:val="000000"/>
        </w:rPr>
        <w:t xml:space="preserve"> that, with respect to any Letter of Credit that, by its terms, provides for one or more automatic increases in the available amount thereof, the amount of such Letter</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47</w:t>
      </w:r>
    </w:p>
    <w:p>
      <w:pPr>
        <w:sectPr>
          <w:pgSz w:w="11900" w:h="16838" w:orient="portrait"/>
          <w:cols w:equalWidth="0" w:num="1">
            <w:col w:w="11240"/>
          </w:cols>
          <w:pgMar w:left="320" w:top="1413" w:right="339" w:bottom="1440" w:gutter="0" w:footer="0" w:header="0"/>
        </w:sectPr>
      </w:pPr>
    </w:p>
    <w:bookmarkStart w:id="56" w:name="page57"/>
    <w:bookmarkEnd w:id="56"/>
    <w:p>
      <w:pPr>
        <w:spacing w:after="0" w:line="258" w:lineRule="auto"/>
        <w:rPr>
          <w:sz w:val="20"/>
          <w:szCs w:val="20"/>
          <w:color w:val="auto"/>
        </w:rPr>
      </w:pPr>
      <w:r>
        <w:rPr>
          <w:rFonts w:ascii="Times New Roman" w:cs="Times New Roman" w:eastAsia="Times New Roman" w:hAnsi="Times New Roman"/>
          <w:sz w:val="20"/>
          <w:szCs w:val="20"/>
          <w:color w:val="auto"/>
        </w:rPr>
        <w:t>of Credit shall be deemed to be the maximum Dollar Amount of such Letter of Credit after giving effect to all such increases, whether or not such maximum amount is available to be drawn at such time.</w:t>
      </w:r>
    </w:p>
    <w:p>
      <w:pPr>
        <w:ind w:left="1300"/>
        <w:spacing w:after="0"/>
        <w:tabs>
          <w:tab w:leader="none" w:pos="2760" w:val="left"/>
        </w:tabs>
        <w:rPr>
          <w:sz w:val="20"/>
          <w:szCs w:val="20"/>
          <w:color w:val="auto"/>
        </w:rPr>
      </w:pPr>
      <w:r>
        <w:rPr>
          <w:rFonts w:ascii="Times New Roman" w:cs="Times New Roman" w:eastAsia="Times New Roman" w:hAnsi="Times New Roman"/>
          <w:sz w:val="20"/>
          <w:szCs w:val="20"/>
          <w:color w:val="010000"/>
        </w:rPr>
        <w:t>SECTION 1.10.</w:t>
      </w:r>
      <w:r>
        <w:rPr>
          <w:sz w:val="20"/>
          <w:szCs w:val="20"/>
          <w:color w:val="auto"/>
        </w:rPr>
        <w:tab/>
      </w:r>
      <w:r>
        <w:rPr>
          <w:rFonts w:ascii="Times New Roman" w:cs="Times New Roman" w:eastAsia="Times New Roman" w:hAnsi="Times New Roman"/>
          <w:sz w:val="19"/>
          <w:szCs w:val="19"/>
          <w:u w:val="single" w:color="auto"/>
          <w:color w:val="auto"/>
        </w:rPr>
        <w:t>Exchange Rates; Currency Equivalents</w:t>
      </w:r>
      <w:r>
        <w:rPr>
          <w:rFonts w:ascii="Times New Roman" w:cs="Times New Roman" w:eastAsia="Times New Roman" w:hAnsi="Times New Roman"/>
          <w:sz w:val="19"/>
          <w:szCs w:val="19"/>
          <w:color w:val="auto"/>
        </w:rPr>
        <w:t>.</w:t>
      </w:r>
    </w:p>
    <w:p>
      <w:pPr>
        <w:spacing w:after="0" w:line="6" w:lineRule="exact"/>
        <w:rPr>
          <w:sz w:val="20"/>
          <w:szCs w:val="20"/>
          <w:color w:val="auto"/>
        </w:rPr>
      </w:pPr>
    </w:p>
    <w:p>
      <w:pPr>
        <w:jc w:val="both"/>
        <w:ind w:left="660" w:firstLine="644"/>
        <w:spacing w:after="0" w:line="266" w:lineRule="auto"/>
        <w:tabs>
          <w:tab w:leader="none" w:pos="1820" w:val="left"/>
        </w:tabs>
        <w:numPr>
          <w:ilvl w:val="0"/>
          <w:numId w:val="3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Administrative Agent or the relevant Issuing Bank, as applicable, shall determine the Dollar Amount of Term Benchmark Borrowings, RFR Borrowings or Letters of Credit denominated in Foreign Currencies. Such Dollar Amount shall become effective as of such Computation Date and shall be the Dollar Amount of such amounts until the next Computation Date to occur. Except for purposes of financial statements delivered by the Company hereunder or calculating financial covenants hereunder or except as otherwise provided herein, the applicable amount of any Agreed Currency (other than Dollars) for purposes of the Loan Documents shall be such Dollar Amount as so determined by the Administrative Agent or the relevant Issuing Bank, as applicable.</w:t>
      </w:r>
    </w:p>
    <w:p>
      <w:pPr>
        <w:spacing w:after="0" w:line="97" w:lineRule="exact"/>
        <w:rPr>
          <w:rFonts w:ascii="Times New Roman" w:cs="Times New Roman" w:eastAsia="Times New Roman" w:hAnsi="Times New Roman"/>
          <w:sz w:val="19"/>
          <w:szCs w:val="19"/>
          <w:color w:val="010000"/>
        </w:rPr>
      </w:pPr>
    </w:p>
    <w:p>
      <w:pPr>
        <w:jc w:val="both"/>
        <w:ind w:left="660" w:firstLine="644"/>
        <w:spacing w:after="0" w:line="253" w:lineRule="auto"/>
        <w:tabs>
          <w:tab w:leader="none" w:pos="1858" w:val="left"/>
        </w:tabs>
        <w:numPr>
          <w:ilvl w:val="0"/>
          <w:numId w:val="3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Wherever in this Agreement in connection with a Borrowing, conversion, continuation or prepayment of a Term Benchmark Loan or an RFR Loan or the issuance, amendment or extension of a Letter of Credit, an amount, such as a required minimum or multiple amount, is expressed in Dollars, but such Borrowing, Loan or Letter of Credit is denominated in a Foreign Currency, such amount shall be the Dollar Amount of such amount (rounded to the nearest unit of such Foreign Currency, with 0.5 of a unit being rounded upward), as determined by the Administrative Agent or the relevant Issuing Bank, as the case may be.</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010000"/>
        </w:rPr>
        <w:t>ARTICLE II</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The Credits</w:t>
      </w:r>
    </w:p>
    <w:p>
      <w:pPr>
        <w:spacing w:after="0" w:line="121"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9"/>
          <w:szCs w:val="19"/>
          <w:color w:val="010000"/>
        </w:rPr>
        <w:t xml:space="preserve">SECTION 2.01. </w:t>
      </w:r>
      <w:r>
        <w:rPr>
          <w:rFonts w:ascii="Times New Roman" w:cs="Times New Roman" w:eastAsia="Times New Roman" w:hAnsi="Times New Roman"/>
          <w:sz w:val="19"/>
          <w:szCs w:val="19"/>
          <w:u w:val="single" w:color="auto"/>
          <w:color w:val="000000"/>
        </w:rPr>
        <w:t>Commitments</w:t>
      </w:r>
      <w:r>
        <w:rPr>
          <w:rFonts w:ascii="Times New Roman" w:cs="Times New Roman" w:eastAsia="Times New Roman" w:hAnsi="Times New Roman"/>
          <w:sz w:val="19"/>
          <w:szCs w:val="19"/>
          <w:color w:val="000000"/>
        </w:rPr>
        <w:t>. Prior to the Restatement Effective Date, certain revolving loans were previously made to</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the Borrowers under the Existing Credit Agreement which remain outstanding as of the date of this Agreement (such outstanding revolving loans being hereinafter referred to as the “</w:t>
      </w:r>
      <w:r>
        <w:rPr>
          <w:rFonts w:ascii="Times New Roman" w:cs="Times New Roman" w:eastAsia="Times New Roman" w:hAnsi="Times New Roman"/>
          <w:sz w:val="19"/>
          <w:szCs w:val="19"/>
          <w:u w:val="single" w:color="auto"/>
          <w:color w:val="000000"/>
        </w:rPr>
        <w:t>Existing Loans</w:t>
      </w:r>
      <w:r>
        <w:rPr>
          <w:rFonts w:ascii="Times New Roman" w:cs="Times New Roman" w:eastAsia="Times New Roman" w:hAnsi="Times New Roman"/>
          <w:sz w:val="19"/>
          <w:szCs w:val="19"/>
          <w:color w:val="000000"/>
        </w:rPr>
        <w:t>”). Subject to the terms and conditions set forth in this Agreement, the Company and each of the Lenders agree that on the Restatement Effective Date but subject to the reallocation and other transactions described in Section 1.06, the Existing Loans shall be reevidenced as Loans under this Agreement, and the terms of the Existing Loans shall be restated in their entirety and shall be evidenced by this Agreement. Subject to the terms and conditions set forth herein, each Lender (severally and not jointly) agrees to make Revolving Loans to the Borrowers in Agreed Currencies from time to time during the Availability Period in an aggregate principal amount that will not result in, subject to Sections 2.04 and 2.11(b), (a) the Dollar Amount of such Lender’s Revolving Credit Exposure exceeding such Lender’s Commitment, (b) the sum of the Dollar Amount of the Total Revolving Credit Exposure exceeding the Aggregate Commitment, (c) the Dollar Amount of the total outstanding Revolving Loans and LC Exposure, in each case denominated in Foreign Currencies, exceeding the Foreign Currency Sublimit and (d) in the case of Indicor Closing Date Revolving Loans, the Dollar Amount of such Indicor Closing Date Revolving Loans shall not exceed the Indicor Closing Date Revolving Loans Sublimit. Within the foregoing limits and subject to the terms and conditions set forth herein, the Borrowers may borrow, prepay and reborrow Revolving Loans.</w:t>
      </w:r>
    </w:p>
    <w:p>
      <w:pPr>
        <w:spacing w:after="0" w:line="6"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0"/>
          <w:szCs w:val="20"/>
          <w:color w:val="010000"/>
        </w:rPr>
        <w:t xml:space="preserve">SECTION 2.02. </w:t>
      </w:r>
      <w:r>
        <w:rPr>
          <w:rFonts w:ascii="Times New Roman" w:cs="Times New Roman" w:eastAsia="Times New Roman" w:hAnsi="Times New Roman"/>
          <w:sz w:val="20"/>
          <w:szCs w:val="20"/>
          <w:u w:val="single" w:color="auto"/>
          <w:color w:val="000000"/>
        </w:rPr>
        <w:t>Loans and Borrowings</w:t>
      </w:r>
      <w:r>
        <w:rPr>
          <w:rFonts w:ascii="Times New Roman" w:cs="Times New Roman" w:eastAsia="Times New Roman" w:hAnsi="Times New Roman"/>
          <w:sz w:val="20"/>
          <w:szCs w:val="20"/>
          <w:color w:val="000000"/>
        </w:rPr>
        <w:t>. Each Revolving Loan shall be made as part of a Borrowing consisting of</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 xml:space="preserve">Revolving Loans made by the Lenders ratably in accordance with their respective Commitments. The failure of any Lender to make any Loan required to be made by it shall not relieve any other Lender of its obligations hereunder; </w:t>
      </w:r>
      <w:r>
        <w:rPr>
          <w:rFonts w:ascii="Times New Roman" w:cs="Times New Roman" w:eastAsia="Times New Roman" w:hAnsi="Times New Roman"/>
          <w:sz w:val="20"/>
          <w:szCs w:val="20"/>
          <w:u w:val="single" w:color="auto"/>
          <w:color w:val="000000"/>
        </w:rPr>
        <w:t>provided</w:t>
      </w:r>
      <w:r>
        <w:rPr>
          <w:rFonts w:ascii="Times New Roman" w:cs="Times New Roman" w:eastAsia="Times New Roman" w:hAnsi="Times New Roman"/>
          <w:sz w:val="20"/>
          <w:szCs w:val="20"/>
          <w:color w:val="000000"/>
        </w:rPr>
        <w:t xml:space="preserve"> that the Commitments of the Lenders are several and no Lender shall be responsible for any other Lender’s failure to make Loans as required.</w:t>
      </w:r>
    </w:p>
    <w:p>
      <w:pPr>
        <w:spacing w:after="0" w:line="3" w:lineRule="exact"/>
        <w:rPr>
          <w:sz w:val="20"/>
          <w:szCs w:val="20"/>
          <w:color w:val="auto"/>
        </w:rPr>
      </w:pPr>
    </w:p>
    <w:p>
      <w:pPr>
        <w:ind w:left="660" w:right="20" w:firstLine="644"/>
        <w:spacing w:after="0" w:line="228" w:lineRule="auto"/>
        <w:tabs>
          <w:tab w:leader="none" w:pos="1725" w:val="left"/>
        </w:tabs>
        <w:numPr>
          <w:ilvl w:val="0"/>
          <w:numId w:val="3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Subject to Section 2.14, each Revolving Borrowing shall be comprised (i) in the case of Borrowings in Dollars, entirely of ABR Loans or Term Benchmark Loans (or, subject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48</w:t>
      </w:r>
    </w:p>
    <w:p>
      <w:pPr>
        <w:sectPr>
          <w:pgSz w:w="11900" w:h="16838" w:orient="portrait"/>
          <w:cols w:equalWidth="0" w:num="1">
            <w:col w:w="11240"/>
          </w:cols>
          <w:pgMar w:left="320" w:top="1413" w:right="339" w:bottom="1440" w:gutter="0" w:footer="0" w:header="0"/>
        </w:sectPr>
      </w:pPr>
    </w:p>
    <w:bookmarkStart w:id="57" w:name="page58"/>
    <w:bookmarkEnd w:id="57"/>
    <w:p>
      <w:pPr>
        <w:jc w:val="both"/>
        <w:ind w:left="660"/>
        <w:spacing w:after="0" w:line="229" w:lineRule="auto"/>
        <w:rPr>
          <w:sz w:val="20"/>
          <w:szCs w:val="20"/>
          <w:color w:val="auto"/>
        </w:rPr>
      </w:pPr>
      <w:r>
        <w:rPr>
          <w:rFonts w:ascii="Times New Roman" w:cs="Times New Roman" w:eastAsia="Times New Roman" w:hAnsi="Times New Roman"/>
          <w:sz w:val="20"/>
          <w:szCs w:val="20"/>
          <w:color w:val="auto"/>
        </w:rPr>
        <w:t>the final paragraph of Section 2.03, RFR Loans) and (ii) in the case of Borrowings in any other Agreed Currency, entirely of Term Benchmark Loans or RFR Loans, as applicable, in each case of the same Agreed Currency, as the relevant Borrower may request in</w:t>
      </w:r>
    </w:p>
    <w:p>
      <w:pPr>
        <w:spacing w:after="0" w:line="2" w:lineRule="exact"/>
        <w:rPr>
          <w:sz w:val="20"/>
          <w:szCs w:val="20"/>
          <w:color w:val="auto"/>
        </w:rPr>
      </w:pPr>
    </w:p>
    <w:p>
      <w:pPr>
        <w:jc w:val="both"/>
        <w:ind w:left="660"/>
        <w:spacing w:after="0" w:line="229" w:lineRule="auto"/>
        <w:rPr>
          <w:sz w:val="20"/>
          <w:szCs w:val="20"/>
          <w:color w:val="auto"/>
        </w:rPr>
      </w:pPr>
      <w:r>
        <w:rPr>
          <w:rFonts w:ascii="Times New Roman" w:cs="Times New Roman" w:eastAsia="Times New Roman" w:hAnsi="Times New Roman"/>
          <w:sz w:val="19"/>
          <w:szCs w:val="19"/>
          <w:color w:val="auto"/>
        </w:rPr>
        <w:t>accordance herewith; provided that each ABR Loan shall only be made in Dollars. Each Lender at its option may make any Loan by causing any domestic or foreign branch or Affiliate of such Lender to make such Loan (and in the case of an Affiliate, the provisions</w:t>
      </w:r>
    </w:p>
    <w:p>
      <w:pPr>
        <w:spacing w:after="0" w:line="2" w:lineRule="exact"/>
        <w:rPr>
          <w:sz w:val="20"/>
          <w:szCs w:val="20"/>
          <w:color w:val="auto"/>
        </w:rPr>
      </w:pPr>
    </w:p>
    <w:p>
      <w:pPr>
        <w:jc w:val="both"/>
        <w:ind w:left="660"/>
        <w:spacing w:after="0" w:line="223" w:lineRule="auto"/>
        <w:rPr>
          <w:sz w:val="20"/>
          <w:szCs w:val="20"/>
          <w:color w:val="auto"/>
        </w:rPr>
      </w:pPr>
      <w:r>
        <w:rPr>
          <w:rFonts w:ascii="Times New Roman" w:cs="Times New Roman" w:eastAsia="Times New Roman" w:hAnsi="Times New Roman"/>
          <w:sz w:val="20"/>
          <w:szCs w:val="20"/>
          <w:color w:val="auto"/>
        </w:rPr>
        <w:t>of Sections 2.14, 2.15, 2.16, 2.17 and 2.18 shall apply to such Affiliate to the same extent as to such Lender); provided that any exercise of such option shall not affect the obligation of the relevant Borrower to repay such Loan in accordance with the terms of this Agreement.</w:t>
      </w:r>
    </w:p>
    <w:p>
      <w:pPr>
        <w:spacing w:after="0" w:line="147" w:lineRule="exact"/>
        <w:rPr>
          <w:sz w:val="20"/>
          <w:szCs w:val="20"/>
          <w:color w:val="auto"/>
        </w:rPr>
      </w:pPr>
    </w:p>
    <w:p>
      <w:pPr>
        <w:jc w:val="both"/>
        <w:ind w:left="660" w:firstLine="644"/>
        <w:spacing w:after="0" w:line="221" w:lineRule="auto"/>
        <w:tabs>
          <w:tab w:leader="none" w:pos="1736" w:val="left"/>
        </w:tabs>
        <w:numPr>
          <w:ilvl w:val="0"/>
          <w:numId w:val="3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At the commencement of each Interest Period for any Term Benchmark Revolving Borrowing, such Borrowing shall be in an aggregate amount that is an integral multiple of $1,000,000 (or, if such Borrowing is denominated in a Foreign Currency, 1,000,000 units of such currency) and not less than $2,000,000 (or, if such Borrowing is denominated in a Foreign Currency, 2,000,000 units of such currency). At the time that each ABR Revolving Borrowing and/or RFR Borrowing is made, such Borrowing shall be in an aggregate Dollar Amount that is an integral multiple of $1,000,000 (or, if such Borrowing is denominated in a Foreign Currency, 1,000,000 units of such currency) and not less than $1,000,000 (or, if such Borrowing is denominated in a Foreign Currency, 2,000,000 units of such currency);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 ABR Revolving Borrowing or an RFR Borrowing may be in an aggregate amount that is equal to the entire unused balance of the Aggregate Commitment or that is required to finance the reimbursement of an LC Disbursement as contemplated by Section 2.06(e). Borrowings of more than one Type and Class may be outstanding at the same time;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there shall not at any time be more than a total of twelve (12) Term Benchmark Borrowings or RFR Borrowings outstanding.</w:t>
      </w:r>
    </w:p>
    <w:p>
      <w:pPr>
        <w:spacing w:after="0" w:line="154" w:lineRule="exact"/>
        <w:rPr>
          <w:rFonts w:ascii="Times New Roman" w:cs="Times New Roman" w:eastAsia="Times New Roman" w:hAnsi="Times New Roman"/>
          <w:sz w:val="20"/>
          <w:szCs w:val="20"/>
          <w:color w:val="010000"/>
        </w:rPr>
      </w:pPr>
    </w:p>
    <w:p>
      <w:pPr>
        <w:ind w:left="660" w:firstLine="644"/>
        <w:spacing w:after="0" w:line="255" w:lineRule="auto"/>
        <w:tabs>
          <w:tab w:leader="none" w:pos="1752" w:val="left"/>
        </w:tabs>
        <w:numPr>
          <w:ilvl w:val="0"/>
          <w:numId w:val="3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Notwithstanding any other provision of this Agreement, no Borrower shall be entitled to request, or to elect to convert or continue, any Borrowing if the Interest Period requested with respect thereto would end after the Maturity Date.</w:t>
      </w:r>
    </w:p>
    <w:p>
      <w:pPr>
        <w:spacing w:after="0" w:line="132" w:lineRule="exact"/>
        <w:rPr>
          <w:sz w:val="20"/>
          <w:szCs w:val="20"/>
          <w:color w:val="auto"/>
        </w:rPr>
      </w:pPr>
    </w:p>
    <w:p>
      <w:pPr>
        <w:jc w:val="both"/>
        <w:ind w:firstLine="1296"/>
        <w:spacing w:after="0" w:line="229" w:lineRule="auto"/>
        <w:rPr>
          <w:sz w:val="20"/>
          <w:szCs w:val="20"/>
          <w:color w:val="auto"/>
        </w:rPr>
      </w:pPr>
      <w:r>
        <w:rPr>
          <w:rFonts w:ascii="Times New Roman" w:cs="Times New Roman" w:eastAsia="Times New Roman" w:hAnsi="Times New Roman"/>
          <w:sz w:val="20"/>
          <w:szCs w:val="20"/>
          <w:color w:val="010000"/>
        </w:rPr>
        <w:t xml:space="preserve">SECTION 2.03. </w:t>
      </w:r>
      <w:r>
        <w:rPr>
          <w:rFonts w:ascii="Times New Roman" w:cs="Times New Roman" w:eastAsia="Times New Roman" w:hAnsi="Times New Roman"/>
          <w:sz w:val="20"/>
          <w:szCs w:val="20"/>
          <w:u w:val="single" w:color="auto"/>
          <w:color w:val="000000"/>
        </w:rPr>
        <w:t>Requests for Borrowings</w:t>
      </w:r>
      <w:r>
        <w:rPr>
          <w:rFonts w:ascii="Times New Roman" w:cs="Times New Roman" w:eastAsia="Times New Roman" w:hAnsi="Times New Roman"/>
          <w:sz w:val="20"/>
          <w:szCs w:val="20"/>
          <w:color w:val="000000"/>
        </w:rPr>
        <w:t>. To request a Borrowing, the applicable Borrower, or the Company on behalf of</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the applicable Borrower, shall notify the Administrative Agent of such request (a) by irrevocable written notice (via a written Borrowing</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20"/>
          <w:szCs w:val="20"/>
          <w:color w:val="auto"/>
        </w:rPr>
        <w:t xml:space="preserve">Request signed by the applicable Borrower, or the Company on behalf of the applicable Borrower;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such Borrowing Request is submitted through an Approved Borrower Portal, the foregoing signature requirement may be waived at the sole discretion of the Administrative Agent) (i) in the case of a Term Benchmark Borrowing denominated in Dollars, not later than 11:00 a.m., New York City</w:t>
      </w:r>
    </w:p>
    <w:p>
      <w:pPr>
        <w:jc w:val="both"/>
        <w:spacing w:after="0" w:line="218" w:lineRule="auto"/>
        <w:rPr>
          <w:sz w:val="20"/>
          <w:szCs w:val="20"/>
          <w:color w:val="auto"/>
        </w:rPr>
      </w:pPr>
      <w:r>
        <w:rPr>
          <w:rFonts w:ascii="Times New Roman" w:cs="Times New Roman" w:eastAsia="Times New Roman" w:hAnsi="Times New Roman"/>
          <w:sz w:val="20"/>
          <w:szCs w:val="20"/>
          <w:color w:val="auto"/>
        </w:rPr>
        <w:t>time, three (3) U.S. Government Securities Business Days before the date of the proposed Borrowing, (ii) in the case of a Term Benchmark Borrowing denominated in euro, Japanese Yen or Canadian Dollars, not later than 11:00 a.m., New York City time, four (4) Business Days</w:t>
      </w:r>
    </w:p>
    <w:p>
      <w:pPr>
        <w:spacing w:after="0" w:line="1"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9"/>
          <w:szCs w:val="19"/>
          <w:color w:val="auto"/>
        </w:rPr>
        <w:t>before the date of the proposed Borrowing and (iii) in the case of an RFR Borrowing, not later than 11:00 a.m., New York City time, five (5) RFR Business Days before the date of the proposed Borrowing (or such shorter time as the Administrative Agent may agree in its reasonable discretion) or (b) by irrevocable written notice (via a written Borrowing Request signed by the applicable Borrower, or the Company on</w:t>
      </w:r>
    </w:p>
    <w:p>
      <w:pPr>
        <w:spacing w:after="0" w:line="1"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9"/>
          <w:szCs w:val="19"/>
          <w:color w:val="auto"/>
        </w:rPr>
        <w:t>behalf of the applicable Borrower; provided that, if such Borrowing Request is submitted through an Approved Borrower Portal, the foregoing signature requirement may be waived at the sole discretion of the Administrative Agent) in the case of an ABR Borrowing, not later than 11:00 a.m., New York City time, on the date of the proposed Borrowing. Each such Borrowing Request shall specify the following</w:t>
      </w:r>
    </w:p>
    <w:p>
      <w:pPr>
        <w:spacing w:after="0" w:line="212" w:lineRule="auto"/>
        <w:rPr>
          <w:sz w:val="20"/>
          <w:szCs w:val="20"/>
          <w:color w:val="auto"/>
        </w:rPr>
      </w:pPr>
      <w:r>
        <w:rPr>
          <w:rFonts w:ascii="Times New Roman" w:cs="Times New Roman" w:eastAsia="Times New Roman" w:hAnsi="Times New Roman"/>
          <w:sz w:val="20"/>
          <w:szCs w:val="20"/>
          <w:color w:val="auto"/>
        </w:rPr>
        <w:t>information in compliance with Section 2.02:</w:t>
      </w:r>
    </w:p>
    <w:p>
      <w:pPr>
        <w:ind w:left="1300" w:firstLine="652"/>
        <w:spacing w:after="0" w:line="236" w:lineRule="auto"/>
        <w:tabs>
          <w:tab w:leader="none" w:pos="2441" w:val="left"/>
        </w:tabs>
        <w:numPr>
          <w:ilvl w:val="0"/>
          <w:numId w:val="3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name of the applicable Borrower (which shall be the Company in the case of an Indicor Closing Date Revolving Loan);</w:t>
      </w:r>
    </w:p>
    <w:p>
      <w:pPr>
        <w:spacing w:after="0" w:line="160" w:lineRule="exact"/>
        <w:rPr>
          <w:rFonts w:ascii="Times New Roman" w:cs="Times New Roman" w:eastAsia="Times New Roman" w:hAnsi="Times New Roman"/>
          <w:sz w:val="20"/>
          <w:szCs w:val="20"/>
          <w:color w:val="010000"/>
        </w:rPr>
      </w:pPr>
    </w:p>
    <w:p>
      <w:pPr>
        <w:ind w:left="1300" w:firstLine="652"/>
        <w:spacing w:after="0"/>
        <w:tabs>
          <w:tab w:leader="none" w:pos="2387" w:val="left"/>
        </w:tabs>
        <w:numPr>
          <w:ilvl w:val="0"/>
          <w:numId w:val="3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Agreed Currency and the aggregate principal amount of the requested Borrowing (which shall be Dollars in the case of an Indicor Closing Date Revolving Loan);</w:t>
      </w:r>
    </w:p>
    <w:p>
      <w:pPr>
        <w:spacing w:after="0" w:line="174" w:lineRule="exact"/>
        <w:rPr>
          <w:rFonts w:ascii="Times New Roman" w:cs="Times New Roman" w:eastAsia="Times New Roman" w:hAnsi="Times New Roman"/>
          <w:sz w:val="20"/>
          <w:szCs w:val="20"/>
          <w:color w:val="010000"/>
        </w:rPr>
      </w:pPr>
    </w:p>
    <w:p>
      <w:pPr>
        <w:ind w:left="2440" w:hanging="488"/>
        <w:spacing w:after="0"/>
        <w:tabs>
          <w:tab w:leader="none" w:pos="2440" w:val="left"/>
        </w:tabs>
        <w:numPr>
          <w:ilvl w:val="0"/>
          <w:numId w:val="3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date of such Borrowing, which shall be a Business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49</w:t>
      </w:r>
    </w:p>
    <w:p>
      <w:pPr>
        <w:sectPr>
          <w:pgSz w:w="11900" w:h="16838" w:orient="portrait"/>
          <w:cols w:equalWidth="0" w:num="1">
            <w:col w:w="11240"/>
          </w:cols>
          <w:pgMar w:left="320" w:top="1399" w:right="339" w:bottom="1440" w:gutter="0" w:footer="0" w:header="0"/>
        </w:sectPr>
      </w:pPr>
    </w:p>
    <w:bookmarkStart w:id="58" w:name="page59"/>
    <w:bookmarkEnd w:id="58"/>
    <w:p>
      <w:pPr>
        <w:ind w:left="2440" w:hanging="488"/>
        <w:spacing w:after="0"/>
        <w:tabs>
          <w:tab w:leader="none" w:pos="2440" w:val="left"/>
        </w:tabs>
        <w:numPr>
          <w:ilvl w:val="0"/>
          <w:numId w:val="4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whether such Borrowing is to be an ABR Borrowing, a Term Benchmark Borrowing or an RFR Borrowing;</w:t>
      </w:r>
    </w:p>
    <w:p>
      <w:pPr>
        <w:spacing w:after="0" w:line="188" w:lineRule="exact"/>
        <w:rPr>
          <w:rFonts w:ascii="Times New Roman" w:cs="Times New Roman" w:eastAsia="Times New Roman" w:hAnsi="Times New Roman"/>
          <w:sz w:val="20"/>
          <w:szCs w:val="20"/>
          <w:color w:val="010000"/>
        </w:rPr>
      </w:pPr>
    </w:p>
    <w:p>
      <w:pPr>
        <w:ind w:left="1300" w:firstLine="652"/>
        <w:spacing w:after="0" w:line="255" w:lineRule="auto"/>
        <w:tabs>
          <w:tab w:leader="none" w:pos="2376" w:val="left"/>
        </w:tabs>
        <w:numPr>
          <w:ilvl w:val="0"/>
          <w:numId w:val="4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 the case of a Term Benchmark Borrowing, the initial Interest Period to be applicable thereto, which shall be a period contemplated by the definition of the term “Interest Period”;</w:t>
      </w:r>
    </w:p>
    <w:p>
      <w:pPr>
        <w:spacing w:after="0" w:line="145" w:lineRule="exact"/>
        <w:rPr>
          <w:rFonts w:ascii="Times New Roman" w:cs="Times New Roman" w:eastAsia="Times New Roman" w:hAnsi="Times New Roman"/>
          <w:sz w:val="20"/>
          <w:szCs w:val="20"/>
          <w:color w:val="010000"/>
        </w:rPr>
      </w:pPr>
    </w:p>
    <w:p>
      <w:pPr>
        <w:ind w:left="1300" w:firstLine="652"/>
        <w:spacing w:after="0" w:line="255" w:lineRule="auto"/>
        <w:tabs>
          <w:tab w:leader="none" w:pos="2512" w:val="left"/>
        </w:tabs>
        <w:numPr>
          <w:ilvl w:val="0"/>
          <w:numId w:val="4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on or prior to the Indicor Closing Date, whether such Revolving Loan constitutes an Indicor Closing Date Revolving Loan; and</w:t>
      </w:r>
    </w:p>
    <w:p>
      <w:pPr>
        <w:spacing w:after="0" w:line="145" w:lineRule="exact"/>
        <w:rPr>
          <w:rFonts w:ascii="Times New Roman" w:cs="Times New Roman" w:eastAsia="Times New Roman" w:hAnsi="Times New Roman"/>
          <w:sz w:val="20"/>
          <w:szCs w:val="20"/>
          <w:color w:val="010000"/>
        </w:rPr>
      </w:pPr>
    </w:p>
    <w:p>
      <w:pPr>
        <w:ind w:left="1300" w:firstLine="652"/>
        <w:spacing w:after="0"/>
        <w:tabs>
          <w:tab w:leader="none" w:pos="2500" w:val="left"/>
        </w:tabs>
        <w:numPr>
          <w:ilvl w:val="0"/>
          <w:numId w:val="4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location and number of the applicable Borrower’s account to which funds are to be disbursed, which shall comply with the requirements of Section 2.07.</w:t>
      </w:r>
    </w:p>
    <w:p>
      <w:pPr>
        <w:spacing w:after="0" w:line="175"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20"/>
          <w:szCs w:val="20"/>
          <w:color w:val="auto"/>
        </w:rPr>
        <w:t>If no election as to the currency of a Borrowing is specified, then the requested Borrowing shall be made in Dollars. If no election as to the Type of Borrowing is specified, then, in the case of a Borrowing denominated in Dollars, the requested Borrowing shall be an ABR</w:t>
      </w:r>
    </w:p>
    <w:p>
      <w:pPr>
        <w:spacing w:after="0" w:line="2"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9"/>
          <w:szCs w:val="19"/>
          <w:color w:val="auto"/>
        </w:rPr>
        <w:t>Borrowing. If no Interest Period is specified with respect to any requested Term Benchmark Borrowing, then the relevant Borrower shall be deemed to have selected an Interest Period of one month’s duration. Promptly following receipt of a Borrowing Request in accordance with this Section, the Administrative Agent shall advise each Lender of the details thereof and of the amount of such Lender’s Loan to be made as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part of the requested Borrowing.</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Notwithstanding the foregoing, in no event shall the Borrowers be permitted to request pursuant to this Section 2.03 a CBR Loan or, prior to</w:t>
      </w:r>
    </w:p>
    <w:p>
      <w:pPr>
        <w:spacing w:after="0" w:line="20"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20"/>
          <w:szCs w:val="20"/>
          <w:color w:val="auto"/>
        </w:rPr>
        <w:t>a Benchmark Transition Event and Benchmark Replacement Date with respect to (x) the Term SOFR Rate, an RFR Loan bearing interest based on Daily Simple SOFR or (y) Term CORRA, an RFR Loan bearing interest based on Daily Simple CORRA (it being understood and</w:t>
      </w:r>
    </w:p>
    <w:p>
      <w:pPr>
        <w:spacing w:after="0" w:line="1"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20"/>
          <w:szCs w:val="20"/>
          <w:color w:val="auto"/>
        </w:rPr>
        <w:t>agreed that a Central Bank Rate, the Canadian Prime Rate, the Japanese Prime Rate, Daily Simple SOFR and Daily Simple CORRA shall only apply to the extent provided in Sections 2.08(e) (solely with respect to the Central Bank Rate, the Canadian Prime Rate and the Japanese Prime Rate), 2.14(a) and 2.14(f), as applicable).</w:t>
      </w:r>
    </w:p>
    <w:p>
      <w:pPr>
        <w:spacing w:after="0" w:line="133" w:lineRule="exact"/>
        <w:rPr>
          <w:sz w:val="20"/>
          <w:szCs w:val="20"/>
          <w:color w:val="auto"/>
        </w:rPr>
      </w:pPr>
    </w:p>
    <w:p>
      <w:pPr>
        <w:ind w:left="1300"/>
        <w:spacing w:after="0"/>
        <w:tabs>
          <w:tab w:leader="none" w:pos="2760" w:val="left"/>
        </w:tabs>
        <w:rPr>
          <w:sz w:val="20"/>
          <w:szCs w:val="20"/>
          <w:color w:val="auto"/>
        </w:rPr>
      </w:pPr>
      <w:r>
        <w:rPr>
          <w:rFonts w:ascii="Times New Roman" w:cs="Times New Roman" w:eastAsia="Times New Roman" w:hAnsi="Times New Roman"/>
          <w:sz w:val="20"/>
          <w:szCs w:val="20"/>
          <w:color w:val="auto"/>
        </w:rPr>
        <w:t>SECTION 2.04.</w:t>
      </w:r>
      <w:r>
        <w:rPr>
          <w:sz w:val="20"/>
          <w:szCs w:val="20"/>
          <w:color w:val="auto"/>
        </w:rPr>
        <w:tab/>
      </w:r>
      <w:r>
        <w:rPr>
          <w:rFonts w:ascii="Times New Roman" w:cs="Times New Roman" w:eastAsia="Times New Roman" w:hAnsi="Times New Roman"/>
          <w:sz w:val="19"/>
          <w:szCs w:val="19"/>
          <w:color w:val="auto"/>
        </w:rPr>
        <w:t>Determination of Dollar Amounts. The Administrative Agent will determine the Dollar Amount of:</w:t>
      </w:r>
    </w:p>
    <w:p>
      <w:pPr>
        <w:spacing w:after="0" w:line="175" w:lineRule="exact"/>
        <w:rPr>
          <w:sz w:val="20"/>
          <w:szCs w:val="20"/>
          <w:color w:val="auto"/>
        </w:rPr>
      </w:pPr>
    </w:p>
    <w:p>
      <w:pPr>
        <w:jc w:val="both"/>
        <w:ind w:left="660" w:firstLine="644"/>
        <w:spacing w:after="0" w:line="228" w:lineRule="auto"/>
        <w:tabs>
          <w:tab w:leader="none" w:pos="1739" w:val="left"/>
        </w:tabs>
        <w:numPr>
          <w:ilvl w:val="0"/>
          <w:numId w:val="4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Loan denominated in a Foreign Currency, on each of the following: (i) the date of the Borrowing of such Loan and (ii)(A) with respect to any Term Benchmark Loan, each date of a conversion or continuation of such Loan pursuant to the terms of this Agreement and (B) with respect to any RFR Loan, each date that is on the numerically corresponding day in each calendar month that is one month after the Borrowing of such Loan (or, if there is no such numerically corresponding day in such month, then the last day of such month),</w:t>
      </w:r>
    </w:p>
    <w:p>
      <w:pPr>
        <w:spacing w:after="0" w:line="149" w:lineRule="exact"/>
        <w:rPr>
          <w:rFonts w:ascii="Times New Roman" w:cs="Times New Roman" w:eastAsia="Times New Roman" w:hAnsi="Times New Roman"/>
          <w:sz w:val="20"/>
          <w:szCs w:val="20"/>
          <w:color w:val="010000"/>
        </w:rPr>
      </w:pPr>
    </w:p>
    <w:p>
      <w:pPr>
        <w:jc w:val="both"/>
        <w:ind w:left="660" w:firstLine="644"/>
        <w:spacing w:after="0" w:line="235" w:lineRule="auto"/>
        <w:tabs>
          <w:tab w:leader="none" w:pos="1763" w:val="left"/>
        </w:tabs>
        <w:numPr>
          <w:ilvl w:val="0"/>
          <w:numId w:val="4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Letter of Credit denominated in a Foreign Currency, on each of the following: (i) the date on which such Letter of Credit is issued, (ii) the first Business Day of each calendar month and (iii) the date of any amendment of such Letter of Credit that has the effect of increasing the face amount thereof, and</w:t>
      </w:r>
    </w:p>
    <w:p>
      <w:pPr>
        <w:spacing w:after="0" w:line="161" w:lineRule="exact"/>
        <w:rPr>
          <w:rFonts w:ascii="Times New Roman" w:cs="Times New Roman" w:eastAsia="Times New Roman" w:hAnsi="Times New Roman"/>
          <w:sz w:val="20"/>
          <w:szCs w:val="20"/>
          <w:color w:val="010000"/>
        </w:rPr>
      </w:pPr>
    </w:p>
    <w:p>
      <w:pPr>
        <w:ind w:left="660" w:firstLine="644"/>
        <w:spacing w:after="0" w:line="269" w:lineRule="auto"/>
        <w:tabs>
          <w:tab w:leader="none" w:pos="1793" w:val="left"/>
        </w:tabs>
        <w:numPr>
          <w:ilvl w:val="0"/>
          <w:numId w:val="4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Credit Event, on any additional date as the Administrative Agent may determine at any time when an Event of Default exists.</w:t>
      </w:r>
    </w:p>
    <w:p>
      <w:pPr>
        <w:spacing w:after="0" w:line="146"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Each day upon or as of which the Administrative Agent determines Dollar Amounts as described in the preceding clauses (a), (b) and (c) is herein described as a “Computation Date” with respect to each Credit Event for which a Dollar Amount is determined on or as of such day.</w:t>
      </w:r>
    </w:p>
    <w:p>
      <w:pPr>
        <w:spacing w:after="0" w:line="119" w:lineRule="exact"/>
        <w:rPr>
          <w:sz w:val="20"/>
          <w:szCs w:val="20"/>
          <w:color w:val="auto"/>
        </w:rPr>
      </w:pPr>
    </w:p>
    <w:p>
      <w:pPr>
        <w:ind w:left="1300"/>
        <w:spacing w:after="0"/>
        <w:tabs>
          <w:tab w:leader="none" w:pos="2760" w:val="left"/>
        </w:tabs>
        <w:rPr>
          <w:sz w:val="20"/>
          <w:szCs w:val="20"/>
          <w:color w:val="auto"/>
        </w:rPr>
      </w:pPr>
      <w:r>
        <w:rPr>
          <w:rFonts w:ascii="Times New Roman" w:cs="Times New Roman" w:eastAsia="Times New Roman" w:hAnsi="Times New Roman"/>
          <w:sz w:val="20"/>
          <w:szCs w:val="20"/>
          <w:color w:val="010000"/>
        </w:rPr>
        <w:t>SECTION 2.05.</w:t>
      </w:r>
      <w:r>
        <w:rPr>
          <w:sz w:val="20"/>
          <w:szCs w:val="20"/>
          <w:color w:val="auto"/>
        </w:rPr>
        <w:tab/>
      </w:r>
      <w:r>
        <w:rPr>
          <w:rFonts w:ascii="Times New Roman" w:cs="Times New Roman" w:eastAsia="Times New Roman" w:hAnsi="Times New Roman"/>
          <w:sz w:val="19"/>
          <w:szCs w:val="19"/>
          <w:u w:val="single" w:color="auto"/>
          <w:color w:val="auto"/>
        </w:rPr>
        <w:t>[Intentionally Omitted]</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50</w:t>
      </w:r>
    </w:p>
    <w:p>
      <w:pPr>
        <w:sectPr>
          <w:pgSz w:w="11900" w:h="16838" w:orient="portrait"/>
          <w:cols w:equalWidth="0" w:num="1">
            <w:col w:w="11240"/>
          </w:cols>
          <w:pgMar w:left="320" w:top="1399" w:right="339" w:bottom="1440" w:gutter="0" w:footer="0" w:header="0"/>
        </w:sectPr>
      </w:pPr>
    </w:p>
    <w:bookmarkStart w:id="59" w:name="page60"/>
    <w:bookmarkEnd w:id="59"/>
    <w:p>
      <w:pPr>
        <w:jc w:val="both"/>
        <w:ind w:firstLine="1296"/>
        <w:spacing w:after="0" w:line="262" w:lineRule="auto"/>
        <w:rPr>
          <w:sz w:val="20"/>
          <w:szCs w:val="20"/>
          <w:color w:val="auto"/>
        </w:rPr>
      </w:pPr>
      <w:r>
        <w:rPr>
          <w:rFonts w:ascii="Times New Roman" w:cs="Times New Roman" w:eastAsia="Times New Roman" w:hAnsi="Times New Roman"/>
          <w:sz w:val="19"/>
          <w:szCs w:val="19"/>
          <w:color w:val="010000"/>
        </w:rPr>
        <w:t xml:space="preserve">SECTION 2.06. </w:t>
      </w:r>
      <w:r>
        <w:rPr>
          <w:rFonts w:ascii="Times New Roman" w:cs="Times New Roman" w:eastAsia="Times New Roman" w:hAnsi="Times New Roman"/>
          <w:sz w:val="19"/>
          <w:szCs w:val="19"/>
          <w:u w:val="single" w:color="auto"/>
          <w:color w:val="000000"/>
        </w:rPr>
        <w:t>Letters of Credit</w:t>
      </w:r>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u w:val="single" w:color="auto"/>
          <w:color w:val="000000"/>
        </w:rPr>
        <w:t>General</w:t>
      </w:r>
      <w:r>
        <w:rPr>
          <w:rFonts w:ascii="Times New Roman" w:cs="Times New Roman" w:eastAsia="Times New Roman" w:hAnsi="Times New Roman"/>
          <w:sz w:val="19"/>
          <w:szCs w:val="19"/>
          <w:color w:val="000000"/>
        </w:rPr>
        <w:t>. Subject to the terms and conditions set forth herein, the Company may request</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 xml:space="preserve">the issuance of Letters of Credit denominated in Agreed Currencies (x) for its own account or (y) for the account of its Subsidiaries, in a form reasonably acceptable to the Administrative Agent and the relevant Issuing Bank, at any time and from time to time during the Availability Period. The Company may arrange for the issuance by any Issuing Bank of a Letter of Credit to support payment and performance obligations of its Subsidiaries in such form, and in such manner, as may be required by local custom or law. Notwithstanding the foregoing, the letters of credit identified on </w:t>
      </w:r>
      <w:r>
        <w:rPr>
          <w:rFonts w:ascii="Times New Roman" w:cs="Times New Roman" w:eastAsia="Times New Roman" w:hAnsi="Times New Roman"/>
          <w:sz w:val="19"/>
          <w:szCs w:val="19"/>
          <w:u w:val="single" w:color="auto"/>
          <w:color w:val="000000"/>
        </w:rPr>
        <w:t>Schedule 2.06</w:t>
      </w:r>
      <w:r>
        <w:rPr>
          <w:rFonts w:ascii="Times New Roman" w:cs="Times New Roman" w:eastAsia="Times New Roman" w:hAnsi="Times New Roman"/>
          <w:sz w:val="19"/>
          <w:szCs w:val="19"/>
          <w:color w:val="000000"/>
        </w:rPr>
        <w:t xml:space="preserve"> (the “</w:t>
      </w:r>
      <w:r>
        <w:rPr>
          <w:rFonts w:ascii="Times New Roman" w:cs="Times New Roman" w:eastAsia="Times New Roman" w:hAnsi="Times New Roman"/>
          <w:sz w:val="19"/>
          <w:szCs w:val="19"/>
          <w:u w:val="single" w:color="auto"/>
          <w:color w:val="000000"/>
        </w:rPr>
        <w:t>Existing Letters of Credit</w:t>
      </w:r>
      <w:r>
        <w:rPr>
          <w:rFonts w:ascii="Times New Roman" w:cs="Times New Roman" w:eastAsia="Times New Roman" w:hAnsi="Times New Roman"/>
          <w:sz w:val="19"/>
          <w:szCs w:val="19"/>
          <w:color w:val="000000"/>
        </w:rPr>
        <w:t>”) shall be deemed to be “Letters of Credit” issued on the Restatement Effective Date for all purposes of the Loan Documents. In the event of any conflict between the terms and conditions of this Agreement and the terms and conditions of any Letter of Credit Agreement, the terms and conditions of this Agreement shall control. Notwithstanding anything herein to the contrary, no Issuing Bank shall have any obligation hereunder to issue, amend or extend and shall not issue, amend or extend any Letter of Credit the proceeds of which would be made available to any Person (i) to fund any activity or business of or with any Sanctioned Person, or in any country or territory that, at the time of such funding, is the subject of any Sanctions, (ii) in any manner that would result in a violation of any Sanctions by any party to this Agreement or (iii) in any manner that would result in a violation of one or more policies of the Issuing Bank applicable to letters of credit generally. Furthermore, no Issuing Bank shall be required to issue, amend or extend commercial letters of credit pursuant to this Agreement unless it agrees to do so at its own discretion.</w:t>
      </w:r>
    </w:p>
    <w:p>
      <w:pPr>
        <w:spacing w:after="0" w:line="4" w:lineRule="exact"/>
        <w:rPr>
          <w:sz w:val="20"/>
          <w:szCs w:val="20"/>
          <w:color w:val="auto"/>
        </w:rPr>
      </w:pPr>
    </w:p>
    <w:p>
      <w:pPr>
        <w:jc w:val="both"/>
        <w:ind w:left="660" w:firstLine="644"/>
        <w:spacing w:after="0" w:line="261" w:lineRule="auto"/>
        <w:tabs>
          <w:tab w:leader="none" w:pos="1779" w:val="left"/>
        </w:tabs>
        <w:numPr>
          <w:ilvl w:val="1"/>
          <w:numId w:val="4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Notice of Issuance, Amendment, Extension; Certain Conditions</w:t>
      </w:r>
      <w:r>
        <w:rPr>
          <w:rFonts w:ascii="Times New Roman" w:cs="Times New Roman" w:eastAsia="Times New Roman" w:hAnsi="Times New Roman"/>
          <w:sz w:val="19"/>
          <w:szCs w:val="19"/>
          <w:color w:val="auto"/>
        </w:rPr>
        <w:t>. To request the issuance of a Letter of Credit (or the amendment or extension of an outstanding Letter of Credit), the Company shall hand deliver or telecopy (or transmit by electronic communication, including an Approved Borrower Portal, if arrangements for doing so have been approved by the relevant Issuing Bank) to an Issuing Bank and the Administrative Agent (reasonably in advance of the requested date of issuance, amendment or extension, but in any event no less than three Business Days) a written notice requesting the issuance of a Letter of Credit, or identifying the Letter of Credit to be amended or extended, and specifying the date of issuance, amendment or extension (which shall be a Business Day), the date on which such Letter of Credit is to expire (which shall comply with paragraph (c) of this Section), the amount of such Letter of Credit, the Agreed Currency applicable thereto, the name and address of the beneficiary thereof and such other information as shall be necessary to prepare, amend or extend such Letter of Credit. In addition, as a condition to any such Letter of Credit issuance, the Company shall have entered into a continuing agreement (or other letter of credit agreement) for the issuance of letters of credit and/or shall submit a letter of credit application, in each case, as required by the Issuing Bank and using the Issuing Bank’s standard form (each, a “</w:t>
      </w:r>
      <w:r>
        <w:rPr>
          <w:rFonts w:ascii="Times New Roman" w:cs="Times New Roman" w:eastAsia="Times New Roman" w:hAnsi="Times New Roman"/>
          <w:sz w:val="19"/>
          <w:szCs w:val="19"/>
          <w:u w:val="single" w:color="auto"/>
          <w:color w:val="auto"/>
        </w:rPr>
        <w:t>Letter of Credit Agreement</w:t>
      </w:r>
      <w:r>
        <w:rPr>
          <w:rFonts w:ascii="Times New Roman" w:cs="Times New Roman" w:eastAsia="Times New Roman" w:hAnsi="Times New Roman"/>
          <w:sz w:val="19"/>
          <w:szCs w:val="19"/>
          <w:color w:val="auto"/>
        </w:rPr>
        <w:t>”). A Letter of Credit shall be issued, amended or extended only if (and upon issuance, amendment or extension of each Letter of Credit the Company shall be deemed to represent and warrant that), after giving effect to such issuance, amendment or extension subject to Sections 2.04 and 2.11(b), (i) the Dollar Amount of the LC Exposure shall not exceed $225,000,000, (ii) the sum of (x) the aggregate undrawn amount of all outstanding Letters of Credit issued by any Issuing Bank at such time plus (y) the aggregate amount of all LC Disbursements made by such Issuing Bank that have not yet been reimbursed by or on behalf of the Company at such time shall not exceed such Issuing Bank’s Letter of Credit Commitment, (iii) the sum of the Dollar Amount of the Total Revolving Credit Exposure shall not exceed the Aggregate Commitment, (iv) the Dollar Amount of each Lender’s Revolving Credit Exposure shall not exceed such Lender’s Commitment and</w:t>
      </w:r>
    </w:p>
    <w:p>
      <w:pPr>
        <w:spacing w:after="0" w:line="1" w:lineRule="exact"/>
        <w:rPr>
          <w:rFonts w:ascii="Times New Roman" w:cs="Times New Roman" w:eastAsia="Times New Roman" w:hAnsi="Times New Roman"/>
          <w:sz w:val="19"/>
          <w:szCs w:val="19"/>
          <w:color w:val="010000"/>
        </w:rPr>
      </w:pPr>
    </w:p>
    <w:p>
      <w:pPr>
        <w:jc w:val="both"/>
        <w:ind w:left="660" w:hanging="4"/>
        <w:spacing w:after="0" w:line="253" w:lineRule="auto"/>
        <w:tabs>
          <w:tab w:leader="none" w:pos="947"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Dollar Amount of the total outstanding Revolving Loans and LC Exposure, in each case denominated in Foreign Currencies, shall not exceed the Foreign Currency Sublimit. The Company may, at any time and from time to time, reduce the Letter of Credit Commitment of any Issuing Bank with the consent of such Issuing Bank;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Company shall not reduce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51</w:t>
      </w:r>
    </w:p>
    <w:p>
      <w:pPr>
        <w:sectPr>
          <w:pgSz w:w="11900" w:h="16838" w:orient="portrait"/>
          <w:cols w:equalWidth="0" w:num="1">
            <w:col w:w="11240"/>
          </w:cols>
          <w:pgMar w:left="320" w:top="1413" w:right="339" w:bottom="1440" w:gutter="0" w:footer="0" w:header="0"/>
        </w:sectPr>
      </w:pPr>
    </w:p>
    <w:bookmarkStart w:id="60" w:name="page61"/>
    <w:bookmarkEnd w:id="60"/>
    <w:p>
      <w:pPr>
        <w:spacing w:after="0" w:line="283" w:lineRule="auto"/>
        <w:rPr>
          <w:sz w:val="20"/>
          <w:szCs w:val="20"/>
          <w:color w:val="auto"/>
        </w:rPr>
      </w:pPr>
      <w:r>
        <w:rPr>
          <w:rFonts w:ascii="Times New Roman" w:cs="Times New Roman" w:eastAsia="Times New Roman" w:hAnsi="Times New Roman"/>
          <w:sz w:val="20"/>
          <w:szCs w:val="20"/>
          <w:color w:val="auto"/>
        </w:rPr>
        <w:t>the Letter of Credit Commitment of any Issuing Bank if, after giving effect of such reduction, the conditions set forth in the immediately preceding clauses (i) through (v) shall not be satisfied.</w:t>
      </w:r>
    </w:p>
    <w:p>
      <w:pPr>
        <w:spacing w:after="0" w:line="133" w:lineRule="exact"/>
        <w:rPr>
          <w:sz w:val="20"/>
          <w:szCs w:val="20"/>
          <w:color w:val="auto"/>
        </w:rPr>
      </w:pPr>
    </w:p>
    <w:p>
      <w:pPr>
        <w:jc w:val="both"/>
        <w:ind w:firstLine="644"/>
        <w:spacing w:after="0" w:line="253" w:lineRule="auto"/>
        <w:tabs>
          <w:tab w:leader="none" w:pos="1090" w:val="left"/>
        </w:tabs>
        <w:numPr>
          <w:ilvl w:val="0"/>
          <w:numId w:val="4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Expiration Date</w:t>
      </w:r>
      <w:r>
        <w:rPr>
          <w:rFonts w:ascii="Times New Roman" w:cs="Times New Roman" w:eastAsia="Times New Roman" w:hAnsi="Times New Roman"/>
          <w:sz w:val="20"/>
          <w:szCs w:val="20"/>
          <w:color w:val="auto"/>
        </w:rPr>
        <w:t>. Each Letter of Credit shall expire (or be subject to termination by notice from the Issuing Bank to the beneficiary thereof) at or prior to the close of business on the date that is three (3) Business Days prior to the Revolving Credit Maturity Date. Notwithstanding the foregoing, any Letter of Credit may expire no later than one year after the Maturity Date so long as the Company cash collateralizes an amount equal to 105% of the face amount of such Letter of Credit, at least sixty (60) days prior to the Maturity Date, in the manner described in Section 2.06(j) and otherwise on terms and conditions reasonably acceptable to the relevant Issuing Bank and the Administrative Agent.</w:t>
      </w:r>
    </w:p>
    <w:p>
      <w:pPr>
        <w:spacing w:after="0" w:line="165" w:lineRule="exact"/>
        <w:rPr>
          <w:rFonts w:ascii="Times New Roman" w:cs="Times New Roman" w:eastAsia="Times New Roman" w:hAnsi="Times New Roman"/>
          <w:sz w:val="20"/>
          <w:szCs w:val="20"/>
          <w:color w:val="010000"/>
        </w:rPr>
      </w:pPr>
    </w:p>
    <w:p>
      <w:pPr>
        <w:jc w:val="both"/>
        <w:ind w:firstLine="644"/>
        <w:spacing w:after="0" w:line="250" w:lineRule="auto"/>
        <w:tabs>
          <w:tab w:leader="none" w:pos="1119" w:val="left"/>
        </w:tabs>
        <w:numPr>
          <w:ilvl w:val="0"/>
          <w:numId w:val="4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Participations</w:t>
      </w:r>
      <w:r>
        <w:rPr>
          <w:rFonts w:ascii="Times New Roman" w:cs="Times New Roman" w:eastAsia="Times New Roman" w:hAnsi="Times New Roman"/>
          <w:sz w:val="20"/>
          <w:szCs w:val="20"/>
          <w:color w:val="auto"/>
        </w:rPr>
        <w:t>. By the issuance of a Letter of Credit (or an amendment to a Letter of Credit increasing the amount or extending the term thereof) and without any further action on the part of any Issuing Bank or the Lenders, each Issuing Bank hereby grants to each Lender, and each Lender hereby acquires from each Issuing Bank, a participation in such Letter of Credit equal to such Lender’s Applicable Percentage of the aggregate Dollar Amount available to be drawn under such Letter of Credit. In consideration and in furtherance of the foregoing, each Lender hereby absolutely and unconditionally agrees to pay to the Administrative Agent, for the account of the relevant Issuing Bank, such Lender’s Applicable Percentage of each LC Disbursement made by such Issuing Bank and not reimbursed by the Company on the date due as provided in paragraph (e) of this Section, or of any reimbursement payment required to be refunded to the Company for any reason, including after the Maturity Date. Each Lender acknowledges and agrees that its obligation to acquire participations pursuant to this paragraph in respect of Letters of Credit and to make payments in respect of such acquired participations are absolute and unconditional and shall not be affected by any circumstance whatsoever, including any amendment or extension of any Letter of Credit or the occurrence and continuance of a Default or reduction or termination of the Commitments, and that each such payment shall be made without any offset, abatement, withholding or reduction whatsoever.</w:t>
      </w:r>
    </w:p>
    <w:p>
      <w:pPr>
        <w:spacing w:after="0" w:line="152" w:lineRule="exact"/>
        <w:rPr>
          <w:rFonts w:ascii="Times New Roman" w:cs="Times New Roman" w:eastAsia="Times New Roman" w:hAnsi="Times New Roman"/>
          <w:sz w:val="20"/>
          <w:szCs w:val="20"/>
          <w:color w:val="010000"/>
        </w:rPr>
      </w:pPr>
    </w:p>
    <w:p>
      <w:pPr>
        <w:jc w:val="both"/>
        <w:ind w:firstLine="644"/>
        <w:spacing w:after="0" w:line="210" w:lineRule="auto"/>
        <w:tabs>
          <w:tab w:leader="none" w:pos="1130" w:val="left"/>
        </w:tabs>
        <w:numPr>
          <w:ilvl w:val="0"/>
          <w:numId w:val="4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Reimbursement</w:t>
      </w:r>
      <w:r>
        <w:rPr>
          <w:rFonts w:ascii="Times New Roman" w:cs="Times New Roman" w:eastAsia="Times New Roman" w:hAnsi="Times New Roman"/>
          <w:sz w:val="20"/>
          <w:szCs w:val="20"/>
          <w:color w:val="auto"/>
        </w:rPr>
        <w:t xml:space="preserve">. If any Issuing Bank shall make any LC Disbursement in respect of a Letter of Credit, the Company shall reimburse such LC Disbursement by paying to the Administrative Agent in Dollars the Dollar Amount equal to such LC Disbursement, calculated as of the date such Issuing Bank made such LC Disbursement (or if an Issuing Bank shall so elect in its sole discretion by notice to the Company, in such other Agreed Currency which was paid by such Issuing Bank pursuant to such LC Disbursement in an amount equal to such LC Disbursement) not later than 12:00 noon, New York City time, on the second Business Day immediately following the day that the Company receives such notice;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such LC Disbursement is not less than the Dollar Amount of $1,000,000, the Company may, subject to the conditions to borrowing set forth herein, request in accordance with Section 2.03 that such payment be financed with (i) to the extent such LC Disbursement was made in Dollars, an ABR Revolving Borrowing or Term Benchmark Revolving Borrowing in Dollars in an amount equal to such LC Disbursement or (ii) to the extent that such LC Disbursement was made in a Foreign Currency, a Term Benchmark Revolving Borrowing or an RFR Revolving Borrowing in such Foreign Currency in an amount equal to such LC Disbursement and, in each case, to the extent so financed, the Company’s obligation to make such payment shall be discharged and replaced by the resulting ABR Revolving Borrowing, Term Benchmark Revolving Borrowing or RFR Revolving Borrowing, as applicable. If the Company fails to make such payment when due, the Administrative Agent shall notify each Lender of the applicable LC Disbursement, the payment then due from the Company in respect thereof and such Lender’s Applicable Percentage thereof. Promptly following receipt of such notice, each Lender shall pay to the Administrative Agent its Applicable Percentage of the payment then due from the Company, in the same manner as provided in Section 2.07 with respect to Loans made by such Lender (and Section 2.07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color w:val="auto"/>
        </w:rPr>
        <w:t>52</w:t>
      </w:r>
    </w:p>
    <w:p>
      <w:pPr>
        <w:sectPr>
          <w:pgSz w:w="11900" w:h="16838" w:orient="portrait"/>
          <w:cols w:equalWidth="0" w:num="1">
            <w:col w:w="10580"/>
          </w:cols>
          <w:pgMar w:left="980" w:top="1413"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9"/>
          <w:szCs w:val="19"/>
          <w:color w:val="auto"/>
        </w:rPr>
        <w:t xml:space="preserve">apply, </w:t>
      </w:r>
      <w:r>
        <w:rPr>
          <w:rFonts w:ascii="Times New Roman" w:cs="Times New Roman" w:eastAsia="Times New Roman" w:hAnsi="Times New Roman"/>
          <w:sz w:val="19"/>
          <w:szCs w:val="19"/>
          <w:u w:val="single" w:color="auto"/>
          <w:color w:val="auto"/>
        </w:rPr>
        <w:t>mutatis mutandis</w:t>
      </w:r>
      <w:r>
        <w:rPr>
          <w:rFonts w:ascii="Times New Roman" w:cs="Times New Roman" w:eastAsia="Times New Roman" w:hAnsi="Times New Roman"/>
          <w:sz w:val="19"/>
          <w:szCs w:val="19"/>
          <w:color w:val="auto"/>
        </w:rPr>
        <w:t>, to the payment obligations of the Lenders), and the Administrative Agent shall promptly pay to the relevant</w:t>
      </w:r>
    </w:p>
    <w:p>
      <w:pPr>
        <w:spacing w:after="0" w:line="6"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Issuing Bank the amounts so received by it from the Lenders. Promptly following receipt by the Administrative Agent of any payment from the Company pursuant to this paragraph, the Administrative Agent shall distribute such payment to the relevant</w:t>
      </w:r>
    </w:p>
    <w:p>
      <w:pPr>
        <w:spacing w:after="0" w:line="211" w:lineRule="auto"/>
        <w:rPr>
          <w:sz w:val="20"/>
          <w:szCs w:val="20"/>
          <w:color w:val="auto"/>
        </w:rPr>
      </w:pPr>
      <w:r>
        <w:rPr>
          <w:rFonts w:ascii="Times New Roman" w:cs="Times New Roman" w:eastAsia="Times New Roman" w:hAnsi="Times New Roman"/>
          <w:sz w:val="20"/>
          <w:szCs w:val="20"/>
          <w:color w:val="auto"/>
        </w:rPr>
        <w:t>Issuing Bank or, to the extent that Lenders have made payments pursuant to this paragraph to reimburse such Issuing Bank, then to</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such Lenders and such Issuing Bank as their interests may appear. Any payment made by a Lender pursuant to this paragraph to reimburse an Issuing Bank for any LC Disbursement (other than the funding of Revolving Loans as contemplated above) shall not</w:t>
      </w:r>
    </w:p>
    <w:p>
      <w:pPr>
        <w:spacing w:after="0" w:line="211" w:lineRule="auto"/>
        <w:rPr>
          <w:sz w:val="20"/>
          <w:szCs w:val="20"/>
          <w:color w:val="auto"/>
        </w:rPr>
      </w:pPr>
      <w:r>
        <w:rPr>
          <w:rFonts w:ascii="Times New Roman" w:cs="Times New Roman" w:eastAsia="Times New Roman" w:hAnsi="Times New Roman"/>
          <w:sz w:val="20"/>
          <w:szCs w:val="20"/>
          <w:color w:val="auto"/>
        </w:rPr>
        <w:t>constitute a Loan and shall not relieve the Company of its obligation to reimburse such LC Disbursement. If the Company’s</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reimbursement of, or obligation to reimburse, any amounts in any Foreign Currency would subject the Administrative Agent, any Issuing Bank or any Lender to any stamp duty, ad valorem charge or similar tax that would not be payable if such reimbursement</w:t>
      </w:r>
    </w:p>
    <w:p>
      <w:pPr>
        <w:spacing w:after="0" w:line="223" w:lineRule="auto"/>
        <w:rPr>
          <w:sz w:val="20"/>
          <w:szCs w:val="20"/>
          <w:color w:val="auto"/>
        </w:rPr>
      </w:pPr>
      <w:r>
        <w:rPr>
          <w:rFonts w:ascii="Times New Roman" w:cs="Times New Roman" w:eastAsia="Times New Roman" w:hAnsi="Times New Roman"/>
          <w:sz w:val="19"/>
          <w:szCs w:val="19"/>
          <w:color w:val="auto"/>
        </w:rPr>
        <w:t>were made or required to be made in Dollars, the Company shall, at its option, either (x) pay the amount of any such tax requested by</w:t>
      </w:r>
    </w:p>
    <w:p>
      <w:pPr>
        <w:jc w:val="both"/>
        <w:spacing w:after="0" w:line="233" w:lineRule="auto"/>
        <w:rPr>
          <w:sz w:val="20"/>
          <w:szCs w:val="20"/>
          <w:color w:val="auto"/>
        </w:rPr>
      </w:pPr>
      <w:r>
        <w:rPr>
          <w:rFonts w:ascii="Times New Roman" w:cs="Times New Roman" w:eastAsia="Times New Roman" w:hAnsi="Times New Roman"/>
          <w:sz w:val="19"/>
          <w:szCs w:val="19"/>
          <w:color w:val="auto"/>
        </w:rPr>
        <w:t>the Administrative Agent, the relevant Issuing Bank or the relevant Lender or (y) reimburse each LC Disbursement made in such Foreign Currency in Dollars, in an amount equal to the Dollar Amount thereof calculated on the date such LC Disbursement is made.</w:t>
      </w:r>
    </w:p>
    <w:p>
      <w:pPr>
        <w:spacing w:after="0" w:line="148" w:lineRule="exact"/>
        <w:rPr>
          <w:sz w:val="20"/>
          <w:szCs w:val="20"/>
          <w:color w:val="auto"/>
        </w:rPr>
      </w:pPr>
    </w:p>
    <w:p>
      <w:pPr>
        <w:jc w:val="both"/>
        <w:ind w:firstLine="644"/>
        <w:spacing w:after="0" w:line="208" w:lineRule="auto"/>
        <w:tabs>
          <w:tab w:leader="none" w:pos="1106" w:val="left"/>
        </w:tabs>
        <w:numPr>
          <w:ilvl w:val="0"/>
          <w:numId w:val="4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Obligations Absolute</w:t>
      </w:r>
      <w:r>
        <w:rPr>
          <w:rFonts w:ascii="Times New Roman" w:cs="Times New Roman" w:eastAsia="Times New Roman" w:hAnsi="Times New Roman"/>
          <w:sz w:val="20"/>
          <w:szCs w:val="20"/>
          <w:color w:val="auto"/>
        </w:rPr>
        <w:t xml:space="preserve">. The Company’s obligation to reimburse LC Disbursements as provided in paragraph (e) of this Section shall be absolute, unconditional and irrevocable, and shall be performed strictly in accordance with the terms of this Agreement under any and all circumstances whatsoever and irrespective of (i) any lack of validity or enforceability of any Letter of Credit, any Letter of Credit Agreement or this Agreement, or any term or provision therein or herein, (ii) any draft or other document presented under a Letter of Credit proving to be forged, fraudulent or invalid in any respect or any statement therein being untrue or inaccurate in any respect, (iii) any payment by an Issuing Bank under a Letter of Credit against presentation of a draft or other document that does not comply with the terms of such Letter of Credit, (iv) any other event or circumstance whatsoever, whether or not similar to any of the foregoing, that might, but for the provisions of this Section, constitute a legal or equitable discharge of, or provide a right of setoff against, the Company’s obligations hereunder or (v) any adverse change in the relevant exchange rates or in the availability of the relevant Foreign Currency to the Company or any Subsidiary or in the relevant currency markets generally. Neither the Administrative Agent, the Lenders nor any Issuing Bank, nor any of their respective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document, notice or other communication under or relating to any Letter of Credit (including any document required to make a drawing thereunder), any error in interpretation of technical terms, any error in translation or any consequence arising from causes beyond the control of the relevant Issuing Bank;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foregoing shall not be construed to excuse any Issuing Bank from liability to the Company to the extent of any direct damages (as opposed to special, indirect, consequential or punitive damages, claims in respect of which are hereby waived by the Company to the extent permitted by applicable law) suffered by the Company that are caused by such Issuing Bank’s failure to exercise care when determining whether drafts and other documents presented under a Letter of Credit comply with the terms thereof. The parties hereto expressly agree that, in the absence of gross negligence or willful misconduct on the part of any Issuing Bank (as finally determined by a court of competent jurisdiction), such Issuing Bank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Letter of Credit, each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spacing w:after="0" w:line="153" w:lineRule="exact"/>
        <w:rPr>
          <w:rFonts w:ascii="Times New Roman" w:cs="Times New Roman" w:eastAsia="Times New Roman" w:hAnsi="Times New Roman"/>
          <w:sz w:val="20"/>
          <w:szCs w:val="20"/>
          <w:color w:val="010000"/>
        </w:rPr>
      </w:pPr>
    </w:p>
    <w:p>
      <w:pPr>
        <w:jc w:val="both"/>
        <w:ind w:firstLine="644"/>
        <w:spacing w:after="0" w:line="226" w:lineRule="auto"/>
        <w:tabs>
          <w:tab w:leader="none" w:pos="1111" w:val="left"/>
        </w:tabs>
        <w:numPr>
          <w:ilvl w:val="0"/>
          <w:numId w:val="4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Disbursement Procedures</w:t>
      </w:r>
      <w:r>
        <w:rPr>
          <w:rFonts w:ascii="Times New Roman" w:cs="Times New Roman" w:eastAsia="Times New Roman" w:hAnsi="Times New Roman"/>
          <w:sz w:val="20"/>
          <w:szCs w:val="20"/>
          <w:color w:val="auto"/>
        </w:rPr>
        <w:t>. Each Issuing Bank shall, for any Letter of Credit issued by it, within the time allowed by applicable law or the specific terms of the Letter of Credit following its receipt thereof, examine all documents purporting to represent a demand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color w:val="auto"/>
        </w:rPr>
        <w:t>53</w:t>
      </w:r>
    </w:p>
    <w:p>
      <w:pPr>
        <w:sectPr>
          <w:pgSz w:w="11900" w:h="16838" w:orient="portrait"/>
          <w:cols w:equalWidth="0" w:num="1">
            <w:col w:w="10580"/>
          </w:cols>
          <w:pgMar w:left="980" w:top="1399"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20"/>
          <w:szCs w:val="20"/>
          <w:color w:val="auto"/>
        </w:rPr>
        <w:t>payment under a Letter of Credit. Each Issuing Bank shall promptly after such examination notify the Administrative Agent and the</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Company by telephone (confirmed by telecopy or electronic mail) of such demand for payment and whether such Issuing Bank has made or will make an LC Disbursement thereunder;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notice need not be given prior to payment by the Issuing</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Bank and any failure to give or delay in giving such notice shall not relieve the Company of its obligation to reimburse such Issuing Bank and the Lenders with respect to any such LC Disbursement.</w:t>
      </w:r>
    </w:p>
    <w:p>
      <w:pPr>
        <w:spacing w:after="0" w:line="135" w:lineRule="exact"/>
        <w:rPr>
          <w:sz w:val="20"/>
          <w:szCs w:val="20"/>
          <w:color w:val="auto"/>
        </w:rPr>
      </w:pPr>
    </w:p>
    <w:p>
      <w:pPr>
        <w:jc w:val="both"/>
        <w:ind w:firstLine="644"/>
        <w:spacing w:after="0" w:line="212" w:lineRule="auto"/>
        <w:tabs>
          <w:tab w:leader="none" w:pos="1090" w:val="left"/>
        </w:tabs>
        <w:numPr>
          <w:ilvl w:val="0"/>
          <w:numId w:val="4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Interim Interest</w:t>
      </w:r>
      <w:r>
        <w:rPr>
          <w:rFonts w:ascii="Times New Roman" w:cs="Times New Roman" w:eastAsia="Times New Roman" w:hAnsi="Times New Roman"/>
          <w:sz w:val="20"/>
          <w:szCs w:val="20"/>
          <w:color w:val="auto"/>
        </w:rPr>
        <w:t xml:space="preserve">. If any Issuing Bank shall make any LC Disbursement, then, unless the Company shall reimburse such LC Disbursement in full in the applicable currency on the date such LC Disbursement is made, the unpaid amount thereof shall bear interest, for each day from and including the date such LC Disbursement is made to but excluding the date that the reimbursement is due and payable at the rate per annum then applicable to ABR Revolving Loans (or in the case such LC Disbursement is denominated in a Foreign Currency, at the Overnight Rate for such Agreed Currency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then effective Applicable Rate with respect to Term Benchmark Revolving Loans) and such interest shall be due and payable on the date when such reimbursement is payable;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Company fails to reimburse such LC Disbursement when due pursuant to paragraph (e) of this Section, then Section 2.13(d) shall apply. Interest accrued pursuant to this paragraph shall be for the account of such Issuing Bank, except that interest accrued on and after the date of payment by any Lender pursuant to paragraph (e) of this Section to reimburse such Issuing Bank for such LC Disbursement shall be for the account of such Lender to the extent of such payment.</w:t>
      </w:r>
    </w:p>
    <w:p>
      <w:pPr>
        <w:spacing w:after="0" w:line="155" w:lineRule="exact"/>
        <w:rPr>
          <w:rFonts w:ascii="Times New Roman" w:cs="Times New Roman" w:eastAsia="Times New Roman" w:hAnsi="Times New Roman"/>
          <w:sz w:val="20"/>
          <w:szCs w:val="20"/>
          <w:color w:val="010000"/>
        </w:rPr>
      </w:pPr>
    </w:p>
    <w:p>
      <w:pPr>
        <w:jc w:val="both"/>
        <w:ind w:firstLine="644"/>
        <w:spacing w:after="0" w:line="250" w:lineRule="auto"/>
        <w:tabs>
          <w:tab w:leader="none" w:pos="1184" w:val="left"/>
        </w:tabs>
        <w:numPr>
          <w:ilvl w:val="0"/>
          <w:numId w:val="4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Replacement and Resignation of an Issuing Bank</w:t>
      </w:r>
      <w:r>
        <w:rPr>
          <w:rFonts w:ascii="Times New Roman" w:cs="Times New Roman" w:eastAsia="Times New Roman" w:hAnsi="Times New Roman"/>
          <w:sz w:val="20"/>
          <w:szCs w:val="20"/>
          <w:color w:val="auto"/>
        </w:rPr>
        <w:t>. (A) Any Issuing Bank may be replaced at any time by written agreement among the Company, the Administrative Agent, the replaced Issuing Bank and the successor Issuing Bank. The Administrative Agent shall notify the Lenders of any such replacement of an Issuing Bank. At the time any such replacement shall become effective, the Company shall pay all unpaid fees accrued for the account of the replaced Issuing Bank pursuant to Section 2.12(b). From and after the effective date of any such replacement, (i) the successor Issuing Bank shall have all the rights and obligations of an Issuing Bank under this Agreement with respect to Letters of Credit to be issued thereafter and (ii) references herein to the term “Issuing Bank” shall be deemed to refer to such successor or to any previous Issuing Bank, or to such successor and all previous Issuing Banks, as the context shall require. After the replacement of an Issuing Bank hereunder, the replaced Issuing Bank shall remain a party hereto and shall continue to have all the rights and obligations of an Issuing Bank under this Agreement with respect to Letters of Credit then outstanding and issued by it prior to such replacement, but shall not be required to issue additional Letters of Credit or extend or otherwise amend any existing Letter of Credit.</w:t>
      </w:r>
    </w:p>
    <w:p>
      <w:pPr>
        <w:spacing w:after="0" w:line="172" w:lineRule="exact"/>
        <w:rPr>
          <w:rFonts w:ascii="Times New Roman" w:cs="Times New Roman" w:eastAsia="Times New Roman" w:hAnsi="Times New Roman"/>
          <w:sz w:val="20"/>
          <w:szCs w:val="20"/>
          <w:color w:val="010000"/>
        </w:rPr>
      </w:pPr>
    </w:p>
    <w:p>
      <w:pPr>
        <w:jc w:val="both"/>
        <w:ind w:firstLine="1292"/>
        <w:spacing w:after="0" w:line="268" w:lineRule="auto"/>
        <w:tabs>
          <w:tab w:leader="none" w:pos="1637" w:val="left"/>
        </w:tabs>
        <w:numPr>
          <w:ilvl w:val="1"/>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appointment and acceptance of a successor Issuing Bank, any Issuing Bank may resign as an Issuing Bank at any time upon thirty days’ prior written notice to the Administrative Agent, the Company and the Lenders, in which case, such resigning Issuing Bank shall be replaced in accordance with Section 2.06(i)(A) above.</w:t>
      </w:r>
    </w:p>
    <w:p>
      <w:pPr>
        <w:spacing w:after="0" w:line="188" w:lineRule="exact"/>
        <w:rPr>
          <w:rFonts w:ascii="Times New Roman" w:cs="Times New Roman" w:eastAsia="Times New Roman" w:hAnsi="Times New Roman"/>
          <w:sz w:val="20"/>
          <w:szCs w:val="20"/>
          <w:color w:val="auto"/>
        </w:rPr>
      </w:pPr>
    </w:p>
    <w:p>
      <w:pPr>
        <w:jc w:val="both"/>
        <w:ind w:firstLine="644"/>
        <w:spacing w:after="0" w:line="253" w:lineRule="auto"/>
        <w:tabs>
          <w:tab w:leader="none" w:pos="1087" w:val="left"/>
        </w:tabs>
        <w:numPr>
          <w:ilvl w:val="0"/>
          <w:numId w:val="4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Cash Collateralization</w:t>
      </w:r>
      <w:r>
        <w:rPr>
          <w:rFonts w:ascii="Times New Roman" w:cs="Times New Roman" w:eastAsia="Times New Roman" w:hAnsi="Times New Roman"/>
          <w:sz w:val="20"/>
          <w:szCs w:val="20"/>
          <w:color w:val="auto"/>
        </w:rPr>
        <w:t>. If any Event of Default shall occur and be continuing, on the Business Day that the Company receives notice from the Administrative Agent or the Required Lenders (or, if the maturity of the Loans has been accelerated, Lenders with LC Exposure representing greater than 50% of the total LC Exposure) demanding the deposit of cash collateral pursuant to this paragraph, the Company shall deposit in an account with the Administrative Agent, in the name of the Administrative Agent and for the benefit of the Lenders (the “</w:t>
      </w:r>
      <w:r>
        <w:rPr>
          <w:rFonts w:ascii="Times New Roman" w:cs="Times New Roman" w:eastAsia="Times New Roman" w:hAnsi="Times New Roman"/>
          <w:sz w:val="20"/>
          <w:szCs w:val="20"/>
          <w:u w:val="single" w:color="auto"/>
          <w:color w:val="auto"/>
        </w:rPr>
        <w:t>LC Collateral Account</w:t>
      </w:r>
      <w:r>
        <w:rPr>
          <w:rFonts w:ascii="Times New Roman" w:cs="Times New Roman" w:eastAsia="Times New Roman" w:hAnsi="Times New Roman"/>
          <w:sz w:val="20"/>
          <w:szCs w:val="20"/>
          <w:color w:val="auto"/>
        </w:rPr>
        <w:t xml:space="preserve">”), an amount in cash equal to 105% of the Dollar Amount of the LC Exposure as of such date plus any accrued and unpaid interest thereon;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the portions of such amount attributable to undrawn Foreign Currency Letters of Credit or 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color w:val="auto"/>
        </w:rPr>
        <w:t>54</w:t>
      </w:r>
    </w:p>
    <w:p>
      <w:pPr>
        <w:sectPr>
          <w:pgSz w:w="11900" w:h="16838" w:orient="portrait"/>
          <w:cols w:equalWidth="0" w:num="1">
            <w:col w:w="10580"/>
          </w:cols>
          <w:pgMar w:left="980" w:top="1394" w:right="339" w:bottom="1440" w:gutter="0" w:footer="0" w:header="0"/>
        </w:sectPr>
      </w:pPr>
    </w:p>
    <w:bookmarkStart w:id="63" w:name="page64"/>
    <w:bookmarkEnd w:id="63"/>
    <w:p>
      <w:pPr>
        <w:jc w:val="both"/>
        <w:ind w:left="4"/>
        <w:spacing w:after="0" w:line="249" w:lineRule="auto"/>
        <w:rPr>
          <w:sz w:val="20"/>
          <w:szCs w:val="20"/>
          <w:color w:val="auto"/>
        </w:rPr>
      </w:pPr>
      <w:r>
        <w:rPr>
          <w:rFonts w:ascii="Times New Roman" w:cs="Times New Roman" w:eastAsia="Times New Roman" w:hAnsi="Times New Roman"/>
          <w:sz w:val="20"/>
          <w:szCs w:val="20"/>
          <w:color w:val="auto"/>
        </w:rPr>
        <w:t>Disbursements in a Foreign Currency that the Company is not late in reimbursing shall be deposited in the applicable Foreign Currencies in the actual amounts of such undrawn Letters of Credit and LC Disbursements and (ii) the obligation to deposit such cash collateral shall become effective immediately, and such deposit shall become immediately due and payable, without demand or other notice of any kind, upon the occurrence of any Event of Default with respect to any Borrower described in clause (h) or (i) of Article VII. For the purposes of this paragraph, the Dollar Amount of the Foreign Currency LC Exposure shall be calculated on the date notice demanding cash collateralization is delivered to the Company. The Company also shall deposit cash collateral pursuant to this paragraph as and to the extent required by Section 2.06(c) and Section 2.11(b). Such deposit shall be held by the Administrative Agent as collateral for the payment and performance of the Obligations. The Administrative Agent shall have exclusive dominion and control, including the exclusive right of withdrawal, over such account. Other than any interest earned on the investment of such deposits, which investments shall be made at the option and sole discretion of the Administrative Agent and at the Company’s risk and expense, such deposits shall not bear interest. Interest or profits, if any, on such investments shall accumulate in such account. Moneys in such account shall be applied by the Administrative Agent to reimburse the relevant Issuing Bank for LC Disbursements for which it has not been reimbursed, together with customary related fees, customary costs and customary processing charges, and, to the extent not so applied, shall be held for the satisfaction of the reimbursement obligations of the Company for the LC Exposure at such time or, if the maturity of the Loans has been accelerated (but subject to the consent of Lenders with LC Exposure representing greater than 50% of the total LC Exposure), be applied to satisfy other Obligations. If the Company is required to provide an amount of cash collateral hereunder as a result of the occurrence of an Event of Default, such amount (to the extent not applied as aforesaid) shall be returned to the Company within three (3) Business Days after all Events of Default have been cured or waived.</w:t>
      </w:r>
    </w:p>
    <w:p>
      <w:pPr>
        <w:spacing w:after="0" w:line="178" w:lineRule="exact"/>
        <w:rPr>
          <w:sz w:val="20"/>
          <w:szCs w:val="20"/>
          <w:color w:val="auto"/>
        </w:rPr>
      </w:pPr>
    </w:p>
    <w:p>
      <w:pPr>
        <w:jc w:val="both"/>
        <w:ind w:left="4" w:firstLine="644"/>
        <w:spacing w:after="0" w:line="252" w:lineRule="auto"/>
        <w:tabs>
          <w:tab w:leader="none" w:pos="1037" w:val="left"/>
        </w:tabs>
        <w:numPr>
          <w:ilvl w:val="1"/>
          <w:numId w:val="4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Issuing Bank Agreements</w:t>
      </w:r>
      <w:r>
        <w:rPr>
          <w:rFonts w:ascii="Times New Roman" w:cs="Times New Roman" w:eastAsia="Times New Roman" w:hAnsi="Times New Roman"/>
          <w:sz w:val="20"/>
          <w:szCs w:val="20"/>
          <w:color w:val="auto"/>
        </w:rPr>
        <w:t>. Each Issuing Bank agrees that, unless otherwise requested by the Administrative Agent, such Issuing Bank shall report in writing to the Administrative Agent (i) on or prior to each Business Day on which such Issuing Bank expects to issue, amend or extend any Letter of Credit, the date of such issuance, amendment or extension, and the aggregate face amount of the Letters of Credit to be issued, amended, renewed or extended by it and outstanding after giving effect to such issuance, amendment, renewal or extension occurred (and whether the amount thereof changed), (ii) on each Business Day on which such Issuing Bank makes any LC Disbursement, the date of such LC Disbursement and the amount of such LC Disbursement, (iii) on any Business Day on which the Company fails to reimburse an LC Disbursement required to be reimbursed to such Issuing Bank on such day, the date of such failure and the amount and currency of such LC Disbursement and (iv) on any other Business Day, such other information as the Administrative Agent shall reasonably request.</w:t>
      </w:r>
    </w:p>
    <w:p>
      <w:pPr>
        <w:spacing w:after="0" w:line="162" w:lineRule="exact"/>
        <w:rPr>
          <w:rFonts w:ascii="Times New Roman" w:cs="Times New Roman" w:eastAsia="Times New Roman" w:hAnsi="Times New Roman"/>
          <w:sz w:val="20"/>
          <w:szCs w:val="20"/>
          <w:color w:val="010000"/>
        </w:rPr>
      </w:pPr>
    </w:p>
    <w:p>
      <w:pPr>
        <w:jc w:val="both"/>
        <w:ind w:left="4" w:firstLine="644"/>
        <w:spacing w:after="0" w:line="264" w:lineRule="auto"/>
        <w:tabs>
          <w:tab w:leader="none" w:pos="1175" w:val="left"/>
        </w:tabs>
        <w:numPr>
          <w:ilvl w:val="1"/>
          <w:numId w:val="4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Letters of Credit Issued for Account of Subsidiaries</w:t>
      </w:r>
      <w:r>
        <w:rPr>
          <w:rFonts w:ascii="Times New Roman" w:cs="Times New Roman" w:eastAsia="Times New Roman" w:hAnsi="Times New Roman"/>
          <w:sz w:val="19"/>
          <w:szCs w:val="19"/>
          <w:color w:val="auto"/>
        </w:rPr>
        <w:t>. Notwithstanding that a Letter of Credit issued or outstanding hereunder supports any obligations of, or is for the account of, a Subsidiary, or states that a Subsidiary is the “account party,” “applicant,” “customer,” “instructing party,” or the like of or for such Letter of Credit, and without derogating from any rights of the relevant Issuing Bank (whether arising by contract, at law, in equity or otherwise) against such Subsidiary in respect of such Letter of Credit, the Company (i) shall reimburse, indemnify and compensate such Issuing Bank hereunder for such Letter of Credit (including to reimburse any and all drawings thereunder) as if such Letter of Credit had been issued solely for the account of the Company and</w:t>
      </w:r>
    </w:p>
    <w:p>
      <w:pPr>
        <w:spacing w:after="0" w:line="4" w:lineRule="exact"/>
        <w:rPr>
          <w:rFonts w:ascii="Times New Roman" w:cs="Times New Roman" w:eastAsia="Times New Roman" w:hAnsi="Times New Roman"/>
          <w:sz w:val="19"/>
          <w:szCs w:val="19"/>
          <w:color w:val="010000"/>
        </w:rPr>
      </w:pPr>
    </w:p>
    <w:p>
      <w:pPr>
        <w:ind w:left="4" w:hanging="4"/>
        <w:spacing w:after="0" w:line="253" w:lineRule="auto"/>
        <w:tabs>
          <w:tab w:leader="none" w:pos="323"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irrevocably waives any and all defenses that might otherwise be available to it as a guarantor or surety of any or all of the obligations of such Subsidiary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0"/>
          <w:szCs w:val="20"/>
          <w:color w:val="auto"/>
        </w:rPr>
        <w:t>55</w:t>
      </w:r>
    </w:p>
    <w:p>
      <w:pPr>
        <w:sectPr>
          <w:pgSz w:w="11900" w:h="16838" w:orient="portrait"/>
          <w:cols w:equalWidth="0" w:num="1">
            <w:col w:w="10584"/>
          </w:cols>
          <w:pgMar w:left="976" w:top="1413" w:right="339" w:bottom="1440" w:gutter="0" w:footer="0" w:header="0"/>
        </w:sectPr>
      </w:pPr>
    </w:p>
    <w:bookmarkStart w:id="64" w:name="page65"/>
    <w:bookmarkEnd w:id="64"/>
    <w:p>
      <w:pPr>
        <w:jc w:val="both"/>
        <w:ind w:left="660"/>
        <w:spacing w:after="0" w:line="261" w:lineRule="auto"/>
        <w:rPr>
          <w:sz w:val="20"/>
          <w:szCs w:val="20"/>
          <w:color w:val="auto"/>
        </w:rPr>
      </w:pPr>
      <w:r>
        <w:rPr>
          <w:rFonts w:ascii="Times New Roman" w:cs="Times New Roman" w:eastAsia="Times New Roman" w:hAnsi="Times New Roman"/>
          <w:sz w:val="20"/>
          <w:szCs w:val="20"/>
          <w:color w:val="auto"/>
        </w:rPr>
        <w:t>respect of such Letter of Credit. The Company hereby acknowledges that the issuance of such Letters of Credit for its Subsidiaries inures to the benefit of the Company, and that the Company’s business derives substantial benefits from the businesses of such Subsidiaries.</w:t>
      </w:r>
    </w:p>
    <w:p>
      <w:pPr>
        <w:spacing w:after="0" w:line="154"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0"/>
          <w:szCs w:val="20"/>
          <w:color w:val="010000"/>
        </w:rPr>
        <w:t xml:space="preserve">SECTION 2.07. </w:t>
      </w:r>
      <w:r>
        <w:rPr>
          <w:rFonts w:ascii="Times New Roman" w:cs="Times New Roman" w:eastAsia="Times New Roman" w:hAnsi="Times New Roman"/>
          <w:sz w:val="20"/>
          <w:szCs w:val="20"/>
          <w:u w:val="single" w:color="auto"/>
          <w:color w:val="000000"/>
        </w:rPr>
        <w:t>Funding of Borrowings</w:t>
      </w:r>
      <w:r>
        <w:rPr>
          <w:rFonts w:ascii="Times New Roman" w:cs="Times New Roman" w:eastAsia="Times New Roman" w:hAnsi="Times New Roman"/>
          <w:sz w:val="20"/>
          <w:szCs w:val="20"/>
          <w:color w:val="000000"/>
        </w:rPr>
        <w:t>. Each Lender shall make each Loan to be made by it hereunder on the proposed</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 xml:space="preserve">date thereof solely by wire transfer of immediately available funds by 12:00 noon, New York City time, to the account of the Administrative Agent most recently designated by it for such purpose by notice to the Lenders. Except in respect of the provisions of this Agreement covering the reimbursement of Letters of Credit, the Administrative Agent will make such Loans available to the relevant Borrower by promptly crediting funds so received in the aforesaid account of the Administrative Agent to (x) an account of such Borrower maintained with the Administrative Agent in New York City or Chicago and designated by such Borrower in the applicable Borrowing Request, in the case of Loans denominated in Dollars and (y) an account of such Borrower in the relevant jurisdiction and designated by such Borrower in the applicable Borrowing Request, in the case of Loans denominated in a Foreign Currency; </w:t>
      </w:r>
      <w:r>
        <w:rPr>
          <w:rFonts w:ascii="Times New Roman" w:cs="Times New Roman" w:eastAsia="Times New Roman" w:hAnsi="Times New Roman"/>
          <w:sz w:val="20"/>
          <w:szCs w:val="20"/>
          <w:u w:val="single" w:color="auto"/>
          <w:color w:val="000000"/>
        </w:rPr>
        <w:t>provided</w:t>
      </w:r>
      <w:r>
        <w:rPr>
          <w:rFonts w:ascii="Times New Roman" w:cs="Times New Roman" w:eastAsia="Times New Roman" w:hAnsi="Times New Roman"/>
          <w:sz w:val="20"/>
          <w:szCs w:val="20"/>
          <w:color w:val="000000"/>
        </w:rPr>
        <w:t xml:space="preserve"> that Revolving Loans made to finance the reimbursement of an LC Disbursement as provided in Section 2.06(e) shall be remitted by the Administrative Agent to the relevant Issuing Bank.</w:t>
      </w:r>
    </w:p>
    <w:p>
      <w:pPr>
        <w:spacing w:after="0" w:line="2" w:lineRule="exact"/>
        <w:rPr>
          <w:sz w:val="20"/>
          <w:szCs w:val="20"/>
          <w:color w:val="auto"/>
        </w:rPr>
      </w:pPr>
    </w:p>
    <w:p>
      <w:pPr>
        <w:jc w:val="both"/>
        <w:ind w:left="660" w:firstLine="644"/>
        <w:spacing w:after="0" w:line="249" w:lineRule="auto"/>
        <w:tabs>
          <w:tab w:leader="none" w:pos="1739" w:val="left"/>
        </w:tabs>
        <w:numPr>
          <w:ilvl w:val="0"/>
          <w:numId w:val="4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Unless the Administrative Agent shall have received notice from a Lender prior to the proposed date of any Borrowing (or in the case of an ABR Borrowing, prior to 12:00 noon, New York City time, on the date of such Borrowing) that such Lender will not make available to the Administrative Agent such Lender’s share of such Borrowing, the Administrative Agent may assume that such Lender has made such share available on such date in accordance with paragraph (a) of this Section and may, in reliance upon such assumption, make available to the relevant Borrower a corresponding amount. In such event, if a Lender has not in fact made its share of the applicable Borrowing available to the Administrative Agent, then the applicable Lender and such Borrower severally agree to pay to the Administrative Agent forthwith on demand such corresponding amount with interest thereon, for each day from and including the date such amount is made available to such Borrower to but excluding the date of payment to the Administrative Agent, at (i) in the case of such Lender, the greater of the applicable Overnight Rate and a rate determined by the Administrative Agent in accordance with banking industry rules on interbank compensation or (ii) in the case of such Borrower, the interest rate applicable to ABR Loans, or in the case of Foreign Currencies, in accordance with such market practice, in each case, as applicable. If such Lender pays such amount to the Administrative Agent, then such amount shall constitute such Lender’s Loan included in such Borrowing.</w:t>
      </w:r>
    </w:p>
    <w:p>
      <w:pPr>
        <w:spacing w:after="0" w:line="170"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0"/>
          <w:szCs w:val="20"/>
          <w:color w:val="010000"/>
        </w:rPr>
        <w:t xml:space="preserve">SECTION 2.08. </w:t>
      </w:r>
      <w:r>
        <w:rPr>
          <w:rFonts w:ascii="Times New Roman" w:cs="Times New Roman" w:eastAsia="Times New Roman" w:hAnsi="Times New Roman"/>
          <w:sz w:val="20"/>
          <w:szCs w:val="20"/>
          <w:u w:val="single" w:color="auto"/>
          <w:color w:val="000000"/>
        </w:rPr>
        <w:t>Interest Elections</w:t>
      </w:r>
      <w:r>
        <w:rPr>
          <w:rFonts w:ascii="Times New Roman" w:cs="Times New Roman" w:eastAsia="Times New Roman" w:hAnsi="Times New Roman"/>
          <w:sz w:val="20"/>
          <w:szCs w:val="20"/>
          <w:color w:val="000000"/>
        </w:rPr>
        <w:t>. Each Borrowing initially shall be of the Type and Agreed Currency specified in the</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applicable Borrowing Request and, in the case of a Term Benchmark Borrowing, shall have an initial Interest Period as specified in such Borrowing Request. Thereafter, the relevant Borrower may elect to convert such Borrowing to a different Type or to continue such Borrowing and, in the case of a Term Benchmark Borrowing, may elect Interest Periods therefor, all as provided in this Section. A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w:t>
      </w:r>
    </w:p>
    <w:p>
      <w:pPr>
        <w:spacing w:after="0" w:line="6" w:lineRule="exact"/>
        <w:rPr>
          <w:sz w:val="20"/>
          <w:szCs w:val="20"/>
          <w:color w:val="auto"/>
        </w:rPr>
      </w:pPr>
    </w:p>
    <w:p>
      <w:pPr>
        <w:jc w:val="both"/>
        <w:ind w:left="660" w:firstLine="644"/>
        <w:spacing w:after="0" w:line="253" w:lineRule="auto"/>
        <w:tabs>
          <w:tab w:leader="none" w:pos="1739" w:val="left"/>
        </w:tabs>
        <w:numPr>
          <w:ilvl w:val="0"/>
          <w:numId w:val="5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To make an election pursuant to this Section, a Borrower, or the Company on its behalf, shall notify the Administrative Agent of such election (by irrevocable written notice (via an Interest Election Request signed by such Borrower, or the Company on its behalf);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such Interest Election Request is submitted through an Approved Borrower Portal, the foregoing signature requirement may be waived at the sole discretion of the Administrative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56</w:t>
      </w:r>
    </w:p>
    <w:p>
      <w:pPr>
        <w:sectPr>
          <w:pgSz w:w="11900" w:h="16838" w:orient="portrait"/>
          <w:cols w:equalWidth="0" w:num="1">
            <w:col w:w="11240"/>
          </w:cols>
          <w:pgMar w:left="320" w:top="1413" w:right="339" w:bottom="1440" w:gutter="0" w:footer="0" w:header="0"/>
        </w:sectPr>
      </w:pPr>
    </w:p>
    <w:bookmarkStart w:id="65" w:name="page66"/>
    <w:bookmarkEnd w:id="65"/>
    <w:p>
      <w:pPr>
        <w:jc w:val="both"/>
        <w:spacing w:after="0" w:line="253" w:lineRule="auto"/>
        <w:rPr>
          <w:sz w:val="20"/>
          <w:szCs w:val="20"/>
          <w:color w:val="auto"/>
        </w:rPr>
      </w:pPr>
      <w:r>
        <w:rPr>
          <w:rFonts w:ascii="Times New Roman" w:cs="Times New Roman" w:eastAsia="Times New Roman" w:hAnsi="Times New Roman"/>
          <w:sz w:val="20"/>
          <w:szCs w:val="20"/>
          <w:color w:val="auto"/>
        </w:rPr>
        <w:t>Agent) by the time that a Borrowing Request would be required under Section 2.03 if such Borrower were requesting a Borrowing of the Type resulting from such election to be made on the effective date of such election. Notwithstanding any contrary provision herein, this Section shall not be construed to permit any Borrower to (i) change the currency of any Borrowing, (ii) elect an Interest Period for Term Benchmark Loans that does not comply with Section 2.02(d) or (iii) convert any Borrowing to a Borrowing of a Type not available under such Borrowing.</w:t>
      </w:r>
    </w:p>
    <w:p>
      <w:pPr>
        <w:spacing w:after="0" w:line="178" w:lineRule="exact"/>
        <w:rPr>
          <w:sz w:val="20"/>
          <w:szCs w:val="20"/>
          <w:color w:val="auto"/>
        </w:rPr>
      </w:pPr>
    </w:p>
    <w:p>
      <w:pPr>
        <w:ind w:left="1080" w:hanging="436"/>
        <w:spacing w:after="0"/>
        <w:tabs>
          <w:tab w:leader="none" w:pos="1080" w:val="left"/>
        </w:tabs>
        <w:numPr>
          <w:ilvl w:val="0"/>
          <w:numId w:val="5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written Interest Election Request shall specify the following information in compliance with Section 2.02:</w:t>
      </w:r>
    </w:p>
    <w:p>
      <w:pPr>
        <w:spacing w:after="0" w:line="202" w:lineRule="exact"/>
        <w:rPr>
          <w:rFonts w:ascii="Times New Roman" w:cs="Times New Roman" w:eastAsia="Times New Roman" w:hAnsi="Times New Roman"/>
          <w:sz w:val="20"/>
          <w:szCs w:val="20"/>
          <w:color w:val="010000"/>
        </w:rPr>
      </w:pPr>
    </w:p>
    <w:p>
      <w:pPr>
        <w:jc w:val="both"/>
        <w:ind w:left="640" w:firstLine="652"/>
        <w:spacing w:after="0" w:line="258" w:lineRule="auto"/>
        <w:tabs>
          <w:tab w:leader="none" w:pos="1686" w:val="left"/>
        </w:tabs>
        <w:numPr>
          <w:ilvl w:val="1"/>
          <w:numId w:val="5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name of the applicable Borrower and the Agreed Currency and principal amount of 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(iii) and (iv) below shall be specified for each resulting Borrowing);</w:t>
      </w:r>
    </w:p>
    <w:p>
      <w:pPr>
        <w:spacing w:after="0" w:line="172" w:lineRule="exact"/>
        <w:rPr>
          <w:rFonts w:ascii="Times New Roman" w:cs="Times New Roman" w:eastAsia="Times New Roman" w:hAnsi="Times New Roman"/>
          <w:sz w:val="20"/>
          <w:szCs w:val="20"/>
          <w:color w:val="010000"/>
        </w:rPr>
      </w:pPr>
    </w:p>
    <w:p>
      <w:pPr>
        <w:ind w:left="1780" w:hanging="488"/>
        <w:spacing w:after="0"/>
        <w:tabs>
          <w:tab w:leader="none" w:pos="1780" w:val="left"/>
        </w:tabs>
        <w:numPr>
          <w:ilvl w:val="1"/>
          <w:numId w:val="5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effective date of the election made pursuant to such Interest Election Request, which shall be a Business</w:t>
      </w:r>
    </w:p>
    <w:p>
      <w:pPr>
        <w:spacing w:after="0" w:line="28" w:lineRule="exact"/>
        <w:rPr>
          <w:rFonts w:ascii="Times New Roman" w:cs="Times New Roman" w:eastAsia="Times New Roman" w:hAnsi="Times New Roman"/>
          <w:sz w:val="20"/>
          <w:szCs w:val="20"/>
          <w:color w:val="010000"/>
        </w:rPr>
      </w:pPr>
    </w:p>
    <w:p>
      <w:pPr>
        <w:ind w:left="640"/>
        <w:spacing w:after="0"/>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Day;</w:t>
      </w:r>
    </w:p>
    <w:p>
      <w:pPr>
        <w:spacing w:after="0" w:line="200" w:lineRule="exact"/>
        <w:rPr>
          <w:rFonts w:ascii="Times New Roman" w:cs="Times New Roman" w:eastAsia="Times New Roman" w:hAnsi="Times New Roman"/>
          <w:sz w:val="20"/>
          <w:szCs w:val="20"/>
          <w:color w:val="010000"/>
        </w:rPr>
      </w:pPr>
    </w:p>
    <w:p>
      <w:pPr>
        <w:jc w:val="both"/>
        <w:ind w:left="640" w:firstLine="652"/>
        <w:spacing w:after="0" w:line="258" w:lineRule="auto"/>
        <w:tabs>
          <w:tab w:leader="none" w:pos="1890" w:val="left"/>
        </w:tabs>
        <w:numPr>
          <w:ilvl w:val="1"/>
          <w:numId w:val="5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whether the resulting Borrowing is to be (x) in the case of Borrowings denominated in Dollars, an ABR Borrowing or a Term Benchmark Borrowing (or, subject to the last paragraph of this Section 2.08(c), an RFR Borrowing) and (y) in the case of Borrowings denominated in a Foreign Currency, a Term Benchmark Borrowing or an RFR Borrowing; and</w:t>
      </w:r>
    </w:p>
    <w:p>
      <w:pPr>
        <w:spacing w:after="0" w:line="185" w:lineRule="exact"/>
        <w:rPr>
          <w:rFonts w:ascii="Times New Roman" w:cs="Times New Roman" w:eastAsia="Times New Roman" w:hAnsi="Times New Roman"/>
          <w:sz w:val="20"/>
          <w:szCs w:val="20"/>
          <w:color w:val="010000"/>
        </w:rPr>
      </w:pPr>
    </w:p>
    <w:p>
      <w:pPr>
        <w:jc w:val="both"/>
        <w:ind w:left="640" w:firstLine="652"/>
        <w:spacing w:after="0" w:line="261" w:lineRule="auto"/>
        <w:tabs>
          <w:tab w:leader="none" w:pos="1812" w:val="left"/>
        </w:tabs>
        <w:numPr>
          <w:ilvl w:val="1"/>
          <w:numId w:val="5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if the resulting Borrowing is a Term Benchmark Borrowing, the Interest Period to be applicable thereto after giving effect to such election, which Interest Period shall be a period contemplated by the definition of the term “Interest Period”.</w:t>
      </w:r>
    </w:p>
    <w:p>
      <w:pPr>
        <w:spacing w:after="0" w:line="181"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If any such Interest Election Request requests a Term Benchmark Borrowing but does not specify an Interest Period, then the applicable Borrower shall be deemed to have selected an Interest Period of one month’s duration.</w:t>
      </w:r>
    </w:p>
    <w:p>
      <w:pPr>
        <w:spacing w:after="0" w:line="13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Notwithstanding the foregoing, in no event shall the Borrowers be permitted to request pursuant to this Section 2.08(c) a CBR Loan or, prior to a Benchmark Transition Event and Benchmark Replacement Date with respect to (x) the Term SOFR Rate, an RFR Loan bearing interest based on Daily Simple SOFR or (y) Term CORRA, an RFR Loan bearing interest based on Daily Simple CORRA (it being understood and agreed that a Central Bank Rate, the Canadian Prime Rate, the Japanese Prime Rate, Daily Simple SOFR and Daily Simple CORRA shall only apply to the extent provided in Sections 2.08(e) (solely with respect to the Central Bank Rate, the Canadian Prime Rate and the Japanese Prime Rate), 2.14(a) and 2.14(f), as applicable).</w:t>
      </w:r>
    </w:p>
    <w:p>
      <w:pPr>
        <w:spacing w:after="0" w:line="152" w:lineRule="exact"/>
        <w:rPr>
          <w:sz w:val="20"/>
          <w:szCs w:val="20"/>
          <w:color w:val="auto"/>
        </w:rPr>
      </w:pPr>
    </w:p>
    <w:p>
      <w:pPr>
        <w:ind w:firstLine="644"/>
        <w:spacing w:after="0" w:line="283" w:lineRule="auto"/>
        <w:tabs>
          <w:tab w:leader="none" w:pos="1119" w:val="left"/>
        </w:tabs>
        <w:numPr>
          <w:ilvl w:val="0"/>
          <w:numId w:val="5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Promptly following receipt of an Interest Election Request, the Administrative Agent shall advise each Lender of the details thereof and of such Lender’s portion of each resulting Borrowing.</w:t>
      </w:r>
    </w:p>
    <w:p>
      <w:pPr>
        <w:spacing w:after="0" w:line="132" w:lineRule="exact"/>
        <w:rPr>
          <w:rFonts w:ascii="Times New Roman" w:cs="Times New Roman" w:eastAsia="Times New Roman" w:hAnsi="Times New Roman"/>
          <w:sz w:val="20"/>
          <w:szCs w:val="20"/>
          <w:color w:val="010000"/>
        </w:rPr>
      </w:pPr>
    </w:p>
    <w:p>
      <w:pPr>
        <w:jc w:val="both"/>
        <w:ind w:firstLine="644"/>
        <w:spacing w:after="0" w:line="261" w:lineRule="auto"/>
        <w:tabs>
          <w:tab w:leader="none" w:pos="1211" w:val="left"/>
        </w:tabs>
        <w:numPr>
          <w:ilvl w:val="0"/>
          <w:numId w:val="5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If the applicable Borrower fails to deliver a timely Interest Election Request with respect to a Term Benchmark Borrowing denominated in Dollars prior to the end of the Interest Period applicable thereto, then, unless such Borrowing is repaid as provided herein, at the end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color w:val="auto"/>
        </w:rPr>
        <w:t>57</w:t>
      </w:r>
    </w:p>
    <w:p>
      <w:pPr>
        <w:sectPr>
          <w:pgSz w:w="11900" w:h="16838" w:orient="portrait"/>
          <w:cols w:equalWidth="0" w:num="1">
            <w:col w:w="10580"/>
          </w:cols>
          <w:pgMar w:left="980" w:top="1413" w:right="339" w:bottom="1440" w:gutter="0" w:footer="0" w:header="0"/>
        </w:sectPr>
      </w:pPr>
    </w:p>
    <w:bookmarkStart w:id="66" w:name="page67"/>
    <w:bookmarkEnd w:id="66"/>
    <w:p>
      <w:pPr>
        <w:jc w:val="both"/>
        <w:ind w:left="660"/>
        <w:spacing w:after="0" w:line="262" w:lineRule="auto"/>
        <w:rPr>
          <w:sz w:val="20"/>
          <w:szCs w:val="20"/>
          <w:color w:val="auto"/>
        </w:rPr>
      </w:pPr>
      <w:r>
        <w:rPr>
          <w:rFonts w:ascii="Times New Roman" w:cs="Times New Roman" w:eastAsia="Times New Roman" w:hAnsi="Times New Roman"/>
          <w:sz w:val="19"/>
          <w:szCs w:val="19"/>
          <w:color w:val="auto"/>
        </w:rPr>
        <w:t>such Interest Period such Borrowing shall be deemed to have an Interest Period that is one (1) month. If the applicable Borrower fails to deliver a timely and complete Interest Election Request with respect to a Term Benchmark Borrowing denominated in a Foreign Currency prior to the end of the Interest Period therefor, then, unless such Term Benchmark Borrowing is repaid as provided herein, such Borrower shall be deemed to have selected that such Term Benchmark Borrowing shall automatically be continued as a Term Benchmark Borrowing in its original Agreed Currency with an Interest Period of one month at the end of such Interest Period. Notwithstanding any contrary provision hereof, if an Event of Default has occurred and is continuing and the Administrative Agent, at the request of the Required Lenders, so notifies the Company, then, so long as an Event of Default is continuing (i) no outstanding Borrowing may be converted to or continued as a Term Benchmark Borrowing or an RFR Borrowing and (ii) unless repaid, (x) (A) each Term Benchmark Borrowing denominated in Dollars shall be converted to an ABR Borrowing at the end of the Interest Period applicable thereto and (B) each RFR Borrowing denominated in Dollars shall be converted to an ABR Borrowing immediately, (y)</w:t>
      </w:r>
    </w:p>
    <w:p>
      <w:pPr>
        <w:spacing w:after="0" w:line="6" w:lineRule="exact"/>
        <w:rPr>
          <w:sz w:val="20"/>
          <w:szCs w:val="20"/>
          <w:color w:val="auto"/>
        </w:rPr>
      </w:pPr>
    </w:p>
    <w:p>
      <w:pPr>
        <w:jc w:val="both"/>
        <w:ind w:left="660" w:hanging="4"/>
        <w:spacing w:after="0" w:line="248" w:lineRule="auto"/>
        <w:tabs>
          <w:tab w:leader="none" w:pos="1018"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Term Benchmark Borrowing denominated in Canadian Dollars shall be converted to a Loan that bears interest at the Canadian Prime Rate plus the Applicable Rate applicable to ABR Loans at the end of the Interest Peroid applicable thereto and (B) each RFR Borrowing denominated in Canadian Dollars shall be converted to a Loan that bears interest at the Canadian Prime Rate plus the Applicable Rate applicable to ABR Loans immediately, and (z) each Term Benchmark Borrowing and each RFR Borrowing, in each case denominated in a Foreign Currency (other than Canadian Dollars) shall bear interest at the Central Bank Rate (or in the case of Japanese Yen, the Japanese Prime Rate) for the applicable Agreed Currency plus the CBR Spread;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Administrative Agent determines (which determination shall be conclusive and binding absent manifest error) that the Central Bank Rate (or in the case of (a) Japanese Yen, the Japanese Prime Rate or (b) Canadian Dollars, the Canadian Prime Rate) for the applicable Agreed Currency cannot be determined, any outstanding affected Term Benchmark Loans or RFR Loans denominated in any Foreign Currency shall either be (A) converted to an ABR Borrowing denominated in Dollars (in an amount equal to the Dollar Amount of such Foreign Currency) at the end of the applicable Interest Period or on the next applicable Interest Payment Date, as applicable, therefor or (B) prepaid at the end of the applicable Interest Period or on the next applicable Interest Payment Date, as applicable, in full;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if no election is made by the applicable Borrower by the earlier of (x) the date that is three (3) Business Days after receipt by the Company of such notice and (y) the last day of the current Interest Period for the applicable Term Benchmark Loan or the next Interest Payment Date for the applicable RFR Loan, as applicable, the Borrower shall be deemed to have elected clause (A) above.</w:t>
      </w:r>
    </w:p>
    <w:p>
      <w:pPr>
        <w:spacing w:after="0" w:line="165" w:lineRule="exact"/>
        <w:rPr>
          <w:sz w:val="20"/>
          <w:szCs w:val="20"/>
          <w:color w:val="auto"/>
        </w:rPr>
      </w:pPr>
    </w:p>
    <w:p>
      <w:pPr>
        <w:ind w:firstLine="1296"/>
        <w:spacing w:after="0" w:line="215" w:lineRule="auto"/>
        <w:rPr>
          <w:sz w:val="20"/>
          <w:szCs w:val="20"/>
          <w:color w:val="auto"/>
        </w:rPr>
      </w:pPr>
      <w:r>
        <w:rPr>
          <w:rFonts w:ascii="Times New Roman" w:cs="Times New Roman" w:eastAsia="Times New Roman" w:hAnsi="Times New Roman"/>
          <w:sz w:val="20"/>
          <w:szCs w:val="20"/>
          <w:color w:val="010000"/>
        </w:rPr>
        <w:t xml:space="preserve">SECTION 2.09. </w:t>
      </w:r>
      <w:r>
        <w:rPr>
          <w:rFonts w:ascii="Times New Roman" w:cs="Times New Roman" w:eastAsia="Times New Roman" w:hAnsi="Times New Roman"/>
          <w:sz w:val="20"/>
          <w:szCs w:val="20"/>
          <w:u w:val="single" w:color="auto"/>
          <w:color w:val="000000"/>
        </w:rPr>
        <w:t>Termination and Reduction of Commitments</w:t>
      </w:r>
      <w:r>
        <w:rPr>
          <w:rFonts w:ascii="Times New Roman" w:cs="Times New Roman" w:eastAsia="Times New Roman" w:hAnsi="Times New Roman"/>
          <w:sz w:val="20"/>
          <w:szCs w:val="20"/>
          <w:color w:val="000000"/>
        </w:rPr>
        <w:t>. Unless previously terminated, the Revolving Commitments</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shall terminate on the Maturity Date.</w:t>
      </w:r>
    </w:p>
    <w:p>
      <w:pPr>
        <w:spacing w:after="0" w:line="1" w:lineRule="exact"/>
        <w:rPr>
          <w:sz w:val="20"/>
          <w:szCs w:val="20"/>
          <w:color w:val="auto"/>
        </w:rPr>
      </w:pPr>
    </w:p>
    <w:p>
      <w:pPr>
        <w:jc w:val="both"/>
        <w:ind w:left="660" w:firstLine="644"/>
        <w:spacing w:after="0" w:line="211" w:lineRule="auto"/>
        <w:tabs>
          <w:tab w:leader="none" w:pos="1847" w:val="left"/>
        </w:tabs>
        <w:numPr>
          <w:ilvl w:val="1"/>
          <w:numId w:val="5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Company may at any time terminate, or from time to time reduce, the Commitments; provided that (i) each reduction of the Commitments shall be in an amount that is an integral multiple of $5,000,000 and not less than $5,000,000 and</w:t>
      </w:r>
    </w:p>
    <w:p>
      <w:pPr>
        <w:jc w:val="both"/>
        <w:ind w:left="660" w:hanging="4"/>
        <w:spacing w:after="0" w:line="215" w:lineRule="auto"/>
        <w:tabs>
          <w:tab w:leader="none" w:pos="956"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shall not terminate or reduce the Commitments if, after giving effect to any concurrent prepayment of the Loans in accordance with Section 2.11, (A) the Dollar Amount of any Lender’s Revolving Credit Exposure would exceed its Commitment or</w:t>
      </w:r>
    </w:p>
    <w:p>
      <w:pPr>
        <w:ind w:left="6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(B) the Dollar Amount of the Total Revolving Credit Exposure would exceed the Aggregate Commitment.</w:t>
      </w:r>
    </w:p>
    <w:p>
      <w:pPr>
        <w:spacing w:after="0" w:line="139" w:lineRule="exact"/>
        <w:rPr>
          <w:rFonts w:ascii="Times New Roman" w:cs="Times New Roman" w:eastAsia="Times New Roman" w:hAnsi="Times New Roman"/>
          <w:sz w:val="19"/>
          <w:szCs w:val="19"/>
          <w:color w:val="auto"/>
        </w:rPr>
      </w:pPr>
    </w:p>
    <w:p>
      <w:pPr>
        <w:jc w:val="both"/>
        <w:ind w:left="660" w:firstLine="644"/>
        <w:spacing w:after="0" w:line="220" w:lineRule="auto"/>
        <w:tabs>
          <w:tab w:leader="none" w:pos="1804" w:val="left"/>
        </w:tabs>
        <w:numPr>
          <w:ilvl w:val="1"/>
          <w:numId w:val="5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The Company shall notify the Administrative Agent of any election to terminate or reduce the Commitments under paragraph (b) of this Section at least three (3) Business Days prior to the effective date of such termination or reduction, specifying such election and the effective date thereof. Promptly following receipt of any notice, the Administrative Agent shall advise the Lenders of the contents thereof. Each notice delivered by the Company pursuant to this Section shall be irrevocable;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notice of termination of the Commitments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58</w:t>
      </w:r>
    </w:p>
    <w:p>
      <w:pPr>
        <w:sectPr>
          <w:pgSz w:w="11900" w:h="16838" w:orient="portrait"/>
          <w:cols w:equalWidth="0" w:num="1">
            <w:col w:w="11240"/>
          </w:cols>
          <w:pgMar w:left="320" w:top="1413"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20"/>
          <w:szCs w:val="20"/>
          <w:color w:val="auto"/>
        </w:rPr>
        <w:t>delivered by the Company may state that such notice is conditioned upon the effectiveness of other credit facilities or other</w:t>
      </w:r>
    </w:p>
    <w:p>
      <w:pPr>
        <w:spacing w:after="0" w:line="204" w:lineRule="auto"/>
        <w:rPr>
          <w:sz w:val="20"/>
          <w:szCs w:val="20"/>
          <w:color w:val="auto"/>
        </w:rPr>
      </w:pPr>
      <w:r>
        <w:rPr>
          <w:rFonts w:ascii="Times New Roman" w:cs="Times New Roman" w:eastAsia="Times New Roman" w:hAnsi="Times New Roman"/>
          <w:sz w:val="20"/>
          <w:szCs w:val="20"/>
          <w:color w:val="auto"/>
        </w:rPr>
        <w:t>transactions specified therein, in which case such notice may be revoked by the Company (by notice to the Administrative Agent on or prior to the specified effective date) if such condition is not satisfied. Any termination or reduction of the Commitments shall be</w:t>
      </w:r>
    </w:p>
    <w:p>
      <w:pPr>
        <w:spacing w:after="0" w:line="1"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0"/>
          <w:szCs w:val="20"/>
          <w:color w:val="auto"/>
        </w:rPr>
        <w:t>permanent. Each reduction of the Commitments shall be made ratably among the Lenders in accordance with their respective Commitments.</w:t>
      </w:r>
    </w:p>
    <w:p>
      <w:pPr>
        <w:spacing w:after="0" w:line="130" w:lineRule="exact"/>
        <w:rPr>
          <w:sz w:val="20"/>
          <w:szCs w:val="20"/>
          <w:color w:val="auto"/>
        </w:rPr>
      </w:pPr>
    </w:p>
    <w:p>
      <w:pPr>
        <w:ind w:left="640"/>
        <w:spacing w:after="0"/>
        <w:tabs>
          <w:tab w:leader="none" w:pos="2100" w:val="left"/>
        </w:tabs>
        <w:rPr>
          <w:sz w:val="20"/>
          <w:szCs w:val="20"/>
          <w:color w:val="auto"/>
        </w:rPr>
      </w:pPr>
      <w:r>
        <w:rPr>
          <w:rFonts w:ascii="Times New Roman" w:cs="Times New Roman" w:eastAsia="Times New Roman" w:hAnsi="Times New Roman"/>
          <w:sz w:val="20"/>
          <w:szCs w:val="20"/>
          <w:color w:val="010000"/>
        </w:rPr>
        <w:t>SECTION 2.10.</w:t>
      </w:r>
      <w:r>
        <w:rPr>
          <w:sz w:val="20"/>
          <w:szCs w:val="20"/>
          <w:color w:val="auto"/>
        </w:rPr>
        <w:tab/>
      </w:r>
      <w:r>
        <w:rPr>
          <w:rFonts w:ascii="Times New Roman" w:cs="Times New Roman" w:eastAsia="Times New Roman" w:hAnsi="Times New Roman"/>
          <w:sz w:val="19"/>
          <w:szCs w:val="19"/>
          <w:u w:val="single" w:color="auto"/>
          <w:color w:val="auto"/>
        </w:rPr>
        <w:t>Repayment of Loans; Evidence of Debt</w:t>
      </w:r>
      <w:r>
        <w:rPr>
          <w:rFonts w:ascii="Times New Roman" w:cs="Times New Roman" w:eastAsia="Times New Roman" w:hAnsi="Times New Roman"/>
          <w:sz w:val="19"/>
          <w:szCs w:val="19"/>
          <w:color w:val="auto"/>
        </w:rPr>
        <w:t>.</w:t>
      </w:r>
    </w:p>
    <w:p>
      <w:pPr>
        <w:ind w:right="20" w:firstLine="644"/>
        <w:spacing w:after="0" w:line="221" w:lineRule="auto"/>
        <w:tabs>
          <w:tab w:leader="none" w:pos="1079" w:val="left"/>
        </w:tabs>
        <w:numPr>
          <w:ilvl w:val="0"/>
          <w:numId w:val="5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Borrower hereby unconditionally promises to pay to the Administrative Agent for the account of each Lender the then unpaid principal amount of each Loan made to such Borrower on the Maturity Date in the currency of such Loan.</w:t>
      </w:r>
    </w:p>
    <w:p>
      <w:pPr>
        <w:spacing w:after="0" w:line="148" w:lineRule="exact"/>
        <w:rPr>
          <w:rFonts w:ascii="Times New Roman" w:cs="Times New Roman" w:eastAsia="Times New Roman" w:hAnsi="Times New Roman"/>
          <w:sz w:val="20"/>
          <w:szCs w:val="20"/>
          <w:color w:val="010000"/>
        </w:rPr>
      </w:pPr>
    </w:p>
    <w:p>
      <w:pPr>
        <w:jc w:val="both"/>
        <w:ind w:firstLine="644"/>
        <w:spacing w:after="0" w:line="226" w:lineRule="auto"/>
        <w:tabs>
          <w:tab w:leader="none" w:pos="1076" w:val="left"/>
        </w:tabs>
        <w:numPr>
          <w:ilvl w:val="0"/>
          <w:numId w:val="5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Lender shall maintain in accordance with its usual practice an account or accounts evidencing the indebtedness of each Borrower to such Lender resulting from each Loan made by such Lender, including the amounts of principal and interest payable and paid to such Lender from time to time hereunder.</w:t>
      </w:r>
    </w:p>
    <w:p>
      <w:pPr>
        <w:spacing w:after="0" w:line="133" w:lineRule="exact"/>
        <w:rPr>
          <w:rFonts w:ascii="Times New Roman" w:cs="Times New Roman" w:eastAsia="Times New Roman" w:hAnsi="Times New Roman"/>
          <w:sz w:val="20"/>
          <w:szCs w:val="20"/>
          <w:color w:val="010000"/>
        </w:rPr>
      </w:pPr>
    </w:p>
    <w:p>
      <w:pPr>
        <w:jc w:val="both"/>
        <w:ind w:firstLine="644"/>
        <w:spacing w:after="0" w:line="222" w:lineRule="auto"/>
        <w:tabs>
          <w:tab w:leader="none" w:pos="1065" w:val="left"/>
        </w:tabs>
        <w:numPr>
          <w:ilvl w:val="0"/>
          <w:numId w:val="5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Administrative Agent shall maintain accounts in which it shall record (i) the amount of each Loan made hereunder, the Class, Agreed Currency and Type thereof and the Interest Period applicable thereto, (ii) the amount of any principal or interest due and payable or to become due and payable from each Borrower to each Lender hereunder and (iii) the amount of any sum received by the Administrative Agent hereunder for the account of the Lenders and each Lender’s share thereof.</w:t>
      </w:r>
    </w:p>
    <w:p>
      <w:pPr>
        <w:spacing w:after="0" w:line="134" w:lineRule="exact"/>
        <w:rPr>
          <w:rFonts w:ascii="Times New Roman" w:cs="Times New Roman" w:eastAsia="Times New Roman" w:hAnsi="Times New Roman"/>
          <w:sz w:val="20"/>
          <w:szCs w:val="20"/>
          <w:color w:val="010000"/>
        </w:rPr>
      </w:pPr>
    </w:p>
    <w:p>
      <w:pPr>
        <w:jc w:val="both"/>
        <w:ind w:firstLine="644"/>
        <w:spacing w:after="0" w:line="222" w:lineRule="auto"/>
        <w:tabs>
          <w:tab w:leader="none" w:pos="1184" w:val="left"/>
        </w:tabs>
        <w:numPr>
          <w:ilvl w:val="0"/>
          <w:numId w:val="5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The entries made in the accounts maintained pursuant to paragraph (b) or (c) of this Section shall be </w:t>
      </w:r>
      <w:r>
        <w:rPr>
          <w:rFonts w:ascii="Times New Roman" w:cs="Times New Roman" w:eastAsia="Times New Roman" w:hAnsi="Times New Roman"/>
          <w:sz w:val="20"/>
          <w:szCs w:val="20"/>
          <w:u w:val="single" w:color="auto"/>
          <w:color w:val="auto"/>
        </w:rPr>
        <w:t>prima facie</w:t>
      </w:r>
      <w:r>
        <w:rPr>
          <w:rFonts w:ascii="Times New Roman" w:cs="Times New Roman" w:eastAsia="Times New Roman" w:hAnsi="Times New Roman"/>
          <w:sz w:val="20"/>
          <w:szCs w:val="20"/>
          <w:color w:val="auto"/>
        </w:rPr>
        <w:t xml:space="preserve"> evidence of the existence and amounts of the obligations recorded therein;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failure of any Lender or the Administrative Agent to maintain such accounts or any error therein shall not in any manner affect the obligation of any Borrower to repay the Loans in accordance with the terms of this Agreement.</w:t>
      </w:r>
    </w:p>
    <w:p>
      <w:pPr>
        <w:spacing w:after="0" w:line="148" w:lineRule="exact"/>
        <w:rPr>
          <w:rFonts w:ascii="Times New Roman" w:cs="Times New Roman" w:eastAsia="Times New Roman" w:hAnsi="Times New Roman"/>
          <w:sz w:val="20"/>
          <w:szCs w:val="20"/>
          <w:color w:val="010000"/>
        </w:rPr>
      </w:pPr>
    </w:p>
    <w:p>
      <w:pPr>
        <w:jc w:val="both"/>
        <w:ind w:firstLine="644"/>
        <w:spacing w:after="0" w:line="217" w:lineRule="auto"/>
        <w:tabs>
          <w:tab w:leader="none" w:pos="1079" w:val="left"/>
        </w:tabs>
        <w:numPr>
          <w:ilvl w:val="0"/>
          <w:numId w:val="5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Any Lender may request that Loans made by it to any Borrower be evidenced by a promissory note. In such event, the relevant Borrower shall prepare, execute and deliver to such Lender a promissory note payable to such Lender (or, if requested by such Lender, to such Lender and its registered assigns) and in the form attached hereto as </w:t>
      </w:r>
      <w:r>
        <w:rPr>
          <w:rFonts w:ascii="Times New Roman" w:cs="Times New Roman" w:eastAsia="Times New Roman" w:hAnsi="Times New Roman"/>
          <w:sz w:val="20"/>
          <w:szCs w:val="20"/>
          <w:u w:val="single" w:color="auto"/>
          <w:color w:val="auto"/>
        </w:rPr>
        <w:t>Exhibit H</w:t>
      </w:r>
      <w:r>
        <w:rPr>
          <w:rFonts w:ascii="Times New Roman" w:cs="Times New Roman" w:eastAsia="Times New Roman" w:hAnsi="Times New Roman"/>
          <w:sz w:val="20"/>
          <w:szCs w:val="20"/>
          <w:color w:val="auto"/>
        </w:rPr>
        <w:t>. Thereafter, the Loans evidenced by such promissory note and interest thereon shall at all times (including after assignment pursuant to Section 9.04) be represented by one or more promissory notes in such form.</w:t>
      </w:r>
    </w:p>
    <w:p>
      <w:pPr>
        <w:spacing w:after="0" w:line="129" w:lineRule="exact"/>
        <w:rPr>
          <w:sz w:val="20"/>
          <w:szCs w:val="20"/>
          <w:color w:val="auto"/>
        </w:rPr>
      </w:pPr>
    </w:p>
    <w:p>
      <w:pPr>
        <w:ind w:left="640"/>
        <w:spacing w:after="0"/>
        <w:tabs>
          <w:tab w:leader="none" w:pos="2100" w:val="left"/>
        </w:tabs>
        <w:rPr>
          <w:sz w:val="20"/>
          <w:szCs w:val="20"/>
          <w:color w:val="auto"/>
        </w:rPr>
      </w:pPr>
      <w:r>
        <w:rPr>
          <w:rFonts w:ascii="Times New Roman" w:cs="Times New Roman" w:eastAsia="Times New Roman" w:hAnsi="Times New Roman"/>
          <w:sz w:val="20"/>
          <w:szCs w:val="20"/>
          <w:color w:val="010000"/>
        </w:rPr>
        <w:t>SECTION 2.11.</w:t>
      </w:r>
      <w:r>
        <w:rPr>
          <w:sz w:val="20"/>
          <w:szCs w:val="20"/>
          <w:color w:val="auto"/>
        </w:rPr>
        <w:tab/>
      </w:r>
      <w:r>
        <w:rPr>
          <w:rFonts w:ascii="Times New Roman" w:cs="Times New Roman" w:eastAsia="Times New Roman" w:hAnsi="Times New Roman"/>
          <w:sz w:val="19"/>
          <w:szCs w:val="19"/>
          <w:u w:val="single" w:color="auto"/>
          <w:color w:val="auto"/>
        </w:rPr>
        <w:t>Prepayment of Loans</w:t>
      </w:r>
      <w:r>
        <w:rPr>
          <w:rFonts w:ascii="Times New Roman" w:cs="Times New Roman" w:eastAsia="Times New Roman" w:hAnsi="Times New Roman"/>
          <w:sz w:val="19"/>
          <w:szCs w:val="19"/>
          <w:color w:val="auto"/>
        </w:rPr>
        <w:t>.</w:t>
      </w:r>
    </w:p>
    <w:p>
      <w:pPr>
        <w:jc w:val="both"/>
        <w:ind w:firstLine="644"/>
        <w:spacing w:after="0" w:line="209" w:lineRule="auto"/>
        <w:tabs>
          <w:tab w:leader="none" w:pos="1133" w:val="left"/>
        </w:tabs>
        <w:numPr>
          <w:ilvl w:val="0"/>
          <w:numId w:val="5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Any Borrower shall have the right at any time and from time to time to prepay any Borrowing in whole or in part, subject to prior notice in accordance with the provisions of this Section 2.11(a). The applicable Borrower, or the Company on behalf of the applicable Borrower, shall notify the Administrative Agent by written notice of any prepayment hereunder (which such written notice can be transmitted by telecopy or electronic communication, including an Approved Borrower Portal, if arrangements for doing so have been approved by the Administrative Agent) (i) (x) in the case of prepayment of a Term Benchmark Revolving Borrowing denominated in Dollars, not later than 11:00 a.m., New York City time, three (3) Business Days before the date of prepayment, (y) in the case of prepayment of a Term Benchmark Revolving Borrowing denominated in euro, Japanese Yen or Canadian Dollars, four (4) Business Days before the date of prepayment and (z) in the case of prepayment of an RFR Borrowing, not later than 11:00 a.m., New York City Time, five (5) RFR Business Days before the date of prepayment or (ii) in the case of prepayment of an ABR Borrowing, not later than 11:00 a.m., New York City time, on the date of prepayment. Each such notice shall be irrevocable and shall specify the prepayment date and the principal amount of each Borrowing or portion thereof to be prepaid;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 notice of prepayment is given in connection with a conditional notice of termination of the Commitments as contemplated by Section 2.09, then such notice of prepayment may be revoked if such notice of termination is revoked in accordance with Section 2.09. Promptly following receipt of any such notice relating to a Borrowing, the Administrative Agent shall advise the Lenders of the contents thereof. Each partial prepayment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color w:val="auto"/>
        </w:rPr>
        <w:t>59</w:t>
      </w:r>
    </w:p>
    <w:p>
      <w:pPr>
        <w:sectPr>
          <w:pgSz w:w="11900" w:h="16838" w:orient="portrait"/>
          <w:cols w:equalWidth="0" w:num="1">
            <w:col w:w="10580"/>
          </w:cols>
          <w:pgMar w:left="980" w:top="1394" w:right="339" w:bottom="1440" w:gutter="0" w:footer="0" w:header="0"/>
        </w:sectPr>
      </w:pPr>
    </w:p>
    <w:bookmarkStart w:id="68" w:name="page69"/>
    <w:bookmarkEnd w:id="68"/>
    <w:p>
      <w:pPr>
        <w:ind w:left="660"/>
        <w:spacing w:after="0"/>
        <w:rPr>
          <w:sz w:val="20"/>
          <w:szCs w:val="20"/>
          <w:color w:val="auto"/>
        </w:rPr>
      </w:pPr>
      <w:r>
        <w:rPr>
          <w:rFonts w:ascii="Times New Roman" w:cs="Times New Roman" w:eastAsia="Times New Roman" w:hAnsi="Times New Roman"/>
          <w:sz w:val="20"/>
          <w:szCs w:val="20"/>
          <w:color w:val="auto"/>
        </w:rPr>
        <w:t>of any Borrowing shall be in an amount that would be permitted in the case of an advance of a Borrowing of the same Type as</w:t>
      </w:r>
    </w:p>
    <w:p>
      <w:pPr>
        <w:ind w:left="660"/>
        <w:spacing w:after="0" w:line="204" w:lineRule="auto"/>
        <w:rPr>
          <w:sz w:val="20"/>
          <w:szCs w:val="20"/>
          <w:color w:val="auto"/>
        </w:rPr>
      </w:pPr>
      <w:r>
        <w:rPr>
          <w:rFonts w:ascii="Times New Roman" w:cs="Times New Roman" w:eastAsia="Times New Roman" w:hAnsi="Times New Roman"/>
          <w:sz w:val="20"/>
          <w:szCs w:val="20"/>
          <w:color w:val="auto"/>
        </w:rPr>
        <w:t>provided in Section 2.02. Each prepayment of a Revolving Borrowing shall be applied ratably to the Loans included in the prepaid Borrowing. Prepayments shall be accompanied by (i) accrued interest to the extent required by Section 2.13 and (ii) break funding</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payments required by Section 2.16.</w:t>
      </w:r>
    </w:p>
    <w:p>
      <w:pPr>
        <w:spacing w:after="0" w:line="140" w:lineRule="exact"/>
        <w:rPr>
          <w:sz w:val="20"/>
          <w:szCs w:val="20"/>
          <w:color w:val="auto"/>
        </w:rPr>
      </w:pPr>
    </w:p>
    <w:p>
      <w:pPr>
        <w:jc w:val="both"/>
        <w:ind w:left="660" w:firstLine="644"/>
        <w:spacing w:after="0" w:line="223" w:lineRule="auto"/>
        <w:tabs>
          <w:tab w:leader="none" w:pos="1777" w:val="left"/>
        </w:tabs>
        <w:numPr>
          <w:ilvl w:val="0"/>
          <w:numId w:val="5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If at any time, (i) other than as a result of fluctuations in currency exchange rates, (A) the aggregate principal Dollar Amount of the Total Revolving Credit Exposure (calculated, with respect to those Credit Events denominated in Foreign Currencies, as of the most recent Computation Date with respect to each such Credit Event) exceeds the Aggregate Commitment or (B) the aggregate principal Dollar Amount of the Total Revolving Credit Exposure denominated in Foreign Currencies (the “</w:t>
      </w:r>
      <w:r>
        <w:rPr>
          <w:rFonts w:ascii="Times New Roman" w:cs="Times New Roman" w:eastAsia="Times New Roman" w:hAnsi="Times New Roman"/>
          <w:sz w:val="19"/>
          <w:szCs w:val="19"/>
          <w:u w:val="single" w:color="auto"/>
          <w:color w:val="auto"/>
        </w:rPr>
        <w:t>Foreign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Currency Exposure</w:t>
      </w:r>
      <w:r>
        <w:rPr>
          <w:rFonts w:ascii="Times New Roman" w:cs="Times New Roman" w:eastAsia="Times New Roman" w:hAnsi="Times New Roman"/>
          <w:sz w:val="19"/>
          <w:szCs w:val="19"/>
          <w:color w:val="auto"/>
        </w:rPr>
        <w:t>”) (so calculated), as of the most recent Computation Date with respect to each such Credit Event, exceeds the Foreign Currency Sublimit or (ii) solely as a result of fluctuations in currency exchange rates, (A) the aggregate principal Dollar Amount of the Total Revolving Credit Exposure (so calculated) exceeds 105% of the Aggregate Commitment or (B) the Foreign Currency Exposure, as of the most recent Computation Date with respect to each such Credit Event, exceeds 105% of the Foreign Currency Sublimit, the Borrowers shall in each case immediately repay Borrowings or cash collateralize LC Exposure in an account with the Administrative Agent pursuant to Section 2.06(j), as applicable, in an aggregate principal amount sufficient to cause (x) the aggregate Dollar Amount of the Total Revolving Credit Exposure (so calculated) to be less than or equal to the Aggregate Commitment and (y) the Foreign Currency Exposure to be less than or equal to the Foreign Currency Sublimit, as applicable.</w:t>
      </w:r>
    </w:p>
    <w:p>
      <w:pPr>
        <w:spacing w:after="0" w:line="142" w:lineRule="exact"/>
        <w:rPr>
          <w:sz w:val="20"/>
          <w:szCs w:val="20"/>
          <w:color w:val="auto"/>
        </w:rPr>
      </w:pPr>
    </w:p>
    <w:p>
      <w:pPr>
        <w:ind w:firstLine="1296"/>
        <w:spacing w:after="0" w:line="215" w:lineRule="auto"/>
        <w:rPr>
          <w:sz w:val="20"/>
          <w:szCs w:val="20"/>
          <w:color w:val="auto"/>
        </w:rPr>
      </w:pPr>
      <w:r>
        <w:rPr>
          <w:rFonts w:ascii="Times New Roman" w:cs="Times New Roman" w:eastAsia="Times New Roman" w:hAnsi="Times New Roman"/>
          <w:sz w:val="20"/>
          <w:szCs w:val="20"/>
          <w:color w:val="010000"/>
        </w:rPr>
        <w:t xml:space="preserve">SECTION 2.12. </w:t>
      </w:r>
      <w:r>
        <w:rPr>
          <w:rFonts w:ascii="Times New Roman" w:cs="Times New Roman" w:eastAsia="Times New Roman" w:hAnsi="Times New Roman"/>
          <w:sz w:val="20"/>
          <w:szCs w:val="20"/>
          <w:u w:val="single" w:color="auto"/>
          <w:color w:val="000000"/>
        </w:rPr>
        <w:t>Fees</w:t>
      </w:r>
      <w:r>
        <w:rPr>
          <w:rFonts w:ascii="Times New Roman" w:cs="Times New Roman" w:eastAsia="Times New Roman" w:hAnsi="Times New Roman"/>
          <w:sz w:val="20"/>
          <w:szCs w:val="20"/>
          <w:color w:val="000000"/>
        </w:rPr>
        <w:t>. The Company agrees to pay to the Administrative Agent for the account of each Lender a facility</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fee, which shall accrue at the Applicable Rate for facility fees on the daily amount of the Commitment of such Lender (whether used or</w:t>
      </w:r>
    </w:p>
    <w:p>
      <w:pPr>
        <w:spacing w:after="0" w:line="212" w:lineRule="auto"/>
        <w:rPr>
          <w:sz w:val="20"/>
          <w:szCs w:val="20"/>
          <w:color w:val="auto"/>
        </w:rPr>
      </w:pPr>
      <w:r>
        <w:rPr>
          <w:rFonts w:ascii="Times New Roman" w:cs="Times New Roman" w:eastAsia="Times New Roman" w:hAnsi="Times New Roman"/>
          <w:sz w:val="20"/>
          <w:szCs w:val="20"/>
          <w:color w:val="auto"/>
        </w:rPr>
        <w:t>unused) during the period from and including the Original Effective Date to but excluding the date on which such Commitment terminates;</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such Lender continues to have any Revolving Credit Exposure after its Commitment terminates, then such facility fee shall continue to accrue on the daily amount of such Lender’s Revolving Credit Exposure from and including the date on which its Commitment</w:t>
      </w:r>
    </w:p>
    <w:p>
      <w:pPr>
        <w:spacing w:after="0" w:line="205" w:lineRule="auto"/>
        <w:rPr>
          <w:sz w:val="20"/>
          <w:szCs w:val="20"/>
          <w:color w:val="auto"/>
        </w:rPr>
      </w:pPr>
      <w:r>
        <w:rPr>
          <w:rFonts w:ascii="Times New Roman" w:cs="Times New Roman" w:eastAsia="Times New Roman" w:hAnsi="Times New Roman"/>
          <w:sz w:val="20"/>
          <w:szCs w:val="20"/>
          <w:color w:val="auto"/>
        </w:rPr>
        <w:t>terminates to but excluding the date on which such Lender ceases to have any Revolving Credit Exposure. Facility fees accrued through and</w:t>
      </w:r>
    </w:p>
    <w:p>
      <w:pPr>
        <w:spacing w:after="0" w:line="1" w:lineRule="exact"/>
        <w:rPr>
          <w:sz w:val="20"/>
          <w:szCs w:val="20"/>
          <w:color w:val="auto"/>
        </w:rPr>
      </w:pPr>
    </w:p>
    <w:p>
      <w:pPr>
        <w:jc w:val="both"/>
        <w:spacing w:after="0" w:line="192" w:lineRule="auto"/>
        <w:rPr>
          <w:sz w:val="20"/>
          <w:szCs w:val="20"/>
          <w:color w:val="auto"/>
        </w:rPr>
      </w:pPr>
      <w:r>
        <w:rPr>
          <w:rFonts w:ascii="Times New Roman" w:cs="Times New Roman" w:eastAsia="Times New Roman" w:hAnsi="Times New Roman"/>
          <w:sz w:val="19"/>
          <w:szCs w:val="19"/>
          <w:color w:val="auto"/>
        </w:rPr>
        <w:t>including the last day of March, June, September and December of each year shall be payable in arrears on the fifteenth (15</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9"/>
          <w:szCs w:val="19"/>
          <w:color w:val="auto"/>
        </w:rPr>
        <w:t>) day following such last day and on the date on which the Commitments terminate, commencing on the first such date to occur after the date hereof;</w:t>
      </w:r>
    </w:p>
    <w:p>
      <w:pPr>
        <w:spacing w:after="0" w:line="224" w:lineRule="auto"/>
        <w:rPr>
          <w:sz w:val="20"/>
          <w:szCs w:val="20"/>
          <w:color w:val="auto"/>
        </w:rPr>
      </w:pP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 facility fees accruing after the date on which the Commitments terminate shall be payable on demand. All facility fees shall</w:t>
      </w:r>
    </w:p>
    <w:p>
      <w:pPr>
        <w:spacing w:after="0" w:line="204" w:lineRule="auto"/>
        <w:rPr>
          <w:sz w:val="20"/>
          <w:szCs w:val="20"/>
          <w:color w:val="auto"/>
        </w:rPr>
      </w:pPr>
      <w:r>
        <w:rPr>
          <w:rFonts w:ascii="Times New Roman" w:cs="Times New Roman" w:eastAsia="Times New Roman" w:hAnsi="Times New Roman"/>
          <w:sz w:val="20"/>
          <w:szCs w:val="20"/>
          <w:color w:val="auto"/>
        </w:rPr>
        <w:t>be computed on the basis of a year of 360 days and shall be payable for the actual number of days elapsed (including the first day and the last day of each period but excluding the date on which the Commitments terminate).</w:t>
      </w:r>
    </w:p>
    <w:p>
      <w:pPr>
        <w:spacing w:after="0" w:line="1" w:lineRule="exact"/>
        <w:rPr>
          <w:sz w:val="20"/>
          <w:szCs w:val="20"/>
          <w:color w:val="auto"/>
        </w:rPr>
      </w:pPr>
    </w:p>
    <w:p>
      <w:pPr>
        <w:jc w:val="both"/>
        <w:ind w:left="660" w:firstLine="644"/>
        <w:spacing w:after="0" w:line="205" w:lineRule="auto"/>
        <w:tabs>
          <w:tab w:leader="none" w:pos="1793" w:val="left"/>
        </w:tabs>
        <w:numPr>
          <w:ilvl w:val="0"/>
          <w:numId w:val="5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Company agrees to pay (i) to the Administrative Agent for the account of each Lender a participation fee with respect to its participations in Letters of Credit, which shall accrue at the same Applicable Rate used to determine the interest rate applicable to Term Benchmark Revolving Loans on the daily Dollar Amount of such Lender’s LC Exposure (excluding any portion thereof attributable to unreimbursed LC Disbursements) during the period from and including the Original Effective Date to but excluding the later of the date on which such Lender’s Commitment terminates and the date on which such Lender ceases to have any LC Exposure and (ii) to the relevant Issuing Bank for its own account a fronting fee, which shall accrue at the rate per annum as separately agreed upon by the Company and such Issuing Bank on the daily Dollar Amount of the LC Exposure (excluding any portion thereof attributable to unreimbursed LC Disbursements) attributable to Letters of Credit issued by such Issuing Bank during the period from and including the Original Effective Date to but excluding the later of the date of termination of the Commitments and the date on which there ceases to be any LC Exposure, as well as such Issuing Bank’s standard fees and commissions with respect to the issuance, amendment, cancellation, negotiation, transfer, presentment, renewal or extension of any Letter of Credit or processing of drawings thereunder. Unless otherwise specified above, participation fees and fronting fees accrued through and including the last day of March, June, September and December of each year shall be payable on the fifteenth (15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day following such last day, commencing on the first such date to occur after the Original Effective Date; provided that all such fees shall be payable on the date on which the Commitments terminate and any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60</w:t>
      </w:r>
    </w:p>
    <w:p>
      <w:pPr>
        <w:sectPr>
          <w:pgSz w:w="11900" w:h="16838" w:orient="portrait"/>
          <w:cols w:equalWidth="0" w:num="1">
            <w:col w:w="11240"/>
          </w:cols>
          <w:pgMar w:left="320" w:top="1394" w:right="339" w:bottom="1440" w:gutter="0" w:footer="0" w:header="0"/>
        </w:sectPr>
      </w:pPr>
    </w:p>
    <w:bookmarkStart w:id="69" w:name="page70"/>
    <w:bookmarkEnd w:id="69"/>
    <w:p>
      <w:pPr>
        <w:ind w:left="660"/>
        <w:spacing w:after="0"/>
        <w:rPr>
          <w:sz w:val="20"/>
          <w:szCs w:val="20"/>
          <w:color w:val="auto"/>
        </w:rPr>
      </w:pPr>
      <w:r>
        <w:rPr>
          <w:rFonts w:ascii="Times New Roman" w:cs="Times New Roman" w:eastAsia="Times New Roman" w:hAnsi="Times New Roman"/>
          <w:sz w:val="19"/>
          <w:szCs w:val="19"/>
          <w:color w:val="auto"/>
        </w:rPr>
        <w:t>fees accruing after the date on which the Commitments terminate shall be payable on demand. Any other fees payable to any Issuing</w:t>
      </w:r>
    </w:p>
    <w:p>
      <w:pPr>
        <w:spacing w:after="0" w:line="6" w:lineRule="exact"/>
        <w:rPr>
          <w:sz w:val="20"/>
          <w:szCs w:val="20"/>
          <w:color w:val="auto"/>
        </w:rPr>
      </w:pPr>
    </w:p>
    <w:p>
      <w:pPr>
        <w:ind w:left="660"/>
        <w:spacing w:after="0" w:line="204" w:lineRule="auto"/>
        <w:rPr>
          <w:sz w:val="20"/>
          <w:szCs w:val="20"/>
          <w:color w:val="auto"/>
        </w:rPr>
      </w:pPr>
      <w:r>
        <w:rPr>
          <w:rFonts w:ascii="Times New Roman" w:cs="Times New Roman" w:eastAsia="Times New Roman" w:hAnsi="Times New Roman"/>
          <w:sz w:val="20"/>
          <w:szCs w:val="20"/>
          <w:color w:val="auto"/>
        </w:rPr>
        <w:t>Bank pursuant to this paragraph shall be payable within ten (10) days after demand. All participation fees and fronting fees shall be computed on the basis of a year of 360 days and shall be payable for the actual number of days elapsed (including the first day but</w:t>
      </w:r>
    </w:p>
    <w:p>
      <w:pPr>
        <w:ind w:left="660"/>
        <w:spacing w:after="0" w:line="211" w:lineRule="auto"/>
        <w:rPr>
          <w:sz w:val="20"/>
          <w:szCs w:val="20"/>
          <w:color w:val="auto"/>
        </w:rPr>
      </w:pPr>
      <w:r>
        <w:rPr>
          <w:rFonts w:ascii="Times New Roman" w:cs="Times New Roman" w:eastAsia="Times New Roman" w:hAnsi="Times New Roman"/>
          <w:sz w:val="20"/>
          <w:szCs w:val="20"/>
          <w:color w:val="auto"/>
        </w:rPr>
        <w:t>excluding the last day). Participation fees and fronting fees in respect of Letters of Credit denominated in Dollars shall be paid in</w:t>
      </w:r>
    </w:p>
    <w:p>
      <w:pPr>
        <w:spacing w:after="0" w:line="1" w:lineRule="exact"/>
        <w:rPr>
          <w:sz w:val="20"/>
          <w:szCs w:val="20"/>
          <w:color w:val="auto"/>
        </w:rPr>
      </w:pPr>
    </w:p>
    <w:p>
      <w:pPr>
        <w:ind w:left="660" w:right="20"/>
        <w:spacing w:after="0" w:line="221" w:lineRule="auto"/>
        <w:rPr>
          <w:sz w:val="20"/>
          <w:szCs w:val="20"/>
          <w:color w:val="auto"/>
        </w:rPr>
      </w:pPr>
      <w:r>
        <w:rPr>
          <w:rFonts w:ascii="Times New Roman" w:cs="Times New Roman" w:eastAsia="Times New Roman" w:hAnsi="Times New Roman"/>
          <w:sz w:val="20"/>
          <w:szCs w:val="20"/>
          <w:color w:val="auto"/>
        </w:rPr>
        <w:t>Dollars, and participation fees and fronting fees in respect of Letters of Credit denominated in a Foreign Currency shall be paid in such Foreign Currency.</w:t>
      </w:r>
    </w:p>
    <w:p>
      <w:pPr>
        <w:spacing w:after="0" w:line="162" w:lineRule="exact"/>
        <w:rPr>
          <w:sz w:val="20"/>
          <w:szCs w:val="20"/>
          <w:color w:val="auto"/>
        </w:rPr>
      </w:pPr>
    </w:p>
    <w:p>
      <w:pPr>
        <w:ind w:left="660" w:firstLine="644"/>
        <w:spacing w:after="0" w:line="269" w:lineRule="auto"/>
        <w:tabs>
          <w:tab w:leader="none" w:pos="1777" w:val="left"/>
        </w:tabs>
        <w:numPr>
          <w:ilvl w:val="0"/>
          <w:numId w:val="6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Company agrees to pay to the Administrative Agent, for its own account, fees payable in the amounts and at the times separately agreed upon between the Company and the Administrative Agent.</w:t>
      </w:r>
    </w:p>
    <w:p>
      <w:pPr>
        <w:spacing w:after="0" w:line="145" w:lineRule="exact"/>
        <w:rPr>
          <w:rFonts w:ascii="Times New Roman" w:cs="Times New Roman" w:eastAsia="Times New Roman" w:hAnsi="Times New Roman"/>
          <w:sz w:val="20"/>
          <w:szCs w:val="20"/>
          <w:color w:val="010000"/>
        </w:rPr>
      </w:pPr>
    </w:p>
    <w:p>
      <w:pPr>
        <w:jc w:val="both"/>
        <w:ind w:left="660" w:firstLine="644"/>
        <w:spacing w:after="0" w:line="253" w:lineRule="auto"/>
        <w:tabs>
          <w:tab w:leader="none" w:pos="1779" w:val="left"/>
        </w:tabs>
        <w:numPr>
          <w:ilvl w:val="0"/>
          <w:numId w:val="6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All fees payable hereunder shall be paid on the dates due, in Dollars (except as otherwise expressly provided in this Section 2.12) and immediately available funds, to the Administrative Agent (or to the relevant Issuing Bank, in the case of fees payable to it) for distribution, in the case of facility fees and participation fees, to the Lenders. Fees paid shall not be refundable under any circumstances. Notwithstanding anything to the contrary herein or in any other Loan Document, each Foreign Subsidiary Borrower shall severally and not jointly pay fees owed by it pursuant to this Section 2.12 and no Foreign Subsidiary Borrower shall be responsible for any other Borrower’s failure to pay any fees due hereunder.</w:t>
      </w:r>
    </w:p>
    <w:p>
      <w:pPr>
        <w:spacing w:after="0" w:line="179" w:lineRule="exact"/>
        <w:rPr>
          <w:sz w:val="20"/>
          <w:szCs w:val="20"/>
          <w:color w:val="auto"/>
        </w:rPr>
      </w:pPr>
    </w:p>
    <w:p>
      <w:pPr>
        <w:ind w:firstLine="1296"/>
        <w:spacing w:after="0" w:line="254" w:lineRule="auto"/>
        <w:rPr>
          <w:sz w:val="20"/>
          <w:szCs w:val="20"/>
          <w:color w:val="auto"/>
        </w:rPr>
      </w:pPr>
      <w:r>
        <w:rPr>
          <w:rFonts w:ascii="Times New Roman" w:cs="Times New Roman" w:eastAsia="Times New Roman" w:hAnsi="Times New Roman"/>
          <w:sz w:val="20"/>
          <w:szCs w:val="20"/>
          <w:color w:val="010000"/>
        </w:rPr>
        <w:t xml:space="preserve">SECTION 2.13. </w:t>
      </w:r>
      <w:r>
        <w:rPr>
          <w:rFonts w:ascii="Times New Roman" w:cs="Times New Roman" w:eastAsia="Times New Roman" w:hAnsi="Times New Roman"/>
          <w:sz w:val="20"/>
          <w:szCs w:val="20"/>
          <w:u w:val="single" w:color="auto"/>
          <w:color w:val="000000"/>
        </w:rPr>
        <w:t>Interest</w:t>
      </w:r>
      <w:r>
        <w:rPr>
          <w:rFonts w:ascii="Times New Roman" w:cs="Times New Roman" w:eastAsia="Times New Roman" w:hAnsi="Times New Roman"/>
          <w:sz w:val="20"/>
          <w:szCs w:val="20"/>
          <w:color w:val="000000"/>
        </w:rPr>
        <w:t>. The Loans comprising each ABR Borrowing shall bear interest at the Alternate Base Rate plus</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the Applicable Rate.</w:t>
      </w:r>
    </w:p>
    <w:p>
      <w:pPr>
        <w:spacing w:after="0" w:line="1" w:lineRule="exact"/>
        <w:rPr>
          <w:sz w:val="20"/>
          <w:szCs w:val="20"/>
          <w:color w:val="auto"/>
        </w:rPr>
      </w:pPr>
    </w:p>
    <w:p>
      <w:pPr>
        <w:jc w:val="both"/>
        <w:ind w:left="660" w:firstLine="644"/>
        <w:spacing w:after="0" w:line="253" w:lineRule="auto"/>
        <w:tabs>
          <w:tab w:leader="none" w:pos="1833" w:val="left"/>
        </w:tabs>
        <w:numPr>
          <w:ilvl w:val="0"/>
          <w:numId w:val="6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The Loans comprising each Term Benchmark Borrowing shall bear interest at the Adjusted Term SOFR Rate, the Adjusted EURIBO Rate, the Adjusted TIBO Rate or the Adjusted Term CORRA Rate, as applicable, for the Interest Period in effect for such Borrowing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Applicable Rate.</w:t>
      </w:r>
    </w:p>
    <w:p>
      <w:pPr>
        <w:spacing w:after="0" w:line="161" w:lineRule="exact"/>
        <w:rPr>
          <w:rFonts w:ascii="Times New Roman" w:cs="Times New Roman" w:eastAsia="Times New Roman" w:hAnsi="Times New Roman"/>
          <w:sz w:val="20"/>
          <w:szCs w:val="20"/>
          <w:color w:val="010000"/>
        </w:rPr>
      </w:pPr>
    </w:p>
    <w:p>
      <w:pPr>
        <w:ind w:left="660" w:right="20" w:firstLine="644"/>
        <w:spacing w:after="0" w:line="283" w:lineRule="auto"/>
        <w:tabs>
          <w:tab w:leader="none" w:pos="1804" w:val="left"/>
        </w:tabs>
        <w:numPr>
          <w:ilvl w:val="0"/>
          <w:numId w:val="6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Each RFR Loan shall bear interest at a rate per annum equal to the applicable Adjusted Daily Simple RFR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Applicable Rate.</w:t>
      </w:r>
    </w:p>
    <w:p>
      <w:pPr>
        <w:spacing w:after="0" w:line="132" w:lineRule="exact"/>
        <w:rPr>
          <w:rFonts w:ascii="Times New Roman" w:cs="Times New Roman" w:eastAsia="Times New Roman" w:hAnsi="Times New Roman"/>
          <w:sz w:val="20"/>
          <w:szCs w:val="20"/>
          <w:color w:val="010000"/>
        </w:rPr>
      </w:pPr>
    </w:p>
    <w:p>
      <w:pPr>
        <w:jc w:val="both"/>
        <w:ind w:left="660" w:firstLine="644"/>
        <w:spacing w:after="0" w:line="257" w:lineRule="auto"/>
        <w:tabs>
          <w:tab w:leader="none" w:pos="1766" w:val="left"/>
        </w:tabs>
        <w:numPr>
          <w:ilvl w:val="0"/>
          <w:numId w:val="6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Notwithstanding the foregoing, if any principal of or interest on any Loan or any fee or other amount payable by any Borrower hereunder is not paid when due, whether at stated maturity, upon acceleration or otherwise, such overdue amount shall bear interest, after as well as before judgment, at a rate per annum equal to (i) in the case of overdue principal of any Loan, 2% plus the rate otherwise applicable to such Loan as provided in the preceding paragraphs of this Section or (ii) in the case of any other amount, 2% plus the rate applicable to ABR Loans as provided in paragraph (a) of this Section.</w:t>
      </w:r>
    </w:p>
    <w:p>
      <w:pPr>
        <w:spacing w:after="0" w:line="159" w:lineRule="exact"/>
        <w:rPr>
          <w:rFonts w:ascii="Times New Roman" w:cs="Times New Roman" w:eastAsia="Times New Roman" w:hAnsi="Times New Roman"/>
          <w:sz w:val="20"/>
          <w:szCs w:val="20"/>
          <w:color w:val="010000"/>
        </w:rPr>
      </w:pPr>
    </w:p>
    <w:p>
      <w:pPr>
        <w:jc w:val="both"/>
        <w:ind w:left="660" w:firstLine="644"/>
        <w:spacing w:after="0" w:line="269" w:lineRule="auto"/>
        <w:tabs>
          <w:tab w:leader="none" w:pos="1736" w:val="left"/>
        </w:tabs>
        <w:numPr>
          <w:ilvl w:val="0"/>
          <w:numId w:val="6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Accrued interest on each Revolving Loan shall be payable in arrears on each Interest Payment Date for such Revolving Loan and upon termination of the Commitments;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interest accrued pursuant to paragraph (d) of this Section shall be payable on demand, (ii) in the event of any repayment or prepayment of any Loan (other than a prepayment of an ABR Revolving Loan prior to the end of the Availability Period), accrued interest on the principal amount repaid or prepaid shall be payable on the date of such repayment or prepayment and (iii) in the event of any conversion of any Term Benchmark Revolving Loan prior to the end of the current Interest Period therefor, accrued interest on such Loan shall be payable on the effective date of such conversion.</w:t>
      </w:r>
    </w:p>
    <w:p>
      <w:pPr>
        <w:spacing w:after="0" w:line="150" w:lineRule="exact"/>
        <w:rPr>
          <w:rFonts w:ascii="Times New Roman" w:cs="Times New Roman" w:eastAsia="Times New Roman" w:hAnsi="Times New Roman"/>
          <w:sz w:val="19"/>
          <w:szCs w:val="19"/>
          <w:color w:val="010000"/>
        </w:rPr>
      </w:pPr>
    </w:p>
    <w:p>
      <w:pPr>
        <w:ind w:left="660" w:firstLine="644"/>
        <w:spacing w:after="0" w:line="283" w:lineRule="auto"/>
        <w:tabs>
          <w:tab w:leader="none" w:pos="1739" w:val="left"/>
        </w:tabs>
        <w:numPr>
          <w:ilvl w:val="0"/>
          <w:numId w:val="6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All interest hereunder shall be computed on the basis of a year of 360 days, except that interest computed by reference to the Daily Simple RFR with respect to Pounds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61</w:t>
      </w:r>
    </w:p>
    <w:p>
      <w:pPr>
        <w:sectPr>
          <w:pgSz w:w="11900" w:h="16838" w:orient="portrait"/>
          <w:cols w:equalWidth="0" w:num="1">
            <w:col w:w="11240"/>
          </w:cols>
          <w:pgMar w:left="320" w:top="1399" w:right="339" w:bottom="1440" w:gutter="0" w:footer="0" w:header="0"/>
        </w:sectPr>
      </w:pPr>
    </w:p>
    <w:bookmarkStart w:id="70" w:name="page71"/>
    <w:bookmarkEnd w:id="70"/>
    <w:p>
      <w:pPr>
        <w:jc w:val="both"/>
        <w:spacing w:after="0" w:line="252" w:lineRule="auto"/>
        <w:rPr>
          <w:sz w:val="20"/>
          <w:szCs w:val="20"/>
          <w:color w:val="auto"/>
        </w:rPr>
      </w:pPr>
      <w:r>
        <w:rPr>
          <w:rFonts w:ascii="Times New Roman" w:cs="Times New Roman" w:eastAsia="Times New Roman" w:hAnsi="Times New Roman"/>
          <w:sz w:val="20"/>
          <w:szCs w:val="20"/>
          <w:color w:val="auto"/>
        </w:rPr>
        <w:t>Sterling, the Japanese Prime Rate (if applicable), the Canadian Prime Rate (if applicable), the TIBO Rate, Term CORRA, Daily Simple CORRA (if applicable), or the Alternate Base Rate only at times when the Alternate Base Rate is based on the Prime Rate shall be computed on the basis of a year of 365 days (or 366 days in a leap year). In each case interest shall be payable for the actual number of days elapsed (including the first day but excluding the last day). All interest hereunder on any Loan shall be computed on a daily basis based upon the outstanding principal amount of such Loan as of the applicable date of determination. A determination of the applicable Alternate Base Rate, Adjusted Term SOFR Rate, Term SOFR Rate, Adjusted EURIBO Rate, EURIBO Rate, Adjusted TIBO Rate, TIBO Rate, Adjusted Term CORRA Rate, Term CORRA, Adjusted Daily Simple RFR, Daily Simple RFR, Central Bank Rate, Japanese Prime Rate or Canadian Prime Rate shall be determined by the Administrative Agent, and such determination shall be conclusive absent manifest error.</w:t>
      </w:r>
    </w:p>
    <w:p>
      <w:pPr>
        <w:spacing w:after="0" w:line="158" w:lineRule="exact"/>
        <w:rPr>
          <w:sz w:val="20"/>
          <w:szCs w:val="20"/>
          <w:color w:val="auto"/>
        </w:rPr>
      </w:pPr>
    </w:p>
    <w:p>
      <w:pPr>
        <w:jc w:val="both"/>
        <w:ind w:firstLine="644"/>
        <w:spacing w:after="0" w:line="254" w:lineRule="auto"/>
        <w:tabs>
          <w:tab w:leader="none" w:pos="1111" w:val="left"/>
        </w:tabs>
        <w:numPr>
          <w:ilvl w:val="0"/>
          <w:numId w:val="6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For the purposes of the </w:t>
      </w:r>
      <w:r>
        <w:rPr>
          <w:rFonts w:ascii="Times New Roman" w:cs="Times New Roman" w:eastAsia="Times New Roman" w:hAnsi="Times New Roman"/>
          <w:sz w:val="20"/>
          <w:szCs w:val="20"/>
          <w:i w:val="1"/>
          <w:iCs w:val="1"/>
          <w:color w:val="auto"/>
        </w:rPr>
        <w:t>Interest Act</w:t>
      </w:r>
      <w:r>
        <w:rPr>
          <w:rFonts w:ascii="Times New Roman" w:cs="Times New Roman" w:eastAsia="Times New Roman" w:hAnsi="Times New Roman"/>
          <w:sz w:val="20"/>
          <w:szCs w:val="20"/>
          <w:color w:val="auto"/>
        </w:rPr>
        <w:t xml:space="preserve"> (Canada) and disclosure thereunder, whenever any interest or any fee to be paid hereunder or in connection herewith by a Canadian Borrower is to be calculated on the basis of a 360-, 365- or 366-day year, the yearly rate of interest to which the rate used in such calculation is equivalent is the rate so used multiplied by the actual number of days in the calendar year in which the same is to be ascertained and divided by 360, 365 or 366, as applicable. The rates of interest under this Agreement are nominal rates, and not effective rates or yields. The principle of deemed reinvestment of interest does not apply to any interest calculation under this Agreement.</w:t>
      </w:r>
    </w:p>
    <w:p>
      <w:pPr>
        <w:spacing w:after="0" w:line="163" w:lineRule="exact"/>
        <w:rPr>
          <w:rFonts w:ascii="Times New Roman" w:cs="Times New Roman" w:eastAsia="Times New Roman" w:hAnsi="Times New Roman"/>
          <w:sz w:val="20"/>
          <w:szCs w:val="20"/>
          <w:color w:val="010000"/>
        </w:rPr>
      </w:pPr>
    </w:p>
    <w:p>
      <w:pPr>
        <w:jc w:val="both"/>
        <w:ind w:firstLine="644"/>
        <w:spacing w:after="0" w:line="258" w:lineRule="auto"/>
        <w:tabs>
          <w:tab w:leader="none" w:pos="1238" w:val="left"/>
        </w:tabs>
        <w:numPr>
          <w:ilvl w:val="0"/>
          <w:numId w:val="6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Each Canadian Borrower acknowledges and confirms that: (i) paragraph (f) of this Section above satisfies the requirements of Section 4 of the </w:t>
      </w:r>
      <w:r>
        <w:rPr>
          <w:rFonts w:ascii="Times New Roman" w:cs="Times New Roman" w:eastAsia="Times New Roman" w:hAnsi="Times New Roman"/>
          <w:sz w:val="20"/>
          <w:szCs w:val="20"/>
          <w:i w:val="1"/>
          <w:iCs w:val="1"/>
          <w:color w:val="auto"/>
        </w:rPr>
        <w:t>Interest Act</w:t>
      </w:r>
      <w:r>
        <w:rPr>
          <w:rFonts w:ascii="Times New Roman" w:cs="Times New Roman" w:eastAsia="Times New Roman" w:hAnsi="Times New Roman"/>
          <w:sz w:val="20"/>
          <w:szCs w:val="20"/>
          <w:color w:val="auto"/>
        </w:rPr>
        <w:t xml:space="preserve"> (Canada) to the extent it applies to the expression or statement of any interest payable under any Loan Document; and (ii) each Canadian Borrower is able to calculate the yearly rate or percentage of interest payable under any Loan Document based upon the methodology set out in paragraph (f) of this Section.</w:t>
      </w:r>
    </w:p>
    <w:p>
      <w:pPr>
        <w:spacing w:after="0" w:line="158" w:lineRule="exact"/>
        <w:rPr>
          <w:rFonts w:ascii="Times New Roman" w:cs="Times New Roman" w:eastAsia="Times New Roman" w:hAnsi="Times New Roman"/>
          <w:sz w:val="20"/>
          <w:szCs w:val="20"/>
          <w:color w:val="010000"/>
        </w:rPr>
      </w:pPr>
    </w:p>
    <w:p>
      <w:pPr>
        <w:jc w:val="both"/>
        <w:ind w:firstLine="644"/>
        <w:spacing w:after="0" w:line="261" w:lineRule="auto"/>
        <w:tabs>
          <w:tab w:leader="none" w:pos="1157" w:val="left"/>
        </w:tabs>
        <w:numPr>
          <w:ilvl w:val="0"/>
          <w:numId w:val="6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Each Canadian Borrower agrees not to plead or assert, whether by way of defense or otherwise, in any proceeding relating to the Loan Documents, that the interest payable thereunder and the calculation thereof has not been adequately disclosed to it, whether pursuant to Section 4 of the </w:t>
      </w:r>
      <w:r>
        <w:rPr>
          <w:rFonts w:ascii="Times New Roman" w:cs="Times New Roman" w:eastAsia="Times New Roman" w:hAnsi="Times New Roman"/>
          <w:sz w:val="20"/>
          <w:szCs w:val="20"/>
          <w:i w:val="1"/>
          <w:iCs w:val="1"/>
          <w:color w:val="auto"/>
        </w:rPr>
        <w:t>Interest Act</w:t>
      </w:r>
      <w:r>
        <w:rPr>
          <w:rFonts w:ascii="Times New Roman" w:cs="Times New Roman" w:eastAsia="Times New Roman" w:hAnsi="Times New Roman"/>
          <w:sz w:val="20"/>
          <w:szCs w:val="20"/>
          <w:color w:val="auto"/>
        </w:rPr>
        <w:t xml:space="preserve"> (Canada) or any other applicable law or legal principle.</w:t>
      </w:r>
    </w:p>
    <w:p>
      <w:pPr>
        <w:spacing w:after="0" w:line="167" w:lineRule="exact"/>
        <w:rPr>
          <w:rFonts w:ascii="Times New Roman" w:cs="Times New Roman" w:eastAsia="Times New Roman" w:hAnsi="Times New Roman"/>
          <w:sz w:val="20"/>
          <w:szCs w:val="20"/>
          <w:color w:val="010000"/>
        </w:rPr>
      </w:pPr>
    </w:p>
    <w:p>
      <w:pPr>
        <w:jc w:val="both"/>
        <w:ind w:firstLine="644"/>
        <w:spacing w:after="0" w:line="251" w:lineRule="auto"/>
        <w:tabs>
          <w:tab w:leader="none" w:pos="1033" w:val="left"/>
        </w:tabs>
        <w:numPr>
          <w:ilvl w:val="0"/>
          <w:numId w:val="6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If any provision of this Agreement would oblige a Canadian Borrower to make any payment of interest or other amount payable to any holder of Obligations in an amount or calculated at a rate which would be prohibited by law or would result in a receipt by that holder of Obligations of “interest” at a “criminal rate” (as such terms are construed under the </w:t>
      </w:r>
      <w:r>
        <w:rPr>
          <w:rFonts w:ascii="Times New Roman" w:cs="Times New Roman" w:eastAsia="Times New Roman" w:hAnsi="Times New Roman"/>
          <w:sz w:val="20"/>
          <w:szCs w:val="20"/>
          <w:i w:val="1"/>
          <w:iCs w:val="1"/>
          <w:color w:val="auto"/>
        </w:rPr>
        <w:t>Criminal Code</w:t>
      </w:r>
      <w:r>
        <w:rPr>
          <w:rFonts w:ascii="Times New Roman" w:cs="Times New Roman" w:eastAsia="Times New Roman" w:hAnsi="Times New Roman"/>
          <w:sz w:val="20"/>
          <w:szCs w:val="20"/>
          <w:color w:val="auto"/>
        </w:rPr>
        <w:t xml:space="preserve"> (Canada)), then, notwithstanding such provision, such amount or rate shall be deemed to have been adjusted with retroactive effect to the maximum amount or rate of interest, as the case may be, as would not be so prohibited by applicable law or so result in a receipt by that holder of Obligations of “interest” at a “criminal rate”, such adjustment to be effected, to the extent necessary (but only to the extent necessary), as follows:</w:t>
      </w:r>
    </w:p>
    <w:p>
      <w:pPr>
        <w:spacing w:after="0" w:line="179" w:lineRule="exact"/>
        <w:rPr>
          <w:rFonts w:ascii="Times New Roman" w:cs="Times New Roman" w:eastAsia="Times New Roman" w:hAnsi="Times New Roman"/>
          <w:sz w:val="20"/>
          <w:szCs w:val="20"/>
          <w:color w:val="010000"/>
        </w:rPr>
      </w:pPr>
    </w:p>
    <w:p>
      <w:pPr>
        <w:ind w:left="1680" w:hanging="388"/>
        <w:spacing w:after="0"/>
        <w:tabs>
          <w:tab w:leader="none" w:pos="1680" w:val="left"/>
        </w:tabs>
        <w:numPr>
          <w:ilvl w:val="1"/>
          <w:numId w:val="6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first, by reducing the amount or rate of interest; and</w:t>
      </w:r>
    </w:p>
    <w:p>
      <w:pPr>
        <w:spacing w:after="0" w:line="215" w:lineRule="exact"/>
        <w:rPr>
          <w:rFonts w:ascii="Times New Roman" w:cs="Times New Roman" w:eastAsia="Times New Roman" w:hAnsi="Times New Roman"/>
          <w:sz w:val="20"/>
          <w:szCs w:val="20"/>
          <w:color w:val="010000"/>
        </w:rPr>
      </w:pPr>
    </w:p>
    <w:p>
      <w:pPr>
        <w:ind w:left="640" w:firstLine="652"/>
        <w:spacing w:after="0" w:line="283" w:lineRule="auto"/>
        <w:tabs>
          <w:tab w:leader="none" w:pos="1808" w:val="left"/>
        </w:tabs>
        <w:numPr>
          <w:ilvl w:val="1"/>
          <w:numId w:val="6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thereafter, by reducing any fees, commissions, costs, expenses, premiums and other amounts required to be paid which would constitute interest for purposes of section 347 of the </w:t>
      </w:r>
      <w:r>
        <w:rPr>
          <w:rFonts w:ascii="Times New Roman" w:cs="Times New Roman" w:eastAsia="Times New Roman" w:hAnsi="Times New Roman"/>
          <w:sz w:val="20"/>
          <w:szCs w:val="20"/>
          <w:i w:val="1"/>
          <w:iCs w:val="1"/>
          <w:color w:val="auto"/>
        </w:rPr>
        <w:t>Criminal Code</w:t>
      </w:r>
      <w:r>
        <w:rPr>
          <w:rFonts w:ascii="Times New Roman" w:cs="Times New Roman" w:eastAsia="Times New Roman" w:hAnsi="Times New Roman"/>
          <w:sz w:val="20"/>
          <w:szCs w:val="20"/>
          <w:color w:val="auto"/>
        </w:rPr>
        <w:t xml:space="preserve"> (Canada).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color w:val="auto"/>
        </w:rPr>
        <w:t>62</w:t>
      </w:r>
    </w:p>
    <w:p>
      <w:pPr>
        <w:sectPr>
          <w:pgSz w:w="11900" w:h="16838" w:orient="portrait"/>
          <w:cols w:equalWidth="0" w:num="1">
            <w:col w:w="10580"/>
          </w:cols>
          <w:pgMar w:left="980" w:top="1413" w:right="339" w:bottom="1440" w:gutter="0" w:footer="0" w:header="0"/>
        </w:sectPr>
      </w:pPr>
    </w:p>
    <w:bookmarkStart w:id="71" w:name="page72"/>
    <w:bookmarkEnd w:id="71"/>
    <w:p>
      <w:pPr>
        <w:jc w:val="both"/>
        <w:ind w:left="660" w:firstLine="644"/>
        <w:spacing w:after="0" w:line="261" w:lineRule="auto"/>
        <w:tabs>
          <w:tab w:leader="none" w:pos="1760" w:val="left"/>
        </w:tabs>
        <w:numPr>
          <w:ilvl w:val="0"/>
          <w:numId w:val="6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Notwithstanding anything to the contrary herein or in any other Loan Document, each Foreign Subsidiary Borrower shall severally and not jointly pay interest on any Loans outstanding to it and no Foreign Subsidiary Borrower shall be responsible for any other Borrower’s failure to pay any interest due hereunder.</w:t>
      </w:r>
    </w:p>
    <w:p>
      <w:pPr>
        <w:spacing w:after="0" w:line="154" w:lineRule="exact"/>
        <w:rPr>
          <w:sz w:val="20"/>
          <w:szCs w:val="20"/>
          <w:color w:val="auto"/>
        </w:rPr>
      </w:pPr>
    </w:p>
    <w:p>
      <w:pPr>
        <w:ind w:left="1300"/>
        <w:spacing w:after="0"/>
        <w:tabs>
          <w:tab w:leader="none" w:pos="2760" w:val="left"/>
        </w:tabs>
        <w:rPr>
          <w:sz w:val="20"/>
          <w:szCs w:val="20"/>
          <w:color w:val="auto"/>
        </w:rPr>
      </w:pPr>
      <w:r>
        <w:rPr>
          <w:rFonts w:ascii="Times New Roman" w:cs="Times New Roman" w:eastAsia="Times New Roman" w:hAnsi="Times New Roman"/>
          <w:sz w:val="20"/>
          <w:szCs w:val="20"/>
          <w:color w:val="010000"/>
        </w:rPr>
        <w:t>SECTION 2.14.</w:t>
      </w:r>
      <w:r>
        <w:rPr>
          <w:sz w:val="20"/>
          <w:szCs w:val="20"/>
          <w:color w:val="auto"/>
        </w:rPr>
        <w:tab/>
      </w:r>
      <w:r>
        <w:rPr>
          <w:rFonts w:ascii="Times New Roman" w:cs="Times New Roman" w:eastAsia="Times New Roman" w:hAnsi="Times New Roman"/>
          <w:sz w:val="19"/>
          <w:szCs w:val="19"/>
          <w:u w:val="single" w:color="auto"/>
          <w:color w:val="auto"/>
        </w:rPr>
        <w:t>Alternate Rate of Interest</w:t>
      </w:r>
      <w:r>
        <w:rPr>
          <w:rFonts w:ascii="Times New Roman" w:cs="Times New Roman" w:eastAsia="Times New Roman" w:hAnsi="Times New Roman"/>
          <w:sz w:val="19"/>
          <w:szCs w:val="19"/>
          <w:color w:val="auto"/>
        </w:rPr>
        <w:t>.</w:t>
      </w:r>
    </w:p>
    <w:p>
      <w:pPr>
        <w:spacing w:after="0" w:line="28" w:lineRule="exact"/>
        <w:rPr>
          <w:sz w:val="20"/>
          <w:szCs w:val="20"/>
          <w:color w:val="auto"/>
        </w:rPr>
      </w:pPr>
    </w:p>
    <w:p>
      <w:pPr>
        <w:ind w:left="1720" w:hanging="416"/>
        <w:spacing w:after="0"/>
        <w:tabs>
          <w:tab w:leader="none" w:pos="1720" w:val="left"/>
        </w:tabs>
        <w:numPr>
          <w:ilvl w:val="0"/>
          <w:numId w:val="6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Subject to clauses (b), (c), (d), (e) and (f) of this Section 2.14, if:</w:t>
      </w:r>
    </w:p>
    <w:p>
      <w:pPr>
        <w:spacing w:after="0" w:line="186" w:lineRule="exact"/>
        <w:rPr>
          <w:rFonts w:ascii="Times New Roman" w:cs="Times New Roman" w:eastAsia="Times New Roman" w:hAnsi="Times New Roman"/>
          <w:sz w:val="20"/>
          <w:szCs w:val="20"/>
          <w:color w:val="010000"/>
        </w:rPr>
      </w:pPr>
    </w:p>
    <w:p>
      <w:pPr>
        <w:jc w:val="both"/>
        <w:ind w:left="1300" w:firstLine="652"/>
        <w:spacing w:after="0" w:line="253" w:lineRule="auto"/>
        <w:tabs>
          <w:tab w:leader="none" w:pos="2387" w:val="left"/>
        </w:tabs>
        <w:numPr>
          <w:ilvl w:val="1"/>
          <w:numId w:val="6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Administrative Agent reasonably determines (which determination shall be conclusive and binding absent manifest error) (A) prior to the commencement of any Interest Period for a Term Benchmark Borrowing, that adequate and reasonable means do not exist for ascertaining the Adjusted Term SOFR Rate, the Adjusted EURIBO Rate, the Adjusted TIBO Rate or the Adjusted Term CORRA Rate (including because the Relevant Screen Rate is not available or published on a current basis) for the applicable currency and such Interest Period or (B) at any time, that adequate and reasonable means do not exist for ascertaining the applicable Adjusted Daily Simple RFR for the applicable Agreed Currency; or</w:t>
      </w:r>
    </w:p>
    <w:p>
      <w:pPr>
        <w:spacing w:after="0" w:line="192" w:lineRule="exact"/>
        <w:rPr>
          <w:rFonts w:ascii="Times New Roman" w:cs="Times New Roman" w:eastAsia="Times New Roman" w:hAnsi="Times New Roman"/>
          <w:sz w:val="20"/>
          <w:szCs w:val="20"/>
          <w:color w:val="010000"/>
        </w:rPr>
      </w:pPr>
    </w:p>
    <w:p>
      <w:pPr>
        <w:jc w:val="both"/>
        <w:ind w:left="1300" w:firstLine="652"/>
        <w:spacing w:after="0" w:line="251" w:lineRule="auto"/>
        <w:tabs>
          <w:tab w:leader="none" w:pos="2495" w:val="left"/>
        </w:tabs>
        <w:numPr>
          <w:ilvl w:val="1"/>
          <w:numId w:val="6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Administrative Agent is advised by the Required Lenders that (A) prior to the commencement of any Interest Period for a Term Benchmark Borrowing, the Adjusted Term SOFR Rate, the Adjusted EURIBO Rate, the Adjusted TIBO Rate or the Adjusted Term CORRA Rate for the applicable Agreed Currency and such Interest Period will not adequately and fairly reflect the cost to such Lenders of making or maintaining their Loans included in such Borrowing for the applicable Agreed Currency and such Interest Period or (B) at any time, the applicable Adjusted Daily Simple RFR for the applicable Agreed Currency will not adequately and fairly reflect the cost to such Lenders of making or maintaining their Loans included in such Borrowing for the applicable Agreed Currency;</w:t>
      </w:r>
    </w:p>
    <w:p>
      <w:pPr>
        <w:spacing w:after="0" w:line="19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then the Administrative Agent shall give notice thereof to the applicable Borrower and the Lenders by telephone, telecopy or electronic mail as promptly as practicable thereafter and, until (i) the Administrative Agent notifies the applicable Borrower and the Lenders that the circumstances giving rise to such notice no longer exist with respect to the relevant Benchmark and (ii) the applicable Borrower delivers a new Interest Election Request in accordance with the terms of Section 2.08 or a new Borrowing Request in accordance with the terms of Section 2.03, (A) for Loans denominated in Dollars, (1) any Interest Election Request that requests the conversion of any Borrowing to, or continuation of any Borrowing as, a Term Benchmark Borrowing and any Borrowing Request that requests a Term Benchmark Borrowing shall instead be deemed to be an Interest Election Request or a Borrowing Request, as applicable, for (a) an RFR Borrowing denominated in Dollars so long as the Adjusted Daily Simple RFR for Dollar Borrowings is not also the subject of Section 2.14(a)(i) or (ii) above or (b) an ABR Borrowing if the Adjusted Daily Simple RFR for Dollar Borrowings also is the subject of Section 2.14(a)(i) or (ii) above and (2) any Borrowing Request that requests an RFR Borrowing shall instead be deemed to be a Borrowing Request, as applicable, for an ABR Borrowing, (B) for Loans denominated in Canadian Dollars, any Interest Election Request that requests the conversion of any Borrowing to, or continuation of any Borrowing as, a Term Benchmark Borrowing or an RFR Borrowing and any Borrowing Request that requests a Term Benchmark Borrowing or an RFR Borrowing shall instead be deemed to be an Interest Election Request or a Borrowing Request, as applicable, for a Loan that bears interest at the Canadian Prime Rate plus the Applicable Rate applicable to ABR Loans and (C) for Loans denominated in a Foreign Currency (other than Canadian Dollars), any Interest Election Request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63</w:t>
      </w:r>
    </w:p>
    <w:p>
      <w:pPr>
        <w:sectPr>
          <w:pgSz w:w="11900" w:h="16838" w:orient="portrait"/>
          <w:cols w:equalWidth="0" w:num="1">
            <w:col w:w="11240"/>
          </w:cols>
          <w:pgMar w:left="320" w:top="1413" w:right="339" w:bottom="1440" w:gutter="0" w:footer="0" w:header="0"/>
        </w:sectPr>
      </w:pPr>
    </w:p>
    <w:bookmarkStart w:id="72" w:name="page73"/>
    <w:bookmarkEnd w:id="72"/>
    <w:p>
      <w:pPr>
        <w:jc w:val="both"/>
        <w:spacing w:after="0" w:line="262" w:lineRule="auto"/>
        <w:rPr>
          <w:sz w:val="20"/>
          <w:szCs w:val="20"/>
          <w:color w:val="auto"/>
        </w:rPr>
      </w:pPr>
      <w:r>
        <w:rPr>
          <w:rFonts w:ascii="Times New Roman" w:cs="Times New Roman" w:eastAsia="Times New Roman" w:hAnsi="Times New Roman"/>
          <w:sz w:val="19"/>
          <w:szCs w:val="19"/>
          <w:color w:val="auto"/>
        </w:rPr>
        <w:t>requests the conversion of any Revolving Borrowing to, or continuation of any Revolving Borrowing as, a Term Benchmark Borrowing and any Borrowing Request that requests a Term Benchmark Borrowing or an RFR Borrowing, in each case, for the relevant Benchmark, shall be ineffective; provided that if the circumstances giving rise to such notice affect only one Type of Borrowing, then all other Types of Borrowings shall be permitted. Furthermore, if any Term Benchmark Loan or RFR Loan in any Agreed Currency is outstanding on the date of the applicable Borrower’s receipt of the notice from the Administrative Agent referred to in this Section 2.14(a) with respect to a Relevant Rate applicable to such Term Benchmark Loan or RFR Loan, then until (i) the Administrative Agent notifies the Company and the Lenders that the circumstances giving rise to such notice no longer exist with respect to the relevant Benchmark and (ii) the applicable Borrower delivers a new Interest Election Request in accordance with the terms of Section 2.08 or a new Borrowing Request in accordance with the terms of Section 2.03, (A) for Loans denominated in Dollars, (1) any Term Benchmark Loan shall on the last day of the Interest Period applicable to such Loan, be converted by the Administrative Agent to, and shall constitute, (a) an RFR Borrowing denominated in Dollars so long as the Adjusted Daily Simple RFR for Dollar Borrowings is not also the subject of Section 2.14(a)(i) or (ii) above or (b) an ABR Loan if the Adjusted Daily Simple RFR for Dollar Borrowings also is the subject of Section 2.14(a)(i) or (ii) above, on such day, and (2) any RFR Loan shall on and from such day be converted by the Administrative Agent to, and shall constitute an ABR Loan, (B) for Loans denominated in Canadian Dollars, (1) any Term Benchmark Loan shall on the last day of the Interest Period applicable to such Loan, be converted by the Administrative Agent to, and shall constitute a Loan that bears interest at the Canadian Prime Rate plus the Applicable Rate applicable to ABR Loans and (2) any RFR Loan shall on and from such day be converted by the Administrative Agent to, and shall constitute a Loan that bears interest at the Canadian Prime Rate plus the Applicable Rate applicable to ABR Loans; provided that, if the Administrative Agent determines (which determination shall be conclusive and binding absent manifest error) that the Canadian Prime Rate cannot be determined,</w:t>
      </w:r>
    </w:p>
    <w:p>
      <w:pPr>
        <w:spacing w:after="0" w:line="2" w:lineRule="exact"/>
        <w:rPr>
          <w:sz w:val="20"/>
          <w:szCs w:val="20"/>
          <w:color w:val="auto"/>
        </w:rPr>
      </w:pPr>
    </w:p>
    <w:p>
      <w:pPr>
        <w:jc w:val="both"/>
        <w:ind w:firstLine="8"/>
        <w:spacing w:after="0" w:line="248" w:lineRule="auto"/>
        <w:tabs>
          <w:tab w:leader="none" w:pos="294"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outstanding affected Term Benchmark Loans shall, at the applicable Borrower’s election prior to such day: (i) be prepaid by the applicable Borrower on such day or (ii) solely for the purpose of calculating the interest rate applicable to such Term Benchmark Loan, such Term Benchmark Loan shall be deemed to be a Term Benchmark Loan denominated in Dollars and shall accrue interest at the same interest rate applicable to Term Benchmark Loans denominated in Dollars at such time and (b) any outstanding affected RFR Loans, at the applicable Borrower’s election, shall either (i) be converted into ABR Loans denominated in Dollars (in an amount equal to the Dollar Amount of such Foreign Currency) immediately or (ii) be prepaid in full immediately, and (C)for Loans denominated in a Foreign Currency, (1) any Term Benchmark Loan shall, on the last day of the Interest Period applicable to such Loan bear interest at the Central Bank Rate (or in the case of Japanese Yen, the Japanese Prime Rate) for the applicable Foreign Currency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CBR Spread;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Administrative Agent determines (which determination shall be conclusive and binding absent manifest error) that the Central Bank Rate (or in the case of Japanese Yen, the Japanese Prime Rate) for the applicable Foreign Currency cannot be determined, any outstanding affected Term Benchmark Loans denominated in such Foreign Currency shall, at the applicable Borrower’s election prior to such day: (i) be prepaid by the applicable Borrower on such day or (ii) solely for the purpose of calculating the interest rate applicable to such Term Benchmark Loan, such Term Benchmark Loan denominated in such Foreign Currency shall be deemed to be a Term Benchmark Loan denominated in Dollars and shall accrue interest at the same interest rate applicable to Term Benchmark Loans denominated in Dollars at such time and (2) any RFR Loan shall bear interest at the Central Bank Rate (or in the case of Japanese Yen, the Japanese Prime Rate) for the applicable Foreign Currency plus the CBR Spread;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Administrative Agent determines (which determination shall be conclusive and binding absent manifest error) that the Central Bank Rate (or in the case of Japanese Yen, the Japanese Prime Rate) for the applicable Foreign Currency cannot be determined, any outstanding affected RFR Loans denominated in any Foreign Currency, at the applicable Borrower’s election, shall either (i) be converted into ABR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64</w:t>
      </w:r>
    </w:p>
    <w:p>
      <w:pPr>
        <w:sectPr>
          <w:pgSz w:w="11900" w:h="16838" w:orient="portrait"/>
          <w:cols w:equalWidth="0" w:num="1">
            <w:col w:w="11240"/>
          </w:cols>
          <w:pgMar w:left="320" w:top="1413" w:right="339" w:bottom="1440" w:gutter="0" w:footer="0" w:header="0"/>
        </w:sectPr>
      </w:pPr>
    </w:p>
    <w:bookmarkStart w:id="73" w:name="page74"/>
    <w:bookmarkEnd w:id="73"/>
    <w:p>
      <w:pPr>
        <w:spacing w:after="0" w:line="283" w:lineRule="auto"/>
        <w:rPr>
          <w:sz w:val="20"/>
          <w:szCs w:val="20"/>
          <w:color w:val="auto"/>
        </w:rPr>
      </w:pPr>
      <w:r>
        <w:rPr>
          <w:rFonts w:ascii="Times New Roman" w:cs="Times New Roman" w:eastAsia="Times New Roman" w:hAnsi="Times New Roman"/>
          <w:sz w:val="20"/>
          <w:szCs w:val="20"/>
          <w:color w:val="auto"/>
        </w:rPr>
        <w:t>denominated in Dollars (in an amount equal to the Dollar Amount of such Foreign Currency) immediately or (ii) be prepaid in full immediately.</w:t>
      </w:r>
    </w:p>
    <w:p>
      <w:pPr>
        <w:spacing w:after="0" w:line="119" w:lineRule="exact"/>
        <w:rPr>
          <w:sz w:val="20"/>
          <w:szCs w:val="20"/>
          <w:color w:val="auto"/>
        </w:rPr>
      </w:pPr>
    </w:p>
    <w:p>
      <w:pPr>
        <w:jc w:val="both"/>
        <w:ind w:left="660" w:firstLine="644"/>
        <w:spacing w:after="0" w:line="249" w:lineRule="auto"/>
        <w:tabs>
          <w:tab w:leader="none" w:pos="1750" w:val="left"/>
        </w:tabs>
        <w:numPr>
          <w:ilvl w:val="0"/>
          <w:numId w:val="6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Notwithstanding anything to the contrary herein or in any other Loan Document, if a Benchmark Transition Event and its related Benchmark Replacement Date have occurred prior to the Reference Time in respect of any setting of the then-current Benchmark, then (x) if a Benchmark Replacement is determined in accordance with clause (1) of the definition of “Benchmark Replacement” with respect to Dollars and/or Canadian Dollars for such Benchmark Replacement Date, such Benchmark Replacement will replace such Benchmark (including any related adjustments)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(2) of the definition of “Benchmark Replacement” with respect to any Agreed Currency for such Benchmark Replacement Date, such Benchmark Replacement will replace such Benchmark (including any related adjustments)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w:t>
      </w:r>
    </w:p>
    <w:p>
      <w:pPr>
        <w:spacing w:after="0" w:line="169" w:lineRule="exact"/>
        <w:rPr>
          <w:rFonts w:ascii="Times New Roman" w:cs="Times New Roman" w:eastAsia="Times New Roman" w:hAnsi="Times New Roman"/>
          <w:sz w:val="20"/>
          <w:szCs w:val="20"/>
          <w:color w:val="010000"/>
        </w:rPr>
      </w:pPr>
    </w:p>
    <w:p>
      <w:pPr>
        <w:jc w:val="both"/>
        <w:ind w:left="660" w:firstLine="644"/>
        <w:spacing w:after="0" w:line="251" w:lineRule="auto"/>
        <w:tabs>
          <w:tab w:leader="none" w:pos="1725" w:val="left"/>
        </w:tabs>
        <w:numPr>
          <w:ilvl w:val="0"/>
          <w:numId w:val="6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(i) Notwithstanding anything to the contrary herein or in any other Loan Document,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 (ii) Notwithstanding anything to the contrary herein or in any other Loan Document and subject to the proviso below in this paragraph, with respect to a Loan denominated in Canadian Dollars, if a Term CORRA Reelection Event and its related Benchmark Replacement Date have occurred prior to the Reference Time in respect of any setting of the then-current Benchmark, then the applicable Benchmark Replacement will replace the then-current Benchmark for all purposes hereunder or under any Loan Document in respect of such Benchmark setting and subsequent Benchmark settings, without any amendment to, or further action or consent of any other party to, this Agreement or any other Loan Document;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this clause (c)(ii) shall not be effective unless the Administrative Agent has delivered to the Lenders and the Company a Term CORRA Notice. For the avoidance of doubt, the Administrative Agent shall not be required to deliver a Term CORRA Notice after the occurrence of a Term CORRA Reelection Event and may do so in its sole discretion.</w:t>
      </w:r>
    </w:p>
    <w:p>
      <w:pPr>
        <w:spacing w:after="0" w:line="167" w:lineRule="exact"/>
        <w:rPr>
          <w:rFonts w:ascii="Times New Roman" w:cs="Times New Roman" w:eastAsia="Times New Roman" w:hAnsi="Times New Roman"/>
          <w:sz w:val="20"/>
          <w:szCs w:val="20"/>
          <w:color w:val="010000"/>
        </w:rPr>
      </w:pPr>
    </w:p>
    <w:p>
      <w:pPr>
        <w:jc w:val="both"/>
        <w:ind w:left="660" w:firstLine="644"/>
        <w:spacing w:after="0" w:line="253" w:lineRule="auto"/>
        <w:tabs>
          <w:tab w:leader="none" w:pos="1790" w:val="left"/>
        </w:tabs>
        <w:numPr>
          <w:ilvl w:val="0"/>
          <w:numId w:val="6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Administrative Agent will promptly notify the Company and the Lenders of (i) any occurrence of a Benchmark Transition Event, (ii) the implementation of any Benchmark Replacement, (iii) the effectiveness of any Benchmark Replacement Conforming Changes, (iv) the removal or reinstatement of any tenor of a Benchmark pursuant to clause (e) below and (v) the commencement or conclusion of any Benchmark Unavailability Period. Any determination, decision or election that may be made by the Administrative Agent or, if applicable, any Lender (or group of Lenders) pursuant to this Section 2.14, including any determination with respect to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65</w:t>
      </w:r>
    </w:p>
    <w:p>
      <w:pPr>
        <w:sectPr>
          <w:pgSz w:w="11900" w:h="16838" w:orient="portrait"/>
          <w:cols w:equalWidth="0" w:num="1">
            <w:col w:w="11240"/>
          </w:cols>
          <w:pgMar w:left="320" w:top="1413" w:right="339" w:bottom="1440" w:gutter="0" w:footer="0" w:header="0"/>
        </w:sectPr>
      </w:pPr>
    </w:p>
    <w:bookmarkStart w:id="74" w:name="page75"/>
    <w:bookmarkEnd w:id="74"/>
    <w:p>
      <w:pPr>
        <w:jc w:val="both"/>
        <w:ind w:left="4"/>
        <w:spacing w:after="0" w:line="258" w:lineRule="auto"/>
        <w:rPr>
          <w:sz w:val="20"/>
          <w:szCs w:val="20"/>
          <w:color w:val="auto"/>
        </w:rPr>
      </w:pPr>
      <w:r>
        <w:rPr>
          <w:rFonts w:ascii="Times New Roman" w:cs="Times New Roman" w:eastAsia="Times New Roman" w:hAnsi="Times New Roman"/>
          <w:sz w:val="20"/>
          <w:szCs w:val="20"/>
          <w:color w:val="auto"/>
        </w:rPr>
        <w:t>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2.14.</w:t>
      </w:r>
    </w:p>
    <w:p>
      <w:pPr>
        <w:spacing w:after="0" w:line="159" w:lineRule="exact"/>
        <w:rPr>
          <w:sz w:val="20"/>
          <w:szCs w:val="20"/>
          <w:color w:val="auto"/>
        </w:rPr>
      </w:pPr>
    </w:p>
    <w:p>
      <w:pPr>
        <w:jc w:val="both"/>
        <w:ind w:left="4" w:firstLine="644"/>
        <w:spacing w:after="0" w:line="251" w:lineRule="auto"/>
        <w:tabs>
          <w:tab w:leader="none" w:pos="1096" w:val="left"/>
        </w:tabs>
        <w:numPr>
          <w:ilvl w:val="1"/>
          <w:numId w:val="6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Notwithstanding anything to the contrary herein or in any other Loan Document, at any time (including in connection with the implementation of a Benchmark Replacement), (i) if the then-current Benchmark is a term rate (including the Term SOFR Rate, the EURIBO Rate, the TIBO Rate or Term CORRA)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spacing w:after="0" w:line="178" w:lineRule="exact"/>
        <w:rPr>
          <w:rFonts w:ascii="Times New Roman" w:cs="Times New Roman" w:eastAsia="Times New Roman" w:hAnsi="Times New Roman"/>
          <w:sz w:val="20"/>
          <w:szCs w:val="20"/>
          <w:color w:val="010000"/>
        </w:rPr>
      </w:pPr>
    </w:p>
    <w:p>
      <w:pPr>
        <w:jc w:val="both"/>
        <w:ind w:left="4" w:firstLine="644"/>
        <w:spacing w:after="0" w:line="281" w:lineRule="auto"/>
        <w:tabs>
          <w:tab w:leader="none" w:pos="1142" w:val="left"/>
        </w:tabs>
        <w:numPr>
          <w:ilvl w:val="1"/>
          <w:numId w:val="6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Upon the Company’s receipt of notice of the commencement of a Benchmark Unavailability Period, the applicable Borrower may revoke any request for (i) a Term Benchmark Borrowing, conversion to or continuation of Term Benchmark Loans to be made, converted or continued or (ii) a RFR Borrowing or conversion to RFR Loans, during any Benchmark Unavailability Period and, failing that, either (x) the applicable Borrower will be deemed to have converted any request for a Term Benchmark Borrowing or RFR Borrowing, as applicable, denominated in Dollars into a request for a Borrowing of or conversion to (A) solely with respect to any such request for a Term Benchmark Borrowing, an RFR Borrowing denominated in Dollars so long as the Adjusted Daily Simple RFR for Dollar Borrowings is not the subject of a Benchmark Transition Event or (B) an ABR Borrowing if the Adjusted Daily Simple RFR for Dollar Borrowings is the subject of a Benchmark Transition Event, (y) the applicable Borrower will be deemed to have converted any request for a Term Benchmark Borrowing or RFR Borrowing, as applicable, denominated in Canadian Dollars into a request for a Loan that bears interest at the Canadian Prime Rate plus the Applicable Rate applicable to ABR Loans or</w:t>
      </w:r>
    </w:p>
    <w:p>
      <w:pPr>
        <w:spacing w:after="0" w:line="8" w:lineRule="exact"/>
        <w:rPr>
          <w:rFonts w:ascii="Times New Roman" w:cs="Times New Roman" w:eastAsia="Times New Roman" w:hAnsi="Times New Roman"/>
          <w:sz w:val="19"/>
          <w:szCs w:val="19"/>
          <w:color w:val="010000"/>
        </w:rPr>
      </w:pPr>
    </w:p>
    <w:p>
      <w:pPr>
        <w:jc w:val="both"/>
        <w:ind w:left="4" w:hanging="4"/>
        <w:spacing w:after="0" w:line="273" w:lineRule="auto"/>
        <w:tabs>
          <w:tab w:leader="none" w:pos="315"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request relating to a Term Benchmark Borrowing or RFR Borrowing denominated in a Foreign Currency (other than Canadian Dollars) shall be ineffective. During any Benchmark Unavailability Period or at any time that a tenor for the then-current Benchmark is not an Available Tenor, the component of the Alternate Base Rate or the Canadian Prime Rate, as applicable, based upon the then-current Benchmark or such tenor for such Benchmark, as applicable, will not be used in any determination of the Alternate Base Rate or the Canadian Prime Rate, as applicable. Furthermore, if any Term Benchmark Loan or RFR Loan in any Agreed Currency is outstanding on the date of the Company’s receipt of notice of the commencement of a Benchmark Unavailability Period with respect to a Relevant Rate applicable to such Term Benchmark Loan or RFR Loan, then until such time as a Benchmark Replacement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0"/>
          <w:szCs w:val="20"/>
          <w:color w:val="auto"/>
        </w:rPr>
        <w:t>66</w:t>
      </w:r>
    </w:p>
    <w:p>
      <w:pPr>
        <w:sectPr>
          <w:pgSz w:w="11900" w:h="16838" w:orient="portrait"/>
          <w:cols w:equalWidth="0" w:num="1">
            <w:col w:w="10584"/>
          </w:cols>
          <w:pgMar w:left="976" w:top="1413" w:right="339" w:bottom="1440" w:gutter="0" w:footer="0" w:header="0"/>
        </w:sectPr>
      </w:pPr>
    </w:p>
    <w:bookmarkStart w:id="75" w:name="page76"/>
    <w:bookmarkEnd w:id="75"/>
    <w:p>
      <w:pPr>
        <w:jc w:val="both"/>
        <w:ind w:left="4"/>
        <w:spacing w:after="0" w:line="283" w:lineRule="auto"/>
        <w:rPr>
          <w:sz w:val="20"/>
          <w:szCs w:val="20"/>
          <w:color w:val="auto"/>
        </w:rPr>
      </w:pPr>
      <w:r>
        <w:rPr>
          <w:rFonts w:ascii="Times New Roman" w:cs="Times New Roman" w:eastAsia="Times New Roman" w:hAnsi="Times New Roman"/>
          <w:sz w:val="19"/>
          <w:szCs w:val="19"/>
          <w:color w:val="auto"/>
        </w:rPr>
        <w:t>for such Agreed Currency is implemented pursuant to this Section 2.14, (i) for Loans denominated in Dollars (x) any Term Benchmark Loan shall on the last day of the Interest Period applicable to such Loan, be converted by the Administrative Agent to, and shall constitute, (A) an RFR Borrowing denominated in Dollars so long as the Adjusted Daily Simple RFR for Dollar Borrowings is not the subject of a Benchmark Transition Event or (B) an ABR Loan if the Adjusted Daily Simple RFR for Dollar Borrowings is the subject of a Benchmark Transition Event, on such day and (y) any RFR Loan shall on and from such day be converted by the Administrative Agent to, and shall constitute an ABR Loan, (ii) for Loans denominated in Canadian Dollars, (x) any Term Benchmark Loan shall on the last day of the Interest Period applicable to such Loan, be converted by the Administrative Agent to, and shall constitute a Loan that bears interest at the Canadian Prime Rate plus the Applicable Rate applicable to ABR Loans and (y) any RFR Loan shall on and from such day be converted by the Administrative Agent to, and shall constitute a Loan that bears interest at the Canadian Prime Rate plus the Applicable Rate applicable to ABR Loans; provided that, if the Administrative Agent determines (which determination shall be conclusive and binding absent manifest error) that the Canadian Prime Rate cannot be determined, (A) any outstanding affected Term Benchmark Loans shall, at the applicable Borrower’s election prior to such day:</w:t>
      </w:r>
    </w:p>
    <w:p>
      <w:pPr>
        <w:spacing w:after="0" w:line="2" w:lineRule="exact"/>
        <w:rPr>
          <w:sz w:val="20"/>
          <w:szCs w:val="20"/>
          <w:color w:val="auto"/>
        </w:rPr>
      </w:pPr>
    </w:p>
    <w:p>
      <w:pPr>
        <w:jc w:val="both"/>
        <w:ind w:left="4" w:hanging="4"/>
        <w:spacing w:after="0" w:line="269" w:lineRule="auto"/>
        <w:tabs>
          <w:tab w:leader="none" w:pos="289"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be prepaid by the applicable Borrower on such day or (2) solely for the purpose of calculating the interest rate applicable to such Term Benchmark Loan, such Term Benchmark Loan shall be deemed to be a Term Benchmark Loan denominated in Dollars and shall accrue interest at the same interest rate applicable to Term Benchmark Loans denominated in Dollars at such time and (B) any outstanding affected RFR Loans, at the applicable Borrower’s election, shall either (1) be converted into ABR Loans denominated in Dollars (in an amount equal to the Dollar Amount of such Foreign Currency) immediately or (2) be prepaid in full immediately, (iii) for Loans denominated in a Foreign Currency, (x) any Term Benchmark Loan shall, on the last day of the Interest Period applicable to such Loan bear interest at the Central Bank Rate (or in the case of Japanese Yen, the Japanese Prime Rate) for the applicable Foreign Currency plus the CBR Spread;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Administrative Agent determines (which determination shall be conclusive and binding absent manifest error) that the Central Bank Rate (or in the case of Japanese Yen, the Japanese Prime Rate) for the applicable Foreign Currency cannot be determined, any outstanding affected Term Benchmark Loans denominated in any Foreign Currency shall, at the applicable Borrower’s election prior to such day: (1) be prepaid by such Borrower on such day or (2) solely for the purpose of calculating the interest rate applicable to such Term Benchmark Loan, such Term Benchmark Loan denominated in any Foreign Currency shall be deemed to be a Term Benchmark Loan denominated in Dollars and shall accrue interest at the same interest rate applicable to Term Benchmark Loans denominated in Dollars at such time and (y) any RFR Loan shall bear interest at the Central Bank Rate (or in the case of Japanese Yen, the Japanese Prime Rate) for the applicable Foreign Currency plus the CBR Spread; provided that, if the Administrative Agent determines (which determination shall be conclusive and binding absent manifest error) that the Central Bank Rate (or in the case of Japanese Yen, the Japanese Prime Rate) for the applicable Foreign Currency cannot be determined, any outstanding affected RFR Loans denominated in any Foreign Currency, at the applicable Borrower’s election, shall either (A) be converted into ABR Loans denominated in Dollars (in an amount equal to the Dollar Amount of such Foreign Currency) immediately or (B) be prepaid in full immediately.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0"/>
          <w:szCs w:val="20"/>
          <w:color w:val="auto"/>
        </w:rPr>
        <w:t>67</w:t>
      </w:r>
    </w:p>
    <w:p>
      <w:pPr>
        <w:sectPr>
          <w:pgSz w:w="11900" w:h="16838" w:orient="portrait"/>
          <w:cols w:equalWidth="0" w:num="1">
            <w:col w:w="10584"/>
          </w:cols>
          <w:pgMar w:left="976" w:top="1426" w:right="339" w:bottom="1440" w:gutter="0" w:footer="0" w:header="0"/>
        </w:sectPr>
      </w:pPr>
    </w:p>
    <w:bookmarkStart w:id="76" w:name="page77"/>
    <w:bookmarkEnd w:id="76"/>
    <w:p>
      <w:pPr>
        <w:ind w:left="1300"/>
        <w:spacing w:after="0"/>
        <w:tabs>
          <w:tab w:leader="none" w:pos="2760" w:val="left"/>
        </w:tabs>
        <w:rPr>
          <w:sz w:val="20"/>
          <w:szCs w:val="20"/>
          <w:color w:val="auto"/>
        </w:rPr>
      </w:pPr>
      <w:r>
        <w:rPr>
          <w:rFonts w:ascii="Times New Roman" w:cs="Times New Roman" w:eastAsia="Times New Roman" w:hAnsi="Times New Roman"/>
          <w:sz w:val="20"/>
          <w:szCs w:val="20"/>
          <w:color w:val="010000"/>
        </w:rPr>
        <w:t>SECTION 2.15.</w:t>
      </w:r>
      <w:r>
        <w:rPr>
          <w:sz w:val="20"/>
          <w:szCs w:val="20"/>
          <w:color w:val="auto"/>
        </w:rPr>
        <w:tab/>
      </w:r>
      <w:r>
        <w:rPr>
          <w:rFonts w:ascii="Times New Roman" w:cs="Times New Roman" w:eastAsia="Times New Roman" w:hAnsi="Times New Roman"/>
          <w:sz w:val="19"/>
          <w:szCs w:val="19"/>
          <w:u w:val="single" w:color="auto"/>
          <w:color w:val="auto"/>
        </w:rPr>
        <w:t>Increased Costs</w:t>
      </w:r>
      <w:r>
        <w:rPr>
          <w:rFonts w:ascii="Times New Roman" w:cs="Times New Roman" w:eastAsia="Times New Roman" w:hAnsi="Times New Roman"/>
          <w:sz w:val="19"/>
          <w:szCs w:val="19"/>
          <w:color w:val="auto"/>
        </w:rPr>
        <w:t>. If any Change in Law shall:</w:t>
      </w:r>
    </w:p>
    <w:p>
      <w:pPr>
        <w:spacing w:after="0" w:line="28" w:lineRule="exact"/>
        <w:rPr>
          <w:sz w:val="20"/>
          <w:szCs w:val="20"/>
          <w:color w:val="auto"/>
        </w:rPr>
      </w:pPr>
    </w:p>
    <w:p>
      <w:pPr>
        <w:jc w:val="both"/>
        <w:ind w:left="1300" w:firstLine="652"/>
        <w:spacing w:after="0" w:line="276" w:lineRule="auto"/>
        <w:tabs>
          <w:tab w:leader="none" w:pos="2346" w:val="left"/>
        </w:tabs>
        <w:numPr>
          <w:ilvl w:val="0"/>
          <w:numId w:val="7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impose, modify or deem applicable any reserve, special deposit, liquidity or similar requirement (including any compulsory loan requirement, insurance charge or other assessment) against assets of, deposits with or for the account of, or credit extended by, any Lender (except any such reserve requirement reflected in the Adjusted EURIBO Rate, the Adjusted TIBO Rate or the Adjusted Term CORRA Rate, as applicable) or any Issuing Bank;</w:t>
      </w:r>
    </w:p>
    <w:p>
      <w:pPr>
        <w:spacing w:after="0" w:line="168" w:lineRule="exact"/>
        <w:rPr>
          <w:rFonts w:ascii="Times New Roman" w:cs="Times New Roman" w:eastAsia="Times New Roman" w:hAnsi="Times New Roman"/>
          <w:sz w:val="20"/>
          <w:szCs w:val="20"/>
          <w:color w:val="010000"/>
        </w:rPr>
      </w:pPr>
    </w:p>
    <w:p>
      <w:pPr>
        <w:jc w:val="both"/>
        <w:ind w:left="1300" w:firstLine="652"/>
        <w:spacing w:after="0" w:line="268" w:lineRule="auto"/>
        <w:tabs>
          <w:tab w:leader="none" w:pos="2495" w:val="left"/>
        </w:tabs>
        <w:numPr>
          <w:ilvl w:val="0"/>
          <w:numId w:val="7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impose on any Lender or any Issuing Bank or the applicable offshore interbank market for the applicable Agreed Currency any other condition, cost or expense (other than Taxes or UK Taxes) affecting this Agreement or Loans made by such Lender or any Letter of Credit or participation therein; or</w:t>
      </w:r>
    </w:p>
    <w:p>
      <w:pPr>
        <w:spacing w:after="0" w:line="161" w:lineRule="exact"/>
        <w:rPr>
          <w:rFonts w:ascii="Times New Roman" w:cs="Times New Roman" w:eastAsia="Times New Roman" w:hAnsi="Times New Roman"/>
          <w:sz w:val="20"/>
          <w:szCs w:val="20"/>
          <w:color w:val="010000"/>
        </w:rPr>
      </w:pPr>
    </w:p>
    <w:p>
      <w:pPr>
        <w:ind w:left="2460" w:hanging="508"/>
        <w:spacing w:after="0"/>
        <w:tabs>
          <w:tab w:leader="none" w:pos="2460" w:val="left"/>
        </w:tabs>
        <w:numPr>
          <w:ilvl w:val="0"/>
          <w:numId w:val="7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subject any Recipient to any Taxes or UK Taxes on its loans, loan principal, letters of credit, commitments, or</w:t>
      </w:r>
    </w:p>
    <w:p>
      <w:pPr>
        <w:spacing w:after="0" w:line="4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other obligations, or its deposits, reserves, other liabilities or capital attributable thereto (other than (A) Indemnified Taxes,</w:t>
      </w:r>
    </w:p>
    <w:p>
      <w:pPr>
        <w:spacing w:after="0" w:line="6" w:lineRule="exact"/>
        <w:rPr>
          <w:sz w:val="20"/>
          <w:szCs w:val="20"/>
          <w:color w:val="auto"/>
        </w:rPr>
      </w:pPr>
    </w:p>
    <w:p>
      <w:pPr>
        <w:jc w:val="both"/>
        <w:ind w:left="1300" w:firstLine="4"/>
        <w:spacing w:after="0" w:line="249" w:lineRule="auto"/>
        <w:tabs>
          <w:tab w:leader="none" w:pos="1623"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Excluded Taxes, (C) Connection Income Taxes and (D) UK Taxes (x) consisting of a Tax Deduction required by law to be made by a Borrower and/or (y) compensated for by Section 2.18 (or which would have been compensated for by Section 2.18 but was not so compensated because any of the exclusions set out in Section 2.18 applied));</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and the result of any of the foregoing shall be to increase the cost to such Lender or such other Recipient of making, continuing, converting or maintaining any Loan or of maintaining its obligation to make any such Loan or to increase the cost to such Lender, such Issuing Bank or such other Recipient of participating in, issuing or maintaining any Letter of Credit or to reduce the amount of any sum received or receivable by such Lender, such Issuing Bank or such other Recipient hereunder, whether of principal, interest or otherwise, then the applicable Borrower will pay to such Lender, such Issuing Bank or such other Recipient, as the case may be, such additional amount or amounts as will compensate such Lender, such Issuing Bank or such other Recipient, as the case may be, for such additional costs incurred or reduction suffered.</w:t>
      </w:r>
    </w:p>
    <w:p>
      <w:pPr>
        <w:spacing w:after="0" w:line="152" w:lineRule="exact"/>
        <w:rPr>
          <w:sz w:val="20"/>
          <w:szCs w:val="20"/>
          <w:color w:val="auto"/>
        </w:rPr>
      </w:pPr>
    </w:p>
    <w:p>
      <w:pPr>
        <w:jc w:val="both"/>
        <w:ind w:left="660" w:firstLine="644"/>
        <w:spacing w:after="0" w:line="250" w:lineRule="auto"/>
        <w:tabs>
          <w:tab w:leader="none" w:pos="1736" w:val="left"/>
        </w:tabs>
        <w:numPr>
          <w:ilvl w:val="0"/>
          <w:numId w:val="7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If any Lender or any Issuing Bank determines that any Change in Law regarding capital or liquidity requirements has or would have the effect of reducing the rate of return on such Lender’s or such Issuing Bank’s capital or on the capital of such Lender’s or such Issuing Bank’s holding company, if any, as a consequence of this Agreement or the Loans made by, or participations in Letters of Credit held by, such Lender, or the Letters of Credit issued by such Issuing Bank, to a level below that which such Lender or such Issuing Bank or such Lender’s or such Issuing Bank’s holding company could have achieved but for such Change in Law (taking into consideration such Lender’s or such Issuing Bank’s policies and the policies of such Lender’s or such Issuing Bank’s holding company with respect to capital adequacy and liquidity), then from time to time the applicable Borrower will pay to such Lender or such Issuing Bank, as the case may be, such additional amount or amounts as will compensate such Lender or such Issuing Bank or such Lender’s or such Issuing Bank’s holding company for any such reduction suffered.</w:t>
      </w:r>
    </w:p>
    <w:p>
      <w:pPr>
        <w:spacing w:after="0" w:line="179" w:lineRule="exact"/>
        <w:rPr>
          <w:rFonts w:ascii="Times New Roman" w:cs="Times New Roman" w:eastAsia="Times New Roman" w:hAnsi="Times New Roman"/>
          <w:sz w:val="20"/>
          <w:szCs w:val="20"/>
          <w:color w:val="010000"/>
        </w:rPr>
      </w:pPr>
    </w:p>
    <w:p>
      <w:pPr>
        <w:jc w:val="both"/>
        <w:ind w:left="660" w:firstLine="644"/>
        <w:spacing w:after="0" w:line="261" w:lineRule="auto"/>
        <w:tabs>
          <w:tab w:leader="none" w:pos="1739" w:val="left"/>
        </w:tabs>
        <w:numPr>
          <w:ilvl w:val="0"/>
          <w:numId w:val="7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 certificate of a Lender or an Issuing Bank setting forth the amount or amounts necessary to compensate such Lender or such Issuing Bank or its holding company, as the case may be, as specified in paragraph (a) or (b) of this Section shall be delivered to the Company and shall be conclusive absent manifest error. The Company shall pay, or cause the other Borrowers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68</w:t>
      </w:r>
    </w:p>
    <w:p>
      <w:pPr>
        <w:sectPr>
          <w:pgSz w:w="11900" w:h="16838" w:orient="portrait"/>
          <w:cols w:equalWidth="0" w:num="1">
            <w:col w:w="11240"/>
          </w:cols>
          <w:pgMar w:left="320" w:top="1426" w:right="339" w:bottom="1440" w:gutter="0" w:footer="0" w:header="0"/>
        </w:sectPr>
      </w:pPr>
    </w:p>
    <w:bookmarkStart w:id="77" w:name="page78"/>
    <w:bookmarkEnd w:id="77"/>
    <w:p>
      <w:pPr>
        <w:ind w:left="4"/>
        <w:spacing w:after="0" w:line="283" w:lineRule="auto"/>
        <w:rPr>
          <w:sz w:val="20"/>
          <w:szCs w:val="20"/>
          <w:color w:val="auto"/>
        </w:rPr>
      </w:pPr>
      <w:r>
        <w:rPr>
          <w:rFonts w:ascii="Times New Roman" w:cs="Times New Roman" w:eastAsia="Times New Roman" w:hAnsi="Times New Roman"/>
          <w:sz w:val="20"/>
          <w:szCs w:val="20"/>
          <w:color w:val="auto"/>
        </w:rPr>
        <w:t>to pay, such Lender or such Issuing Bank, as the case may be, the amount shown as due on any such certificate within ten (10) days after receipt thereof.</w:t>
      </w:r>
    </w:p>
    <w:p>
      <w:pPr>
        <w:spacing w:after="0" w:line="133" w:lineRule="exact"/>
        <w:rPr>
          <w:sz w:val="20"/>
          <w:szCs w:val="20"/>
          <w:color w:val="auto"/>
        </w:rPr>
      </w:pPr>
    </w:p>
    <w:p>
      <w:pPr>
        <w:jc w:val="both"/>
        <w:ind w:left="4" w:firstLine="644"/>
        <w:spacing w:after="0" w:line="251" w:lineRule="auto"/>
        <w:tabs>
          <w:tab w:leader="none" w:pos="1107" w:val="left"/>
        </w:tabs>
        <w:numPr>
          <w:ilvl w:val="0"/>
          <w:numId w:val="7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Failure or delay on the part of any Lender or any Issuing Bank to demand compensation pursuant to this Section shall not constitute a waiver of such Lender’s or such Issuing Bank’s right to demand such compensation;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Company shall not be required to compensate a Lender or an Issuing Bank pursuant to this Section for any increased costs or reductions incurred more than 270 days prior to the date that such Lender or such Issuing Bank, as the case may be, notifies the Company of the Change in Law giving rise to such increased costs or reductions and of such Lender’s or such Issuing Bank’s intention to claim compensation therefor;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if the Change in Law giving rise to such increased costs or reductions is retroactive, then the 270-day period referred to above shall be extended to include the period of retroactive effect thereof.</w:t>
      </w:r>
    </w:p>
    <w:p>
      <w:pPr>
        <w:spacing w:after="0" w:line="179" w:lineRule="exact"/>
        <w:rPr>
          <w:sz w:val="20"/>
          <w:szCs w:val="20"/>
          <w:color w:val="auto"/>
        </w:rPr>
      </w:pPr>
    </w:p>
    <w:p>
      <w:pPr>
        <w:ind w:left="644"/>
        <w:spacing w:after="0"/>
        <w:tabs>
          <w:tab w:leader="none" w:pos="2104" w:val="left"/>
        </w:tabs>
        <w:rPr>
          <w:sz w:val="20"/>
          <w:szCs w:val="20"/>
          <w:color w:val="auto"/>
        </w:rPr>
      </w:pPr>
      <w:r>
        <w:rPr>
          <w:rFonts w:ascii="Times New Roman" w:cs="Times New Roman" w:eastAsia="Times New Roman" w:hAnsi="Times New Roman"/>
          <w:sz w:val="20"/>
          <w:szCs w:val="20"/>
          <w:color w:val="010000"/>
        </w:rPr>
        <w:t>SECTION 2.16.</w:t>
      </w:r>
      <w:r>
        <w:rPr>
          <w:sz w:val="20"/>
          <w:szCs w:val="20"/>
          <w:color w:val="auto"/>
        </w:rPr>
        <w:tab/>
      </w:r>
      <w:r>
        <w:rPr>
          <w:rFonts w:ascii="Times New Roman" w:cs="Times New Roman" w:eastAsia="Times New Roman" w:hAnsi="Times New Roman"/>
          <w:sz w:val="19"/>
          <w:szCs w:val="19"/>
          <w:u w:val="single" w:color="auto"/>
          <w:color w:val="auto"/>
        </w:rPr>
        <w:t>Break Funding Payments</w:t>
      </w:r>
      <w:r>
        <w:rPr>
          <w:rFonts w:ascii="Times New Roman" w:cs="Times New Roman" w:eastAsia="Times New Roman" w:hAnsi="Times New Roman"/>
          <w:sz w:val="19"/>
          <w:szCs w:val="19"/>
          <w:color w:val="auto"/>
        </w:rPr>
        <w:t>.</w:t>
      </w:r>
    </w:p>
    <w:p>
      <w:pPr>
        <w:spacing w:after="0" w:line="22" w:lineRule="exact"/>
        <w:rPr>
          <w:sz w:val="20"/>
          <w:szCs w:val="20"/>
          <w:color w:val="auto"/>
        </w:rPr>
      </w:pPr>
    </w:p>
    <w:p>
      <w:pPr>
        <w:jc w:val="both"/>
        <w:ind w:left="4" w:firstLine="644"/>
        <w:spacing w:after="0" w:line="260" w:lineRule="auto"/>
        <w:tabs>
          <w:tab w:leader="none" w:pos="1083" w:val="left"/>
        </w:tabs>
        <w:numPr>
          <w:ilvl w:val="1"/>
          <w:numId w:val="7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With respect to Term Benchmark Loans, in the event of (i) the payment of any principal of any Term Benchmark Loan other than on the last day of an Interest Period applicable thereto (including as a result of an Event of Default or as a result of any prepayment pursuant to Section 2.11), (ii) the conversion of any Term Benchmark Loan other than on the last day of the Interest Period applicable thereto, (iii) the failure to borrow, convert, continue or prepay any Term Benchmark Loan on the date specified in any notice delivered pursuant hereto (regardless of whether such notice may be revoked under Section 2.11(a) and is revoked in accordance therewith), (iv) the assignment of any Term Benchmark Loan other than on the last day of the Interest Period applicable thereto as a result of a request by the Company pursuant to Section 2.20 or Section 9.02(d) or (v) the failure by any Borrower to make any payment of any Loan or drawing under any Letter of Credit (or interest due thereof) denominated in a Foreign Currency on its scheduled due date or any payment thereof in a different currency, then, in any such event, the Borrowers shall compensate each Lender for the loss, cost and expense attributable to such event. A certificate of any Lender setting forth any amount or amounts that such Lender is entitled to receive pursuant to this Section shall be delivered to the applicable Borrower and shall be conclusive absent manifest error. The applicable Borrower shall pay such Lender the amount shown as due on any such certificate within ten</w:t>
      </w:r>
    </w:p>
    <w:p>
      <w:pPr>
        <w:spacing w:after="0" w:line="8" w:lineRule="exact"/>
        <w:rPr>
          <w:rFonts w:ascii="Times New Roman" w:cs="Times New Roman" w:eastAsia="Times New Roman" w:hAnsi="Times New Roman"/>
          <w:sz w:val="19"/>
          <w:szCs w:val="19"/>
          <w:color w:val="010000"/>
        </w:rPr>
      </w:pPr>
    </w:p>
    <w:p>
      <w:pPr>
        <w:ind w:left="384" w:hanging="384"/>
        <w:spacing w:after="0"/>
        <w:tabs>
          <w:tab w:leader="none" w:pos="384"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days after receipt thereof.</w:t>
      </w:r>
    </w:p>
    <w:p>
      <w:pPr>
        <w:spacing w:after="0" w:line="193" w:lineRule="exact"/>
        <w:rPr>
          <w:rFonts w:ascii="Times New Roman" w:cs="Times New Roman" w:eastAsia="Times New Roman" w:hAnsi="Times New Roman"/>
          <w:sz w:val="20"/>
          <w:szCs w:val="20"/>
          <w:color w:val="auto"/>
        </w:rPr>
      </w:pPr>
    </w:p>
    <w:p>
      <w:pPr>
        <w:jc w:val="both"/>
        <w:ind w:left="4" w:firstLine="644"/>
        <w:spacing w:after="0" w:line="250" w:lineRule="auto"/>
        <w:tabs>
          <w:tab w:leader="none" w:pos="1094" w:val="left"/>
        </w:tabs>
        <w:numPr>
          <w:ilvl w:val="1"/>
          <w:numId w:val="7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With respect to RFR Loans, in the event of (i) the payment of any principal of any RFR Loan other than on the Interest Payment Date applicable thereto (including as a result of an Event of Default or as a result of any prepayment pursuant to Section 2.11), (ii) the failure to borrow or prepay any RFR Loan on the date specified in any notice delivered pursuant hereto (regardless of whether such notice may be revoked under Section 2.11(a) and is revoked in accordance therewith), (iii) the assignment of any RFR Loan other than on the Interest Payment Date applicable thereto as a result of a request by the Company pursuant to Section 2.20 or Section 9.02(d) or (iv) the failure by any Borrower to make any payment of any Loan or drawing under any Letter of Credit (or interest due thereof) denominated in a Foreign Currency on its scheduled due date or any payment thereof in a different currency, then, in any such event, the Borrowers shall compensate each Lender for the loss, cost and expense attributable to such event. A certificate of any Lender setting forth any amount or amounts that such Lender is entitled to receive pursuant to this Section shall be delivered to the applicable Borrower and shall be conclusive absent manifest error. The applicable Borrower shall pay such Lender the amount shown as due on any such certificate within ten (10) days after receipt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0"/>
          <w:szCs w:val="20"/>
          <w:color w:val="auto"/>
        </w:rPr>
        <w:t>69</w:t>
      </w:r>
    </w:p>
    <w:p>
      <w:pPr>
        <w:sectPr>
          <w:pgSz w:w="11900" w:h="16838" w:orient="portrait"/>
          <w:cols w:equalWidth="0" w:num="1">
            <w:col w:w="10584"/>
          </w:cols>
          <w:pgMar w:left="976" w:top="1413" w:right="339" w:bottom="1440" w:gutter="0" w:footer="0" w:header="0"/>
        </w:sectPr>
      </w:pPr>
    </w:p>
    <w:bookmarkStart w:id="78" w:name="page79"/>
    <w:bookmarkEnd w:id="78"/>
    <w:p>
      <w:pPr>
        <w:jc w:val="both"/>
        <w:ind w:firstLine="1296"/>
        <w:spacing w:after="0" w:line="249" w:lineRule="auto"/>
        <w:rPr>
          <w:sz w:val="20"/>
          <w:szCs w:val="20"/>
          <w:color w:val="auto"/>
        </w:rPr>
      </w:pPr>
      <w:r>
        <w:rPr>
          <w:rFonts w:ascii="Times New Roman" w:cs="Times New Roman" w:eastAsia="Times New Roman" w:hAnsi="Times New Roman"/>
          <w:sz w:val="20"/>
          <w:szCs w:val="20"/>
          <w:color w:val="010000"/>
        </w:rPr>
        <w:t xml:space="preserve">SECTION 2.17. </w:t>
      </w:r>
      <w:r>
        <w:rPr>
          <w:rFonts w:ascii="Times New Roman" w:cs="Times New Roman" w:eastAsia="Times New Roman" w:hAnsi="Times New Roman"/>
          <w:sz w:val="20"/>
          <w:szCs w:val="20"/>
          <w:u w:val="single" w:color="auto"/>
          <w:color w:val="000000"/>
        </w:rPr>
        <w:t>Taxes</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u w:val="single" w:color="auto"/>
          <w:color w:val="000000"/>
        </w:rPr>
        <w:t>Payments Free of Taxes</w:t>
      </w:r>
      <w:r>
        <w:rPr>
          <w:rFonts w:ascii="Times New Roman" w:cs="Times New Roman" w:eastAsia="Times New Roman" w:hAnsi="Times New Roman"/>
          <w:sz w:val="20"/>
          <w:szCs w:val="20"/>
          <w:color w:val="000000"/>
        </w:rPr>
        <w:t>. Any and all payments by or on account of any obligation of any Loan</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Party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Loan Party shall be increased as necessary so that after such deduction or withholding has been made (including such deductions and withholdings applicable to additional sums payable under this Section 2.17) the applicable Recipient receives an amount equal to the sum it would have received had no such deduction or withholding been made.</w:t>
      </w:r>
    </w:p>
    <w:p>
      <w:pPr>
        <w:spacing w:after="0" w:line="8" w:lineRule="exact"/>
        <w:rPr>
          <w:sz w:val="20"/>
          <w:szCs w:val="20"/>
          <w:color w:val="auto"/>
        </w:rPr>
      </w:pPr>
    </w:p>
    <w:p>
      <w:pPr>
        <w:ind w:left="660" w:firstLine="644"/>
        <w:spacing w:after="0" w:line="260" w:lineRule="auto"/>
        <w:tabs>
          <w:tab w:leader="none" w:pos="1833" w:val="left"/>
        </w:tabs>
        <w:numPr>
          <w:ilvl w:val="1"/>
          <w:numId w:val="7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Payment of Other Taxes by the Borrowers. The relevant Borrower shall timely pay to the relevant Governmental Authority in accordance with applicable law, or at the option of the Administrative Agent timely reimburse it for, Other Taxes.</w:t>
      </w:r>
    </w:p>
    <w:p>
      <w:pPr>
        <w:spacing w:after="0" w:line="154" w:lineRule="exact"/>
        <w:rPr>
          <w:rFonts w:ascii="Times New Roman" w:cs="Times New Roman" w:eastAsia="Times New Roman" w:hAnsi="Times New Roman"/>
          <w:sz w:val="20"/>
          <w:szCs w:val="20"/>
          <w:color w:val="010000"/>
        </w:rPr>
      </w:pPr>
    </w:p>
    <w:p>
      <w:pPr>
        <w:jc w:val="both"/>
        <w:ind w:left="660" w:firstLine="644"/>
        <w:spacing w:after="0" w:line="258" w:lineRule="auto"/>
        <w:tabs>
          <w:tab w:leader="none" w:pos="1844" w:val="left"/>
        </w:tabs>
        <w:numPr>
          <w:ilvl w:val="1"/>
          <w:numId w:val="7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Evidence of Payments</w:t>
      </w:r>
      <w:r>
        <w:rPr>
          <w:rFonts w:ascii="Times New Roman" w:cs="Times New Roman" w:eastAsia="Times New Roman" w:hAnsi="Times New Roman"/>
          <w:sz w:val="20"/>
          <w:szCs w:val="20"/>
          <w:color w:val="auto"/>
        </w:rPr>
        <w:t>. As soon as practicable after any payment of Taxes by any Loan Party to a Governmental Authority pursuant to this Section 2.17, such Loan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58" w:lineRule="exact"/>
        <w:rPr>
          <w:rFonts w:ascii="Times New Roman" w:cs="Times New Roman" w:eastAsia="Times New Roman" w:hAnsi="Times New Roman"/>
          <w:sz w:val="20"/>
          <w:szCs w:val="20"/>
          <w:color w:val="010000"/>
        </w:rPr>
      </w:pPr>
    </w:p>
    <w:p>
      <w:pPr>
        <w:jc w:val="both"/>
        <w:ind w:left="660" w:firstLine="644"/>
        <w:spacing w:after="0" w:line="253" w:lineRule="auto"/>
        <w:tabs>
          <w:tab w:leader="none" w:pos="1739" w:val="left"/>
        </w:tabs>
        <w:numPr>
          <w:ilvl w:val="1"/>
          <w:numId w:val="7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Indemnification by the Borrowers</w:t>
      </w:r>
      <w:r>
        <w:rPr>
          <w:rFonts w:ascii="Times New Roman" w:cs="Times New Roman" w:eastAsia="Times New Roman" w:hAnsi="Times New Roman"/>
          <w:sz w:val="20"/>
          <w:szCs w:val="20"/>
          <w:color w:val="auto"/>
        </w:rPr>
        <w:t>. The relevant Borrower shall indemnify each Recipient, within 10 days after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relevant Borrower by a Lender (with a copy to the Administrative Agent), or by the Administrative Agent on its own behalf or on behalf of a Lender, shall be conclusive absent manifest error.</w:t>
      </w:r>
    </w:p>
    <w:p>
      <w:pPr>
        <w:spacing w:after="0" w:line="165" w:lineRule="exact"/>
        <w:rPr>
          <w:rFonts w:ascii="Times New Roman" w:cs="Times New Roman" w:eastAsia="Times New Roman" w:hAnsi="Times New Roman"/>
          <w:sz w:val="20"/>
          <w:szCs w:val="20"/>
          <w:color w:val="010000"/>
        </w:rPr>
      </w:pPr>
    </w:p>
    <w:p>
      <w:pPr>
        <w:jc w:val="both"/>
        <w:ind w:left="660" w:firstLine="644"/>
        <w:spacing w:after="0" w:line="267" w:lineRule="auto"/>
        <w:tabs>
          <w:tab w:leader="none" w:pos="1763" w:val="left"/>
        </w:tabs>
        <w:numPr>
          <w:ilvl w:val="1"/>
          <w:numId w:val="7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Indemnification by the Lenders</w:t>
      </w:r>
      <w:r>
        <w:rPr>
          <w:rFonts w:ascii="Times New Roman" w:cs="Times New Roman" w:eastAsia="Times New Roman" w:hAnsi="Times New Roman"/>
          <w:sz w:val="19"/>
          <w:szCs w:val="19"/>
          <w:color w:val="auto"/>
        </w:rPr>
        <w:t>. Each Lender shall severally indemnify the Administrative Agent, within 10 days after demand therefor, for (i) any Indemnified Taxes attributable to such Lender (but only to the extent that any Loan Party has not already indemnified the Administrative Agent for such Indemnified Taxes and without limiting the obligation of the Loan Parties to do so),</w:t>
      </w:r>
    </w:p>
    <w:p>
      <w:pPr>
        <w:spacing w:after="0" w:line="1" w:lineRule="exact"/>
        <w:rPr>
          <w:rFonts w:ascii="Times New Roman" w:cs="Times New Roman" w:eastAsia="Times New Roman" w:hAnsi="Times New Roman"/>
          <w:sz w:val="19"/>
          <w:szCs w:val="19"/>
          <w:color w:val="010000"/>
        </w:rPr>
      </w:pPr>
    </w:p>
    <w:p>
      <w:pPr>
        <w:jc w:val="both"/>
        <w:ind w:left="660" w:hanging="4"/>
        <w:spacing w:after="0" w:line="249" w:lineRule="auto"/>
        <w:tabs>
          <w:tab w:leader="none" w:pos="96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Taxes attributable to such Lender’s failure to comply with the provisions of Section 9.04(c)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paragraph (e).</w:t>
      </w:r>
    </w:p>
    <w:p>
      <w:pPr>
        <w:spacing w:after="0" w:line="168" w:lineRule="exact"/>
        <w:rPr>
          <w:rFonts w:ascii="Times New Roman" w:cs="Times New Roman" w:eastAsia="Times New Roman" w:hAnsi="Times New Roman"/>
          <w:sz w:val="20"/>
          <w:szCs w:val="20"/>
          <w:color w:val="auto"/>
        </w:rPr>
      </w:pPr>
    </w:p>
    <w:p>
      <w:pPr>
        <w:ind w:left="660" w:firstLine="644"/>
        <w:spacing w:after="0" w:line="283" w:lineRule="auto"/>
        <w:tabs>
          <w:tab w:leader="none" w:pos="1739" w:val="left"/>
        </w:tabs>
        <w:numPr>
          <w:ilvl w:val="1"/>
          <w:numId w:val="7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Status of Lenders</w:t>
      </w:r>
      <w:r>
        <w:rPr>
          <w:rFonts w:ascii="Times New Roman" w:cs="Times New Roman" w:eastAsia="Times New Roman" w:hAnsi="Times New Roman"/>
          <w:sz w:val="20"/>
          <w:szCs w:val="20"/>
          <w:color w:val="auto"/>
        </w:rPr>
        <w:t>. (i) Any Lender that is entitled to an exemption from or reduction of withholding Tax with respect to payments made under any Loan Document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70</w:t>
      </w:r>
    </w:p>
    <w:p>
      <w:pPr>
        <w:sectPr>
          <w:pgSz w:w="11900" w:h="16838" w:orient="portrait"/>
          <w:cols w:equalWidth="0" w:num="1">
            <w:col w:w="11240"/>
          </w:cols>
          <w:pgMar w:left="320" w:top="1413" w:right="339" w:bottom="1440" w:gutter="0" w:footer="0" w:header="0"/>
        </w:sectPr>
      </w:pPr>
    </w:p>
    <w:bookmarkStart w:id="79" w:name="page80"/>
    <w:bookmarkEnd w:id="79"/>
    <w:p>
      <w:pPr>
        <w:jc w:val="both"/>
        <w:spacing w:after="0" w:line="250" w:lineRule="auto"/>
        <w:rPr>
          <w:sz w:val="20"/>
          <w:szCs w:val="20"/>
          <w:color w:val="auto"/>
        </w:rPr>
      </w:pPr>
      <w:r>
        <w:rPr>
          <w:rFonts w:ascii="Times New Roman" w:cs="Times New Roman" w:eastAsia="Times New Roman" w:hAnsi="Times New Roman"/>
          <w:sz w:val="20"/>
          <w:szCs w:val="20"/>
          <w:color w:val="auto"/>
        </w:rPr>
        <w:t>deliver to the Borrowers and the Administrative Agent, at the time or times reasonably requested by the Borrowers or the Administrative Agent, such properly completed and executed documentation reasonably requested by the Borrowers or the Administrative Agent as will permit such payments to be made without withholding or at a reduced rate of withholding. In addition, any Lender, if reasonably requested by the Borrowers or the Administrative Agent, shall deliver such other documentation prescribed by applicable law or reasonably requested by the Borrowers or the Administrative Agent as will enable the Borrowers or the Administrative Agent to determine whether or not such Lender is subject to backup withholding or information reporting requirements for Tax purposes. Notwithstanding anything to the contrary in the preceding two sentences, the completion, execution and submission of such documentation (other than such documentation set forth in Section 2.17(f)(ii)(A), (ii)(B) and (ii)(D)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83" w:lineRule="exact"/>
        <w:rPr>
          <w:sz w:val="20"/>
          <w:szCs w:val="20"/>
          <w:color w:val="auto"/>
        </w:rPr>
      </w:pPr>
    </w:p>
    <w:p>
      <w:pPr>
        <w:ind w:left="1720" w:hanging="428"/>
        <w:spacing w:after="0"/>
        <w:tabs>
          <w:tab w:leader="none" w:pos="172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limiting the generality of the foregoing, if any Borrower is a U.S. Person:</w:t>
      </w:r>
    </w:p>
    <w:p>
      <w:pPr>
        <w:spacing w:after="0" w:line="215" w:lineRule="exact"/>
        <w:rPr>
          <w:rFonts w:ascii="Times New Roman" w:cs="Times New Roman" w:eastAsia="Times New Roman" w:hAnsi="Times New Roman"/>
          <w:sz w:val="20"/>
          <w:szCs w:val="20"/>
          <w:color w:val="auto"/>
        </w:rPr>
      </w:pPr>
    </w:p>
    <w:p>
      <w:pPr>
        <w:jc w:val="both"/>
        <w:ind w:left="1300" w:firstLine="640"/>
        <w:spacing w:after="0" w:line="258" w:lineRule="auto"/>
        <w:tabs>
          <w:tab w:leader="none" w:pos="2474" w:val="left"/>
        </w:tabs>
        <w:numPr>
          <w:ilvl w:val="1"/>
          <w:numId w:val="7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Lender that is a U.S. Person shall deliver to such Borrower and the Administrative Agent on or prior to the date on which such Lender becomes a Lender under this Agreement (and from time to time thereafter upon the reasonable request of such Borrower or the Administrative Agent), executed copies of IRS Form W-9 certifying that such Lender is exempt from U.S. federal backup withholding tax;</w:t>
      </w:r>
    </w:p>
    <w:p>
      <w:pPr>
        <w:spacing w:after="0" w:line="158" w:lineRule="exact"/>
        <w:rPr>
          <w:rFonts w:ascii="Times New Roman" w:cs="Times New Roman" w:eastAsia="Times New Roman" w:hAnsi="Times New Roman"/>
          <w:sz w:val="20"/>
          <w:szCs w:val="20"/>
          <w:color w:val="010000"/>
        </w:rPr>
      </w:pPr>
    </w:p>
    <w:p>
      <w:pPr>
        <w:jc w:val="both"/>
        <w:ind w:left="1300" w:firstLine="640"/>
        <w:spacing w:after="0" w:line="258" w:lineRule="auto"/>
        <w:tabs>
          <w:tab w:leader="none" w:pos="2437" w:val="left"/>
        </w:tabs>
        <w:numPr>
          <w:ilvl w:val="1"/>
          <w:numId w:val="7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Foreign Lender shall, to the extent it is legally entitled to do so, deliver to such Borrower and the Administrative Agent (in such number of copies as shall be requested by the recipient) on or prior to the date on which such Foreign Lender becomes a Lender under this Agreement (and from time to time thereafter upon the reasonable request of such Borrower or the Administrative Agent), whichever of the following is applicable:</w:t>
      </w:r>
    </w:p>
    <w:p>
      <w:pPr>
        <w:spacing w:after="0" w:line="172" w:lineRule="exact"/>
        <w:rPr>
          <w:rFonts w:ascii="Times New Roman" w:cs="Times New Roman" w:eastAsia="Times New Roman" w:hAnsi="Times New Roman"/>
          <w:sz w:val="20"/>
          <w:szCs w:val="20"/>
          <w:color w:val="010000"/>
        </w:rPr>
      </w:pPr>
    </w:p>
    <w:p>
      <w:pPr>
        <w:jc w:val="both"/>
        <w:ind w:left="1300" w:firstLine="1288"/>
        <w:spacing w:after="0" w:line="267" w:lineRule="auto"/>
        <w:tabs>
          <w:tab w:leader="none" w:pos="2876" w:val="left"/>
        </w:tabs>
        <w:numPr>
          <w:ilvl w:val="2"/>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Foreign Lender claiming the benefits of an income tax treaty to which the United States is a party (x) with respect to payments of interest under any Loan Document, executed copies of IRS Form W-8BEN or IRS Form W-8BEN-E establishing an exemption from, or reduction of, U.S. federal withholding Tax pursuant to the “interest” article of such tax treaty and (y) with respect to any other applicable payments under any Loan Document, IRS Form W-8BEN or IRS Form W-8BEN-E establishing an exemption from, or reduction of, U.S. federal withholding Tax pursuant to the “business profits” or “other income” article of such tax treaty;</w:t>
      </w:r>
    </w:p>
    <w:p>
      <w:pPr>
        <w:spacing w:after="0" w:line="219" w:lineRule="exact"/>
        <w:rPr>
          <w:rFonts w:ascii="Times New Roman" w:cs="Times New Roman" w:eastAsia="Times New Roman" w:hAnsi="Times New Roman"/>
          <w:sz w:val="20"/>
          <w:szCs w:val="20"/>
          <w:color w:val="auto"/>
        </w:rPr>
      </w:pPr>
    </w:p>
    <w:p>
      <w:pPr>
        <w:ind w:left="1300" w:firstLine="1288"/>
        <w:spacing w:after="0" w:line="297" w:lineRule="auto"/>
        <w:tabs>
          <w:tab w:leader="none" w:pos="2876" w:val="left"/>
        </w:tabs>
        <w:numPr>
          <w:ilvl w:val="2"/>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Foreign Lender claiming that its extension of credit will generate U.S. effectively connected income, executed copies of IRS Form W-8ECI;</w:t>
      </w:r>
    </w:p>
    <w:p>
      <w:pPr>
        <w:spacing w:after="0" w:line="173" w:lineRule="exact"/>
        <w:rPr>
          <w:rFonts w:ascii="Times New Roman" w:cs="Times New Roman" w:eastAsia="Times New Roman" w:hAnsi="Times New Roman"/>
          <w:sz w:val="20"/>
          <w:szCs w:val="20"/>
          <w:color w:val="auto"/>
        </w:rPr>
      </w:pPr>
    </w:p>
    <w:p>
      <w:pPr>
        <w:jc w:val="both"/>
        <w:ind w:left="1300" w:firstLine="1288"/>
        <w:spacing w:after="0" w:line="282" w:lineRule="auto"/>
        <w:tabs>
          <w:tab w:leader="none" w:pos="2907" w:val="left"/>
        </w:tabs>
        <w:numPr>
          <w:ilvl w:val="2"/>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a Foreign Lender claiming the benefits of the exemption for portfolio interest under Section 881(c) of the Code, (x) a certificate substantially in the form of </w:t>
      </w:r>
      <w:r>
        <w:rPr>
          <w:rFonts w:ascii="Times New Roman" w:cs="Times New Roman" w:eastAsia="Times New Roman" w:hAnsi="Times New Roman"/>
          <w:sz w:val="20"/>
          <w:szCs w:val="20"/>
          <w:u w:val="single" w:color="auto"/>
          <w:color w:val="auto"/>
        </w:rPr>
        <w:t>Exhibit G-1</w:t>
      </w:r>
      <w:r>
        <w:rPr>
          <w:rFonts w:ascii="Times New Roman" w:cs="Times New Roman" w:eastAsia="Times New Roman" w:hAnsi="Times New Roman"/>
          <w:sz w:val="20"/>
          <w:szCs w:val="20"/>
          <w:color w:val="auto"/>
        </w:rPr>
        <w:t xml:space="preserve"> to the effect that such Foreign Lender is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color w:val="auto"/>
        </w:rPr>
        <w:t>71</w:t>
      </w:r>
    </w:p>
    <w:p>
      <w:pPr>
        <w:sectPr>
          <w:pgSz w:w="11900" w:h="16838" w:orient="portrait"/>
          <w:cols w:equalWidth="0" w:num="1">
            <w:col w:w="10580"/>
          </w:cols>
          <w:pgMar w:left="980" w:top="1413" w:right="339" w:bottom="1440" w:gutter="0" w:footer="0" w:header="0"/>
        </w:sectPr>
      </w:pPr>
    </w:p>
    <w:bookmarkStart w:id="80" w:name="page81"/>
    <w:bookmarkEnd w:id="80"/>
    <w:p>
      <w:pPr>
        <w:jc w:val="both"/>
        <w:ind w:left="1960"/>
        <w:spacing w:after="0" w:line="272" w:lineRule="auto"/>
        <w:rPr>
          <w:sz w:val="20"/>
          <w:szCs w:val="20"/>
          <w:color w:val="auto"/>
        </w:rPr>
      </w:pPr>
      <w:r>
        <w:rPr>
          <w:rFonts w:ascii="Times New Roman" w:cs="Times New Roman" w:eastAsia="Times New Roman" w:hAnsi="Times New Roman"/>
          <w:sz w:val="20"/>
          <w:szCs w:val="20"/>
          <w:color w:val="auto"/>
        </w:rPr>
        <w:t>not a “bank” within the meaning of Section 881(c)(3)(A) of the Code, a “10 percent shareholder” of such Borrower within the meaning of Section 881(c)(3)(B) of the Code, or a “controlled foreign corporation” described in Section 881(c)(3)(C) of the Code (a “</w:t>
      </w:r>
      <w:r>
        <w:rPr>
          <w:rFonts w:ascii="Times New Roman" w:cs="Times New Roman" w:eastAsia="Times New Roman" w:hAnsi="Times New Roman"/>
          <w:sz w:val="20"/>
          <w:szCs w:val="20"/>
          <w:u w:val="single" w:color="auto"/>
          <w:color w:val="auto"/>
        </w:rPr>
        <w:t>U.S. Tax Compliance Certificate</w:t>
      </w:r>
      <w:r>
        <w:rPr>
          <w:rFonts w:ascii="Times New Roman" w:cs="Times New Roman" w:eastAsia="Times New Roman" w:hAnsi="Times New Roman"/>
          <w:sz w:val="20"/>
          <w:szCs w:val="20"/>
          <w:color w:val="auto"/>
        </w:rPr>
        <w:t>”) and (y) executed copies of IRS Form W-8BEN or IRS Form W-8BEN-E; or</w:t>
      </w:r>
    </w:p>
    <w:p>
      <w:pPr>
        <w:spacing w:after="0" w:line="213" w:lineRule="exact"/>
        <w:rPr>
          <w:sz w:val="20"/>
          <w:szCs w:val="20"/>
          <w:color w:val="auto"/>
        </w:rPr>
      </w:pPr>
    </w:p>
    <w:p>
      <w:pPr>
        <w:jc w:val="both"/>
        <w:ind w:left="1960" w:firstLine="1288"/>
        <w:spacing w:after="0" w:line="265" w:lineRule="auto"/>
        <w:tabs>
          <w:tab w:leader="none" w:pos="3564" w:val="left"/>
        </w:tabs>
        <w:numPr>
          <w:ilvl w:val="1"/>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a Foreign Lender is not the beneficial owner, executed copies of IRS Form W-8IMY, accompanied by IRS Form W-8ECI, IRS Form W-8BEN or IRS Form W-8BEN-E, a U.S. Tax Compliance Certificate substantially in the form of </w:t>
      </w:r>
      <w:r>
        <w:rPr>
          <w:rFonts w:ascii="Times New Roman" w:cs="Times New Roman" w:eastAsia="Times New Roman" w:hAnsi="Times New Roman"/>
          <w:sz w:val="20"/>
          <w:szCs w:val="20"/>
          <w:u w:val="single" w:color="auto"/>
          <w:color w:val="auto"/>
        </w:rPr>
        <w:t>Exhibit G-2</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Exhibit G-3</w:t>
      </w:r>
      <w:r>
        <w:rPr>
          <w:rFonts w:ascii="Times New Roman" w:cs="Times New Roman" w:eastAsia="Times New Roman" w:hAnsi="Times New Roman"/>
          <w:sz w:val="20"/>
          <w:szCs w:val="20"/>
          <w:color w:val="auto"/>
        </w:rPr>
        <w:t xml:space="preserve">, IRS Form W-9, and/or other certification documents from each beneficial owner, as applicable;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 w:cs="Times New Roman" w:eastAsia="Times New Roman" w:hAnsi="Times New Roman"/>
          <w:sz w:val="20"/>
          <w:szCs w:val="20"/>
          <w:u w:val="single" w:color="auto"/>
          <w:color w:val="auto"/>
        </w:rPr>
        <w:t>Exhibit G-4</w:t>
      </w:r>
      <w:r>
        <w:rPr>
          <w:rFonts w:ascii="Times New Roman" w:cs="Times New Roman" w:eastAsia="Times New Roman" w:hAnsi="Times New Roman"/>
          <w:sz w:val="20"/>
          <w:szCs w:val="20"/>
          <w:color w:val="auto"/>
        </w:rPr>
        <w:t xml:space="preserve"> on behalf of each such direct and indirect partner;</w:t>
      </w:r>
    </w:p>
    <w:p>
      <w:pPr>
        <w:spacing w:after="0" w:line="206" w:lineRule="exact"/>
        <w:rPr>
          <w:rFonts w:ascii="Times New Roman" w:cs="Times New Roman" w:eastAsia="Times New Roman" w:hAnsi="Times New Roman"/>
          <w:sz w:val="20"/>
          <w:szCs w:val="20"/>
          <w:color w:val="auto"/>
        </w:rPr>
      </w:pPr>
    </w:p>
    <w:p>
      <w:pPr>
        <w:jc w:val="both"/>
        <w:ind w:left="1960" w:firstLine="640"/>
        <w:spacing w:after="0" w:line="251" w:lineRule="auto"/>
        <w:tabs>
          <w:tab w:leader="none" w:pos="3097" w:val="left"/>
        </w:tabs>
        <w:numPr>
          <w:ilvl w:val="0"/>
          <w:numId w:val="8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Foreign Lender shall, to the extent it is legally entitled to do so, deliver to such Borrower and the Administrative Agent (in such number of copies as shall be requested by the recipient) on or prior to the date on which such Foreign Lender becomes a Lender under this Agreement (and from time to time thereafter upon the reasonable request of such Borrower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such Borrower or the Administrative Agent to determine the withholding or deduction required to be made; and</w:t>
      </w:r>
    </w:p>
    <w:p>
      <w:pPr>
        <w:spacing w:after="0" w:line="179" w:lineRule="exact"/>
        <w:rPr>
          <w:rFonts w:ascii="Times New Roman" w:cs="Times New Roman" w:eastAsia="Times New Roman" w:hAnsi="Times New Roman"/>
          <w:sz w:val="20"/>
          <w:szCs w:val="20"/>
          <w:color w:val="010000"/>
        </w:rPr>
      </w:pPr>
    </w:p>
    <w:p>
      <w:pPr>
        <w:jc w:val="both"/>
        <w:ind w:left="1960" w:firstLine="640"/>
        <w:spacing w:after="0" w:line="250" w:lineRule="auto"/>
        <w:tabs>
          <w:tab w:leader="none" w:pos="3269" w:val="left"/>
        </w:tabs>
        <w:numPr>
          <w:ilvl w:val="0"/>
          <w:numId w:val="8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such Borrower and the Administrative Agent at the time or times prescribed by law and at such time or times reasonably requested by such Borrower or the Administrative Agent such documentation prescribed by applicable law (including as prescribed by Section 1471(b)(3)(C)(i) of the Code) and such additional documentation reasonably requested by such Borrower or the Administrative Agent as may be necessary for such Borrower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Each Lender agrees that if any form or certification it previously delivered expires or becomes obsolete or inaccurate in any respect, it shall update such form or certification or promptly notify the Company and the Administrative Agent in writing of its legal inability to do 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72</w:t>
      </w:r>
    </w:p>
    <w:p>
      <w:pPr>
        <w:sectPr>
          <w:pgSz w:w="11900" w:h="16838" w:orient="portrait"/>
          <w:cols w:equalWidth="0" w:num="1">
            <w:col w:w="11240"/>
          </w:cols>
          <w:pgMar w:left="320" w:top="1426" w:right="339" w:bottom="1440" w:gutter="0" w:footer="0" w:header="0"/>
        </w:sectPr>
      </w:pPr>
    </w:p>
    <w:bookmarkStart w:id="81" w:name="page82"/>
    <w:bookmarkEnd w:id="81"/>
    <w:p>
      <w:pPr>
        <w:jc w:val="both"/>
        <w:ind w:left="660" w:firstLine="644"/>
        <w:spacing w:after="0" w:line="249" w:lineRule="auto"/>
        <w:tabs>
          <w:tab w:leader="none" w:pos="1717" w:val="left"/>
        </w:tabs>
        <w:numPr>
          <w:ilvl w:val="0"/>
          <w:numId w:val="8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Treatment of Certain Refunds</w:t>
      </w:r>
      <w:r>
        <w:rPr>
          <w:rFonts w:ascii="Times New Roman" w:cs="Times New Roman" w:eastAsia="Times New Roman" w:hAnsi="Times New Roman"/>
          <w:sz w:val="20"/>
          <w:szCs w:val="20"/>
          <w:color w:val="auto"/>
        </w:rPr>
        <w:t>. If any party determines, in its sole discretion exercised in good faith, that it has received a refund (including any Tax credit in lieu of a refund) of any Taxes as to which it has been indemnified pursuant to this Section 2.17 (including by the payment of additional amounts pursuant to this Section 2.17), it shall pay to the indemnifying party an amount equal to such refund (but only to the extent of indemnity payments made under this Section 2.17 with respect to the Indemnified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(g) (plus any penalties, interest or other charges imposed by the relevant Governmental Authority) in the event that such indemnified party is required to repay such refund to such Governmental Authority. Notwithstanding anything to the contrary in this paragraph (g), in no event will the indemnified party be required to pay any amount to an indemnifying party pursuant to this paragraph (g)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187" w:lineRule="exact"/>
        <w:rPr>
          <w:rFonts w:ascii="Times New Roman" w:cs="Times New Roman" w:eastAsia="Times New Roman" w:hAnsi="Times New Roman"/>
          <w:sz w:val="20"/>
          <w:szCs w:val="20"/>
          <w:color w:val="010000"/>
        </w:rPr>
      </w:pPr>
    </w:p>
    <w:p>
      <w:pPr>
        <w:jc w:val="both"/>
        <w:ind w:left="660" w:firstLine="644"/>
        <w:spacing w:after="0" w:line="261" w:lineRule="auto"/>
        <w:tabs>
          <w:tab w:leader="none" w:pos="1844" w:val="left"/>
        </w:tabs>
        <w:numPr>
          <w:ilvl w:val="0"/>
          <w:numId w:val="8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Survival</w:t>
      </w:r>
      <w:r>
        <w:rPr>
          <w:rFonts w:ascii="Times New Roman" w:cs="Times New Roman" w:eastAsia="Times New Roman" w:hAnsi="Times New Roman"/>
          <w:sz w:val="20"/>
          <w:szCs w:val="20"/>
          <w:color w:val="auto"/>
        </w:rPr>
        <w:t>. Each party’s obligations under this Section 2.17 and Section 2.18 below shall survive the resignation or replacement of the Administrative Agent or any assignment of rights by, or the replacement of, a Lender, the termination of the Commitments and the repayment, satisfaction or discharge of all obligations under any Loan Document.</w:t>
      </w:r>
    </w:p>
    <w:p>
      <w:pPr>
        <w:spacing w:after="0" w:line="154" w:lineRule="exact"/>
        <w:rPr>
          <w:rFonts w:ascii="Times New Roman" w:cs="Times New Roman" w:eastAsia="Times New Roman" w:hAnsi="Times New Roman"/>
          <w:sz w:val="20"/>
          <w:szCs w:val="20"/>
          <w:color w:val="010000"/>
        </w:rPr>
      </w:pPr>
    </w:p>
    <w:p>
      <w:pPr>
        <w:ind w:left="660" w:firstLine="644"/>
        <w:spacing w:after="0" w:line="283" w:lineRule="auto"/>
        <w:tabs>
          <w:tab w:leader="none" w:pos="1817" w:val="left"/>
        </w:tabs>
        <w:numPr>
          <w:ilvl w:val="0"/>
          <w:numId w:val="8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Defined Terms</w:t>
      </w:r>
      <w:r>
        <w:rPr>
          <w:rFonts w:ascii="Times New Roman" w:cs="Times New Roman" w:eastAsia="Times New Roman" w:hAnsi="Times New Roman"/>
          <w:sz w:val="20"/>
          <w:szCs w:val="20"/>
          <w:color w:val="auto"/>
        </w:rPr>
        <w:t>. For purposes of this Section 2.17 and Section 2.18 below, the term “Lender” includes each Issuing Bank and the term “applicable law” includes FATCA.</w:t>
      </w:r>
    </w:p>
    <w:p>
      <w:pPr>
        <w:spacing w:after="0" w:line="132" w:lineRule="exact"/>
        <w:rPr>
          <w:rFonts w:ascii="Times New Roman" w:cs="Times New Roman" w:eastAsia="Times New Roman" w:hAnsi="Times New Roman"/>
          <w:sz w:val="20"/>
          <w:szCs w:val="20"/>
          <w:color w:val="010000"/>
        </w:rPr>
      </w:pPr>
    </w:p>
    <w:p>
      <w:pPr>
        <w:jc w:val="both"/>
        <w:ind w:left="660" w:firstLine="644"/>
        <w:spacing w:after="0" w:line="261" w:lineRule="auto"/>
        <w:tabs>
          <w:tab w:leader="none" w:pos="1693" w:val="left"/>
        </w:tabs>
        <w:numPr>
          <w:ilvl w:val="0"/>
          <w:numId w:val="8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Certain FATCA Matters</w:t>
      </w:r>
      <w:r>
        <w:rPr>
          <w:rFonts w:ascii="Times New Roman" w:cs="Times New Roman" w:eastAsia="Times New Roman" w:hAnsi="Times New Roman"/>
          <w:sz w:val="20"/>
          <w:szCs w:val="20"/>
          <w:color w:val="auto"/>
        </w:rPr>
        <w:t>. For purposes of determining withholding Taxes imposed under FATCA, the Borrowers and the Administrative Agent shall treat (and the Lenders hereby authorize the Administrative Agent to treat) this Agreement and the Loans as not qualifying as “grandfathered obligations” within the meaning of Treasury Regulation Section 1.1471-2(b)(2)(i).</w:t>
      </w:r>
    </w:p>
    <w:p>
      <w:pPr>
        <w:spacing w:after="0" w:line="141" w:lineRule="exact"/>
        <w:rPr>
          <w:sz w:val="20"/>
          <w:szCs w:val="20"/>
          <w:color w:val="auto"/>
        </w:rPr>
      </w:pPr>
    </w:p>
    <w:p>
      <w:pPr>
        <w:ind w:left="1300"/>
        <w:spacing w:after="0"/>
        <w:tabs>
          <w:tab w:leader="none" w:pos="2760" w:val="left"/>
        </w:tabs>
        <w:rPr>
          <w:sz w:val="20"/>
          <w:szCs w:val="20"/>
          <w:color w:val="auto"/>
        </w:rPr>
      </w:pPr>
      <w:r>
        <w:rPr>
          <w:rFonts w:ascii="Times New Roman" w:cs="Times New Roman" w:eastAsia="Times New Roman" w:hAnsi="Times New Roman"/>
          <w:sz w:val="20"/>
          <w:szCs w:val="20"/>
          <w:color w:val="010000"/>
        </w:rPr>
        <w:t>SECTION 2.18.</w:t>
      </w:r>
      <w:r>
        <w:rPr>
          <w:sz w:val="20"/>
          <w:szCs w:val="20"/>
          <w:color w:val="auto"/>
        </w:rPr>
        <w:tab/>
      </w:r>
      <w:r>
        <w:rPr>
          <w:rFonts w:ascii="Times New Roman" w:cs="Times New Roman" w:eastAsia="Times New Roman" w:hAnsi="Times New Roman"/>
          <w:sz w:val="19"/>
          <w:szCs w:val="19"/>
          <w:u w:val="single" w:color="auto"/>
          <w:color w:val="auto"/>
        </w:rPr>
        <w:t>UK Tax</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ind w:firstLine="1304"/>
        <w:spacing w:after="0"/>
        <w:tabs>
          <w:tab w:leader="none" w:pos="1862" w:val="left"/>
        </w:tabs>
        <w:numPr>
          <w:ilvl w:val="0"/>
          <w:numId w:val="8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Unless a contrary indication appears, in this Section 2.18 a reference to “determines” or “determined” means a determination made in the absolute discretion of the person making the determination.</w:t>
      </w:r>
    </w:p>
    <w:p>
      <w:pPr>
        <w:spacing w:after="0" w:line="134" w:lineRule="exact"/>
        <w:rPr>
          <w:rFonts w:ascii="Times New Roman" w:cs="Times New Roman" w:eastAsia="Times New Roman" w:hAnsi="Times New Roman"/>
          <w:sz w:val="20"/>
          <w:szCs w:val="20"/>
          <w:color w:val="010000"/>
        </w:rPr>
      </w:pPr>
    </w:p>
    <w:p>
      <w:pPr>
        <w:ind w:right="20" w:firstLine="1304"/>
        <w:spacing w:after="0"/>
        <w:tabs>
          <w:tab w:leader="none" w:pos="1738" w:val="left"/>
        </w:tabs>
        <w:numPr>
          <w:ilvl w:val="0"/>
          <w:numId w:val="8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Borrower shall make all payments to be made by it under a Loan Document without any Tax Deduction, unless a Tax Deduction is required by law.</w:t>
      </w:r>
    </w:p>
    <w:p>
      <w:pPr>
        <w:spacing w:after="0" w:line="134" w:lineRule="exact"/>
        <w:rPr>
          <w:rFonts w:ascii="Times New Roman" w:cs="Times New Roman" w:eastAsia="Times New Roman" w:hAnsi="Times New Roman"/>
          <w:sz w:val="20"/>
          <w:szCs w:val="20"/>
          <w:color w:val="010000"/>
        </w:rPr>
      </w:pPr>
    </w:p>
    <w:p>
      <w:pPr>
        <w:jc w:val="both"/>
        <w:ind w:firstLine="1304"/>
        <w:spacing w:after="0" w:line="222" w:lineRule="auto"/>
        <w:tabs>
          <w:tab w:leader="none" w:pos="1727" w:val="left"/>
        </w:tabs>
        <w:numPr>
          <w:ilvl w:val="0"/>
          <w:numId w:val="8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Borrower shall promptly upon becoming aware that it must make a Tax Deduction (or that there is any change in the rate or the basis of a Tax Deduction) notify the Administrative Agent accordingly. Similarly, a Lender shall notify the Administrative Agent on becoming so aware in respect of a payment payable to that Lender. If the Administrative Agent receives such notification from a Lender it shall notify such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73</w:t>
      </w:r>
    </w:p>
    <w:p>
      <w:pPr>
        <w:sectPr>
          <w:pgSz w:w="11900" w:h="16838" w:orient="portrait"/>
          <w:cols w:equalWidth="0" w:num="1">
            <w:col w:w="11240"/>
          </w:cols>
          <w:pgMar w:left="320" w:top="1413" w:right="339" w:bottom="1440" w:gutter="0" w:footer="0" w:header="0"/>
        </w:sectPr>
      </w:pPr>
    </w:p>
    <w:bookmarkStart w:id="82" w:name="page83"/>
    <w:bookmarkEnd w:id="82"/>
    <w:p>
      <w:pPr>
        <w:jc w:val="both"/>
        <w:ind w:firstLine="1304"/>
        <w:spacing w:after="0" w:line="226" w:lineRule="auto"/>
        <w:tabs>
          <w:tab w:leader="none" w:pos="1724" w:val="left"/>
        </w:tabs>
        <w:numPr>
          <w:ilvl w:val="1"/>
          <w:numId w:val="8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If a Tax Deduction is required by law to be made by a Borrower under any Loan Document, the amount of the payment due from that Borrower shall be increased to an amount which (after making any Tax Deduction) leaves an amount equal to the payment which would have been due if no Tax Deduction had been required.</w:t>
      </w:r>
    </w:p>
    <w:p>
      <w:pPr>
        <w:spacing w:after="0" w:line="146" w:lineRule="exact"/>
        <w:rPr>
          <w:rFonts w:ascii="Times New Roman" w:cs="Times New Roman" w:eastAsia="Times New Roman" w:hAnsi="Times New Roman"/>
          <w:sz w:val="20"/>
          <w:szCs w:val="20"/>
          <w:color w:val="010000"/>
        </w:rPr>
      </w:pPr>
    </w:p>
    <w:p>
      <w:pPr>
        <w:ind w:firstLine="1304"/>
        <w:spacing w:after="0" w:line="233" w:lineRule="auto"/>
        <w:tabs>
          <w:tab w:leader="none" w:pos="1754" w:val="left"/>
        </w:tabs>
        <w:numPr>
          <w:ilvl w:val="1"/>
          <w:numId w:val="8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 Borrower is not required to make an increased payment to a Lender under clause (d) above for a Tax Deduction in respect of tax imposed by the United Kingdom from a payment of interest on a Loan, if on the date on which the payment falls due:</w:t>
      </w:r>
    </w:p>
    <w:p>
      <w:pPr>
        <w:spacing w:after="0" w:line="147" w:lineRule="exact"/>
        <w:rPr>
          <w:rFonts w:ascii="Times New Roman" w:cs="Times New Roman" w:eastAsia="Times New Roman" w:hAnsi="Times New Roman"/>
          <w:sz w:val="20"/>
          <w:szCs w:val="20"/>
          <w:color w:val="010000"/>
        </w:rPr>
      </w:pPr>
    </w:p>
    <w:p>
      <w:pPr>
        <w:jc w:val="both"/>
        <w:ind w:left="660" w:firstLine="1292"/>
        <w:spacing w:after="0" w:line="222" w:lineRule="auto"/>
        <w:tabs>
          <w:tab w:leader="none" w:pos="2523" w:val="left"/>
        </w:tabs>
        <w:numPr>
          <w:ilvl w:val="2"/>
          <w:numId w:val="8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payment could have been made to the relevant Lender without a Tax Deduction if such Lender was a Qualifying Lender, but on that date that Lender is not or has ceased to be a Qualifying Lender other than as a result of any change after the date it became a Lender under this Agreement in (or in the interpretation, administration, or application of) any law or Treaty or any published practice or concession of any relevant taxing authority; or</w:t>
      </w:r>
    </w:p>
    <w:p>
      <w:pPr>
        <w:spacing w:after="0" w:line="129" w:lineRule="exact"/>
        <w:rPr>
          <w:rFonts w:ascii="Times New Roman" w:cs="Times New Roman" w:eastAsia="Times New Roman" w:hAnsi="Times New Roman"/>
          <w:sz w:val="20"/>
          <w:szCs w:val="20"/>
          <w:color w:val="010000"/>
        </w:rPr>
      </w:pPr>
    </w:p>
    <w:p>
      <w:pPr>
        <w:ind w:left="2480" w:hanging="528"/>
        <w:spacing w:after="0"/>
        <w:tabs>
          <w:tab w:leader="none" w:pos="2480" w:val="left"/>
        </w:tabs>
        <w:numPr>
          <w:ilvl w:val="2"/>
          <w:numId w:val="8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relevant Lender is a Qualifying Lender solely under sub-paragraph (i)(b) of the definition of Qualifying</w:t>
      </w:r>
    </w:p>
    <w:p>
      <w:pPr>
        <w:ind w:left="660"/>
        <w:spacing w:after="0"/>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Lender and:</w:t>
      </w:r>
    </w:p>
    <w:p>
      <w:pPr>
        <w:spacing w:after="0" w:line="139" w:lineRule="exact"/>
        <w:rPr>
          <w:rFonts w:ascii="Times New Roman" w:cs="Times New Roman" w:eastAsia="Times New Roman" w:hAnsi="Times New Roman"/>
          <w:sz w:val="20"/>
          <w:szCs w:val="20"/>
          <w:color w:val="010000"/>
        </w:rPr>
      </w:pPr>
    </w:p>
    <w:p>
      <w:pPr>
        <w:jc w:val="both"/>
        <w:ind w:left="1300" w:firstLine="1300"/>
        <w:spacing w:after="0" w:line="226" w:lineRule="auto"/>
        <w:tabs>
          <w:tab w:leader="none" w:pos="2996" w:val="left"/>
        </w:tabs>
        <w:numPr>
          <w:ilvl w:val="3"/>
          <w:numId w:val="8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 officer of H.M. Revenue &amp; Customs has given (and not revoked) a direction (a “</w:t>
      </w:r>
      <w:r>
        <w:rPr>
          <w:rFonts w:ascii="Times New Roman" w:cs="Times New Roman" w:eastAsia="Times New Roman" w:hAnsi="Times New Roman"/>
          <w:sz w:val="20"/>
          <w:szCs w:val="20"/>
          <w:u w:val="single" w:color="auto"/>
          <w:color w:val="auto"/>
        </w:rPr>
        <w:t>Direction</w:t>
      </w:r>
      <w:r>
        <w:rPr>
          <w:rFonts w:ascii="Times New Roman" w:cs="Times New Roman" w:eastAsia="Times New Roman" w:hAnsi="Times New Roman"/>
          <w:sz w:val="20"/>
          <w:szCs w:val="20"/>
          <w:color w:val="auto"/>
        </w:rPr>
        <w:t>”) under section 931 of the ITA which relates to that payment and that Lender has received from the Borrower making the payment a certified copy of that Direction; and</w:t>
      </w:r>
    </w:p>
    <w:p>
      <w:pPr>
        <w:spacing w:after="0" w:line="141" w:lineRule="exact"/>
        <w:rPr>
          <w:rFonts w:ascii="Times New Roman" w:cs="Times New Roman" w:eastAsia="Times New Roman" w:hAnsi="Times New Roman"/>
          <w:sz w:val="20"/>
          <w:szCs w:val="20"/>
          <w:color w:val="010000"/>
        </w:rPr>
      </w:pPr>
    </w:p>
    <w:p>
      <w:pPr>
        <w:ind w:left="3020" w:hanging="420"/>
        <w:spacing w:after="0"/>
        <w:tabs>
          <w:tab w:leader="none" w:pos="3020" w:val="left"/>
        </w:tabs>
        <w:numPr>
          <w:ilvl w:val="3"/>
          <w:numId w:val="8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payment could have been made to the Lender without any Tax Deduction in the absence of that</w:t>
      </w:r>
    </w:p>
    <w:p>
      <w:pPr>
        <w:ind w:left="1300"/>
        <w:spacing w:after="0"/>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Direction; or</w:t>
      </w:r>
    </w:p>
    <w:p>
      <w:pPr>
        <w:spacing w:after="0" w:line="166" w:lineRule="exact"/>
        <w:rPr>
          <w:rFonts w:ascii="Times New Roman" w:cs="Times New Roman" w:eastAsia="Times New Roman" w:hAnsi="Times New Roman"/>
          <w:sz w:val="20"/>
          <w:szCs w:val="20"/>
          <w:color w:val="010000"/>
        </w:rPr>
      </w:pPr>
    </w:p>
    <w:p>
      <w:pPr>
        <w:jc w:val="both"/>
        <w:ind w:left="660" w:firstLine="1292"/>
        <w:spacing w:after="0" w:line="215" w:lineRule="auto"/>
        <w:tabs>
          <w:tab w:leader="none" w:pos="2458" w:val="left"/>
        </w:tabs>
        <w:numPr>
          <w:ilvl w:val="2"/>
          <w:numId w:val="8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relevant Lender is a Treaty Lender and the Borrower making the payment is able to demonstrate that the payment could have been made to the Lender without the Tax Deduction had that Lender complied with its obligations under clause</w:t>
      </w:r>
    </w:p>
    <w:p>
      <w:pPr>
        <w:spacing w:after="0" w:line="1" w:lineRule="exact"/>
        <w:rPr>
          <w:rFonts w:ascii="Times New Roman" w:cs="Times New Roman" w:eastAsia="Times New Roman" w:hAnsi="Times New Roman"/>
          <w:sz w:val="20"/>
          <w:szCs w:val="20"/>
          <w:color w:val="010000"/>
        </w:rPr>
      </w:pPr>
    </w:p>
    <w:p>
      <w:pPr>
        <w:ind w:left="940" w:hanging="284"/>
        <w:spacing w:after="0"/>
        <w:tabs>
          <w:tab w:leader="none" w:pos="94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below; or</w:t>
      </w:r>
    </w:p>
    <w:p>
      <w:pPr>
        <w:spacing w:after="0" w:line="134" w:lineRule="exact"/>
        <w:rPr>
          <w:rFonts w:ascii="Times New Roman" w:cs="Times New Roman" w:eastAsia="Times New Roman" w:hAnsi="Times New Roman"/>
          <w:sz w:val="20"/>
          <w:szCs w:val="20"/>
          <w:color w:val="auto"/>
        </w:rPr>
      </w:pPr>
    </w:p>
    <w:p>
      <w:pPr>
        <w:ind w:left="2580" w:hanging="628"/>
        <w:spacing w:after="0"/>
        <w:tabs>
          <w:tab w:leader="none" w:pos="2580" w:val="left"/>
        </w:tabs>
        <w:numPr>
          <w:ilvl w:val="2"/>
          <w:numId w:val="8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relevant Lender is a Qualifying Lender solely by virtue of sub-paragraph (i)(b) of the definition of</w:t>
      </w:r>
    </w:p>
    <w:p>
      <w:pPr>
        <w:ind w:left="660"/>
        <w:spacing w:after="0"/>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Qualifying Lender and:</w:t>
      </w:r>
    </w:p>
    <w:p>
      <w:pPr>
        <w:spacing w:after="0" w:line="153" w:lineRule="exact"/>
        <w:rPr>
          <w:rFonts w:ascii="Times New Roman" w:cs="Times New Roman" w:eastAsia="Times New Roman" w:hAnsi="Times New Roman"/>
          <w:sz w:val="20"/>
          <w:szCs w:val="20"/>
          <w:color w:val="010000"/>
        </w:rPr>
      </w:pPr>
    </w:p>
    <w:p>
      <w:pPr>
        <w:ind w:left="2940" w:hanging="340"/>
        <w:spacing w:after="0"/>
        <w:tabs>
          <w:tab w:leader="none" w:pos="2940" w:val="left"/>
        </w:tabs>
        <w:numPr>
          <w:ilvl w:val="3"/>
          <w:numId w:val="8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relevant Lender has not given a Tax Confirmation to the Company; and</w:t>
      </w:r>
    </w:p>
    <w:p>
      <w:pPr>
        <w:spacing w:after="0" w:line="175" w:lineRule="exact"/>
        <w:rPr>
          <w:rFonts w:ascii="Times New Roman" w:cs="Times New Roman" w:eastAsia="Times New Roman" w:hAnsi="Times New Roman"/>
          <w:sz w:val="20"/>
          <w:szCs w:val="20"/>
          <w:color w:val="010000"/>
        </w:rPr>
      </w:pPr>
    </w:p>
    <w:p>
      <w:pPr>
        <w:jc w:val="both"/>
        <w:ind w:left="1300" w:firstLine="1300"/>
        <w:spacing w:after="0" w:line="230" w:lineRule="auto"/>
        <w:tabs>
          <w:tab w:leader="none" w:pos="2969" w:val="left"/>
        </w:tabs>
        <w:numPr>
          <w:ilvl w:val="3"/>
          <w:numId w:val="8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payment could have been made to the Lender without any Tax Deduction if the Lender had given a Tax Confirmation to the Company, on the basis that the Tax Confirmation would have enabled the relevant Borrower to have formed a reasonable belief that the payment was an “excepted payment” for the purpose of section 930 of the ITA.</w:t>
      </w:r>
    </w:p>
    <w:p>
      <w:pPr>
        <w:spacing w:after="0" w:line="148" w:lineRule="exact"/>
        <w:rPr>
          <w:rFonts w:ascii="Times New Roman" w:cs="Times New Roman" w:eastAsia="Times New Roman" w:hAnsi="Times New Roman"/>
          <w:sz w:val="20"/>
          <w:szCs w:val="20"/>
          <w:color w:val="010000"/>
        </w:rPr>
      </w:pPr>
    </w:p>
    <w:p>
      <w:pPr>
        <w:ind w:right="20" w:firstLine="1304"/>
        <w:spacing w:after="0"/>
        <w:tabs>
          <w:tab w:leader="none" w:pos="1773" w:val="left"/>
        </w:tabs>
        <w:numPr>
          <w:ilvl w:val="1"/>
          <w:numId w:val="8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If a Borrower is required to make a Tax Deduction, that Borrower shall make that Tax Deduction and any payment required in connection with that Tax Deduction within the time allowed and in the minimum amount required by law.</w:t>
      </w:r>
    </w:p>
    <w:p>
      <w:pPr>
        <w:spacing w:after="0" w:line="134" w:lineRule="exact"/>
        <w:rPr>
          <w:rFonts w:ascii="Times New Roman" w:cs="Times New Roman" w:eastAsia="Times New Roman" w:hAnsi="Times New Roman"/>
          <w:sz w:val="20"/>
          <w:szCs w:val="20"/>
          <w:color w:val="010000"/>
        </w:rPr>
      </w:pPr>
    </w:p>
    <w:p>
      <w:pPr>
        <w:jc w:val="both"/>
        <w:ind w:firstLine="1304"/>
        <w:spacing w:after="0" w:line="222" w:lineRule="auto"/>
        <w:tabs>
          <w:tab w:leader="none" w:pos="1751" w:val="left"/>
        </w:tabs>
        <w:numPr>
          <w:ilvl w:val="1"/>
          <w:numId w:val="8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Within 30 days of making either a Tax Deduction or any payment required in connection with that Tax Deduction, the Borrower making that Tax Deduction shall deliver to the Administrative Agent for the Lender entitled to the payment a statement under section 975 of the ITA or other evidence reasonably satisfactory to the Lender that the Tax Deduction has been made or (as applicable) any appropriate payment paid to the relevant taxing authority.</w:t>
      </w:r>
    </w:p>
    <w:p>
      <w:pPr>
        <w:spacing w:after="0" w:line="14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010000"/>
        </w:rPr>
        <w:t>(h)</w:t>
      </w:r>
    </w:p>
    <w:p>
      <w:pPr>
        <w:spacing w:after="0" w:line="162" w:lineRule="exact"/>
        <w:rPr>
          <w:sz w:val="20"/>
          <w:szCs w:val="20"/>
          <w:color w:val="auto"/>
        </w:rPr>
      </w:pPr>
    </w:p>
    <w:p>
      <w:pPr>
        <w:jc w:val="both"/>
        <w:ind w:left="660" w:firstLine="1292"/>
        <w:spacing w:after="0" w:line="226" w:lineRule="auto"/>
        <w:tabs>
          <w:tab w:leader="none" w:pos="2455" w:val="left"/>
        </w:tabs>
        <w:numPr>
          <w:ilvl w:val="0"/>
          <w:numId w:val="8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 Treaty Lender and each Borrower which makes a payment to which that Treaty Lender is entitled shall co-operate in completing any procedural formalities necessary for that Borrower to obtain authorization to make that payment without a Tax Deduction.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74</w:t>
      </w:r>
    </w:p>
    <w:p>
      <w:pPr>
        <w:sectPr>
          <w:pgSz w:w="11900" w:h="16838" w:orient="portrait"/>
          <w:cols w:equalWidth="0" w:num="1">
            <w:col w:w="11240"/>
          </w:cols>
          <w:pgMar w:left="320" w:top="1399" w:right="339" w:bottom="1440" w:gutter="0" w:footer="0" w:header="0"/>
        </w:sectPr>
      </w:pPr>
    </w:p>
    <w:bookmarkStart w:id="83" w:name="page84"/>
    <w:bookmarkEnd w:id="83"/>
    <w:p>
      <w:pPr>
        <w:ind w:left="2420" w:hanging="468"/>
        <w:spacing w:after="0"/>
        <w:tabs>
          <w:tab w:leader="none" w:pos="2420" w:val="left"/>
        </w:tabs>
        <w:numPr>
          <w:ilvl w:val="1"/>
          <w:numId w:val="8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Nothing in paragraph (A) above shall require a Treaty Lender to:</w:t>
      </w:r>
    </w:p>
    <w:p>
      <w:pPr>
        <w:spacing w:after="0" w:line="161" w:lineRule="exact"/>
        <w:rPr>
          <w:rFonts w:ascii="Times New Roman" w:cs="Times New Roman" w:eastAsia="Times New Roman" w:hAnsi="Times New Roman"/>
          <w:sz w:val="20"/>
          <w:szCs w:val="20"/>
          <w:color w:val="010000"/>
        </w:rPr>
      </w:pPr>
    </w:p>
    <w:p>
      <w:pPr>
        <w:ind w:left="2940" w:hanging="340"/>
        <w:spacing w:after="0"/>
        <w:tabs>
          <w:tab w:leader="none" w:pos="2940" w:val="left"/>
        </w:tabs>
        <w:numPr>
          <w:ilvl w:val="2"/>
          <w:numId w:val="8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register under the HMRC DT Treaty Passport scheme;</w:t>
      </w:r>
    </w:p>
    <w:p>
      <w:pPr>
        <w:spacing w:after="0" w:line="188" w:lineRule="exact"/>
        <w:rPr>
          <w:rFonts w:ascii="Times New Roman" w:cs="Times New Roman" w:eastAsia="Times New Roman" w:hAnsi="Times New Roman"/>
          <w:sz w:val="20"/>
          <w:szCs w:val="20"/>
          <w:color w:val="010000"/>
        </w:rPr>
      </w:pPr>
    </w:p>
    <w:p>
      <w:pPr>
        <w:ind w:left="2940" w:hanging="340"/>
        <w:spacing w:after="0"/>
        <w:tabs>
          <w:tab w:leader="none" w:pos="2940" w:val="left"/>
        </w:tabs>
        <w:numPr>
          <w:ilvl w:val="2"/>
          <w:numId w:val="8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apply the HMRC DT Treaty Passport scheme to any Loan if it has so registered; or</w:t>
      </w:r>
    </w:p>
    <w:p>
      <w:pPr>
        <w:spacing w:after="0" w:line="188" w:lineRule="exact"/>
        <w:rPr>
          <w:rFonts w:ascii="Times New Roman" w:cs="Times New Roman" w:eastAsia="Times New Roman" w:hAnsi="Times New Roman"/>
          <w:sz w:val="20"/>
          <w:szCs w:val="20"/>
          <w:color w:val="010000"/>
        </w:rPr>
      </w:pPr>
    </w:p>
    <w:p>
      <w:pPr>
        <w:jc w:val="both"/>
        <w:ind w:left="1300" w:firstLine="1300"/>
        <w:spacing w:after="0" w:line="226" w:lineRule="auto"/>
        <w:tabs>
          <w:tab w:leader="none" w:pos="3039" w:val="left"/>
        </w:tabs>
        <w:numPr>
          <w:ilvl w:val="2"/>
          <w:numId w:val="8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file Treaty forms if it has included an indication to the effect that it wishes the HMRC DT Treaty Passport scheme to apply to this Agreement in accordance with clause (i) below and the Borrower making that payment has not complied with its obligations under clause (j) below.</w:t>
      </w:r>
    </w:p>
    <w:p>
      <w:pPr>
        <w:spacing w:after="0" w:line="160" w:lineRule="exact"/>
        <w:rPr>
          <w:rFonts w:ascii="Times New Roman" w:cs="Times New Roman" w:eastAsia="Times New Roman" w:hAnsi="Times New Roman"/>
          <w:sz w:val="20"/>
          <w:szCs w:val="20"/>
          <w:color w:val="010000"/>
        </w:rPr>
      </w:pPr>
    </w:p>
    <w:p>
      <w:pPr>
        <w:jc w:val="both"/>
        <w:ind w:firstLine="1304"/>
        <w:spacing w:after="0" w:line="217" w:lineRule="auto"/>
        <w:tabs>
          <w:tab w:leader="none" w:pos="1681" w:val="left"/>
        </w:tabs>
        <w:numPr>
          <w:ilvl w:val="0"/>
          <w:numId w:val="8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 Treaty Lender which holds a passport under the HMRC DT Treaty Passport scheme, and which wishes that scheme to apply to this Agreement, shall provide an indication to that effect to the relevant Borrower by confirming its scheme reference number and its jurisdiction of tax residence on its signature page to this Agreement (and, in the case of a Treaty Lender that becomes a party to this Agreement on the Restatement Effective Date, it may provide such notification by including such details on its signature page to this Agreement) and, having done so, that Treaty Lender shall be under no obligation pursuant to clause (h) above.</w:t>
      </w:r>
    </w:p>
    <w:p>
      <w:pPr>
        <w:spacing w:after="0" w:line="148" w:lineRule="exact"/>
        <w:rPr>
          <w:rFonts w:ascii="Times New Roman" w:cs="Times New Roman" w:eastAsia="Times New Roman" w:hAnsi="Times New Roman"/>
          <w:sz w:val="20"/>
          <w:szCs w:val="20"/>
          <w:color w:val="010000"/>
        </w:rPr>
      </w:pPr>
    </w:p>
    <w:p>
      <w:pPr>
        <w:jc w:val="both"/>
        <w:ind w:firstLine="1304"/>
        <w:spacing w:after="0" w:line="222" w:lineRule="auto"/>
        <w:tabs>
          <w:tab w:leader="none" w:pos="1708" w:val="left"/>
        </w:tabs>
        <w:numPr>
          <w:ilvl w:val="0"/>
          <w:numId w:val="8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Where a Lender includes the indication described in clause (i) above the relevant Borrower shall file a duly completed Borrower DTTP Filing in respect of such Lender with HM Revenue &amp; Customs, within the applicable time limit provided for in the definition of “Borrower DTTP Filing”, and shall promptly provide the Lender with a copy of that Borrower DTTP Filing. Where a Borrower making a payment to that Lender has made a Borrower DTTP Filing in respect of that Lender but:</w:t>
      </w:r>
    </w:p>
    <w:p>
      <w:pPr>
        <w:spacing w:after="0" w:line="134" w:lineRule="exact"/>
        <w:rPr>
          <w:rFonts w:ascii="Times New Roman" w:cs="Times New Roman" w:eastAsia="Times New Roman" w:hAnsi="Times New Roman"/>
          <w:sz w:val="20"/>
          <w:szCs w:val="20"/>
          <w:color w:val="010000"/>
        </w:rPr>
      </w:pPr>
    </w:p>
    <w:p>
      <w:pPr>
        <w:ind w:left="2420" w:hanging="468"/>
        <w:spacing w:after="0"/>
        <w:tabs>
          <w:tab w:leader="none" w:pos="2420" w:val="left"/>
        </w:tabs>
        <w:numPr>
          <w:ilvl w:val="1"/>
          <w:numId w:val="8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that Borrower DTTP Filing has been rejected by HM Revenue &amp; Customs;</w:t>
      </w:r>
    </w:p>
    <w:p>
      <w:pPr>
        <w:spacing w:after="0" w:line="161" w:lineRule="exact"/>
        <w:rPr>
          <w:rFonts w:ascii="Times New Roman" w:cs="Times New Roman" w:eastAsia="Times New Roman" w:hAnsi="Times New Roman"/>
          <w:sz w:val="20"/>
          <w:szCs w:val="20"/>
          <w:color w:val="010000"/>
        </w:rPr>
      </w:pPr>
    </w:p>
    <w:p>
      <w:pPr>
        <w:ind w:left="1300" w:firstLine="652"/>
        <w:spacing w:after="0"/>
        <w:tabs>
          <w:tab w:leader="none" w:pos="2410" w:val="left"/>
        </w:tabs>
        <w:numPr>
          <w:ilvl w:val="1"/>
          <w:numId w:val="8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HM Revenue &amp; Customs has not given the Borrower authority to make payments to that Lender without a Tax Deduction within 60 days of the date of the Borrower DTTP Filing; or</w:t>
      </w:r>
    </w:p>
    <w:p>
      <w:pPr>
        <w:spacing w:after="0" w:line="134" w:lineRule="exact"/>
        <w:rPr>
          <w:rFonts w:ascii="Times New Roman" w:cs="Times New Roman" w:eastAsia="Times New Roman" w:hAnsi="Times New Roman"/>
          <w:sz w:val="20"/>
          <w:szCs w:val="20"/>
          <w:color w:val="010000"/>
        </w:rPr>
      </w:pPr>
    </w:p>
    <w:p>
      <w:pPr>
        <w:ind w:left="1300" w:firstLine="652"/>
        <w:spacing w:after="0"/>
        <w:tabs>
          <w:tab w:leader="none" w:pos="2477" w:val="left"/>
        </w:tabs>
        <w:numPr>
          <w:ilvl w:val="1"/>
          <w:numId w:val="8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HM Revenue &amp; Customs has given the Borrower authority to make payments to that Lender without a Tax Deduction but such authority has subsequently been revoked or expired,</w:t>
      </w:r>
    </w:p>
    <w:p>
      <w:pPr>
        <w:spacing w:after="0" w:line="134"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20"/>
          <w:szCs w:val="20"/>
          <w:color w:val="auto"/>
        </w:rPr>
        <w:t>and in each case, the Borrower has notified that Lender in writing, that Lender and the Borrower shall co-operate in completing any additional procedural formalities necessary for that Borrower to obtain authorisation to make that payment without a Tax Deduction.</w:t>
      </w:r>
    </w:p>
    <w:p>
      <w:pPr>
        <w:spacing w:after="0" w:line="121" w:lineRule="exact"/>
        <w:rPr>
          <w:sz w:val="20"/>
          <w:szCs w:val="20"/>
          <w:color w:val="auto"/>
        </w:rPr>
      </w:pPr>
    </w:p>
    <w:p>
      <w:pPr>
        <w:jc w:val="both"/>
        <w:ind w:firstLine="1304"/>
        <w:spacing w:after="0" w:line="226" w:lineRule="auto"/>
        <w:tabs>
          <w:tab w:leader="none" w:pos="1805" w:val="left"/>
        </w:tabs>
        <w:numPr>
          <w:ilvl w:val="0"/>
          <w:numId w:val="8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Borrower shall (within 3 Business Days of demand by the Administrative Agent) pay to a Protected Party an amount equal to the loss, liability or cost which that Protected Party determines will be or has been (directly or indirectly) suffered for or on account of UK Tax by that Protected Party in respect of any Loan Document.</w:t>
      </w:r>
    </w:p>
    <w:p>
      <w:pPr>
        <w:spacing w:after="0" w:line="133" w:lineRule="exact"/>
        <w:rPr>
          <w:rFonts w:ascii="Times New Roman" w:cs="Times New Roman" w:eastAsia="Times New Roman" w:hAnsi="Times New Roman"/>
          <w:sz w:val="20"/>
          <w:szCs w:val="20"/>
          <w:color w:val="010000"/>
        </w:rPr>
      </w:pPr>
    </w:p>
    <w:p>
      <w:pPr>
        <w:ind w:left="1680" w:hanging="376"/>
        <w:spacing w:after="0"/>
        <w:tabs>
          <w:tab w:leader="none" w:pos="1680" w:val="left"/>
        </w:tabs>
        <w:numPr>
          <w:ilvl w:val="0"/>
          <w:numId w:val="8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Clause (k) above shall not apply with respect to any UK Tax assessed on a Protected Party:</w:t>
      </w:r>
    </w:p>
    <w:p>
      <w:pPr>
        <w:spacing w:after="0" w:line="175" w:lineRule="exact"/>
        <w:rPr>
          <w:rFonts w:ascii="Times New Roman" w:cs="Times New Roman" w:eastAsia="Times New Roman" w:hAnsi="Times New Roman"/>
          <w:sz w:val="20"/>
          <w:szCs w:val="20"/>
          <w:color w:val="010000"/>
        </w:rPr>
      </w:pPr>
    </w:p>
    <w:p>
      <w:pPr>
        <w:ind w:left="660" w:firstLine="1292"/>
        <w:spacing w:after="0" w:line="233" w:lineRule="auto"/>
        <w:tabs>
          <w:tab w:leader="none" w:pos="2469" w:val="left"/>
        </w:tabs>
        <w:numPr>
          <w:ilvl w:val="1"/>
          <w:numId w:val="8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under the law of the jurisdiction in which that Protected Party is incorporated or, if different, the jurisdiction (or jurisdictions) in which that Protected Party is treated as resident for tax purposes; or</w:t>
      </w:r>
    </w:p>
    <w:p>
      <w:pPr>
        <w:spacing w:after="0" w:line="147" w:lineRule="exact"/>
        <w:rPr>
          <w:rFonts w:ascii="Times New Roman" w:cs="Times New Roman" w:eastAsia="Times New Roman" w:hAnsi="Times New Roman"/>
          <w:sz w:val="20"/>
          <w:szCs w:val="20"/>
          <w:color w:val="010000"/>
        </w:rPr>
      </w:pPr>
    </w:p>
    <w:p>
      <w:pPr>
        <w:jc w:val="both"/>
        <w:ind w:left="660" w:firstLine="1292"/>
        <w:spacing w:after="0" w:line="226" w:lineRule="auto"/>
        <w:tabs>
          <w:tab w:leader="none" w:pos="2472" w:val="left"/>
        </w:tabs>
        <w:numPr>
          <w:ilvl w:val="1"/>
          <w:numId w:val="8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under the law of the jurisdiction in which that Protected Party’s facility office or permanent establishment is located in respect of amounts received or receivable in that jurisdiction or attributable to such permanent establishment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75</w:t>
      </w:r>
    </w:p>
    <w:p>
      <w:pPr>
        <w:sectPr>
          <w:pgSz w:w="11900" w:h="16838" w:orient="portrait"/>
          <w:cols w:equalWidth="0" w:num="1">
            <w:col w:w="11240"/>
          </w:cols>
          <w:pgMar w:left="320" w:top="1399"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20"/>
          <w:szCs w:val="20"/>
          <w:color w:val="auto"/>
        </w:rPr>
        <w:t>if that UK Tax is imposed on or calculated by reference to the net income received or receivable (but not any sum deemed to be received or receivable) by that Protected Party.</w:t>
      </w:r>
    </w:p>
    <w:p>
      <w:pPr>
        <w:spacing w:after="0" w:line="121" w:lineRule="exact"/>
        <w:rPr>
          <w:sz w:val="20"/>
          <w:szCs w:val="20"/>
          <w:color w:val="auto"/>
        </w:rPr>
      </w:pPr>
    </w:p>
    <w:p>
      <w:pPr>
        <w:ind w:left="1780" w:hanging="476"/>
        <w:spacing w:after="0"/>
        <w:tabs>
          <w:tab w:leader="none" w:pos="1780" w:val="left"/>
        </w:tabs>
        <w:numPr>
          <w:ilvl w:val="0"/>
          <w:numId w:val="8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Furthermore, clause (k) above shall not apply to the extent a loss, liability or cost:</w:t>
      </w:r>
    </w:p>
    <w:p>
      <w:pPr>
        <w:spacing w:after="0" w:line="161" w:lineRule="exact"/>
        <w:rPr>
          <w:rFonts w:ascii="Times New Roman" w:cs="Times New Roman" w:eastAsia="Times New Roman" w:hAnsi="Times New Roman"/>
          <w:sz w:val="20"/>
          <w:szCs w:val="20"/>
          <w:color w:val="010000"/>
        </w:rPr>
      </w:pPr>
    </w:p>
    <w:p>
      <w:pPr>
        <w:ind w:left="2420" w:hanging="468"/>
        <w:spacing w:after="0"/>
        <w:tabs>
          <w:tab w:leader="none" w:pos="2420" w:val="left"/>
        </w:tabs>
        <w:numPr>
          <w:ilvl w:val="1"/>
          <w:numId w:val="8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is compensated for by an increased payment under clause (d) above; or</w:t>
      </w:r>
    </w:p>
    <w:p>
      <w:pPr>
        <w:spacing w:after="0" w:line="161" w:lineRule="exact"/>
        <w:rPr>
          <w:rFonts w:ascii="Times New Roman" w:cs="Times New Roman" w:eastAsia="Times New Roman" w:hAnsi="Times New Roman"/>
          <w:sz w:val="20"/>
          <w:szCs w:val="20"/>
          <w:color w:val="010000"/>
        </w:rPr>
      </w:pPr>
    </w:p>
    <w:p>
      <w:pPr>
        <w:ind w:left="660" w:right="20" w:firstLine="1292"/>
        <w:spacing w:after="0"/>
        <w:tabs>
          <w:tab w:leader="none" w:pos="2620" w:val="left"/>
        </w:tabs>
        <w:numPr>
          <w:ilvl w:val="1"/>
          <w:numId w:val="8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would have been compensated for by an increased payment under clause (d) above but was not so compensated solely because one of the exclusions in clause (e) applied.</w:t>
      </w:r>
    </w:p>
    <w:p>
      <w:pPr>
        <w:spacing w:after="0" w:line="134" w:lineRule="exact"/>
        <w:rPr>
          <w:rFonts w:ascii="Times New Roman" w:cs="Times New Roman" w:eastAsia="Times New Roman" w:hAnsi="Times New Roman"/>
          <w:sz w:val="20"/>
          <w:szCs w:val="20"/>
          <w:color w:val="010000"/>
        </w:rPr>
      </w:pPr>
    </w:p>
    <w:p>
      <w:pPr>
        <w:ind w:firstLine="1304"/>
        <w:spacing w:after="0"/>
        <w:tabs>
          <w:tab w:leader="none" w:pos="1751" w:val="left"/>
        </w:tabs>
        <w:numPr>
          <w:ilvl w:val="0"/>
          <w:numId w:val="8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 Protected Party making, or intending to make a claim under clause (k) above shall promptly notify the Agent of the event which will give, or has given, rise to the claim, following which the Administrative Agent shall notify the Borrower.</w:t>
      </w:r>
    </w:p>
    <w:p>
      <w:pPr>
        <w:spacing w:after="0" w:line="128" w:lineRule="exact"/>
        <w:rPr>
          <w:rFonts w:ascii="Times New Roman" w:cs="Times New Roman" w:eastAsia="Times New Roman" w:hAnsi="Times New Roman"/>
          <w:sz w:val="20"/>
          <w:szCs w:val="20"/>
          <w:color w:val="010000"/>
        </w:rPr>
      </w:pPr>
    </w:p>
    <w:p>
      <w:pPr>
        <w:ind w:left="1800" w:hanging="496"/>
        <w:spacing w:after="0"/>
        <w:tabs>
          <w:tab w:leader="none" w:pos="1800" w:val="left"/>
        </w:tabs>
        <w:numPr>
          <w:ilvl w:val="0"/>
          <w:numId w:val="8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 Protected Party shall, on receiving a payment from a Borrower under clause (k) above, notify the Administrative</w:t>
      </w:r>
    </w:p>
    <w:p>
      <w:pPr>
        <w:spacing w:after="0"/>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Agent.</w:t>
      </w:r>
    </w:p>
    <w:p>
      <w:pPr>
        <w:spacing w:after="0" w:line="139" w:lineRule="exact"/>
        <w:rPr>
          <w:rFonts w:ascii="Times New Roman" w:cs="Times New Roman" w:eastAsia="Times New Roman" w:hAnsi="Times New Roman"/>
          <w:sz w:val="20"/>
          <w:szCs w:val="20"/>
          <w:color w:val="010000"/>
        </w:rPr>
      </w:pPr>
    </w:p>
    <w:p>
      <w:pPr>
        <w:ind w:left="1740" w:hanging="436"/>
        <w:spacing w:after="0"/>
        <w:tabs>
          <w:tab w:leader="none" w:pos="1740" w:val="left"/>
        </w:tabs>
        <w:numPr>
          <w:ilvl w:val="0"/>
          <w:numId w:val="8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If a Borrower makes a Tax Payment and the relevant Lender determines that:</w:t>
      </w:r>
    </w:p>
    <w:p>
      <w:pPr>
        <w:spacing w:after="0" w:line="161" w:lineRule="exact"/>
        <w:rPr>
          <w:rFonts w:ascii="Times New Roman" w:cs="Times New Roman" w:eastAsia="Times New Roman" w:hAnsi="Times New Roman"/>
          <w:sz w:val="20"/>
          <w:szCs w:val="20"/>
          <w:color w:val="010000"/>
        </w:rPr>
      </w:pPr>
    </w:p>
    <w:p>
      <w:pPr>
        <w:ind w:left="2440" w:hanging="488"/>
        <w:spacing w:after="0"/>
        <w:tabs>
          <w:tab w:leader="none" w:pos="2440" w:val="left"/>
        </w:tabs>
        <w:numPr>
          <w:ilvl w:val="1"/>
          <w:numId w:val="8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 Tax Credit is attributable either to an increased payment of which that Tax Payment forms part or to that Tax</w:t>
      </w:r>
    </w:p>
    <w:p>
      <w:pPr>
        <w:spacing w:after="0" w:line="6" w:lineRule="exact"/>
        <w:rPr>
          <w:rFonts w:ascii="Times New Roman" w:cs="Times New Roman" w:eastAsia="Times New Roman" w:hAnsi="Times New Roman"/>
          <w:sz w:val="19"/>
          <w:szCs w:val="19"/>
          <w:color w:val="010000"/>
        </w:rPr>
      </w:pPr>
    </w:p>
    <w:p>
      <w:pPr>
        <w:ind w:left="660"/>
        <w:spacing w:after="0"/>
        <w:rPr>
          <w:rFonts w:ascii="Times New Roman" w:cs="Times New Roman" w:eastAsia="Times New Roman" w:hAnsi="Times New Roman"/>
          <w:sz w:val="19"/>
          <w:szCs w:val="19"/>
          <w:color w:val="010000"/>
        </w:rPr>
      </w:pPr>
      <w:r>
        <w:rPr>
          <w:rFonts w:ascii="Times New Roman" w:cs="Times New Roman" w:eastAsia="Times New Roman" w:hAnsi="Times New Roman"/>
          <w:sz w:val="20"/>
          <w:szCs w:val="20"/>
          <w:color w:val="auto"/>
        </w:rPr>
        <w:t>Payment; and</w:t>
      </w:r>
    </w:p>
    <w:p>
      <w:pPr>
        <w:spacing w:after="0" w:line="139" w:lineRule="exact"/>
        <w:rPr>
          <w:rFonts w:ascii="Times New Roman" w:cs="Times New Roman" w:eastAsia="Times New Roman" w:hAnsi="Times New Roman"/>
          <w:sz w:val="19"/>
          <w:szCs w:val="19"/>
          <w:color w:val="010000"/>
        </w:rPr>
      </w:pPr>
    </w:p>
    <w:p>
      <w:pPr>
        <w:ind w:left="2420" w:hanging="468"/>
        <w:spacing w:after="0"/>
        <w:tabs>
          <w:tab w:leader="none" w:pos="2420" w:val="left"/>
        </w:tabs>
        <w:numPr>
          <w:ilvl w:val="1"/>
          <w:numId w:val="8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that Lender has obtained, utilized and retained that Tax Credit,</w:t>
      </w:r>
    </w:p>
    <w:p>
      <w:pPr>
        <w:spacing w:after="0" w:line="175"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19"/>
          <w:szCs w:val="19"/>
          <w:color w:val="auto"/>
        </w:rPr>
        <w:t>the relevant Lender shall pay an amount to the Borrower which that Lender determines will leave it (after that payment) in the same after-tax position as it would have been in had the Tax Payment not been made by such Borrower. For the avoidance of doubt, this paragraph shall not</w:t>
      </w:r>
    </w:p>
    <w:p>
      <w:pPr>
        <w:spacing w:after="0" w:line="228" w:lineRule="auto"/>
        <w:rPr>
          <w:sz w:val="20"/>
          <w:szCs w:val="20"/>
          <w:color w:val="auto"/>
        </w:rPr>
      </w:pPr>
      <w:r>
        <w:rPr>
          <w:rFonts w:ascii="Times New Roman" w:cs="Times New Roman" w:eastAsia="Times New Roman" w:hAnsi="Times New Roman"/>
          <w:sz w:val="20"/>
          <w:szCs w:val="20"/>
          <w:color w:val="auto"/>
        </w:rPr>
        <w:t>be construed to require any Lender to make available its Tax returns (or any other information relating to its Taxes that it deems confidential) to a Borrower or any other Person.</w:t>
      </w:r>
    </w:p>
    <w:p>
      <w:pPr>
        <w:spacing w:after="0" w:line="135" w:lineRule="exact"/>
        <w:rPr>
          <w:sz w:val="20"/>
          <w:szCs w:val="20"/>
          <w:color w:val="auto"/>
        </w:rPr>
      </w:pPr>
    </w:p>
    <w:p>
      <w:pPr>
        <w:ind w:firstLine="1304"/>
        <w:spacing w:after="0" w:line="269" w:lineRule="auto"/>
        <w:tabs>
          <w:tab w:leader="none" w:pos="1738" w:val="left"/>
        </w:tabs>
        <w:numPr>
          <w:ilvl w:val="0"/>
          <w:numId w:val="9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 UK Non-Bank Lender shall promptly notify the Company and the Administrative Agent if there is any change in the position from that set out in the Tax Confirmation.</w:t>
      </w:r>
    </w:p>
    <w:p>
      <w:pPr>
        <w:spacing w:after="0" w:line="159" w:lineRule="exact"/>
        <w:rPr>
          <w:rFonts w:ascii="Times New Roman" w:cs="Times New Roman" w:eastAsia="Times New Roman" w:hAnsi="Times New Roman"/>
          <w:sz w:val="20"/>
          <w:szCs w:val="20"/>
          <w:color w:val="010000"/>
        </w:rPr>
      </w:pPr>
    </w:p>
    <w:p>
      <w:pPr>
        <w:jc w:val="both"/>
        <w:ind w:firstLine="1304"/>
        <w:spacing w:after="0" w:line="261" w:lineRule="auto"/>
        <w:tabs>
          <w:tab w:leader="none" w:pos="1827" w:val="left"/>
        </w:tabs>
        <w:numPr>
          <w:ilvl w:val="0"/>
          <w:numId w:val="9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Lender shall indicate in the documentation which it executes on becoming a Party as a Lender and to the Administrative Agent (and the Administrative Agent, upon receipt of such indication, shall inform the Borrower), which of the following categories it falls in:</w:t>
      </w:r>
    </w:p>
    <w:p>
      <w:pPr>
        <w:spacing w:after="0" w:line="154" w:lineRule="exact"/>
        <w:rPr>
          <w:rFonts w:ascii="Times New Roman" w:cs="Times New Roman" w:eastAsia="Times New Roman" w:hAnsi="Times New Roman"/>
          <w:sz w:val="20"/>
          <w:szCs w:val="20"/>
          <w:color w:val="010000"/>
        </w:rPr>
      </w:pPr>
    </w:p>
    <w:p>
      <w:pPr>
        <w:ind w:left="2420" w:hanging="468"/>
        <w:spacing w:after="0"/>
        <w:tabs>
          <w:tab w:leader="none" w:pos="2420" w:val="left"/>
        </w:tabs>
        <w:numPr>
          <w:ilvl w:val="1"/>
          <w:numId w:val="9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not a Qualifying Lender;</w:t>
      </w:r>
    </w:p>
    <w:p>
      <w:pPr>
        <w:spacing w:after="0" w:line="202" w:lineRule="exact"/>
        <w:rPr>
          <w:rFonts w:ascii="Times New Roman" w:cs="Times New Roman" w:eastAsia="Times New Roman" w:hAnsi="Times New Roman"/>
          <w:sz w:val="20"/>
          <w:szCs w:val="20"/>
          <w:color w:val="010000"/>
        </w:rPr>
      </w:pPr>
    </w:p>
    <w:p>
      <w:pPr>
        <w:ind w:left="2420" w:hanging="468"/>
        <w:spacing w:after="0"/>
        <w:tabs>
          <w:tab w:leader="none" w:pos="2420" w:val="left"/>
        </w:tabs>
        <w:numPr>
          <w:ilvl w:val="1"/>
          <w:numId w:val="9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 Qualifying Lender (other than a Treaty Lender); or</w:t>
      </w:r>
    </w:p>
    <w:p>
      <w:pPr>
        <w:spacing w:after="0" w:line="215" w:lineRule="exact"/>
        <w:rPr>
          <w:rFonts w:ascii="Times New Roman" w:cs="Times New Roman" w:eastAsia="Times New Roman" w:hAnsi="Times New Roman"/>
          <w:sz w:val="20"/>
          <w:szCs w:val="20"/>
          <w:color w:val="010000"/>
        </w:rPr>
      </w:pPr>
    </w:p>
    <w:p>
      <w:pPr>
        <w:ind w:left="2420" w:hanging="468"/>
        <w:spacing w:after="0"/>
        <w:tabs>
          <w:tab w:leader="none" w:pos="2420" w:val="left"/>
        </w:tabs>
        <w:numPr>
          <w:ilvl w:val="1"/>
          <w:numId w:val="9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 Treaty Lender.</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If a Lender fails to indicate its status in accordance with this clause (r) then such Lender shall be treated for the purposes of this Agreement (including by each Borrower) as if it is not a Qualifying Lender until such time as it notifies the Administrative Agent which category applies (and the Administrative Agent, upon receipt of such notification, shall inform the Company and each relevant Borrower).</w:t>
      </w:r>
    </w:p>
    <w:p>
      <w:pPr>
        <w:spacing w:after="0" w:line="141" w:lineRule="exact"/>
        <w:rPr>
          <w:sz w:val="20"/>
          <w:szCs w:val="20"/>
          <w:color w:val="auto"/>
        </w:rPr>
      </w:pPr>
    </w:p>
    <w:p>
      <w:pPr>
        <w:jc w:val="both"/>
        <w:ind w:firstLine="1304"/>
        <w:spacing w:after="0" w:line="253" w:lineRule="auto"/>
        <w:tabs>
          <w:tab w:leader="none" w:pos="1716" w:val="left"/>
        </w:tabs>
        <w:numPr>
          <w:ilvl w:val="0"/>
          <w:numId w:val="9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Borrower shall pay and, within three (3) Business Days of demand, indemnify each Credit Party against any cost, loss or liability that Credit Party incurs in relation to all stamp duty, registration and other similar UK Taxes payable in respect of any Loan Document (excluding, for the avoidance of doubt, any such UK Tax arising in connection with an assignment or transfer by that Credit Party of its rights under any Loan Document otherwise than an assignment or transfer made (i) at the request of a Borrower, (ii) pursuant to steps taken in accordance with Section 2.20 or (iii) where a Default or Event of Default exists).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76</w:t>
      </w:r>
    </w:p>
    <w:p>
      <w:pPr>
        <w:sectPr>
          <w:pgSz w:w="11900" w:h="16838" w:orient="portrait"/>
          <w:cols w:equalWidth="0" w:num="1">
            <w:col w:w="11240"/>
          </w:cols>
          <w:pgMar w:left="320" w:top="1399" w:right="339" w:bottom="1440" w:gutter="0" w:footer="0" w:header="0"/>
        </w:sectPr>
      </w:pPr>
    </w:p>
    <w:bookmarkStart w:id="85" w:name="page86"/>
    <w:bookmarkEnd w:id="85"/>
    <w:p>
      <w:pPr>
        <w:jc w:val="both"/>
        <w:ind w:firstLine="1304"/>
        <w:spacing w:after="0" w:line="253" w:lineRule="auto"/>
        <w:tabs>
          <w:tab w:leader="none" w:pos="1694" w:val="left"/>
        </w:tabs>
        <w:numPr>
          <w:ilvl w:val="0"/>
          <w:numId w:val="9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All amounts set out, or expressed to be payable under a Loan Document by any party to a Credit Party which (in whole or part) constitute the consideration for a supply or supplies for VAT purposes shall be deemed to be exclusive of any VAT which is chargeable on such supply or supplies, and accordingly, subject to clause (u) below, if VAT is or becomes chargeable on any supply made by any Credit Party to any party under a Loan Document and such Credit Party is required to account to the relevant tax authority for the VAT, that party shall pay to the Credit Party (in addition to and at the same time as paying the consideration for such supply) an amount equal to the amount of such VAT (and such Credit Party shall promptly provide an appropriate VAT invoice to such party).</w:t>
      </w:r>
    </w:p>
    <w:p>
      <w:pPr>
        <w:spacing w:after="0" w:line="165" w:lineRule="exact"/>
        <w:rPr>
          <w:rFonts w:ascii="Times New Roman" w:cs="Times New Roman" w:eastAsia="Times New Roman" w:hAnsi="Times New Roman"/>
          <w:sz w:val="20"/>
          <w:szCs w:val="20"/>
          <w:color w:val="010000"/>
        </w:rPr>
      </w:pPr>
    </w:p>
    <w:p>
      <w:pPr>
        <w:jc w:val="both"/>
        <w:ind w:firstLine="1304"/>
        <w:spacing w:after="0" w:line="252" w:lineRule="auto"/>
        <w:tabs>
          <w:tab w:leader="none" w:pos="1724" w:val="left"/>
        </w:tabs>
        <w:numPr>
          <w:ilvl w:val="0"/>
          <w:numId w:val="9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If VAT is or becomes chargeable on any supply made by any Credit Party (the “</w:t>
      </w:r>
      <w:r>
        <w:rPr>
          <w:rFonts w:ascii="Times New Roman" w:cs="Times New Roman" w:eastAsia="Times New Roman" w:hAnsi="Times New Roman"/>
          <w:sz w:val="20"/>
          <w:szCs w:val="20"/>
          <w:u w:val="single" w:color="auto"/>
          <w:color w:val="auto"/>
        </w:rPr>
        <w:t>Supplier</w:t>
      </w:r>
      <w:r>
        <w:rPr>
          <w:rFonts w:ascii="Times New Roman" w:cs="Times New Roman" w:eastAsia="Times New Roman" w:hAnsi="Times New Roman"/>
          <w:sz w:val="20"/>
          <w:szCs w:val="20"/>
          <w:color w:val="auto"/>
        </w:rPr>
        <w:t>”) to any other Credit Party (the “</w:t>
      </w:r>
      <w:r>
        <w:rPr>
          <w:rFonts w:ascii="Times New Roman" w:cs="Times New Roman" w:eastAsia="Times New Roman" w:hAnsi="Times New Roman"/>
          <w:sz w:val="20"/>
          <w:szCs w:val="20"/>
          <w:u w:val="single" w:color="auto"/>
          <w:color w:val="auto"/>
        </w:rPr>
        <w:t>Recipient</w:t>
      </w:r>
      <w:r>
        <w:rPr>
          <w:rFonts w:ascii="Times New Roman" w:cs="Times New Roman" w:eastAsia="Times New Roman" w:hAnsi="Times New Roman"/>
          <w:sz w:val="20"/>
          <w:szCs w:val="20"/>
          <w:color w:val="auto"/>
        </w:rPr>
        <w:t>”) under a Finance Document, and any party other than the Recipient (the “</w:t>
      </w:r>
      <w:r>
        <w:rPr>
          <w:rFonts w:ascii="Times New Roman" w:cs="Times New Roman" w:eastAsia="Times New Roman" w:hAnsi="Times New Roman"/>
          <w:sz w:val="20"/>
          <w:szCs w:val="20"/>
          <w:u w:val="single" w:color="auto"/>
          <w:color w:val="auto"/>
        </w:rPr>
        <w:t>Subject Party</w:t>
      </w:r>
      <w:r>
        <w:rPr>
          <w:rFonts w:ascii="Times New Roman" w:cs="Times New Roman" w:eastAsia="Times New Roman" w:hAnsi="Times New Roman"/>
          <w:sz w:val="20"/>
          <w:szCs w:val="20"/>
          <w:color w:val="auto"/>
        </w:rPr>
        <w:t>”) is required by the terms of any Loan Document to pay an amount equal to the consideration for such supply to the Supplier (rather than being required to reimburse or indemnify the Recipient in respect of that consideration): (A) (where the Supplier is the person required to account to the relevant tax authority for the VAT), such party shall also pay to the Supplier (in addition to and at the same time as paying such amount) an amount equal to the amount of such VAT. The Recipient will promptly pay to the Subject Party an amount equal to any credit or repayment obtained by the Recipient from the relevant tax authority which the Recipient reasonably determines is in respect of such VAT; and (B) (where the Recipient is the person required to account to the relevant tax authority for the VAT) the Subject Party must promptly, following demand from the Recipient, pay to the Recipient an amount equal to the VAT chargeable on that supply but only to the extent that the Recipient reasonably determines that it is not entitled to credit or repayment from the relevant tax authority in respect of that VAT.</w:t>
      </w:r>
    </w:p>
    <w:p>
      <w:pPr>
        <w:spacing w:after="0" w:line="163" w:lineRule="exact"/>
        <w:rPr>
          <w:rFonts w:ascii="Times New Roman" w:cs="Times New Roman" w:eastAsia="Times New Roman" w:hAnsi="Times New Roman"/>
          <w:sz w:val="20"/>
          <w:szCs w:val="20"/>
          <w:color w:val="010000"/>
        </w:rPr>
      </w:pPr>
    </w:p>
    <w:p>
      <w:pPr>
        <w:jc w:val="both"/>
        <w:ind w:firstLine="1304"/>
        <w:spacing w:after="0" w:line="258" w:lineRule="auto"/>
        <w:tabs>
          <w:tab w:leader="none" w:pos="1778" w:val="left"/>
        </w:tabs>
        <w:numPr>
          <w:ilvl w:val="0"/>
          <w:numId w:val="9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Where a Loan Document requires any party to reimburse or indemnify a Credit Party for any costs or expenses, that party shall also at the same time pay and indemnify the Credit Party against all VAT incurred by the Credit Party in respect of the costs or expenses to the extent that the Credit Party reasonably determines that neither it nor any other member of any group of which it is a member for VAT purposes is entitled to credit or repayment from the relevant tax authority in respect of the VAT.</w:t>
      </w:r>
    </w:p>
    <w:p>
      <w:pPr>
        <w:spacing w:after="0" w:line="158" w:lineRule="exact"/>
        <w:rPr>
          <w:rFonts w:ascii="Times New Roman" w:cs="Times New Roman" w:eastAsia="Times New Roman" w:hAnsi="Times New Roman"/>
          <w:sz w:val="20"/>
          <w:szCs w:val="20"/>
          <w:color w:val="010000"/>
        </w:rPr>
      </w:pPr>
    </w:p>
    <w:p>
      <w:pPr>
        <w:jc w:val="both"/>
        <w:ind w:firstLine="1304"/>
        <w:spacing w:after="0" w:line="261" w:lineRule="auto"/>
        <w:tabs>
          <w:tab w:leader="none" w:pos="1768" w:val="left"/>
        </w:tabs>
        <w:numPr>
          <w:ilvl w:val="0"/>
          <w:numId w:val="9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reference in this Section 2.18 to any party shall, at any time when such party is treated as a member of a group for VAT purposes, include (where appropriate and unless the context otherwise requires) a reference to the representative member of such group at such time (the term “representative member” to have the same meaning as in the Value Added Tax Act 1994).</w:t>
      </w:r>
    </w:p>
    <w:p>
      <w:pPr>
        <w:spacing w:after="0" w:line="154" w:lineRule="exact"/>
        <w:rPr>
          <w:rFonts w:ascii="Times New Roman" w:cs="Times New Roman" w:eastAsia="Times New Roman" w:hAnsi="Times New Roman"/>
          <w:sz w:val="20"/>
          <w:szCs w:val="20"/>
          <w:color w:val="010000"/>
        </w:rPr>
      </w:pPr>
    </w:p>
    <w:p>
      <w:pPr>
        <w:jc w:val="both"/>
        <w:ind w:firstLine="1304"/>
        <w:spacing w:after="0" w:line="261" w:lineRule="auto"/>
        <w:tabs>
          <w:tab w:leader="none" w:pos="1738" w:val="left"/>
        </w:tabs>
        <w:numPr>
          <w:ilvl w:val="0"/>
          <w:numId w:val="9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 relation to any supply by a Credit Party to another party under a Finance Document, if reasonably requested by such Credit Party, that party must promptly provide such Credit Party with details of that party’s VAT registration and such other information as is reasonably requested in connection with such Credit Party’s VAT reporting requirements in relation to such supply.</w:t>
      </w:r>
    </w:p>
    <w:p>
      <w:pPr>
        <w:spacing w:after="0" w:line="168" w:lineRule="exact"/>
        <w:rPr>
          <w:sz w:val="20"/>
          <w:szCs w:val="20"/>
          <w:color w:val="auto"/>
        </w:rPr>
      </w:pPr>
    </w:p>
    <w:p>
      <w:pPr>
        <w:ind w:left="1300"/>
        <w:spacing w:after="0"/>
        <w:tabs>
          <w:tab w:leader="none" w:pos="2760" w:val="left"/>
        </w:tabs>
        <w:rPr>
          <w:sz w:val="20"/>
          <w:szCs w:val="20"/>
          <w:color w:val="auto"/>
        </w:rPr>
      </w:pPr>
      <w:r>
        <w:rPr>
          <w:rFonts w:ascii="Times New Roman" w:cs="Times New Roman" w:eastAsia="Times New Roman" w:hAnsi="Times New Roman"/>
          <w:sz w:val="20"/>
          <w:szCs w:val="20"/>
          <w:color w:val="010000"/>
        </w:rPr>
        <w:t>SECTION 2.19.</w:t>
      </w:r>
      <w:r>
        <w:rPr>
          <w:sz w:val="20"/>
          <w:szCs w:val="20"/>
          <w:color w:val="auto"/>
        </w:rPr>
        <w:tab/>
      </w:r>
      <w:r>
        <w:rPr>
          <w:rFonts w:ascii="Times New Roman" w:cs="Times New Roman" w:eastAsia="Times New Roman" w:hAnsi="Times New Roman"/>
          <w:sz w:val="19"/>
          <w:szCs w:val="19"/>
          <w:u w:val="single" w:color="auto"/>
          <w:color w:val="auto"/>
        </w:rPr>
        <w:t>Payments Generally; Pro Rata Treatment; Sharing of Set-offs</w:t>
      </w:r>
      <w:r>
        <w:rPr>
          <w:rFonts w:ascii="Times New Roman" w:cs="Times New Roman" w:eastAsia="Times New Roman" w:hAnsi="Times New Roman"/>
          <w:sz w:val="19"/>
          <w:szCs w:val="19"/>
          <w:color w:val="auto"/>
        </w:rPr>
        <w:t>.</w:t>
      </w:r>
    </w:p>
    <w:p>
      <w:pPr>
        <w:spacing w:after="0" w:line="22" w:lineRule="exact"/>
        <w:rPr>
          <w:sz w:val="20"/>
          <w:szCs w:val="20"/>
          <w:color w:val="auto"/>
        </w:rPr>
      </w:pPr>
    </w:p>
    <w:p>
      <w:pPr>
        <w:jc w:val="both"/>
        <w:ind w:left="660" w:firstLine="644"/>
        <w:spacing w:after="0" w:line="249" w:lineRule="auto"/>
        <w:tabs>
          <w:tab w:leader="none" w:pos="1806" w:val="left"/>
        </w:tabs>
        <w:numPr>
          <w:ilvl w:val="0"/>
          <w:numId w:val="9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Borrower shall make each payment or prepayment required to be made by it hereunder (whether of principal, interest, fees or reimbursement of LC Disbursements, or of amounts payable under Section 2.15, 2.16, 2.17 or 2.18, or otherwise) prior to (i) in the case of payments denominated in Dollars, 12:00 noon, New York City time and (ii) in the case of payments denominated in a Foreign Currency, 12:00 noon, at the Applicable Time, in the city of the Administrative Agent’s Foreign Currency Payment Office for such currency, in each case on the date when due or the date fixed for any prepayment hereunder, in immediately available funds, without set-off, recoupment or counterclaim. Any amounts received after such time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77</w:t>
      </w:r>
    </w:p>
    <w:p>
      <w:pPr>
        <w:sectPr>
          <w:pgSz w:w="11900" w:h="16838" w:orient="portrait"/>
          <w:cols w:equalWidth="0" w:num="1">
            <w:col w:w="11240"/>
          </w:cols>
          <w:pgMar w:left="320" w:top="1413" w:right="339" w:bottom="1440" w:gutter="0" w:footer="0" w:header="0"/>
        </w:sectPr>
      </w:pPr>
    </w:p>
    <w:bookmarkStart w:id="86" w:name="page87"/>
    <w:bookmarkEnd w:id="86"/>
    <w:p>
      <w:pPr>
        <w:jc w:val="both"/>
        <w:spacing w:after="0" w:line="249" w:lineRule="auto"/>
        <w:rPr>
          <w:sz w:val="20"/>
          <w:szCs w:val="20"/>
          <w:color w:val="auto"/>
        </w:rPr>
      </w:pPr>
      <w:r>
        <w:rPr>
          <w:rFonts w:ascii="Times New Roman" w:cs="Times New Roman" w:eastAsia="Times New Roman" w:hAnsi="Times New Roman"/>
          <w:sz w:val="20"/>
          <w:szCs w:val="20"/>
          <w:color w:val="auto"/>
        </w:rPr>
        <w:t>any date may, in the discretion of the Administrative Agent, be deemed to have been received on the next succeeding Business Day for purposes of calculating interest thereon. All such payments shall be made (i) in the same currency in which the applicable Credit Event was made (or where such currency has been converted to euro, in euro) and (ii) to the Administrative Agent at its applicable office or offices as described in an Administrative Questionnaire provided by the Administrative Agent to the Company from time to time, except payments to be made directly to an Issuing Bank or the Swingline Lender as expressly provided herein and except that payments pursuant to Sections 2.15, 2.16, 2.17, 2.18 and 9.03 shall be made directly to the Persons entitled thereto. The Administrative Agent shall distribute any such payments denominated in the same currency received by it for the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 Notwithstanding the foregoing provisions of this Section, if, after the making of any Credit Event in any Foreign Currency, currency control or exchange regulations are imposed in the country which issues such currency with the result that the type of currency in which the Credit Event was made (the “</w:t>
      </w:r>
      <w:r>
        <w:rPr>
          <w:rFonts w:ascii="Times New Roman" w:cs="Times New Roman" w:eastAsia="Times New Roman" w:hAnsi="Times New Roman"/>
          <w:sz w:val="20"/>
          <w:szCs w:val="20"/>
          <w:u w:val="single" w:color="auto"/>
          <w:color w:val="auto"/>
        </w:rPr>
        <w:t>Original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Currency</w:t>
      </w:r>
      <w:r>
        <w:rPr>
          <w:rFonts w:ascii="Times New Roman" w:cs="Times New Roman" w:eastAsia="Times New Roman" w:hAnsi="Times New Roman"/>
          <w:sz w:val="20"/>
          <w:szCs w:val="20"/>
          <w:color w:val="auto"/>
        </w:rPr>
        <w:t>”) no longer exists or any Borrower is not able to make payment to the Administrative Agent for the account of the Lenders in such Original Currency, then all payments to be made by such Borrower hereunder in such currency shall instead be made when due in Dollars in an amount equal to the Dollar Amount (as of the date of repayment) of such payment due, it being the intention of the parties hereto that the Borrowers take all risks of the imposition of any such currency control or exchange regulations. If, for any reason, any Borrower is prohibited by any law from making any required payment hereunder in a Foreign Currency, such Borrower shall make such payment in Dollars in the Dollar Amount of the Foreign Currency payment amount.</w:t>
      </w:r>
    </w:p>
    <w:p>
      <w:pPr>
        <w:spacing w:after="0" w:line="174" w:lineRule="exact"/>
        <w:rPr>
          <w:sz w:val="20"/>
          <w:szCs w:val="20"/>
          <w:color w:val="auto"/>
        </w:rPr>
      </w:pPr>
    </w:p>
    <w:p>
      <w:pPr>
        <w:jc w:val="both"/>
        <w:ind w:firstLine="644"/>
        <w:spacing w:after="0" w:line="253" w:lineRule="auto"/>
        <w:tabs>
          <w:tab w:leader="none" w:pos="1117" w:val="left"/>
        </w:tabs>
        <w:numPr>
          <w:ilvl w:val="0"/>
          <w:numId w:val="9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If at any time insufficient funds are received by and available to the Administrative Agent to pay fully all amounts of principal, unreimbursed LC Disbursements, interest and fees then due hereunder with respect to a Borrower, such funds shall be applied (i) first, towards payment of interest and fees then due hereunder, ratably among the parties entitled thereto in accordance with the amounts of interest and fees then due to such parties by such Borrower, and (ii) second, towards payment of principal and unreimbursed LC Disbursements then due hereunder, ratably among the parties entitled thereto in accordance with the amounts of principal and unreimbursed LC Disbursements then due to such parties by such Borrower.</w:t>
      </w:r>
    </w:p>
    <w:p>
      <w:pPr>
        <w:spacing w:after="0" w:line="178" w:lineRule="exact"/>
        <w:rPr>
          <w:rFonts w:ascii="Times New Roman" w:cs="Times New Roman" w:eastAsia="Times New Roman" w:hAnsi="Times New Roman"/>
          <w:sz w:val="20"/>
          <w:szCs w:val="20"/>
          <w:color w:val="010000"/>
        </w:rPr>
      </w:pPr>
    </w:p>
    <w:p>
      <w:pPr>
        <w:jc w:val="both"/>
        <w:ind w:firstLine="644"/>
        <w:spacing w:after="0" w:line="250" w:lineRule="auto"/>
        <w:tabs>
          <w:tab w:leader="none" w:pos="1146" w:val="left"/>
        </w:tabs>
        <w:numPr>
          <w:ilvl w:val="0"/>
          <w:numId w:val="9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At the election of the Administrative Agent, all payments of principal, interest, LC Disbursements, fees, premiums, reimbursable expenses (including, without limitation, all reimbursement for fees and expenses pursuant to Section 9.03), and other sums payable under the Loan Documents, may be paid from the proceeds of Borrowings made hereunder to a Borrower whether made following a request by such Borrower (or the Company on behalf of a Borrower) pursuant to Section 2.03 or a deemed request as provided in this Section or may be deducted from any deposit account of such Borrower maintained with the Administrative Agent. Each Borrower hereby irrevocably authorizes (i) the Administrative Agent to make a Borrowing for the purpose of paying each payment of principal, interest and fees as it becomes due hereunder or any other amount due under the Loan Documents and agrees that all such amounts charged shall constitute Loans and that all such Borrowings shall be deemed to have been requested pursuant to Section 2.03 and (ii) the Administrative Agent to charge any deposit account of the relevant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color w:val="auto"/>
        </w:rPr>
        <w:t>78</w:t>
      </w:r>
    </w:p>
    <w:p>
      <w:pPr>
        <w:sectPr>
          <w:pgSz w:w="11900" w:h="16838" w:orient="portrait"/>
          <w:cols w:equalWidth="0" w:num="1">
            <w:col w:w="10580"/>
          </w:cols>
          <w:pgMar w:left="980" w:top="1413" w:right="339" w:bottom="1440" w:gutter="0" w:footer="0" w:header="0"/>
        </w:sectPr>
      </w:pPr>
    </w:p>
    <w:bookmarkStart w:id="87" w:name="page88"/>
    <w:bookmarkEnd w:id="87"/>
    <w:p>
      <w:pPr>
        <w:spacing w:after="0" w:line="283" w:lineRule="auto"/>
        <w:rPr>
          <w:sz w:val="20"/>
          <w:szCs w:val="20"/>
          <w:color w:val="auto"/>
        </w:rPr>
      </w:pPr>
      <w:r>
        <w:rPr>
          <w:rFonts w:ascii="Times New Roman" w:cs="Times New Roman" w:eastAsia="Times New Roman" w:hAnsi="Times New Roman"/>
          <w:sz w:val="20"/>
          <w:szCs w:val="20"/>
          <w:color w:val="auto"/>
        </w:rPr>
        <w:t>Borrower maintained with the Administrative Agent for each payment of principal, interest and fees as it becomes due hereunder or any other amount due under the Loan Documents.</w:t>
      </w:r>
    </w:p>
    <w:p>
      <w:pPr>
        <w:spacing w:after="0" w:line="133" w:lineRule="exact"/>
        <w:rPr>
          <w:sz w:val="20"/>
          <w:szCs w:val="20"/>
          <w:color w:val="auto"/>
        </w:rPr>
      </w:pPr>
    </w:p>
    <w:p>
      <w:pPr>
        <w:jc w:val="both"/>
        <w:ind w:firstLine="644"/>
        <w:spacing w:after="0" w:line="263" w:lineRule="auto"/>
        <w:tabs>
          <w:tab w:leader="none" w:pos="1117" w:val="left"/>
        </w:tabs>
        <w:numPr>
          <w:ilvl w:val="0"/>
          <w:numId w:val="9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If any Lender shall, by exercising any right of set-off or counterclaim or otherwise, obtain payment in respect of any principal of or interest on any of its Loans or participations in LC Disbursements resulting in such Lender receiving payment of a greater proportion of the aggregate amount of its Loans and participations in LC Disbursements and accrued interest thereon than the proportion received by any other Lender with respect to a Borrower, then the Lender receiving such greater proportion with respect to such Borrower shall purchase (for cash at face value) participations in the Loans and participations in LC Disbursements of other Lenders to the extent necessary so that the benefit of all such payments shall be shared by the Lenders ratably in accordance with the aggregate amount of principal of and accrued interest on their respective Loans and participations in LC Disbursements with respect to such Borrower;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any Borrower pursuant to and in accordance with the express terms of this Agreement or any payment obtained by a Lender as consideration for the assignment of or sale of a participation in any of its Loans or participations in LC Disbursements to any assignee or participant, other than to the Company or any Subsidiary or Affiliate thereof (as to which the provisions of this paragraph shall apply). Each Borrower consents to the foregoing and agrees, to the extent it may effectively do so under applicable law, that any Lender acquiring a participation pursuant to the foregoing arrangements may exercise against such Borrower rights of set-off and counterclaim with respect to such participation as fully as if such Lender were a direct creditor of such Borrower in the amount of such participation.</w:t>
      </w:r>
    </w:p>
    <w:p>
      <w:pPr>
        <w:spacing w:after="0" w:line="165" w:lineRule="exact"/>
        <w:rPr>
          <w:rFonts w:ascii="Times New Roman" w:cs="Times New Roman" w:eastAsia="Times New Roman" w:hAnsi="Times New Roman"/>
          <w:sz w:val="19"/>
          <w:szCs w:val="19"/>
          <w:color w:val="010000"/>
        </w:rPr>
      </w:pPr>
    </w:p>
    <w:p>
      <w:pPr>
        <w:jc w:val="both"/>
        <w:ind w:firstLine="644"/>
        <w:spacing w:after="0" w:line="251" w:lineRule="auto"/>
        <w:tabs>
          <w:tab w:leader="none" w:pos="1092" w:val="left"/>
        </w:tabs>
        <w:numPr>
          <w:ilvl w:val="0"/>
          <w:numId w:val="9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Unless the Administrative Agent shall have received notice from the relevant Borrower prior to the date on which any payment is due to the Administrative Agent for the account of the Lenders or the Issuing Banks hereunder that such Borrower will not make such payment, the Administrative Agent may assume that such Borrower has made such payment on such date in accordance herewith and may, in reliance upon such assumption, distribute to the Lenders or the Issuing Banks, as the case may be, the amount due. In such event, if such Borrower has not in fact made such payment, then each of the Lenders or each of the Issuing Banks, as the case may be, severally agrees to repay to the Administrative Agent forthwith on demand the amount so distributed to such Lender or such Issuing Bank with interest thereon, for each day from and including the date such amount is distributed to it to but excluding the date of payment to the Administrative Agent, at the applicable Overnight Rate.</w:t>
      </w:r>
    </w:p>
    <w:p>
      <w:pPr>
        <w:spacing w:after="0" w:line="168" w:lineRule="exact"/>
        <w:rPr>
          <w:rFonts w:ascii="Times New Roman" w:cs="Times New Roman" w:eastAsia="Times New Roman" w:hAnsi="Times New Roman"/>
          <w:sz w:val="20"/>
          <w:szCs w:val="20"/>
          <w:color w:val="010000"/>
        </w:rPr>
      </w:pPr>
    </w:p>
    <w:p>
      <w:pPr>
        <w:jc w:val="both"/>
        <w:ind w:firstLine="644"/>
        <w:spacing w:after="0" w:line="253" w:lineRule="auto"/>
        <w:tabs>
          <w:tab w:leader="none" w:pos="1125" w:val="left"/>
        </w:tabs>
        <w:numPr>
          <w:ilvl w:val="0"/>
          <w:numId w:val="9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If any Lender shall fail to make any payment required to be made by it pursuant to Section 2.06(d) or (e), 2.07(b), 2.19(e) or 9.03(c), then the Administrative Agent may, in its discretion (notwithstanding any contrary provision hereof), (i) apply any amounts thereafter received by the Administrative Agent for the account of such Lender and for the benefit of the Administrative Agent or the Issuing Banks to satisfy such Lender’s obligations under such Sections until all such unsatisfied obligations are fully paid and/or (ii) hold any such amounts in a segregated account over which the Administrative Agent shall have exclusive control as cash collateral for, and application to, any future funding obligations of such Lender under such Sections; in the case of each of clauses (i) and (ii) above, in any order as determined by the Administrative Agent in its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color w:val="auto"/>
        </w:rPr>
        <w:t>79</w:t>
      </w:r>
    </w:p>
    <w:p>
      <w:pPr>
        <w:sectPr>
          <w:pgSz w:w="11900" w:h="16838" w:orient="portrait"/>
          <w:cols w:equalWidth="0" w:num="1">
            <w:col w:w="10580"/>
          </w:cols>
          <w:pgMar w:left="980" w:top="1413" w:right="339" w:bottom="1440" w:gutter="0" w:footer="0" w:header="0"/>
        </w:sectPr>
      </w:pPr>
    </w:p>
    <w:bookmarkStart w:id="88" w:name="page89"/>
    <w:bookmarkEnd w:id="88"/>
    <w:p>
      <w:pPr>
        <w:jc w:val="both"/>
        <w:ind w:firstLine="1296"/>
        <w:spacing w:after="0" w:line="250" w:lineRule="auto"/>
        <w:rPr>
          <w:sz w:val="20"/>
          <w:szCs w:val="20"/>
          <w:color w:val="auto"/>
        </w:rPr>
      </w:pPr>
      <w:r>
        <w:rPr>
          <w:rFonts w:ascii="Times New Roman" w:cs="Times New Roman" w:eastAsia="Times New Roman" w:hAnsi="Times New Roman"/>
          <w:sz w:val="20"/>
          <w:szCs w:val="20"/>
          <w:color w:val="010000"/>
        </w:rPr>
        <w:t xml:space="preserve">SECTION 2.20. </w:t>
      </w:r>
      <w:r>
        <w:rPr>
          <w:rFonts w:ascii="Times New Roman" w:cs="Times New Roman" w:eastAsia="Times New Roman" w:hAnsi="Times New Roman"/>
          <w:sz w:val="20"/>
          <w:szCs w:val="20"/>
          <w:u w:val="single" w:color="auto"/>
          <w:color w:val="000000"/>
        </w:rPr>
        <w:t>Mitigation Obligations; Replacement of Lenders</w:t>
      </w:r>
      <w:r>
        <w:rPr>
          <w:rFonts w:ascii="Times New Roman" w:cs="Times New Roman" w:eastAsia="Times New Roman" w:hAnsi="Times New Roman"/>
          <w:sz w:val="20"/>
          <w:szCs w:val="20"/>
          <w:color w:val="000000"/>
        </w:rPr>
        <w:t>. If any Lender requests compensation under Section 2.15,</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or if any Borrower is required to pay any Indemnified Taxes or additional amounts to any Lender or any Governmental Authority for the account of any Lender pursuant to Section 2.17 or 2.18,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Section 2.15, 2.17 or 2.18, as the case may be, in the future and (ii) would not subject such Lender to any unreimbursed cost or expense and would not otherwise be disadvantageous to such Lender. The Company hereby agrees to pay all reasonable costs and expenses incurred by any Lender in connection with any such designation or assignment.</w:t>
      </w:r>
    </w:p>
    <w:p>
      <w:pPr>
        <w:spacing w:after="0" w:line="2" w:lineRule="exact"/>
        <w:rPr>
          <w:sz w:val="20"/>
          <w:szCs w:val="20"/>
          <w:color w:val="auto"/>
        </w:rPr>
      </w:pPr>
    </w:p>
    <w:p>
      <w:pPr>
        <w:jc w:val="both"/>
        <w:ind w:firstLine="1304"/>
        <w:spacing w:after="0" w:line="259" w:lineRule="auto"/>
        <w:tabs>
          <w:tab w:leader="none" w:pos="1713" w:val="left"/>
        </w:tabs>
        <w:numPr>
          <w:ilvl w:val="1"/>
          <w:numId w:val="9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If (i) any Lender requests compensation under Section 2.15, (ii) any Borrower is required to pay any Indemnified Taxes or additional amounts to any Lender or any Governmental Authority for the account of any Lender pursuant to Section 2.17 or 2.18 or</w:t>
      </w:r>
    </w:p>
    <w:p>
      <w:pPr>
        <w:jc w:val="both"/>
        <w:ind w:firstLine="8"/>
        <w:spacing w:after="0" w:line="248" w:lineRule="auto"/>
        <w:tabs>
          <w:tab w:leader="none" w:pos="366"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Lender becomes a Defaulting Lender, then the Company may, at its sole expense and effort, upon notice to such Lender and the Administrative Agent, require such Lender to assign and delegate, without recourse (in accordance with and subject to the restrictions contained in Section 9.04), all its interests, rights (other than its existing rights to payments pursuant to Sections 2.15, 2.17 or 2.18) and obligations under the Loan Documents to an assignee that shall assume such obligations (which assignee may be another Lender, if a Lender accepts such assignment); provided that (i) the Company shall have received the prior written consent of the Administrative Agent (and if a Commitment is being assigned, the Issuing Banks), which consent shall not unreasonably be withheld, (ii) such Lender shall have received payment of an amount equal to the outstanding principal of its Loans and participations in LC Disbursements, accrued interest thereon, accrued fees and all other amounts payable to it hereunder, from the assignee (to the extent of such outstanding principal and accrued interest and fees) or the Company (in the case of all other amounts) and (iii) in the case of any such assignment resulting from a claim for compensation under Section 2.15 or payments required to be made pursuant to Section 2.17 or 2.18, such assignment will result in a reduction in such compensation or payments. A Lender shall not be required to make any such assignment and delegation if, prior thereto, as a result of a waiver by such Lender or otherwise, the circumstances entitling the Company to require such assignment and delegation cease to apply. Each party hereto agrees that (a) an assignment required pursuant to this paragraph may be effected pursuant to an Assignment and Assumption executed by the Company, the Administrative Agent and the assignee (or, to the extent applicable, an agreement incorporating an Assignment and Assumption by reference pursuant to an Approved Electronic Platform as to which the Administrative Agent and such parties are participants), and (b) the Lender required to make such assignment need not be a party thereto in order for such assignment to be effective and shall be deemed to have consented to and be bound by the terms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following the effectiveness of any such assignment, the other parties to such assignment agree to execute and deliver such documents necessary to evidence such assignment as reasonably requested by the applicable Lender, provided that any such documents shall be without recourse to or warranty by the parties thereto.</w:t>
      </w:r>
    </w:p>
    <w:p>
      <w:pPr>
        <w:spacing w:after="0" w:line="159" w:lineRule="exact"/>
        <w:rPr>
          <w:sz w:val="20"/>
          <w:szCs w:val="20"/>
          <w:color w:val="auto"/>
        </w:rPr>
      </w:pPr>
    </w:p>
    <w:p>
      <w:pPr>
        <w:ind w:left="1300"/>
        <w:spacing w:after="0"/>
        <w:tabs>
          <w:tab w:leader="none" w:pos="2780" w:val="left"/>
        </w:tabs>
        <w:rPr>
          <w:sz w:val="20"/>
          <w:szCs w:val="20"/>
          <w:color w:val="auto"/>
        </w:rPr>
      </w:pPr>
      <w:r>
        <w:rPr>
          <w:rFonts w:ascii="Times New Roman" w:cs="Times New Roman" w:eastAsia="Times New Roman" w:hAnsi="Times New Roman"/>
          <w:sz w:val="20"/>
          <w:szCs w:val="20"/>
          <w:color w:val="010000"/>
        </w:rPr>
        <w:t>SECTION 2.21.</w:t>
      </w:r>
      <w:r>
        <w:rPr>
          <w:sz w:val="20"/>
          <w:szCs w:val="20"/>
          <w:color w:val="auto"/>
        </w:rPr>
        <w:tab/>
      </w:r>
      <w:r>
        <w:rPr>
          <w:rFonts w:ascii="Times New Roman" w:cs="Times New Roman" w:eastAsia="Times New Roman" w:hAnsi="Times New Roman"/>
          <w:sz w:val="20"/>
          <w:szCs w:val="20"/>
          <w:u w:val="single" w:color="auto"/>
          <w:color w:val="auto"/>
        </w:rPr>
        <w:t>Expansion Option</w:t>
      </w:r>
      <w:r>
        <w:rPr>
          <w:rFonts w:ascii="Times New Roman" w:cs="Times New Roman" w:eastAsia="Times New Roman" w:hAnsi="Times New Roman"/>
          <w:sz w:val="20"/>
          <w:szCs w:val="20"/>
          <w:color w:val="auto"/>
        </w:rPr>
        <w:t>. The Company may from time to time elect to increase the Commitments or enter into</w:t>
      </w:r>
    </w:p>
    <w:p>
      <w:pPr>
        <w:spacing w:after="0" w:line="8"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9"/>
          <w:szCs w:val="19"/>
          <w:color w:val="auto"/>
        </w:rPr>
        <w:t>one or more tranches of term loans (each an “</w:t>
      </w:r>
      <w:r>
        <w:rPr>
          <w:rFonts w:ascii="Times New Roman" w:cs="Times New Roman" w:eastAsia="Times New Roman" w:hAnsi="Times New Roman"/>
          <w:sz w:val="19"/>
          <w:szCs w:val="19"/>
          <w:u w:val="single" w:color="auto"/>
          <w:color w:val="auto"/>
        </w:rPr>
        <w:t>Incremental Term Loan</w:t>
      </w:r>
      <w:r>
        <w:rPr>
          <w:rFonts w:ascii="Times New Roman" w:cs="Times New Roman" w:eastAsia="Times New Roman" w:hAnsi="Times New Roman"/>
          <w:sz w:val="19"/>
          <w:szCs w:val="19"/>
          <w:color w:val="auto"/>
        </w:rPr>
        <w:t>”), in each case in minimum increments of $25,000,000 so long as, after giving effect thereto, the aggregate amount of such increases and all such Incremental Term Loans does not exceed $1,000,000,000. The</w:t>
      </w:r>
    </w:p>
    <w:p>
      <w:pPr>
        <w:spacing w:after="0" w:line="2"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9"/>
          <w:szCs w:val="19"/>
          <w:color w:val="auto"/>
        </w:rPr>
        <w:t>Company may arrange for any such increase or tranche to be provided by one or more Lenders (each Lender so agreeing to an increase in its Commitment, or to participate in such Incremental Term Loans, an “</w:t>
      </w:r>
      <w:r>
        <w:rPr>
          <w:rFonts w:ascii="Times New Roman" w:cs="Times New Roman" w:eastAsia="Times New Roman" w:hAnsi="Times New Roman"/>
          <w:sz w:val="19"/>
          <w:szCs w:val="19"/>
          <w:u w:val="single" w:color="auto"/>
          <w:color w:val="auto"/>
        </w:rPr>
        <w:t>Increasing Lender</w:t>
      </w:r>
      <w:r>
        <w:rPr>
          <w:rFonts w:ascii="Times New Roman" w:cs="Times New Roman" w:eastAsia="Times New Roman" w:hAnsi="Times New Roman"/>
          <w:sz w:val="19"/>
          <w:szCs w:val="19"/>
          <w:color w:val="auto"/>
        </w:rPr>
        <w:t>”), or by one or more new banks, financial institutions or other entities (each such new bank, financial institution or other entity, an “</w:t>
      </w:r>
      <w:r>
        <w:rPr>
          <w:rFonts w:ascii="Times New Roman" w:cs="Times New Roman" w:eastAsia="Times New Roman" w:hAnsi="Times New Roman"/>
          <w:sz w:val="19"/>
          <w:szCs w:val="19"/>
          <w:u w:val="single" w:color="auto"/>
          <w:color w:val="auto"/>
        </w:rPr>
        <w:t>Augmenting Lender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Ineligible Institution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may be an Augmenting Lender), which agree to increase their</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80</w:t>
      </w:r>
    </w:p>
    <w:p>
      <w:pPr>
        <w:sectPr>
          <w:pgSz w:w="11900" w:h="16838" w:orient="portrait"/>
          <w:cols w:equalWidth="0" w:num="1">
            <w:col w:w="11240"/>
          </w:cols>
          <w:pgMar w:left="320" w:top="1413"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20"/>
          <w:szCs w:val="20"/>
          <w:color w:val="auto"/>
        </w:rPr>
        <w:t xml:space="preserve">existing Commitments, or to participate in such Incremental Term Loans, or provide new Commitments, as the case may be;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w:t>
      </w:r>
    </w:p>
    <w:p>
      <w:pPr>
        <w:jc w:val="both"/>
        <w:ind w:firstLine="8"/>
        <w:spacing w:after="0"/>
        <w:tabs>
          <w:tab w:leader="none" w:pos="256" w:val="left"/>
        </w:tabs>
        <w:numPr>
          <w:ilvl w:val="0"/>
          <w:numId w:val="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each Augmenting Lender, shall be subject to the approval of the Company and the Administrative Agent and (ii) (x) in the case of an Increasing Lender, the Company and such Increasing Lender execute an agreement substantially in the form of </w:t>
      </w:r>
      <w:r>
        <w:rPr>
          <w:rFonts w:ascii="Times New Roman" w:cs="Times New Roman" w:eastAsia="Times New Roman" w:hAnsi="Times New Roman"/>
          <w:sz w:val="19"/>
          <w:szCs w:val="19"/>
          <w:u w:val="single" w:color="auto"/>
          <w:color w:val="auto"/>
        </w:rPr>
        <w:t>Exhibit C</w:t>
      </w:r>
      <w:r>
        <w:rPr>
          <w:rFonts w:ascii="Times New Roman" w:cs="Times New Roman" w:eastAsia="Times New Roman" w:hAnsi="Times New Roman"/>
          <w:sz w:val="19"/>
          <w:szCs w:val="19"/>
          <w:color w:val="auto"/>
        </w:rPr>
        <w:t xml:space="preserve"> hereto, and (y) in the case of an Augmenting Lender, the Company and such Augmenting Lender execute an agreement substantially in the form of </w:t>
      </w:r>
      <w:r>
        <w:rPr>
          <w:rFonts w:ascii="Times New Roman" w:cs="Times New Roman" w:eastAsia="Times New Roman" w:hAnsi="Times New Roman"/>
          <w:sz w:val="19"/>
          <w:szCs w:val="19"/>
          <w:u w:val="single" w:color="auto"/>
          <w:color w:val="auto"/>
        </w:rPr>
        <w:t>Exhibit D</w:t>
      </w:r>
      <w:r>
        <w:rPr>
          <w:rFonts w:ascii="Times New Roman" w:cs="Times New Roman" w:eastAsia="Times New Roman" w:hAnsi="Times New Roman"/>
          <w:sz w:val="19"/>
          <w:szCs w:val="19"/>
          <w:color w:val="auto"/>
        </w:rPr>
        <w:t xml:space="preserve"> hereto. No consent of any Lender (other than the Lenders participating in the increase or any Incremental Term Loan) shall be required for any increase in Commitments or Incremental Term Loan pursuant to this Section 2.21. Increases and new Commitments and Incremental Term Loans created pursuant to this Section 2.21 shall become effective on the date agreed by the Company, the Administrative Agent and the relevant Increasing Lenders or Augmenting Lenders, and the Administrative Agent shall notify each Lender thereof. Notwithstanding the foregoing, no increase in the Commitments (or in the Commitment of any Lender) or tranche of Incremental Term Loans shall become effective under this paragraph unless, (i) on the proposed date of the effectiveness of such increase or Incremental Term Loans, (A) the conditions set forth in paragraphs (a) and (b) of Section 4.02 shall be satisfied or waived by the Required Lenders and the Administrative Agent shall have received a certificate to that effect dated such date and executed by a Financial Officer of the Company and (B) the Company shall be in compliance (on a Pro Forma Basis) with the covenants contained in Section 6.07 and (ii) the Administrative Agent shall have received documents consistent with those delivered on the Restatement Effective Date as to the corporate power and authority of the Borrowers to borrow hereunder after giving effect to such increase or Incremental Term Loan. On the effective date of any increase in the Commitments or any Incremental Term Loans being made, (i) each relevant Increasing Lender and Augmenting Lender shall make available to the Administrative Agent such amounts in immediately available funds as the Administrative Agent shall determine, for the benefit of the other Lenders, as being required in order to cause, after giving effect to such increase and the use of such amounts to make payments to such other Lenders, each Lender’s portion of the outstanding Revolving Loans of all the Lenders to equal its Applicable Percentage of such outstanding Revolving Loans, and (ii) the Borrowers shall be deemed to have repaid and reborrowed all outstanding Revolving Loans as of the date of any increase in the Commitments (with such reborrowing to consist of the Types of Revolving Loans, with related Interest Periods if applicable, specified in a notice delivered by the applicable Borrower, or the Company on behalf of the applicable Borrower, in accordance with the requirements of Section 2.03). The deemed payments made pursuant to clause (ii) of the immediately preceding sentence shall be accompanied by payment of all accrued interest on the amount prepaid and, in respect of each Term Benchmark Loan and each RFR Loan, as applicable, shall be subject to indemnification by the Borrowers pursuant to the provisions of Section 2.16 if the deemed payment occurs other than on the last day of the related Interest Periods or (in the case of RFR Loans) on the next Interest Payment Date applicable thereto. The Incremental Term Loans (a) shall rank pari passu in right of payment with the Revolving Loans, (b) shall not mature earlier than the Maturity Date (but may have amortization prior to such date) and (c) shall be treated substantially the same as (and in any event no more favorably than) the Revolving Loans;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the terms and conditions applicable to any tranche of Incremental Term Loans maturing after the Maturity Date may provide for material additional or different financial or other covenants or prepayment requirements applicable only during periods after the Maturity Date and (ii) the Incremental Term Loans may be priced differently than the Revolving Loans. Incremental Term Loans may be made hereunder pursuant to an amendment or restatement (an “</w:t>
      </w:r>
      <w:r>
        <w:rPr>
          <w:rFonts w:ascii="Times New Roman" w:cs="Times New Roman" w:eastAsia="Times New Roman" w:hAnsi="Times New Roman"/>
          <w:sz w:val="19"/>
          <w:szCs w:val="19"/>
          <w:u w:val="single" w:color="auto"/>
          <w:color w:val="auto"/>
        </w:rPr>
        <w:t>Incremental Term Loan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Amendment</w:t>
      </w:r>
      <w:r>
        <w:rPr>
          <w:rFonts w:ascii="Times New Roman" w:cs="Times New Roman" w:eastAsia="Times New Roman" w:hAnsi="Times New Roman"/>
          <w:sz w:val="19"/>
          <w:szCs w:val="19"/>
          <w:color w:val="auto"/>
        </w:rPr>
        <w:t>”) of this Agreement and, as appropriate, the other Loan Documents, executed by the Borrowers, each Increasing Lender participating in such tranche, each Augmenting Lender participating in such tranche, if any, and the Administrative Agent. The Incremental Term Loan Amendment may, without the consent of any other Lenders, effect such amendments to this Agreement and the other Loan Documents as may be necessary or appropriate, in the reasonable opinion of the Administrative Agent, to effect the provisions of this Section 2.21. Nothing contained in this Section 2.21 shall constitute, or otherwise be deemed to be, a commitment on the part of any Lender to increase its Commitment hereunder, or provide Incremental Term Loans, at any time.</w:t>
      </w:r>
    </w:p>
    <w:p>
      <w:pPr>
        <w:spacing w:after="0" w:line="61" w:lineRule="exact"/>
        <w:rPr>
          <w:rFonts w:ascii="Times New Roman" w:cs="Times New Roman" w:eastAsia="Times New Roman" w:hAnsi="Times New Roman"/>
          <w:sz w:val="19"/>
          <w:szCs w:val="19"/>
          <w:color w:val="auto"/>
        </w:rPr>
      </w:pPr>
    </w:p>
    <w:p>
      <w:pPr>
        <w:ind w:left="130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010000"/>
        </w:rPr>
        <w:t xml:space="preserve">SECTION 2.22.  </w:t>
      </w:r>
      <w:r>
        <w:rPr>
          <w:rFonts w:ascii="Times New Roman" w:cs="Times New Roman" w:eastAsia="Times New Roman" w:hAnsi="Times New Roman"/>
          <w:sz w:val="20"/>
          <w:szCs w:val="20"/>
          <w:u w:val="single" w:color="auto"/>
          <w:color w:val="000000"/>
        </w:rPr>
        <w:t>Extension of Maturity Date</w:t>
      </w:r>
      <w:r>
        <w:rPr>
          <w:rFonts w:ascii="Times New Roman" w:cs="Times New Roman" w:eastAsia="Times New Roman" w:hAnsi="Times New Roman"/>
          <w:sz w:val="20"/>
          <w:szCs w:val="20"/>
          <w:color w:val="000000"/>
        </w:rPr>
        <w:t>.</w:t>
      </w:r>
    </w:p>
    <w:p>
      <w:pPr>
        <w:ind w:left="1860" w:hanging="556"/>
        <w:spacing w:after="0"/>
        <w:tabs>
          <w:tab w:leader="none" w:pos="1860" w:val="left"/>
        </w:tabs>
        <w:numPr>
          <w:ilvl w:val="1"/>
          <w:numId w:val="9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Company may, by delivering an Extension Request to the Administrative Agent (who shall promptly deliver a</w:t>
      </w:r>
    </w:p>
    <w:p>
      <w:pPr>
        <w:spacing w:after="0" w:line="6" w:lineRule="exact"/>
        <w:rPr>
          <w:sz w:val="20"/>
          <w:szCs w:val="20"/>
          <w:color w:val="auto"/>
        </w:rPr>
      </w:pPr>
    </w:p>
    <w:p>
      <w:pPr>
        <w:ind w:left="80"/>
        <w:spacing w:after="0" w:line="267" w:lineRule="auto"/>
        <w:rPr>
          <w:sz w:val="20"/>
          <w:szCs w:val="20"/>
          <w:color w:val="auto"/>
        </w:rPr>
      </w:pPr>
      <w:r>
        <w:rPr>
          <w:rFonts w:ascii="Times New Roman" w:cs="Times New Roman" w:eastAsia="Times New Roman" w:hAnsi="Times New Roman"/>
          <w:sz w:val="20"/>
          <w:szCs w:val="20"/>
          <w:color w:val="auto"/>
        </w:rPr>
        <w:t>copy to each of the Lenders), not less than 60 days in advance of the Maturity Date in effect at such time (the “</w:t>
      </w:r>
      <w:r>
        <w:rPr>
          <w:rFonts w:ascii="Times New Roman" w:cs="Times New Roman" w:eastAsia="Times New Roman" w:hAnsi="Times New Roman"/>
          <w:sz w:val="20"/>
          <w:szCs w:val="20"/>
          <w:u w:val="single" w:color="auto"/>
          <w:color w:val="auto"/>
        </w:rPr>
        <w:t>Existing Maturity Date</w:t>
      </w:r>
      <w:r>
        <w:rPr>
          <w:rFonts w:ascii="Times New Roman" w:cs="Times New Roman" w:eastAsia="Times New Roman" w:hAnsi="Times New Roman"/>
          <w:sz w:val="20"/>
          <w:szCs w:val="20"/>
          <w:color w:val="auto"/>
        </w:rPr>
        <w:t>”), request that the Lenders extend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81</w:t>
      </w:r>
    </w:p>
    <w:p>
      <w:pPr>
        <w:sectPr>
          <w:pgSz w:w="11900" w:h="16838" w:orient="portrait"/>
          <w:cols w:equalWidth="0" w:num="1">
            <w:col w:w="11240"/>
          </w:cols>
          <w:pgMar w:left="320" w:top="1394" w:right="339" w:bottom="1440" w:gutter="0" w:footer="0" w:header="0"/>
        </w:sectPr>
      </w:pPr>
    </w:p>
    <w:bookmarkStart w:id="90" w:name="page91"/>
    <w:bookmarkEnd w:id="90"/>
    <w:p>
      <w:pPr>
        <w:jc w:val="both"/>
        <w:ind w:left="80"/>
        <w:spacing w:after="0" w:line="252" w:lineRule="auto"/>
        <w:rPr>
          <w:sz w:val="20"/>
          <w:szCs w:val="20"/>
          <w:color w:val="auto"/>
        </w:rPr>
      </w:pPr>
      <w:r>
        <w:rPr>
          <w:rFonts w:ascii="Times New Roman" w:cs="Times New Roman" w:eastAsia="Times New Roman" w:hAnsi="Times New Roman"/>
          <w:sz w:val="20"/>
          <w:szCs w:val="20"/>
          <w:color w:val="auto"/>
        </w:rPr>
        <w:t>Existing Maturity Date to the first anniversary of such Existing Maturity Date. Each Lender, acting in its sole discretion, shall, by written notice to the Administrative Agent given not later than the date that is the 20th day after the date of the Extension Request, or if such date is not a Business Day, the immediately following Business Day (the “</w:t>
      </w:r>
      <w:r>
        <w:rPr>
          <w:rFonts w:ascii="Times New Roman" w:cs="Times New Roman" w:eastAsia="Times New Roman" w:hAnsi="Times New Roman"/>
          <w:sz w:val="20"/>
          <w:szCs w:val="20"/>
          <w:u w:val="single" w:color="auto"/>
          <w:color w:val="auto"/>
        </w:rPr>
        <w:t>Response Date</w:t>
      </w:r>
      <w:r>
        <w:rPr>
          <w:rFonts w:ascii="Times New Roman" w:cs="Times New Roman" w:eastAsia="Times New Roman" w:hAnsi="Times New Roman"/>
          <w:sz w:val="20"/>
          <w:szCs w:val="20"/>
          <w:color w:val="auto"/>
        </w:rPr>
        <w:t>”), advise the Administrative Agent in writing whether or not such Lender agrees to the requested extension. Each Lender that advises the Administrative Agent that it will not extend the Existing Maturity Date is referred to herein as a “</w:t>
      </w:r>
      <w:r>
        <w:rPr>
          <w:rFonts w:ascii="Times New Roman" w:cs="Times New Roman" w:eastAsia="Times New Roman" w:hAnsi="Times New Roman"/>
          <w:sz w:val="20"/>
          <w:szCs w:val="20"/>
          <w:u w:val="single" w:color="auto"/>
          <w:color w:val="auto"/>
        </w:rPr>
        <w:t>Non-Extending Lender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u w:val="single" w:color="auto"/>
          <w:color w:val="auto"/>
        </w:rPr>
        <w:t>provided</w:t>
      </w:r>
      <w:r>
        <w:rPr>
          <w:rFonts w:ascii="Times New Roman" w:cs="Times New Roman" w:eastAsia="Times New Roman" w:hAnsi="Times New Roman"/>
          <w:sz w:val="20"/>
          <w:szCs w:val="20"/>
          <w:color w:val="auto"/>
        </w:rPr>
        <w:t>, that any Lender that does not advise the Administrative Agent of its consent to such requested extension by the Response Date and any Lender that is a Defaulting Lender on the Response Date shall be deemed to be a Non-Extending Lender. The Administrative Agent shall notify the Company, in writing, of the Lenders’ elections promptly following the Response Date. The election of any Lender to agree to such an extension shall not obligate any other Lender to so agree. The Maturity Date may be extended no more than two (2) times pursuant to this Section 2.22.</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010000"/>
        </w:rPr>
        <w:t>(b)</w:t>
      </w:r>
    </w:p>
    <w:p>
      <w:pPr>
        <w:spacing w:after="0" w:line="202" w:lineRule="exact"/>
        <w:rPr>
          <w:sz w:val="20"/>
          <w:szCs w:val="20"/>
          <w:color w:val="auto"/>
        </w:rPr>
      </w:pPr>
    </w:p>
    <w:p>
      <w:pPr>
        <w:jc w:val="both"/>
        <w:ind w:left="1300" w:firstLine="652"/>
        <w:spacing w:after="0" w:line="258" w:lineRule="auto"/>
        <w:tabs>
          <w:tab w:leader="none" w:pos="2346" w:val="left"/>
        </w:tabs>
        <w:numPr>
          <w:ilvl w:val="1"/>
          <w:numId w:val="9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If, by the Response Date, Lenders holding Commitments that aggregate 50% or more of the total Commitments shall constitute Non-Extending Lenders, then the Existing Maturity Date shall not be extended and the outstanding principal balance of all Loans and other amounts payable hereunder shall be payable, and the Commitments shall terminate, on the Existing Maturity Date in effect prior to such extension.</w:t>
      </w:r>
    </w:p>
    <w:p>
      <w:pPr>
        <w:spacing w:after="0" w:line="185" w:lineRule="exact"/>
        <w:rPr>
          <w:rFonts w:ascii="Times New Roman" w:cs="Times New Roman" w:eastAsia="Times New Roman" w:hAnsi="Times New Roman"/>
          <w:sz w:val="20"/>
          <w:szCs w:val="20"/>
          <w:color w:val="010000"/>
        </w:rPr>
      </w:pPr>
    </w:p>
    <w:p>
      <w:pPr>
        <w:jc w:val="both"/>
        <w:ind w:left="1300" w:firstLine="652"/>
        <w:spacing w:after="0" w:line="250" w:lineRule="auto"/>
        <w:tabs>
          <w:tab w:leader="none" w:pos="2387" w:val="left"/>
        </w:tabs>
        <w:numPr>
          <w:ilvl w:val="1"/>
          <w:numId w:val="9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If (and only if), (A) by the Response Date, Lenders holding Commitments that aggregate more than 50% of the total Commitments shall have agreed to extend the Existing Maturity Date (each such consenting Lender, an “</w:t>
      </w:r>
      <w:r>
        <w:rPr>
          <w:rFonts w:ascii="Times New Roman" w:cs="Times New Roman" w:eastAsia="Times New Roman" w:hAnsi="Times New Roman"/>
          <w:sz w:val="20"/>
          <w:szCs w:val="20"/>
          <w:u w:val="single" w:color="auto"/>
          <w:color w:val="auto"/>
        </w:rPr>
        <w:t>Extending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Lender</w:t>
      </w:r>
      <w:r>
        <w:rPr>
          <w:rFonts w:ascii="Times New Roman" w:cs="Times New Roman" w:eastAsia="Times New Roman" w:hAnsi="Times New Roman"/>
          <w:sz w:val="20"/>
          <w:szCs w:val="20"/>
          <w:color w:val="auto"/>
        </w:rPr>
        <w:t>”), and (B) the Company subsequently confirms that it wishes to so extend the Existing Maturity Date, then effective on and as of the effective date of the applicable extension under this Section 2.22, the Maturity Date for such Extending Lenders shall be extended to the first anniversary of the Existing Maturity Date (subject to satisfaction of the conditions set forth in Section 2.22(d)). In the event of such extension, the Commitment of each Non-Extending Lender shall terminate on the Existing Maturity Date in effect for such Non-Extending Lender prior to such extension and the outstanding principal balance of all Loans and other amounts payable hereunder to such Non-Extending Lender shall become due and payable on such Existing Maturity Date and, subject to Section 2.22(c) below, the total Commitments hereunder shall be reduced by the Commitments of the Non-Extending Lenders so terminated on such Existing Maturity Date.</w:t>
      </w:r>
    </w:p>
    <w:p>
      <w:pPr>
        <w:spacing w:after="0" w:line="196" w:lineRule="exact"/>
        <w:rPr>
          <w:rFonts w:ascii="Times New Roman" w:cs="Times New Roman" w:eastAsia="Times New Roman" w:hAnsi="Times New Roman"/>
          <w:sz w:val="20"/>
          <w:szCs w:val="20"/>
          <w:color w:val="010000"/>
        </w:rPr>
      </w:pPr>
    </w:p>
    <w:p>
      <w:pPr>
        <w:jc w:val="both"/>
        <w:ind w:firstLine="656"/>
        <w:spacing w:after="0" w:line="264" w:lineRule="auto"/>
        <w:tabs>
          <w:tab w:leader="none" w:pos="1065" w:val="left"/>
        </w:tabs>
        <w:numPr>
          <w:ilvl w:val="0"/>
          <w:numId w:val="10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In the event of any extension of the Existing Maturity Date pursuant to Section 2.22(b)(ii), the Company shall have the right on or before the Existing Maturity Date, at its own expense, to require any Non-Extending Lender to transfer and assign without recourse (in accordance with and subject to the restrictions contained in Section 9.04) all its interests, rights (other than its rights to payments pursuant to Section 2.15, Section 2.16, Section 2.17 or Section 9.03 arising prior to the effectiveness of such assignment) and obligations under this Agreement, with the Maturity Date as extended pursuant to Section 2.22(b)(ii), to one or more banks or other financial institutions identified to the Non-Extending Lender by the Company, which may include any existing Lender (each a “</w:t>
      </w:r>
      <w:r>
        <w:rPr>
          <w:rFonts w:ascii="Times New Roman" w:cs="Times New Roman" w:eastAsia="Times New Roman" w:hAnsi="Times New Roman"/>
          <w:sz w:val="19"/>
          <w:szCs w:val="19"/>
          <w:u w:val="single" w:color="auto"/>
          <w:color w:val="auto"/>
        </w:rPr>
        <w:t>Replacement Lender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such Replacement Lender, if not already a Lender hereunder, shall be subject to the approval of the Administrative Agent and the Issuing Banks (such approvals to not be unreasonably withheld) to the extent the consent of the Administrative Agent or the Issuing Banks would be required to effect an assignment under Section 9.04(b), (ii) such assignment shall become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82</w:t>
      </w:r>
    </w:p>
    <w:p>
      <w:pPr>
        <w:sectPr>
          <w:pgSz w:w="11900" w:h="16838" w:orient="portrait"/>
          <w:cols w:equalWidth="0" w:num="1">
            <w:col w:w="11240"/>
          </w:cols>
          <w:pgMar w:left="320" w:top="1413" w:right="339" w:bottom="1440" w:gutter="0" w:footer="0" w:header="0"/>
        </w:sectPr>
      </w:pPr>
    </w:p>
    <w:bookmarkStart w:id="91" w:name="page92"/>
    <w:bookmarkEnd w:id="91"/>
    <w:p>
      <w:pPr>
        <w:jc w:val="both"/>
        <w:spacing w:after="0" w:line="253" w:lineRule="auto"/>
        <w:rPr>
          <w:sz w:val="20"/>
          <w:szCs w:val="20"/>
          <w:color w:val="auto"/>
        </w:rPr>
      </w:pPr>
      <w:r>
        <w:rPr>
          <w:rFonts w:ascii="Times New Roman" w:cs="Times New Roman" w:eastAsia="Times New Roman" w:hAnsi="Times New Roman"/>
          <w:sz w:val="20"/>
          <w:szCs w:val="20"/>
          <w:color w:val="auto"/>
        </w:rPr>
        <w:t>effective as of a date specified by the Company (which shall not be later than the Existing Maturity Date in effect for such Non-Extending Lender prior to the effective date of the requested extension) and (iii) the Replacement Lender shall pay to such Non-Extending Lender in immediately available funds on the effective date of such assignment the principal of and interest accrued to the date of payment on the outstanding principal amount Loans made by it hereunder and all other amounts accrued and unpaid for its account or otherwise owed to it hereunder on such date.</w:t>
      </w:r>
    </w:p>
    <w:p>
      <w:pPr>
        <w:spacing w:after="0" w:line="178" w:lineRule="exact"/>
        <w:rPr>
          <w:sz w:val="20"/>
          <w:szCs w:val="20"/>
          <w:color w:val="auto"/>
        </w:rPr>
      </w:pPr>
    </w:p>
    <w:p>
      <w:pPr>
        <w:jc w:val="both"/>
        <w:ind w:firstLine="656"/>
        <w:spacing w:after="0" w:line="249" w:lineRule="auto"/>
        <w:tabs>
          <w:tab w:leader="none" w:pos="1130" w:val="left"/>
        </w:tabs>
        <w:numPr>
          <w:ilvl w:val="0"/>
          <w:numId w:val="10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As a condition precedent to each such extension of the Existing Maturity Date pursuant to Section 2.22(b)(ii), the Company shall (i) deliver to the Administrative Agent a certificate of the Company dated as of the Existing Maturity Date signed by a Financial Officer of the Company certifying that, as of such date, both before and immediately after giving effect to such extension, (A) the representations and warranties of the Borrowers set forth in this Agreement shall be true and correct in all material respects (or, in the case of any representation or warranty qualified by materiality or Material Adverse Effect, in all respects) on and as of the date of such Borrowing or the date of issuance, amendment, renewal or extension of such Letter of Credit (except to the extent any such representation or warranty expressly relates to any earlier and/or specific date, in which case such representation and warranty shall be true and correct in all material respects (or, in the case of any representation or warranty qualified by materiality or Material Adverse Effect, in all respects) as of such earlier and/or specific date), as applicable and (B) no Default shall have occurred and be continuing and (ii) first make such prepayments of the outstanding Loans and second provide such cash collateral (or make such other arrangements satisfactory to the applicable Issuing Banks) with respect to the outstanding Letters of Credit as shall be required such that, after giving effect to the termination of the Commitments of the Non-Extending Lenders pursuant to Section 2.22(b) and any assignment pursuant to Section 2.22(c), the aggregate Revolving Credit Exposure less the face amount of any Letter of Credit supported by any such cash collateral (or other satisfactory arrangements) so provided does not exceed the aggregate amount of Commitments being extended.</w:t>
      </w:r>
    </w:p>
    <w:p>
      <w:pPr>
        <w:spacing w:after="0" w:line="183" w:lineRule="exact"/>
        <w:rPr>
          <w:rFonts w:ascii="Times New Roman" w:cs="Times New Roman" w:eastAsia="Times New Roman" w:hAnsi="Times New Roman"/>
          <w:sz w:val="20"/>
          <w:szCs w:val="20"/>
          <w:color w:val="010000"/>
        </w:rPr>
      </w:pPr>
    </w:p>
    <w:p>
      <w:pPr>
        <w:jc w:val="both"/>
        <w:ind w:firstLine="656"/>
        <w:spacing w:after="0" w:line="261" w:lineRule="auto"/>
        <w:tabs>
          <w:tab w:leader="none" w:pos="1106" w:val="left"/>
        </w:tabs>
        <w:numPr>
          <w:ilvl w:val="0"/>
          <w:numId w:val="10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For the avoidance of doubt, (i) no consent of any Lender (other than the existing Lenders participating in the extension of the Existing Maturity Date) shall be required for any extension of the Maturity Date pursuant to this Section 2.22 and (ii) the operation of this Section 2.22 in accordance with its terms is not an amendment subject to Section 9.02.</w:t>
      </w:r>
    </w:p>
    <w:p>
      <w:pPr>
        <w:spacing w:after="0" w:line="154"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0"/>
          <w:szCs w:val="20"/>
          <w:color w:val="010000"/>
        </w:rPr>
        <w:t xml:space="preserve">SECTION 2.23. </w:t>
      </w:r>
      <w:r>
        <w:rPr>
          <w:rFonts w:ascii="Times New Roman" w:cs="Times New Roman" w:eastAsia="Times New Roman" w:hAnsi="Times New Roman"/>
          <w:sz w:val="20"/>
          <w:szCs w:val="20"/>
          <w:u w:val="single" w:color="auto"/>
          <w:color w:val="000000"/>
        </w:rPr>
        <w:t>Judgment Currency</w:t>
      </w:r>
      <w:r>
        <w:rPr>
          <w:rFonts w:ascii="Times New Roman" w:cs="Times New Roman" w:eastAsia="Times New Roman" w:hAnsi="Times New Roman"/>
          <w:sz w:val="20"/>
          <w:szCs w:val="20"/>
          <w:color w:val="000000"/>
        </w:rPr>
        <w:t>. If for the purposes of obtaining judgment in any court it is necessary to convert a sum</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due from any Borrower hereunder in the currency expressed to be payable herein (the “</w:t>
      </w:r>
      <w:r>
        <w:rPr>
          <w:rFonts w:ascii="Times New Roman" w:cs="Times New Roman" w:eastAsia="Times New Roman" w:hAnsi="Times New Roman"/>
          <w:sz w:val="20"/>
          <w:szCs w:val="20"/>
          <w:u w:val="single" w:color="auto"/>
          <w:color w:val="000000"/>
        </w:rPr>
        <w:t>specified currency</w:t>
      </w:r>
      <w:r>
        <w:rPr>
          <w:rFonts w:ascii="Times New Roman" w:cs="Times New Roman" w:eastAsia="Times New Roman" w:hAnsi="Times New Roman"/>
          <w:sz w:val="20"/>
          <w:szCs w:val="20"/>
          <w:color w:val="000000"/>
        </w:rPr>
        <w:t>”) into another currency, the parties hereto agree, to the fullest extent that they may effectively do so, that the rate of exchange used shall be that at which in accordance with normal banking procedures the Administrative Agent could purchase the specified currency with such other currency at the Administrative Agent’s main New York City office on the Business Day preceding that on which final, non-appealable judgment is given. The obligations of each Borrower in respect of any sum due to any Lender or the Administrative Agent hereunder shall, notwithstanding any judgment in a currency other than the specified currency, be discharged only to the extent that on the Business Day following receipt by such Lender or the Administrative Agent (as the case may be) of any sum adjudged to be so due in such other currency such Lender or the Administrative Agent (as the case may be) may in accordance with normal, reasonable banking procedures purchase the specified currency with such other currency. If the amount of the specified currency so purchased is less than the sum originally due to such Lender or the Administrative Agent, as the case may be, in the specified currency, each Borrower agrees, to the fullest extent that it may effectively do so, as a separate obligation and notwithstanding any such judgment, to indemnify such Lender or the Administrative Agent, as the case may be, against such loss, and if the amount of the specified currency so purchased exceeds (a) the sum</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83</w:t>
      </w:r>
    </w:p>
    <w:p>
      <w:pPr>
        <w:sectPr>
          <w:pgSz w:w="11900" w:h="16838" w:orient="portrait"/>
          <w:cols w:equalWidth="0" w:num="1">
            <w:col w:w="11240"/>
          </w:cols>
          <w:pgMar w:left="320" w:top="1413" w:right="339" w:bottom="1440" w:gutter="0" w:footer="0" w:header="0"/>
        </w:sectPr>
      </w:pPr>
    </w:p>
    <w:bookmarkStart w:id="92" w:name="page93"/>
    <w:bookmarkEnd w:id="92"/>
    <w:p>
      <w:pPr>
        <w:jc w:val="both"/>
        <w:spacing w:after="0" w:line="254" w:lineRule="auto"/>
        <w:rPr>
          <w:sz w:val="20"/>
          <w:szCs w:val="20"/>
          <w:color w:val="auto"/>
        </w:rPr>
      </w:pPr>
      <w:r>
        <w:rPr>
          <w:rFonts w:ascii="Times New Roman" w:cs="Times New Roman" w:eastAsia="Times New Roman" w:hAnsi="Times New Roman"/>
          <w:sz w:val="20"/>
          <w:szCs w:val="20"/>
          <w:color w:val="auto"/>
        </w:rPr>
        <w:t>originally due to any Lender or the Administrative Agent, as the case may be, in the specified currency and (b) any amounts shared with other Lenders as a result of allocations of such excess as a disproportionate payment to such Lender under Section 2.19, such Lender or the Administrative Agent, as the case may be, agrees to remit such excess to such Borrower.</w:t>
      </w:r>
    </w:p>
    <w:p>
      <w:pPr>
        <w:spacing w:after="0" w:line="1"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0"/>
          <w:szCs w:val="20"/>
          <w:color w:val="010000"/>
        </w:rPr>
        <w:t xml:space="preserve">SECTION 2.24. </w:t>
      </w:r>
      <w:r>
        <w:rPr>
          <w:rFonts w:ascii="Times New Roman" w:cs="Times New Roman" w:eastAsia="Times New Roman" w:hAnsi="Times New Roman"/>
          <w:sz w:val="20"/>
          <w:szCs w:val="20"/>
          <w:u w:val="single" w:color="auto"/>
          <w:color w:val="000000"/>
        </w:rPr>
        <w:t>Designation of Foreign Subsidiary Borrowers</w:t>
      </w:r>
      <w:r>
        <w:rPr>
          <w:rFonts w:ascii="Times New Roman" w:cs="Times New Roman" w:eastAsia="Times New Roman" w:hAnsi="Times New Roman"/>
          <w:sz w:val="20"/>
          <w:szCs w:val="20"/>
          <w:color w:val="000000"/>
        </w:rPr>
        <w:t>. On the Restatement Effective Date, and subject to the</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 xml:space="preserve">satisfaction of the applicable conditions in </w:t>
      </w:r>
      <w:r>
        <w:rPr>
          <w:rFonts w:ascii="Times New Roman" w:cs="Times New Roman" w:eastAsia="Times New Roman" w:hAnsi="Times New Roman"/>
          <w:sz w:val="20"/>
          <w:szCs w:val="20"/>
          <w:u w:val="single" w:color="auto"/>
          <w:color w:val="000000"/>
        </w:rPr>
        <w:t>Article IV</w:t>
      </w:r>
      <w:r>
        <w:rPr>
          <w:rFonts w:ascii="Times New Roman" w:cs="Times New Roman" w:eastAsia="Times New Roman" w:hAnsi="Times New Roman"/>
          <w:sz w:val="20"/>
          <w:szCs w:val="20"/>
          <w:color w:val="000000"/>
        </w:rPr>
        <w:t xml:space="preserve"> hereto, the Initial Foreign Subsidiary Borrowers shall continue to be Foreign Subsidiary Borrowers party to this Agreement until the Company shall have executed and delivered to the Administrative Agent a Borrowing Subsidiary Termination with respect to any such Subsidiary, whereupon such Subsidiary shall cease to be a Foreign Subsidiary Borrower and a party to this Agreement. After the Restatement Effective Date, the Company may at any time and from time to time designate any Eligible Foreign Subsidiary as a Foreign Subsidiary Borrower by delivery to the Administrative Agent of a Borrowing Subsidiary Agreement executed by such Subsidiary and the Company and the satisfaction of the other conditions precedent set forth in Section 4.03, and upon such delivery and satisfaction such Subsidiary shall for all purposes of this Agreement be a Foreign Subsidiary Borrower and a party to this Agreement. Each Foreign Subsidiary Borrower shall remain a Foreign Subsidiary Borrower until the Company shall have executed and delivered to the Administrative Agent a Borrowing Subsidiary Termination with respect to such Subsidiary, whereupon such Subsidiary shall cease to be a Foreign Subsidiary Borrower and a party to this Agreement. Notwithstanding the preceding sentence, no Borrowing Subsidiary Termination will become effective as to any Foreign Subsidiary Borrower at a time when any principal of or interest on any Loan to such Borrower shall be outstanding hereunder, </w:t>
      </w:r>
      <w:r>
        <w:rPr>
          <w:rFonts w:ascii="Times New Roman" w:cs="Times New Roman" w:eastAsia="Times New Roman" w:hAnsi="Times New Roman"/>
          <w:sz w:val="20"/>
          <w:szCs w:val="20"/>
          <w:u w:val="single" w:color="auto"/>
          <w:color w:val="000000"/>
        </w:rPr>
        <w:t>provided</w:t>
      </w:r>
      <w:r>
        <w:rPr>
          <w:rFonts w:ascii="Times New Roman" w:cs="Times New Roman" w:eastAsia="Times New Roman" w:hAnsi="Times New Roman"/>
          <w:sz w:val="20"/>
          <w:szCs w:val="20"/>
          <w:color w:val="000000"/>
        </w:rPr>
        <w:t xml:space="preserve"> that such Borrowing Subsidiary Termination shall be effective to terminate the right of such Foreign Subsidiary Borrower to make further Borrowings under this Agreement. As soon as practicable upon receipt of a Borrowing Subsidiary Agreement, the Administrative Agent shall furnish a copy thereof to each Lender.</w:t>
      </w:r>
    </w:p>
    <w:p>
      <w:pPr>
        <w:spacing w:after="0" w:line="14" w:lineRule="exact"/>
        <w:rPr>
          <w:sz w:val="20"/>
          <w:szCs w:val="20"/>
          <w:color w:val="auto"/>
        </w:rPr>
      </w:pPr>
    </w:p>
    <w:p>
      <w:pPr>
        <w:jc w:val="both"/>
        <w:ind w:firstLine="1296"/>
        <w:spacing w:after="0" w:line="246" w:lineRule="auto"/>
        <w:rPr>
          <w:sz w:val="20"/>
          <w:szCs w:val="20"/>
          <w:color w:val="auto"/>
        </w:rPr>
      </w:pPr>
      <w:r>
        <w:rPr>
          <w:rFonts w:ascii="Times New Roman" w:cs="Times New Roman" w:eastAsia="Times New Roman" w:hAnsi="Times New Roman"/>
          <w:sz w:val="20"/>
          <w:szCs w:val="20"/>
          <w:color w:val="010000"/>
        </w:rPr>
        <w:t xml:space="preserve">SECTION 2.25. </w:t>
      </w:r>
      <w:r>
        <w:rPr>
          <w:rFonts w:ascii="Times New Roman" w:cs="Times New Roman" w:eastAsia="Times New Roman" w:hAnsi="Times New Roman"/>
          <w:sz w:val="20"/>
          <w:szCs w:val="20"/>
          <w:u w:val="single" w:color="auto"/>
          <w:color w:val="000000"/>
        </w:rPr>
        <w:t>Defaulting Lenders</w:t>
      </w:r>
      <w:r>
        <w:rPr>
          <w:rFonts w:ascii="Times New Roman" w:cs="Times New Roman" w:eastAsia="Times New Roman" w:hAnsi="Times New Roman"/>
          <w:sz w:val="20"/>
          <w:szCs w:val="20"/>
          <w:color w:val="000000"/>
        </w:rPr>
        <w:t>. Notwithstanding any provision of this Agreement to the contrary, if any Lender</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becomes a Defaulting Lender, then the following provisions shall apply for so long as such Lender is a Defaulting Lender:</w:t>
      </w:r>
    </w:p>
    <w:p>
      <w:pPr>
        <w:spacing w:after="0" w:line="1" w:lineRule="exact"/>
        <w:rPr>
          <w:sz w:val="20"/>
          <w:szCs w:val="20"/>
          <w:color w:val="auto"/>
        </w:rPr>
      </w:pPr>
    </w:p>
    <w:p>
      <w:pPr>
        <w:ind w:left="1720" w:hanging="416"/>
        <w:spacing w:after="0"/>
        <w:tabs>
          <w:tab w:leader="none" w:pos="1720" w:val="left"/>
        </w:tabs>
        <w:numPr>
          <w:ilvl w:val="0"/>
          <w:numId w:val="10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fees shall cease to accrue on the Commitment of such Defaulting Lender pursuant to Section 2.12(a);</w:t>
      </w:r>
    </w:p>
    <w:p>
      <w:pPr>
        <w:spacing w:after="0" w:line="186" w:lineRule="exact"/>
        <w:rPr>
          <w:rFonts w:ascii="Times New Roman" w:cs="Times New Roman" w:eastAsia="Times New Roman" w:hAnsi="Times New Roman"/>
          <w:sz w:val="20"/>
          <w:szCs w:val="20"/>
          <w:color w:val="010000"/>
        </w:rPr>
      </w:pPr>
    </w:p>
    <w:p>
      <w:pPr>
        <w:jc w:val="both"/>
        <w:ind w:left="660" w:firstLine="644"/>
        <w:spacing w:after="0" w:line="250" w:lineRule="auto"/>
        <w:tabs>
          <w:tab w:leader="none" w:pos="1750" w:val="left"/>
        </w:tabs>
        <w:numPr>
          <w:ilvl w:val="0"/>
          <w:numId w:val="10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any payment of principal, interest, fees or other amounts received by the Administrative Agent for the account of such Defaulting Lender (whether voluntary or mandatory, at maturity, pursuant to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 xml:space="preserve"> or otherwise) or received by the Administrative Agent from a Defaulting Lender pursuant to Section 9.08 shall be applied at such time or times as may be determined by the Administrative Agent as follows: </w:t>
      </w: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xml:space="preserve">, to the payment of any amounts owing by such Defaulting Lender to the Administrative Agent hereunder; </w:t>
      </w: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xml:space="preserve">, to the payment on a pro rata basis of any amounts owing by such Defaulting Lender to any Issuing Bank hereunder; </w:t>
      </w:r>
      <w:r>
        <w:rPr>
          <w:rFonts w:ascii="Times New Roman" w:cs="Times New Roman" w:eastAsia="Times New Roman" w:hAnsi="Times New Roman"/>
          <w:sz w:val="20"/>
          <w:szCs w:val="20"/>
          <w:u w:val="single" w:color="auto"/>
          <w:color w:val="auto"/>
        </w:rPr>
        <w:t>third</w:t>
      </w:r>
      <w:r>
        <w:rPr>
          <w:rFonts w:ascii="Times New Roman" w:cs="Times New Roman" w:eastAsia="Times New Roman" w:hAnsi="Times New Roman"/>
          <w:sz w:val="20"/>
          <w:szCs w:val="20"/>
          <w:color w:val="auto"/>
        </w:rPr>
        <w:t xml:space="preserve">, to cash collateralize the Issuing Banks’ LC Exposure with respect to such Defaulting Lender in accordance with this Section; </w:t>
      </w:r>
      <w:r>
        <w:rPr>
          <w:rFonts w:ascii="Times New Roman" w:cs="Times New Roman" w:eastAsia="Times New Roman" w:hAnsi="Times New Roman"/>
          <w:sz w:val="20"/>
          <w:szCs w:val="20"/>
          <w:u w:val="single" w:color="auto"/>
          <w:color w:val="auto"/>
        </w:rPr>
        <w:t>fourth</w:t>
      </w:r>
      <w:r>
        <w:rPr>
          <w:rFonts w:ascii="Times New Roman" w:cs="Times New Roman" w:eastAsia="Times New Roman" w:hAnsi="Times New Roman"/>
          <w:sz w:val="20"/>
          <w:szCs w:val="20"/>
          <w:color w:val="auto"/>
        </w:rPr>
        <w:t xml:space="preserve">, as the Company may request (so long as no Default or Event of Default exists), to the funding of any Loan in respect of which such Defaulting Lender has failed to fund its portion thereof as required by this Agreement, as determined by the Administrative Agent; </w:t>
      </w:r>
      <w:r>
        <w:rPr>
          <w:rFonts w:ascii="Times New Roman" w:cs="Times New Roman" w:eastAsia="Times New Roman" w:hAnsi="Times New Roman"/>
          <w:sz w:val="20"/>
          <w:szCs w:val="20"/>
          <w:u w:val="single" w:color="auto"/>
          <w:color w:val="auto"/>
        </w:rPr>
        <w:t>fifth</w:t>
      </w:r>
      <w:r>
        <w:rPr>
          <w:rFonts w:ascii="Times New Roman" w:cs="Times New Roman" w:eastAsia="Times New Roman" w:hAnsi="Times New Roman"/>
          <w:sz w:val="20"/>
          <w:szCs w:val="20"/>
          <w:color w:val="auto"/>
        </w:rPr>
        <w:t xml:space="preserve">, if so determined by the Administrative Agent and the Company, to be held in a deposit account and released pro rata in order to (x) satisfy such Defaulting Lender’s potential future funding obligations with respect to Loans under this Agreement and (y) cash collateralize the Issuing Banks’ future LC Exposure with respect to such Defaulting Lender with respect to future Letters of Credit issued under this Agreement, in accordance with this Section; </w:t>
      </w:r>
      <w:r>
        <w:rPr>
          <w:rFonts w:ascii="Times New Roman" w:cs="Times New Roman" w:eastAsia="Times New Roman" w:hAnsi="Times New Roman"/>
          <w:sz w:val="20"/>
          <w:szCs w:val="20"/>
          <w:u w:val="single" w:color="auto"/>
          <w:color w:val="auto"/>
        </w:rPr>
        <w:t>sixth</w:t>
      </w:r>
      <w:r>
        <w:rPr>
          <w:rFonts w:ascii="Times New Roman" w:cs="Times New Roman" w:eastAsia="Times New Roman" w:hAnsi="Times New Roman"/>
          <w:sz w:val="20"/>
          <w:szCs w:val="20"/>
          <w:color w:val="auto"/>
        </w:rPr>
        <w:t>, to the payment of any amounts owing to the Lenders or the Issuing Banks as a result of any judgment of a court of competent jurisdiction obtained by any Lender or the Issuing Banks against such Defaulting Lender as a result of such Defaulting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84</w:t>
      </w:r>
    </w:p>
    <w:p>
      <w:pPr>
        <w:sectPr>
          <w:pgSz w:w="11900" w:h="16838" w:orient="portrait"/>
          <w:cols w:equalWidth="0" w:num="1">
            <w:col w:w="11240"/>
          </w:cols>
          <w:pgMar w:left="320" w:top="1413" w:right="339" w:bottom="1440" w:gutter="0" w:footer="0" w:header="0"/>
        </w:sectPr>
      </w:pPr>
    </w:p>
    <w:bookmarkStart w:id="93" w:name="page94"/>
    <w:bookmarkEnd w:id="93"/>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Lender’s breach of its obligations under this Agreement or under any other Loan Document; </w:t>
      </w:r>
      <w:r>
        <w:rPr>
          <w:rFonts w:ascii="Times New Roman" w:cs="Times New Roman" w:eastAsia="Times New Roman" w:hAnsi="Times New Roman"/>
          <w:sz w:val="20"/>
          <w:szCs w:val="20"/>
          <w:u w:val="single" w:color="auto"/>
          <w:color w:val="auto"/>
        </w:rPr>
        <w:t>seventh</w:t>
      </w:r>
      <w:r>
        <w:rPr>
          <w:rFonts w:ascii="Times New Roman" w:cs="Times New Roman" w:eastAsia="Times New Roman" w:hAnsi="Times New Roman"/>
          <w:sz w:val="20"/>
          <w:szCs w:val="20"/>
          <w:color w:val="auto"/>
        </w:rPr>
        <w:t xml:space="preserve">, so long as no Default or Event of Default exists, to the payment of any amounts owing to the Company as a result of any judgment of a court of competent jurisdiction obtained by the Company against such Defaulting Lender as a result of such Defaulting Lender’s breach of its obligations under this Agreement or under any other Loan Document; and </w:t>
      </w:r>
      <w:r>
        <w:rPr>
          <w:rFonts w:ascii="Times New Roman" w:cs="Times New Roman" w:eastAsia="Times New Roman" w:hAnsi="Times New Roman"/>
          <w:sz w:val="20"/>
          <w:szCs w:val="20"/>
          <w:u w:val="single" w:color="auto"/>
          <w:color w:val="auto"/>
        </w:rPr>
        <w:t>eighth</w:t>
      </w:r>
      <w:r>
        <w:rPr>
          <w:rFonts w:ascii="Times New Roman" w:cs="Times New Roman" w:eastAsia="Times New Roman" w:hAnsi="Times New Roman"/>
          <w:sz w:val="20"/>
          <w:szCs w:val="20"/>
          <w:color w:val="auto"/>
        </w:rPr>
        <w:t>, to such Defaulting Lender or as otherwise directed by a court of competent jurisdiction; provided that if (x) such payment is a payment of the principal amount of any Loans or LC Disbursements in respect of which such Defaulting Lender has not fully funded its appropriate share, and (y) such Loans were made or the related Letters of Credit were issued at a time when the conditions set forth in Section 4.02 were satisfied or waived, such payment shall be applied solely to pay the Loans of, and LC Disbursements owed to, all non-Defaulting Lenders on a pro rata basis prior to being applied to the payment of any Loans of, or LC Disbursements owed to, such Defaulting Lender until such time as all Loans and funded and unfunded participations in the Borrowers’ obligations corresponding to such Defaulting Lender’s LC Exposure are held by the Lenders pro rata in accordance with the Commitments without giving effect to clause (d) below. Any payments, prepayments or other amounts paid or payable to a Defaulting Lender that are applied (or held) to pay amounts owed by a Defaulting Lender or to post cash collateral pursuant to this Section shall be deemed paid to and redirected by such Defaulting Lender, and each Lender irrevocably consents hereto;</w:t>
      </w:r>
    </w:p>
    <w:p>
      <w:pPr>
        <w:spacing w:after="0" w:line="170" w:lineRule="exact"/>
        <w:rPr>
          <w:sz w:val="20"/>
          <w:szCs w:val="20"/>
          <w:color w:val="auto"/>
        </w:rPr>
      </w:pPr>
    </w:p>
    <w:p>
      <w:pPr>
        <w:jc w:val="both"/>
        <w:ind w:firstLine="644"/>
        <w:spacing w:after="0" w:line="253" w:lineRule="auto"/>
        <w:tabs>
          <w:tab w:leader="none" w:pos="1187" w:val="left"/>
        </w:tabs>
        <w:numPr>
          <w:ilvl w:val="0"/>
          <w:numId w:val="10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the Commitment and Revolving Credit Exposure of such Defaulting Lender shall not be included in determining whether the Required Lenders have taken or may take any action hereunder (including any consent to any amendment, waiver or other modification pursuant to Section 9.02);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any amendment, waiver or other modification requiring the consent of all Lenders or all Lenders directly affected thereby shall not, except as otherwise provided in Section 9.02, require the consent of such Defaulting Lender in accordance with the terms hereof;</w:t>
      </w:r>
    </w:p>
    <w:p>
      <w:pPr>
        <w:spacing w:after="0" w:line="178" w:lineRule="exact"/>
        <w:rPr>
          <w:rFonts w:ascii="Times New Roman" w:cs="Times New Roman" w:eastAsia="Times New Roman" w:hAnsi="Times New Roman"/>
          <w:sz w:val="20"/>
          <w:szCs w:val="20"/>
          <w:color w:val="010000"/>
        </w:rPr>
      </w:pPr>
    </w:p>
    <w:p>
      <w:pPr>
        <w:ind w:left="1080" w:hanging="436"/>
        <w:spacing w:after="0"/>
        <w:tabs>
          <w:tab w:leader="none" w:pos="1080" w:val="left"/>
        </w:tabs>
        <w:numPr>
          <w:ilvl w:val="0"/>
          <w:numId w:val="10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if any LC Exposure exists at the time such Lender becomes a Defaulting Lender then:</w:t>
      </w:r>
    </w:p>
    <w:p>
      <w:pPr>
        <w:spacing w:after="0" w:line="202" w:lineRule="exact"/>
        <w:rPr>
          <w:rFonts w:ascii="Times New Roman" w:cs="Times New Roman" w:eastAsia="Times New Roman" w:hAnsi="Times New Roman"/>
          <w:sz w:val="20"/>
          <w:szCs w:val="20"/>
          <w:color w:val="010000"/>
        </w:rPr>
      </w:pPr>
    </w:p>
    <w:p>
      <w:pPr>
        <w:jc w:val="both"/>
        <w:ind w:left="640" w:firstLine="652"/>
        <w:spacing w:after="0" w:line="261" w:lineRule="auto"/>
        <w:tabs>
          <w:tab w:leader="none" w:pos="1727" w:val="left"/>
        </w:tabs>
        <w:numPr>
          <w:ilvl w:val="1"/>
          <w:numId w:val="10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all or any part of the LC Exposure of such Defaulting Lender shall be reallocated among the non-Defaulting Lenders in accordance with their respective Applicable Percentages but only to the extent that such reallocation does not, as to any non-Defaulting Lender, cause such non-Defaulting Lender’s Revolving Credit Exposure to exceed its Commitment;</w:t>
      </w:r>
    </w:p>
    <w:p>
      <w:pPr>
        <w:spacing w:after="0" w:line="181" w:lineRule="exact"/>
        <w:rPr>
          <w:rFonts w:ascii="Times New Roman" w:cs="Times New Roman" w:eastAsia="Times New Roman" w:hAnsi="Times New Roman"/>
          <w:sz w:val="20"/>
          <w:szCs w:val="20"/>
          <w:color w:val="010000"/>
        </w:rPr>
      </w:pPr>
    </w:p>
    <w:p>
      <w:pPr>
        <w:jc w:val="both"/>
        <w:ind w:left="640" w:firstLine="652"/>
        <w:spacing w:after="0" w:line="253" w:lineRule="auto"/>
        <w:tabs>
          <w:tab w:leader="none" w:pos="1781" w:val="left"/>
        </w:tabs>
        <w:numPr>
          <w:ilvl w:val="1"/>
          <w:numId w:val="10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if the reallocation described in clause (i) above cannot, or can only partially, be effected, the Company shall within one (1) Business Day following notice by the Administrative Agent cash collateralize for the benefit of the relevant Issuing Banks only the Borrowers’ obligations corresponding to such Defaulting Lender’s LC Exposure (after giving effect to any partial reallocation pursuant to clause (i) above) in accordance with the procedures set forth in Section 2.06(j) for so long as such LC Exposure is outstanding;</w:t>
      </w:r>
    </w:p>
    <w:p>
      <w:pPr>
        <w:spacing w:after="0" w:line="191" w:lineRule="exact"/>
        <w:rPr>
          <w:rFonts w:ascii="Times New Roman" w:cs="Times New Roman" w:eastAsia="Times New Roman" w:hAnsi="Times New Roman"/>
          <w:sz w:val="20"/>
          <w:szCs w:val="20"/>
          <w:color w:val="010000"/>
        </w:rPr>
      </w:pPr>
    </w:p>
    <w:p>
      <w:pPr>
        <w:jc w:val="both"/>
        <w:ind w:left="640" w:firstLine="652"/>
        <w:spacing w:after="0" w:line="254" w:lineRule="auto"/>
        <w:tabs>
          <w:tab w:leader="none" w:pos="1958" w:val="left"/>
        </w:tabs>
        <w:numPr>
          <w:ilvl w:val="1"/>
          <w:numId w:val="10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if the Company cash collateralizes any portion of such Defaulting Lender’s LC Exposure pursuant to clause (ii) above, the Borrowers shall not be required to pay any fees to such Defaulting Lender pursuant to Section 2.12(b) with respect to such Defaulting Lender’s LC Exposure during the period such Defaulting Lender’s LC Exposure is cash collateralized;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color w:val="auto"/>
        </w:rPr>
        <w:t>85</w:t>
      </w:r>
    </w:p>
    <w:p>
      <w:pPr>
        <w:sectPr>
          <w:pgSz w:w="11900" w:h="16838" w:orient="portrait"/>
          <w:cols w:equalWidth="0" w:num="1">
            <w:col w:w="10580"/>
          </w:cols>
          <w:pgMar w:left="980" w:top="1413" w:right="339" w:bottom="1440" w:gutter="0" w:footer="0" w:header="0"/>
        </w:sectPr>
      </w:pPr>
    </w:p>
    <w:bookmarkStart w:id="94" w:name="page95"/>
    <w:bookmarkEnd w:id="94"/>
    <w:p>
      <w:pPr>
        <w:jc w:val="both"/>
        <w:ind w:left="1300" w:firstLine="652"/>
        <w:spacing w:after="0" w:line="226" w:lineRule="auto"/>
        <w:tabs>
          <w:tab w:leader="none" w:pos="2499" w:val="left"/>
        </w:tabs>
        <w:numPr>
          <w:ilvl w:val="1"/>
          <w:numId w:val="10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if the LC Exposure of the non-Defaulting Lenders is reallocated pursuant to clause (i) above, then the fees payable to the Lenders pursuant to Section 2.12(b) shall be adjusted in accordance with such non-Defaulting Lenders’ Applicable Percentages; and</w:t>
      </w:r>
    </w:p>
    <w:p>
      <w:pPr>
        <w:spacing w:after="0" w:line="160" w:lineRule="exact"/>
        <w:rPr>
          <w:rFonts w:ascii="Times New Roman" w:cs="Times New Roman" w:eastAsia="Times New Roman" w:hAnsi="Times New Roman"/>
          <w:sz w:val="20"/>
          <w:szCs w:val="20"/>
          <w:color w:val="010000"/>
        </w:rPr>
      </w:pPr>
    </w:p>
    <w:p>
      <w:pPr>
        <w:jc w:val="both"/>
        <w:ind w:left="1300" w:firstLine="652"/>
        <w:spacing w:after="0" w:line="216" w:lineRule="auto"/>
        <w:tabs>
          <w:tab w:leader="none" w:pos="2457" w:val="left"/>
        </w:tabs>
        <w:numPr>
          <w:ilvl w:val="1"/>
          <w:numId w:val="10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if all or any portion of such Defaulting Lender’s LC Exposure is neither reallocated nor cash collateralized pursuant to clause (i) or (ii) above, then, without prejudice to any rights or remedies of any Issuing Bank or any other Lender hereunder, all facility fees that otherwise would have been payable to such Defaulting Lender (solely with respect to the portion of such Defaulting Lender’s Commitment that was utilized by such LC Exposure) and letter of credit fees payable under Section 2.12(b) with respect to such Defaulting Lender’s LC Exposure shall be payable to the relevant Issuing Banks until and to the extent that such LC Exposure is reallocated and/or cash collateralized; and</w:t>
      </w:r>
    </w:p>
    <w:p>
      <w:pPr>
        <w:spacing w:after="0" w:line="162" w:lineRule="exact"/>
        <w:rPr>
          <w:rFonts w:ascii="Times New Roman" w:cs="Times New Roman" w:eastAsia="Times New Roman" w:hAnsi="Times New Roman"/>
          <w:sz w:val="20"/>
          <w:szCs w:val="20"/>
          <w:color w:val="010000"/>
        </w:rPr>
      </w:pPr>
    </w:p>
    <w:p>
      <w:pPr>
        <w:jc w:val="both"/>
        <w:ind w:left="660" w:firstLine="644"/>
        <w:spacing w:after="0" w:line="231" w:lineRule="auto"/>
        <w:tabs>
          <w:tab w:leader="none" w:pos="1739" w:val="left"/>
        </w:tabs>
        <w:numPr>
          <w:ilvl w:val="0"/>
          <w:numId w:val="10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so long as such Lender is a Defaulting Lender, no Issuing Bank shall be required to issue, amend or increase any Letter of Credit, unless it is satisfied that the related exposure and the Defaulting Lender’s then outstanding LC Exposure will be 100% covered by the Commitments of the non-Defaulting Lenders and/or cash collateral will be provided by the Company in accordance with Section 2.25(d), and LC Exposure related to any newly issued or increased Letter of Credit shall be allocated among non-Defaulting Lenders in a manner consistent with Section 2.25(d)(i) (and such Defaulting Lender shall not participate therein).</w:t>
      </w:r>
    </w:p>
    <w:p>
      <w:pPr>
        <w:spacing w:after="0" w:line="1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If (i) a Bankruptcy Event or a Bail-In Action with respect to a Lender Parent shall occur following the date hereof and for so long as</w:t>
      </w:r>
    </w:p>
    <w:p>
      <w:pPr>
        <w:spacing w:after="0" w:line="6"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such event shall continue or (ii) any Issuing Bank has a good faith belief that any Lender has defaulted in fulfilling its obligations under one or more other agreements in which such Lender commits to extend credit, no Issuing Bank shall be required to issue, amend or increase any</w:t>
      </w:r>
    </w:p>
    <w:p>
      <w:pPr>
        <w:spacing w:after="0" w:line="1"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Letter of Credit, unless such Issuing Bank shall have entered into arrangements with the Company or such Lender, satisfactory to such Issuing Bank to defease any risk to it in respect of such Lender hereunder.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In the event that the Administrative Agent, the Company and each Issuing Bank each agrees that a Defaulting Lender has adequately</w:t>
      </w:r>
    </w:p>
    <w:p>
      <w:pPr>
        <w:spacing w:after="0" w:line="6"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remedied all matters that caused such Lender to be a Defaulting Lender, then the LC Exposure of the Lenders shall be readjusted to reflect the inclusion of such Lender’s Commitment and on such date such Lender shall purchase at par such of the Loans of the other Lenders as the</w:t>
      </w:r>
    </w:p>
    <w:p>
      <w:pPr>
        <w:spacing w:after="0" w:line="228" w:lineRule="auto"/>
        <w:rPr>
          <w:sz w:val="20"/>
          <w:szCs w:val="20"/>
          <w:color w:val="auto"/>
        </w:rPr>
      </w:pPr>
      <w:r>
        <w:rPr>
          <w:rFonts w:ascii="Times New Roman" w:cs="Times New Roman" w:eastAsia="Times New Roman" w:hAnsi="Times New Roman"/>
          <w:sz w:val="20"/>
          <w:szCs w:val="20"/>
          <w:color w:val="auto"/>
        </w:rPr>
        <w:t>Administrative Agent shall determine may be necessary in order for such Lender to hold such Loans in accordance with its Applicable Percentage.</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010000"/>
        </w:rPr>
        <w:t>ARTICLE III</w:t>
      </w:r>
    </w:p>
    <w:p>
      <w:pPr>
        <w:spacing w:after="0" w:line="162"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0"/>
          <w:szCs w:val="20"/>
          <w:u w:val="single" w:color="auto"/>
          <w:color w:val="auto"/>
        </w:rPr>
        <w:t>Representations and Warranties</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Each Borrower represents and warrants to the Lenders that:</w:t>
      </w:r>
    </w:p>
    <w:p>
      <w:pPr>
        <w:spacing w:after="0" w:line="156" w:lineRule="exact"/>
        <w:rPr>
          <w:sz w:val="20"/>
          <w:szCs w:val="20"/>
          <w:color w:val="auto"/>
        </w:rPr>
      </w:pPr>
    </w:p>
    <w:p>
      <w:pPr>
        <w:ind w:left="1300"/>
        <w:spacing w:after="0"/>
        <w:tabs>
          <w:tab w:leader="none" w:pos="2820" w:val="left"/>
        </w:tabs>
        <w:rPr>
          <w:sz w:val="20"/>
          <w:szCs w:val="20"/>
          <w:color w:val="auto"/>
        </w:rPr>
      </w:pPr>
      <w:r>
        <w:rPr>
          <w:rFonts w:ascii="Times New Roman" w:cs="Times New Roman" w:eastAsia="Times New Roman" w:hAnsi="Times New Roman"/>
          <w:sz w:val="20"/>
          <w:szCs w:val="20"/>
          <w:color w:val="010000"/>
        </w:rPr>
        <w:t>SECTION 3.01.</w:t>
      </w:r>
      <w:r>
        <w:rPr>
          <w:sz w:val="20"/>
          <w:szCs w:val="20"/>
          <w:color w:val="auto"/>
        </w:rPr>
        <w:tab/>
      </w:r>
      <w:r>
        <w:rPr>
          <w:rFonts w:ascii="Times New Roman" w:cs="Times New Roman" w:eastAsia="Times New Roman" w:hAnsi="Times New Roman"/>
          <w:sz w:val="20"/>
          <w:szCs w:val="20"/>
          <w:u w:val="single" w:color="auto"/>
          <w:color w:val="auto"/>
        </w:rPr>
        <w:t>Organization; Powers; Subsidiaries</w:t>
      </w:r>
      <w:r>
        <w:rPr>
          <w:rFonts w:ascii="Times New Roman" w:cs="Times New Roman" w:eastAsia="Times New Roman" w:hAnsi="Times New Roman"/>
          <w:sz w:val="20"/>
          <w:szCs w:val="20"/>
          <w:color w:val="auto"/>
        </w:rPr>
        <w:t>. Each of the Company and its Subsidiaries is duly organized, validly</w:t>
      </w:r>
    </w:p>
    <w:p>
      <w:pPr>
        <w:jc w:val="both"/>
        <w:spacing w:after="0" w:line="204" w:lineRule="auto"/>
        <w:rPr>
          <w:sz w:val="20"/>
          <w:szCs w:val="20"/>
          <w:color w:val="auto"/>
        </w:rPr>
      </w:pPr>
      <w:r>
        <w:rPr>
          <w:rFonts w:ascii="Times New Roman" w:cs="Times New Roman" w:eastAsia="Times New Roman" w:hAnsi="Times New Roman"/>
          <w:sz w:val="20"/>
          <w:szCs w:val="20"/>
          <w:color w:val="auto"/>
        </w:rPr>
        <w:t>existing and in good standing (to the extent such concept is applicable in the relevant jurisdiction) under the laws of the jurisdiction of its organization, has all requisite power and authority to carry on its business as now conducted and, except where the failure to do so,</w:t>
      </w:r>
    </w:p>
    <w:p>
      <w:pPr>
        <w:spacing w:after="0" w:line="223" w:lineRule="auto"/>
        <w:rPr>
          <w:sz w:val="20"/>
          <w:szCs w:val="20"/>
          <w:color w:val="auto"/>
        </w:rPr>
      </w:pPr>
      <w:r>
        <w:rPr>
          <w:rFonts w:ascii="Times New Roman" w:cs="Times New Roman" w:eastAsia="Times New Roman" w:hAnsi="Times New Roman"/>
          <w:sz w:val="19"/>
          <w:szCs w:val="19"/>
          <w:color w:val="auto"/>
        </w:rPr>
        <w:t>individually or in the aggregate, could not reasonably be expected to result in a Material Adverse Effect, is qualified to do business in, and is</w:t>
      </w:r>
    </w:p>
    <w:p>
      <w:pPr>
        <w:spacing w:after="0" w:line="215" w:lineRule="auto"/>
        <w:rPr>
          <w:sz w:val="20"/>
          <w:szCs w:val="20"/>
          <w:color w:val="auto"/>
        </w:rPr>
      </w:pPr>
      <w:r>
        <w:rPr>
          <w:rFonts w:ascii="Times New Roman" w:cs="Times New Roman" w:eastAsia="Times New Roman" w:hAnsi="Times New Roman"/>
          <w:sz w:val="19"/>
          <w:szCs w:val="19"/>
          <w:color w:val="auto"/>
        </w:rPr>
        <w:t xml:space="preserve">in good standing (to the extent such concept is applicable) in, every jurisdiction where such qualification is required. </w:t>
      </w:r>
      <w:r>
        <w:rPr>
          <w:rFonts w:ascii="Times New Roman" w:cs="Times New Roman" w:eastAsia="Times New Roman" w:hAnsi="Times New Roman"/>
          <w:sz w:val="19"/>
          <w:szCs w:val="19"/>
          <w:u w:val="single" w:color="auto"/>
          <w:color w:val="auto"/>
        </w:rPr>
        <w:t>Schedule 3.01</w:t>
      </w:r>
      <w:r>
        <w:rPr>
          <w:rFonts w:ascii="Times New Roman" w:cs="Times New Roman" w:eastAsia="Times New Roman" w:hAnsi="Times New Roman"/>
          <w:sz w:val="19"/>
          <w:szCs w:val="19"/>
          <w:color w:val="auto"/>
        </w:rPr>
        <w:t xml:space="preserve"> hereto identifies each Subsidiary as of the Restatement Effective Date, noting whether such Subsidiary is a Significant Subsidiary, the jurisdiction of</w:t>
      </w:r>
    </w:p>
    <w:p>
      <w:pPr>
        <w:spacing w:after="0" w:line="222" w:lineRule="auto"/>
        <w:rPr>
          <w:sz w:val="20"/>
          <w:szCs w:val="20"/>
          <w:color w:val="auto"/>
        </w:rPr>
      </w:pPr>
      <w:r>
        <w:rPr>
          <w:rFonts w:ascii="Times New Roman" w:cs="Times New Roman" w:eastAsia="Times New Roman" w:hAnsi="Times New Roman"/>
          <w:sz w:val="19"/>
          <w:szCs w:val="19"/>
          <w:color w:val="auto"/>
        </w:rPr>
        <w:t>its incorporation or organization, as the case may be, the percentage of issued and outstanding shares of each class of its capital stock or other</w:t>
      </w:r>
    </w:p>
    <w:p>
      <w:pPr>
        <w:spacing w:after="0" w:line="204" w:lineRule="auto"/>
        <w:rPr>
          <w:sz w:val="20"/>
          <w:szCs w:val="20"/>
          <w:color w:val="auto"/>
        </w:rPr>
      </w:pPr>
      <w:r>
        <w:rPr>
          <w:rFonts w:ascii="Times New Roman" w:cs="Times New Roman" w:eastAsia="Times New Roman" w:hAnsi="Times New Roman"/>
          <w:sz w:val="20"/>
          <w:szCs w:val="20"/>
          <w:color w:val="auto"/>
        </w:rPr>
        <w:t>equity interests owned by the Company and the other Subsidiaries and, if such percentage is not 100% (excluding directors’ qualifying shares as required by law), a description of each class issued and outstanding.</w:t>
      </w:r>
    </w:p>
    <w:p>
      <w:pPr>
        <w:spacing w:after="0" w:line="1" w:lineRule="exact"/>
        <w:rPr>
          <w:sz w:val="20"/>
          <w:szCs w:val="20"/>
          <w:color w:val="auto"/>
        </w:rPr>
      </w:pPr>
    </w:p>
    <w:p>
      <w:pPr>
        <w:ind w:firstLine="1296"/>
        <w:spacing w:after="0" w:line="228" w:lineRule="auto"/>
        <w:rPr>
          <w:sz w:val="20"/>
          <w:szCs w:val="20"/>
          <w:color w:val="auto"/>
        </w:rPr>
      </w:pPr>
      <w:r>
        <w:rPr>
          <w:rFonts w:ascii="Times New Roman" w:cs="Times New Roman" w:eastAsia="Times New Roman" w:hAnsi="Times New Roman"/>
          <w:sz w:val="20"/>
          <w:szCs w:val="20"/>
          <w:color w:val="010000"/>
        </w:rPr>
        <w:t xml:space="preserve">SECTION 3.02. </w:t>
      </w:r>
      <w:r>
        <w:rPr>
          <w:rFonts w:ascii="Times New Roman" w:cs="Times New Roman" w:eastAsia="Times New Roman" w:hAnsi="Times New Roman"/>
          <w:sz w:val="20"/>
          <w:szCs w:val="20"/>
          <w:u w:val="single" w:color="auto"/>
          <w:color w:val="000000"/>
        </w:rPr>
        <w:t>Authorization; Enforceability</w:t>
      </w:r>
      <w:r>
        <w:rPr>
          <w:rFonts w:ascii="Times New Roman" w:cs="Times New Roman" w:eastAsia="Times New Roman" w:hAnsi="Times New Roman"/>
          <w:sz w:val="20"/>
          <w:szCs w:val="20"/>
          <w:color w:val="000000"/>
        </w:rPr>
        <w:t>. The Transactions are within each Loan Party’s organizational powers and</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have been duly authorized by all necessary organizational actions and,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86</w:t>
      </w:r>
    </w:p>
    <w:p>
      <w:pPr>
        <w:sectPr>
          <w:pgSz w:w="11900" w:h="16838" w:orient="portrait"/>
          <w:cols w:equalWidth="0" w:num="1">
            <w:col w:w="11240"/>
          </w:cols>
          <w:pgMar w:left="320" w:top="1399"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20"/>
          <w:szCs w:val="20"/>
          <w:color w:val="auto"/>
        </w:rPr>
        <w:t>if required, actions by equity holders. The Loan Documents to which each Loan Party is a party have been duly executed and delivered by</w:t>
      </w:r>
    </w:p>
    <w:p>
      <w:pPr>
        <w:spacing w:after="0" w:line="204" w:lineRule="auto"/>
        <w:rPr>
          <w:sz w:val="20"/>
          <w:szCs w:val="20"/>
          <w:color w:val="auto"/>
        </w:rPr>
      </w:pPr>
      <w:r>
        <w:rPr>
          <w:rFonts w:ascii="Times New Roman" w:cs="Times New Roman" w:eastAsia="Times New Roman" w:hAnsi="Times New Roman"/>
          <w:sz w:val="20"/>
          <w:szCs w:val="20"/>
          <w:color w:val="auto"/>
        </w:rPr>
        <w:t>such Loan Party and constitute a legal, valid and binding obligation of such Loan Party, enforceable in accordance with its terms, subject to applicable bankruptcy, insolvency, reorganization, moratorium or other laws affecting creditors’ rights generally and subject to general</w:t>
      </w:r>
    </w:p>
    <w:p>
      <w:pPr>
        <w:spacing w:after="0" w:line="211" w:lineRule="auto"/>
        <w:rPr>
          <w:sz w:val="20"/>
          <w:szCs w:val="20"/>
          <w:color w:val="auto"/>
        </w:rPr>
      </w:pPr>
      <w:r>
        <w:rPr>
          <w:rFonts w:ascii="Times New Roman" w:cs="Times New Roman" w:eastAsia="Times New Roman" w:hAnsi="Times New Roman"/>
          <w:sz w:val="20"/>
          <w:szCs w:val="20"/>
          <w:color w:val="auto"/>
        </w:rPr>
        <w:t>principles of equity, regardless of whether considered in a proceeding in equity or at law. Specifically but without limitation, Section 2.13(f)</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satisfies the requirements of Section 4 of the </w:t>
      </w:r>
      <w:r>
        <w:rPr>
          <w:rFonts w:ascii="Times New Roman" w:cs="Times New Roman" w:eastAsia="Times New Roman" w:hAnsi="Times New Roman"/>
          <w:sz w:val="20"/>
          <w:szCs w:val="20"/>
          <w:i w:val="1"/>
          <w:iCs w:val="1"/>
          <w:color w:val="auto"/>
        </w:rPr>
        <w:t>Interest Act</w:t>
      </w:r>
      <w:r>
        <w:rPr>
          <w:rFonts w:ascii="Times New Roman" w:cs="Times New Roman" w:eastAsia="Times New Roman" w:hAnsi="Times New Roman"/>
          <w:sz w:val="20"/>
          <w:szCs w:val="20"/>
          <w:color w:val="auto"/>
        </w:rPr>
        <w:t xml:space="preserve"> (Canada) to the extent it applies to the expression or statement of any interest payable under any Loan Document, and each Canadian Borrower is able to calculate the yearly rate or percentage of interest payable under</w:t>
      </w:r>
    </w:p>
    <w:p>
      <w:pPr>
        <w:spacing w:after="0" w:line="211" w:lineRule="auto"/>
        <w:rPr>
          <w:sz w:val="20"/>
          <w:szCs w:val="20"/>
          <w:color w:val="auto"/>
        </w:rPr>
      </w:pPr>
      <w:r>
        <w:rPr>
          <w:rFonts w:ascii="Times New Roman" w:cs="Times New Roman" w:eastAsia="Times New Roman" w:hAnsi="Times New Roman"/>
          <w:sz w:val="20"/>
          <w:szCs w:val="20"/>
          <w:color w:val="auto"/>
        </w:rPr>
        <w:t>any Loan Document based upon the methodology set out in such Section.</w:t>
      </w:r>
    </w:p>
    <w:p>
      <w:pPr>
        <w:spacing w:after="0" w:line="1" w:lineRule="exact"/>
        <w:rPr>
          <w:sz w:val="20"/>
          <w:szCs w:val="20"/>
          <w:color w:val="auto"/>
        </w:rPr>
      </w:pPr>
    </w:p>
    <w:p>
      <w:pPr>
        <w:ind w:firstLine="1296"/>
        <w:spacing w:after="0" w:line="204" w:lineRule="auto"/>
        <w:rPr>
          <w:sz w:val="20"/>
          <w:szCs w:val="20"/>
          <w:color w:val="auto"/>
        </w:rPr>
      </w:pPr>
      <w:r>
        <w:rPr>
          <w:rFonts w:ascii="Times New Roman" w:cs="Times New Roman" w:eastAsia="Times New Roman" w:hAnsi="Times New Roman"/>
          <w:sz w:val="20"/>
          <w:szCs w:val="20"/>
          <w:color w:val="010000"/>
        </w:rPr>
        <w:t xml:space="preserve">SECTION 3.03. </w:t>
      </w:r>
      <w:r>
        <w:rPr>
          <w:rFonts w:ascii="Times New Roman" w:cs="Times New Roman" w:eastAsia="Times New Roman" w:hAnsi="Times New Roman"/>
          <w:sz w:val="20"/>
          <w:szCs w:val="20"/>
          <w:u w:val="single" w:color="auto"/>
          <w:color w:val="000000"/>
        </w:rPr>
        <w:t>Governmental Approvals; No Conflicts</w:t>
      </w:r>
      <w:r>
        <w:rPr>
          <w:rFonts w:ascii="Times New Roman" w:cs="Times New Roman" w:eastAsia="Times New Roman" w:hAnsi="Times New Roman"/>
          <w:sz w:val="20"/>
          <w:szCs w:val="20"/>
          <w:color w:val="000000"/>
        </w:rPr>
        <w:t>. The Transactions (a) do not require any consent or approval of,</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registration or filing with, or any other action by, any Governmental Authority, except such as have been obtained or made and are in full</w:t>
      </w:r>
    </w:p>
    <w:p>
      <w:pPr>
        <w:spacing w:after="0" w:line="211" w:lineRule="auto"/>
        <w:rPr>
          <w:sz w:val="20"/>
          <w:szCs w:val="20"/>
          <w:color w:val="auto"/>
        </w:rPr>
      </w:pPr>
      <w:r>
        <w:rPr>
          <w:rFonts w:ascii="Times New Roman" w:cs="Times New Roman" w:eastAsia="Times New Roman" w:hAnsi="Times New Roman"/>
          <w:sz w:val="20"/>
          <w:szCs w:val="20"/>
          <w:color w:val="auto"/>
        </w:rPr>
        <w:t>force and effect, (b) will not violate any applicable law or regulation or the charter, by-laws or other organizational documents of the</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Company or any of its Subsidiaries or any order of any Governmental Authority, (c) will not violate or result in a default under any indenture, agreement or other instrument binding upon the Company or any of its Subsidiaries or its assets, or give rise to a right thereunder to require</w:t>
      </w:r>
    </w:p>
    <w:p>
      <w:pPr>
        <w:spacing w:after="0" w:line="211" w:lineRule="auto"/>
        <w:rPr>
          <w:sz w:val="20"/>
          <w:szCs w:val="20"/>
          <w:color w:val="auto"/>
        </w:rPr>
      </w:pPr>
      <w:r>
        <w:rPr>
          <w:rFonts w:ascii="Times New Roman" w:cs="Times New Roman" w:eastAsia="Times New Roman" w:hAnsi="Times New Roman"/>
          <w:sz w:val="20"/>
          <w:szCs w:val="20"/>
          <w:color w:val="auto"/>
        </w:rPr>
        <w:t>any payment to be made by the Company or any of its Subsidiaries, and (d) will not result in the creation or imposition of any Lien on any</w:t>
      </w:r>
    </w:p>
    <w:p>
      <w:pPr>
        <w:spacing w:after="0" w:line="204" w:lineRule="auto"/>
        <w:rPr>
          <w:sz w:val="20"/>
          <w:szCs w:val="20"/>
          <w:color w:val="auto"/>
        </w:rPr>
      </w:pPr>
      <w:r>
        <w:rPr>
          <w:rFonts w:ascii="Times New Roman" w:cs="Times New Roman" w:eastAsia="Times New Roman" w:hAnsi="Times New Roman"/>
          <w:sz w:val="20"/>
          <w:szCs w:val="20"/>
          <w:color w:val="auto"/>
        </w:rPr>
        <w:t>asset of the Company or any of its Subsidiaries. Each Subsidiary organized under the laws of England and Wales represents and warrants to the Lenders that its centre of main interest (as that term is used in Article 3(1) of the Regulation, as it has effect in the United Kingdom</w:t>
      </w:r>
    </w:p>
    <w:p>
      <w:pPr>
        <w:spacing w:after="0" w:line="211" w:lineRule="auto"/>
        <w:rPr>
          <w:sz w:val="20"/>
          <w:szCs w:val="20"/>
          <w:color w:val="auto"/>
        </w:rPr>
      </w:pPr>
      <w:r>
        <w:rPr>
          <w:rFonts w:ascii="Times New Roman" w:cs="Times New Roman" w:eastAsia="Times New Roman" w:hAnsi="Times New Roman"/>
          <w:sz w:val="20"/>
          <w:szCs w:val="20"/>
          <w:color w:val="auto"/>
        </w:rPr>
        <w:t>pursuant to the Insolvency (Amendment) (EU Exit) Regulations 2019 (as amended)) is in England and Wales and it has no Establishment in</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any other jurisdiction. Each Subsidiary organized under the laws of the Netherlands represents and warrants to the Lenders that its centre of main interest (as that term is used in Article 3(1) of the Regulation) is in the Netherlands and it has no Establishment in any other jurisdiction.</w:t>
      </w:r>
    </w:p>
    <w:p>
      <w:pPr>
        <w:jc w:val="both"/>
        <w:spacing w:after="0" w:line="215" w:lineRule="auto"/>
        <w:rPr>
          <w:sz w:val="20"/>
          <w:szCs w:val="20"/>
          <w:color w:val="auto"/>
        </w:rPr>
      </w:pPr>
      <w:r>
        <w:rPr>
          <w:rFonts w:ascii="Times New Roman" w:cs="Times New Roman" w:eastAsia="Times New Roman" w:hAnsi="Times New Roman"/>
          <w:sz w:val="19"/>
          <w:szCs w:val="19"/>
          <w:color w:val="auto"/>
        </w:rPr>
        <w:t>Each Subsidiary organized under the laws of Germany represents and warrants to the Lenders that it maintains its centre of main interests (as defined in Council Regulation (EC) No 1346/2000 of 29 May 2000 on insolvency proceedings (as amended or superseded from time to time,</w:t>
      </w:r>
    </w:p>
    <w:p>
      <w:pPr>
        <w:spacing w:after="0" w:line="204" w:lineRule="auto"/>
        <w:rPr>
          <w:sz w:val="20"/>
          <w:szCs w:val="20"/>
          <w:color w:val="auto"/>
        </w:rPr>
      </w:pPr>
      <w:r>
        <w:rPr>
          <w:rFonts w:ascii="Times New Roman" w:cs="Times New Roman" w:eastAsia="Times New Roman" w:hAnsi="Times New Roman"/>
          <w:sz w:val="20"/>
          <w:szCs w:val="20"/>
          <w:color w:val="auto"/>
        </w:rPr>
        <w:t>e.g., pursuant to Regulation (EU) No 2015/848 of the European Parliament and of the Council of 20 May 2015 on insolvency proceedings)) in Germany.</w:t>
      </w:r>
    </w:p>
    <w:p>
      <w:pPr>
        <w:spacing w:after="0" w:line="1" w:lineRule="exact"/>
        <w:rPr>
          <w:sz w:val="20"/>
          <w:szCs w:val="20"/>
          <w:color w:val="auto"/>
        </w:rPr>
      </w:pPr>
    </w:p>
    <w:p>
      <w:pPr>
        <w:ind w:firstLine="1296"/>
        <w:spacing w:after="0" w:line="211" w:lineRule="auto"/>
        <w:rPr>
          <w:sz w:val="20"/>
          <w:szCs w:val="20"/>
          <w:color w:val="auto"/>
        </w:rPr>
      </w:pPr>
      <w:r>
        <w:rPr>
          <w:rFonts w:ascii="Times New Roman" w:cs="Times New Roman" w:eastAsia="Times New Roman" w:hAnsi="Times New Roman"/>
          <w:sz w:val="20"/>
          <w:szCs w:val="20"/>
          <w:color w:val="010000"/>
        </w:rPr>
        <w:t xml:space="preserve">SECTION 3.04. </w:t>
      </w:r>
      <w:r>
        <w:rPr>
          <w:rFonts w:ascii="Times New Roman" w:cs="Times New Roman" w:eastAsia="Times New Roman" w:hAnsi="Times New Roman"/>
          <w:sz w:val="20"/>
          <w:szCs w:val="20"/>
          <w:u w:val="single" w:color="auto"/>
          <w:color w:val="000000"/>
        </w:rPr>
        <w:t>Financial Condition; No Material Adverse Change</w:t>
      </w:r>
      <w:r>
        <w:rPr>
          <w:rFonts w:ascii="Times New Roman" w:cs="Times New Roman" w:eastAsia="Times New Roman" w:hAnsi="Times New Roman"/>
          <w:sz w:val="20"/>
          <w:szCs w:val="20"/>
          <w:color w:val="000000"/>
        </w:rPr>
        <w:t>. The Company has heretofore furnished to the Lenders</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its consolidated balance sheet and statements of income, stockholders equity and cash flows (i) as of and for the fiscal year ended</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December 31, 2025 reported on by Ernst &amp; Young LLP, independent public accountants, and (ii) as of and for the fiscal quarters and the portion of the fiscal year ended March 31, 2026, certified by its chief financial officer. Such financial statements present fairly, in all material</w:t>
      </w:r>
    </w:p>
    <w:p>
      <w:pPr>
        <w:spacing w:after="0" w:line="222" w:lineRule="auto"/>
        <w:rPr>
          <w:sz w:val="20"/>
          <w:szCs w:val="20"/>
          <w:color w:val="auto"/>
        </w:rPr>
      </w:pPr>
      <w:r>
        <w:rPr>
          <w:rFonts w:ascii="Times New Roman" w:cs="Times New Roman" w:eastAsia="Times New Roman" w:hAnsi="Times New Roman"/>
          <w:sz w:val="19"/>
          <w:szCs w:val="19"/>
          <w:color w:val="auto"/>
        </w:rPr>
        <w:t>respects, the financial position and results of operations and cash flows of the Company and its consolidated Subsidiaries as of such dates and</w:t>
      </w:r>
    </w:p>
    <w:p>
      <w:pPr>
        <w:ind w:right="20"/>
        <w:spacing w:after="0" w:line="204" w:lineRule="auto"/>
        <w:rPr>
          <w:sz w:val="20"/>
          <w:szCs w:val="20"/>
          <w:color w:val="auto"/>
        </w:rPr>
      </w:pPr>
      <w:r>
        <w:rPr>
          <w:rFonts w:ascii="Times New Roman" w:cs="Times New Roman" w:eastAsia="Times New Roman" w:hAnsi="Times New Roman"/>
          <w:sz w:val="20"/>
          <w:szCs w:val="20"/>
          <w:color w:val="auto"/>
        </w:rPr>
        <w:t>for such period in accordance with GAAP, subject to year-end audit adjustments and the absence of footnotes in the case of the statements referred to in clause (ii) above.</w:t>
      </w:r>
    </w:p>
    <w:p>
      <w:pPr>
        <w:spacing w:after="0" w:line="1" w:lineRule="exact"/>
        <w:rPr>
          <w:sz w:val="20"/>
          <w:szCs w:val="20"/>
          <w:color w:val="auto"/>
        </w:rPr>
      </w:pPr>
    </w:p>
    <w:p>
      <w:pPr>
        <w:ind w:left="660" w:firstLine="644"/>
        <w:spacing w:after="0" w:line="228" w:lineRule="auto"/>
        <w:tabs>
          <w:tab w:leader="none" w:pos="1860" w:val="left"/>
        </w:tabs>
        <w:numPr>
          <w:ilvl w:val="0"/>
          <w:numId w:val="10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Since December 31, 2025, there has been no material adverse change in, or a material adverse effect upon, the operations, business, properties, or financial condition of the Company and the Subsidiaries taken as a whole.</w:t>
      </w:r>
    </w:p>
    <w:p>
      <w:pPr>
        <w:spacing w:after="0" w:line="130" w:lineRule="exact"/>
        <w:rPr>
          <w:sz w:val="20"/>
          <w:szCs w:val="20"/>
          <w:color w:val="auto"/>
        </w:rPr>
      </w:pPr>
    </w:p>
    <w:p>
      <w:pPr>
        <w:ind w:left="1300"/>
        <w:spacing w:after="0"/>
        <w:tabs>
          <w:tab w:leader="none" w:pos="2860" w:val="left"/>
        </w:tabs>
        <w:rPr>
          <w:sz w:val="20"/>
          <w:szCs w:val="20"/>
          <w:color w:val="auto"/>
        </w:rPr>
      </w:pPr>
      <w:r>
        <w:rPr>
          <w:rFonts w:ascii="Times New Roman" w:cs="Times New Roman" w:eastAsia="Times New Roman" w:hAnsi="Times New Roman"/>
          <w:sz w:val="20"/>
          <w:szCs w:val="20"/>
          <w:color w:val="010000"/>
        </w:rPr>
        <w:t>SECTION 3.05.</w:t>
      </w:r>
      <w:r>
        <w:rPr>
          <w:sz w:val="20"/>
          <w:szCs w:val="20"/>
          <w:color w:val="auto"/>
        </w:rPr>
        <w:tab/>
      </w:r>
      <w:r>
        <w:rPr>
          <w:rFonts w:ascii="Times New Roman" w:cs="Times New Roman" w:eastAsia="Times New Roman" w:hAnsi="Times New Roman"/>
          <w:sz w:val="20"/>
          <w:szCs w:val="20"/>
          <w:u w:val="single" w:color="auto"/>
          <w:color w:val="auto"/>
        </w:rPr>
        <w:t>Properties</w:t>
      </w:r>
      <w:r>
        <w:rPr>
          <w:rFonts w:ascii="Times New Roman" w:cs="Times New Roman" w:eastAsia="Times New Roman" w:hAnsi="Times New Roman"/>
          <w:sz w:val="20"/>
          <w:szCs w:val="20"/>
          <w:color w:val="auto"/>
        </w:rPr>
        <w:t>. Each of the Company and its Subsidiaries has good title to (or, in the case of real property</w:t>
      </w:r>
    </w:p>
    <w:p>
      <w:pPr>
        <w:spacing w:after="0" w:line="204" w:lineRule="auto"/>
        <w:rPr>
          <w:sz w:val="20"/>
          <w:szCs w:val="20"/>
          <w:color w:val="auto"/>
        </w:rPr>
      </w:pPr>
      <w:r>
        <w:rPr>
          <w:rFonts w:ascii="Times New Roman" w:cs="Times New Roman" w:eastAsia="Times New Roman" w:hAnsi="Times New Roman"/>
          <w:sz w:val="20"/>
          <w:szCs w:val="20"/>
          <w:color w:val="auto"/>
        </w:rPr>
        <w:t>located in Germany, it is the sole legal and beneficial (</w:t>
      </w:r>
      <w:r>
        <w:rPr>
          <w:rFonts w:ascii="Times New Roman" w:cs="Times New Roman" w:eastAsia="Times New Roman" w:hAnsi="Times New Roman"/>
          <w:sz w:val="20"/>
          <w:szCs w:val="20"/>
          <w:i w:val="1"/>
          <w:iCs w:val="1"/>
          <w:color w:val="auto"/>
        </w:rPr>
        <w:t>wirtschaftlicher</w:t>
      </w:r>
      <w:r>
        <w:rPr>
          <w:rFonts w:ascii="Times New Roman" w:cs="Times New Roman" w:eastAsia="Times New Roman" w:hAnsi="Times New Roman"/>
          <w:sz w:val="20"/>
          <w:szCs w:val="20"/>
          <w:color w:val="auto"/>
        </w:rPr>
        <w:t>) owner of), or valid leasehold interests in, all its real and personal property material to its business, except for minor defects in title that do not interfere with its ability to conduct its business as currently</w:t>
      </w:r>
    </w:p>
    <w:p>
      <w:pPr>
        <w:spacing w:after="0" w:line="211" w:lineRule="auto"/>
        <w:rPr>
          <w:sz w:val="20"/>
          <w:szCs w:val="20"/>
          <w:color w:val="auto"/>
        </w:rPr>
      </w:pPr>
      <w:r>
        <w:rPr>
          <w:rFonts w:ascii="Times New Roman" w:cs="Times New Roman" w:eastAsia="Times New Roman" w:hAnsi="Times New Roman"/>
          <w:sz w:val="20"/>
          <w:szCs w:val="20"/>
          <w:color w:val="auto"/>
        </w:rPr>
        <w:t>conducted or to utilize such properties for their intended purposes.</w:t>
      </w:r>
    </w:p>
    <w:p>
      <w:pPr>
        <w:spacing w:after="0" w:line="1" w:lineRule="exact"/>
        <w:rPr>
          <w:sz w:val="20"/>
          <w:szCs w:val="20"/>
          <w:color w:val="auto"/>
        </w:rPr>
      </w:pPr>
    </w:p>
    <w:p>
      <w:pPr>
        <w:ind w:firstLine="1296"/>
        <w:spacing w:after="0" w:line="204" w:lineRule="auto"/>
        <w:rPr>
          <w:sz w:val="20"/>
          <w:szCs w:val="20"/>
          <w:color w:val="auto"/>
        </w:rPr>
      </w:pPr>
      <w:r>
        <w:rPr>
          <w:rFonts w:ascii="Times New Roman" w:cs="Times New Roman" w:eastAsia="Times New Roman" w:hAnsi="Times New Roman"/>
          <w:sz w:val="20"/>
          <w:szCs w:val="20"/>
          <w:color w:val="010000"/>
        </w:rPr>
        <w:t xml:space="preserve">SECTION 3.06. </w:t>
      </w:r>
      <w:r>
        <w:rPr>
          <w:rFonts w:ascii="Times New Roman" w:cs="Times New Roman" w:eastAsia="Times New Roman" w:hAnsi="Times New Roman"/>
          <w:sz w:val="20"/>
          <w:szCs w:val="20"/>
          <w:u w:val="single" w:color="auto"/>
          <w:color w:val="000000"/>
        </w:rPr>
        <w:t>Litigation, Environmental and Labor Matters</w:t>
      </w:r>
      <w:r>
        <w:rPr>
          <w:rFonts w:ascii="Times New Roman" w:cs="Times New Roman" w:eastAsia="Times New Roman" w:hAnsi="Times New Roman"/>
          <w:sz w:val="20"/>
          <w:szCs w:val="20"/>
          <w:color w:val="000000"/>
        </w:rPr>
        <w:t>. There are no actions, suits or proceedings by or before any</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arbitrator or Governmental Authority pending against or, to the knowledge of any Borrower, threatened against or affecting the Company or</w:t>
      </w:r>
    </w:p>
    <w:p>
      <w:pPr>
        <w:spacing w:after="0" w:line="211" w:lineRule="auto"/>
        <w:rPr>
          <w:sz w:val="20"/>
          <w:szCs w:val="20"/>
          <w:color w:val="auto"/>
        </w:rPr>
      </w:pPr>
      <w:r>
        <w:rPr>
          <w:rFonts w:ascii="Times New Roman" w:cs="Times New Roman" w:eastAsia="Times New Roman" w:hAnsi="Times New Roman"/>
          <w:sz w:val="20"/>
          <w:szCs w:val="20"/>
          <w:color w:val="auto"/>
        </w:rPr>
        <w:t>any of its Subsidiaries (i) as to which there is a reasonable possibility of an adverse determination and that, if adversely determined, could</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reasonably be expected, individually or in the aggregate, to result in a Material Adverse Effect or (ii) that could have a material adverse effect on the rights or remedies of the Administrative Agent or the Lenders or on the ability of any Borrower to perform its obligations to them</w:t>
      </w:r>
    </w:p>
    <w:p>
      <w:pPr>
        <w:spacing w:after="0" w:line="225" w:lineRule="auto"/>
        <w:rPr>
          <w:sz w:val="20"/>
          <w:szCs w:val="20"/>
          <w:color w:val="auto"/>
        </w:rPr>
      </w:pPr>
      <w:r>
        <w:rPr>
          <w:rFonts w:ascii="Times New Roman" w:cs="Times New Roman" w:eastAsia="Times New Roman" w:hAnsi="Times New Roman"/>
          <w:sz w:val="20"/>
          <w:szCs w:val="20"/>
          <w:color w:val="auto"/>
        </w:rPr>
        <w:t>hereunder and under the other Loan Documents to which it is, or will be, a party.</w:t>
      </w:r>
    </w:p>
    <w:p>
      <w:pPr>
        <w:jc w:val="both"/>
        <w:ind w:left="660" w:firstLine="644"/>
        <w:spacing w:after="0" w:line="249" w:lineRule="auto"/>
        <w:tabs>
          <w:tab w:leader="none" w:pos="1739" w:val="left"/>
        </w:tabs>
        <w:numPr>
          <w:ilvl w:val="0"/>
          <w:numId w:val="10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Except with respect to any matters that, individually or in the aggregate, could not reasonably be expected to result in a Material Adverse Effect, neither the Company nor any of its Subsidiaries (i) has failed to comply with any Environmental Law or to obtain, maintain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87</w:t>
      </w:r>
    </w:p>
    <w:p>
      <w:pPr>
        <w:sectPr>
          <w:pgSz w:w="11900" w:h="16838" w:orient="portrait"/>
          <w:cols w:equalWidth="0" w:num="1">
            <w:col w:w="11240"/>
          </w:cols>
          <w:pgMar w:left="320" w:top="1394" w:right="339" w:bottom="1440" w:gutter="0" w:footer="0" w:header="0"/>
        </w:sectPr>
      </w:pPr>
    </w:p>
    <w:bookmarkStart w:id="96" w:name="page97"/>
    <w:bookmarkEnd w:id="96"/>
    <w:p>
      <w:pPr>
        <w:jc w:val="both"/>
        <w:ind w:left="660"/>
        <w:spacing w:after="0" w:line="261" w:lineRule="auto"/>
        <w:rPr>
          <w:sz w:val="20"/>
          <w:szCs w:val="20"/>
          <w:color w:val="auto"/>
        </w:rPr>
      </w:pPr>
      <w:r>
        <w:rPr>
          <w:rFonts w:ascii="Times New Roman" w:cs="Times New Roman" w:eastAsia="Times New Roman" w:hAnsi="Times New Roman"/>
          <w:sz w:val="20"/>
          <w:szCs w:val="20"/>
          <w:color w:val="auto"/>
        </w:rPr>
        <w:t>comply with any permit, license or other approval required under any Environmental Law, (ii) has become subject to any Environmental Liability, (iii) has received notice of any claim with respect to any Environmental Liability or (iv) knows of any basis for any Environmental Liability.</w:t>
      </w:r>
    </w:p>
    <w:p>
      <w:pPr>
        <w:spacing w:after="0" w:line="154"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0"/>
          <w:szCs w:val="20"/>
          <w:color w:val="010000"/>
        </w:rPr>
        <w:t xml:space="preserve">SECTION 3.07. </w:t>
      </w:r>
      <w:r>
        <w:rPr>
          <w:rFonts w:ascii="Times New Roman" w:cs="Times New Roman" w:eastAsia="Times New Roman" w:hAnsi="Times New Roman"/>
          <w:sz w:val="20"/>
          <w:szCs w:val="20"/>
          <w:u w:val="single" w:color="auto"/>
          <w:color w:val="000000"/>
        </w:rPr>
        <w:t>Compliance with Laws and Agreements</w:t>
      </w:r>
      <w:r>
        <w:rPr>
          <w:rFonts w:ascii="Times New Roman" w:cs="Times New Roman" w:eastAsia="Times New Roman" w:hAnsi="Times New Roman"/>
          <w:sz w:val="20"/>
          <w:szCs w:val="20"/>
          <w:color w:val="000000"/>
        </w:rPr>
        <w:t>. Each of the Company and its Subsidiaries is in compliance with</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all laws, regulations and orders of any Governmental Authority applicable to it or its property and all indentures, agreements and other instruments binding upon it or its property, except where the failure to do so, individually or in the aggregate, could not reasonably be expected to result in a Material Adverse Effect.</w:t>
      </w:r>
    </w:p>
    <w:p>
      <w:pPr>
        <w:jc w:val="both"/>
        <w:ind w:firstLine="1304"/>
        <w:spacing w:after="0" w:line="250" w:lineRule="auto"/>
        <w:tabs>
          <w:tab w:leader="none" w:pos="1819" w:val="left"/>
        </w:tabs>
        <w:numPr>
          <w:ilvl w:val="0"/>
          <w:numId w:val="10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No Loan Party (i) is a person whose property or interest in property is blocked or subject to blocking pursuant to Section 1 of Executive Order 13224 of September 23, 2001 Blocking Property and Prohibiting Transactions With Persons Who Commit, Threaten to Commit, or Support Terrorism (66 Fed. Reg. 49079 (2001)), (ii) engages in any dealings or transactions prohibited by Section 2 of such executive order, or is otherwise associated with any such person in any manner violative of Section 2, or (iii) is a person on the list of Specially Designated Nationals and Blocked Persons or subject to the limitations or prohibitions under any other U.S. Department of Treasury’s Office of Foreign Assets Control regulation or executive order.</w:t>
      </w:r>
    </w:p>
    <w:p>
      <w:pPr>
        <w:spacing w:after="0" w:line="167" w:lineRule="exact"/>
        <w:rPr>
          <w:rFonts w:ascii="Times New Roman" w:cs="Times New Roman" w:eastAsia="Times New Roman" w:hAnsi="Times New Roman"/>
          <w:sz w:val="20"/>
          <w:szCs w:val="20"/>
          <w:color w:val="010000"/>
        </w:rPr>
      </w:pPr>
    </w:p>
    <w:p>
      <w:pPr>
        <w:jc w:val="both"/>
        <w:ind w:firstLine="1304"/>
        <w:spacing w:after="0" w:line="253" w:lineRule="auto"/>
        <w:tabs>
          <w:tab w:leader="none" w:pos="1754" w:val="left"/>
        </w:tabs>
        <w:numPr>
          <w:ilvl w:val="0"/>
          <w:numId w:val="10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Loan Party is in compliance, in all material respects, with (i) the Trading with the Enemy Act, as amended, and each of the foreign assets control regulations of the United States Treasury Department (31 CFR, Subtitle B, Chapter V, as amended) and any other enabling legislation or executive order relating thereto, and (ii) the Patriot Act. No part of the proceeds of the Loans will be used, directly or indirectly,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 as amended.</w:t>
      </w:r>
    </w:p>
    <w:p>
      <w:pPr>
        <w:spacing w:after="0" w:line="152" w:lineRule="exact"/>
        <w:rPr>
          <w:sz w:val="20"/>
          <w:szCs w:val="20"/>
          <w:color w:val="auto"/>
        </w:rPr>
      </w:pPr>
    </w:p>
    <w:p>
      <w:pPr>
        <w:ind w:right="20" w:firstLine="1296"/>
        <w:spacing w:after="0" w:line="222" w:lineRule="auto"/>
        <w:rPr>
          <w:sz w:val="20"/>
          <w:szCs w:val="20"/>
          <w:color w:val="auto"/>
        </w:rPr>
      </w:pPr>
      <w:r>
        <w:rPr>
          <w:rFonts w:ascii="Times New Roman" w:cs="Times New Roman" w:eastAsia="Times New Roman" w:hAnsi="Times New Roman"/>
          <w:sz w:val="20"/>
          <w:szCs w:val="20"/>
          <w:color w:val="010000"/>
        </w:rPr>
        <w:t xml:space="preserve">SECTION 3.08. </w:t>
      </w:r>
      <w:r>
        <w:rPr>
          <w:rFonts w:ascii="Times New Roman" w:cs="Times New Roman" w:eastAsia="Times New Roman" w:hAnsi="Times New Roman"/>
          <w:sz w:val="20"/>
          <w:szCs w:val="20"/>
          <w:u w:val="single" w:color="auto"/>
          <w:color w:val="000000"/>
        </w:rPr>
        <w:t>Investment Company Status</w:t>
      </w:r>
      <w:r>
        <w:rPr>
          <w:rFonts w:ascii="Times New Roman" w:cs="Times New Roman" w:eastAsia="Times New Roman" w:hAnsi="Times New Roman"/>
          <w:sz w:val="20"/>
          <w:szCs w:val="20"/>
          <w:color w:val="000000"/>
        </w:rPr>
        <w:t>. No Loan Party is an “investment company” as defined in, or subject to</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regulation under, the Investment Company Act of 1940.</w:t>
      </w:r>
    </w:p>
    <w:p>
      <w:pPr>
        <w:spacing w:after="0" w:line="2" w:lineRule="exact"/>
        <w:rPr>
          <w:sz w:val="20"/>
          <w:szCs w:val="20"/>
          <w:color w:val="auto"/>
        </w:rPr>
      </w:pPr>
    </w:p>
    <w:p>
      <w:pPr>
        <w:ind w:firstLine="1296"/>
        <w:spacing w:after="0" w:line="204" w:lineRule="auto"/>
        <w:rPr>
          <w:sz w:val="20"/>
          <w:szCs w:val="20"/>
          <w:color w:val="auto"/>
        </w:rPr>
      </w:pPr>
      <w:r>
        <w:rPr>
          <w:rFonts w:ascii="Times New Roman" w:cs="Times New Roman" w:eastAsia="Times New Roman" w:hAnsi="Times New Roman"/>
          <w:sz w:val="20"/>
          <w:szCs w:val="20"/>
          <w:color w:val="010000"/>
        </w:rPr>
        <w:t xml:space="preserve">SECTION 3.09. </w:t>
      </w:r>
      <w:r>
        <w:rPr>
          <w:rFonts w:ascii="Times New Roman" w:cs="Times New Roman" w:eastAsia="Times New Roman" w:hAnsi="Times New Roman"/>
          <w:sz w:val="20"/>
          <w:szCs w:val="20"/>
          <w:u w:val="single" w:color="auto"/>
          <w:color w:val="000000"/>
        </w:rPr>
        <w:t>Taxes and UK Taxes</w:t>
      </w:r>
      <w:r>
        <w:rPr>
          <w:rFonts w:ascii="Times New Roman" w:cs="Times New Roman" w:eastAsia="Times New Roman" w:hAnsi="Times New Roman"/>
          <w:sz w:val="20"/>
          <w:szCs w:val="20"/>
          <w:color w:val="000000"/>
        </w:rPr>
        <w:t>. Each of the Company and its Subsidiaries has timely filed or caused to be filed all</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Tax or UK Tax returns and reports required to have been filed and has paid or caused to be paid all Taxes and UK Taxes required to have</w:t>
      </w:r>
    </w:p>
    <w:p>
      <w:pPr>
        <w:spacing w:after="0" w:line="211" w:lineRule="auto"/>
        <w:rPr>
          <w:sz w:val="20"/>
          <w:szCs w:val="20"/>
          <w:color w:val="auto"/>
        </w:rPr>
      </w:pPr>
      <w:r>
        <w:rPr>
          <w:rFonts w:ascii="Times New Roman" w:cs="Times New Roman" w:eastAsia="Times New Roman" w:hAnsi="Times New Roman"/>
          <w:sz w:val="20"/>
          <w:szCs w:val="20"/>
          <w:color w:val="auto"/>
        </w:rPr>
        <w:t>been paid by it, except (a) Taxes or UK Taxes that are being contested in good faith by appropriate proceedings and for which the Company</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or such Subsidiary, as applicable, has set aside on its books adequate reserves or (b) to the extent that the failure to do so could not reasonably be expected to result in a Material Adverse Effect.</w:t>
      </w:r>
    </w:p>
    <w:p>
      <w:pPr>
        <w:ind w:left="1300"/>
        <w:spacing w:after="0" w:line="211" w:lineRule="auto"/>
        <w:tabs>
          <w:tab w:leader="none" w:pos="2800" w:val="left"/>
        </w:tabs>
        <w:rPr>
          <w:sz w:val="20"/>
          <w:szCs w:val="20"/>
          <w:color w:val="auto"/>
        </w:rPr>
      </w:pPr>
      <w:r>
        <w:rPr>
          <w:rFonts w:ascii="Times New Roman" w:cs="Times New Roman" w:eastAsia="Times New Roman" w:hAnsi="Times New Roman"/>
          <w:sz w:val="20"/>
          <w:szCs w:val="20"/>
          <w:color w:val="010000"/>
        </w:rPr>
        <w:t>SECTION 3.10.</w:t>
      </w:r>
      <w:r>
        <w:rPr>
          <w:sz w:val="20"/>
          <w:szCs w:val="20"/>
          <w:color w:val="auto"/>
        </w:rPr>
        <w:tab/>
      </w:r>
      <w:r>
        <w:rPr>
          <w:rFonts w:ascii="Times New Roman" w:cs="Times New Roman" w:eastAsia="Times New Roman" w:hAnsi="Times New Roman"/>
          <w:sz w:val="20"/>
          <w:szCs w:val="20"/>
          <w:u w:val="single" w:color="auto"/>
          <w:color w:val="auto"/>
        </w:rPr>
        <w:t>ERISA; Non-U.S. Pension Plans</w:t>
      </w:r>
      <w:r>
        <w:rPr>
          <w:rFonts w:ascii="Times New Roman" w:cs="Times New Roman" w:eastAsia="Times New Roman" w:hAnsi="Times New Roman"/>
          <w:sz w:val="20"/>
          <w:szCs w:val="20"/>
          <w:color w:val="auto"/>
        </w:rPr>
        <w:t>. No ERISA Event has occurred or is reasonably expected to occur that,</w:t>
      </w:r>
    </w:p>
    <w:p>
      <w:pPr>
        <w:spacing w:after="0" w:line="1" w:lineRule="exact"/>
        <w:rPr>
          <w:sz w:val="20"/>
          <w:szCs w:val="20"/>
          <w:color w:val="auto"/>
        </w:rPr>
      </w:pPr>
    </w:p>
    <w:p>
      <w:pPr>
        <w:spacing w:after="0" w:line="218" w:lineRule="auto"/>
        <w:rPr>
          <w:sz w:val="20"/>
          <w:szCs w:val="20"/>
          <w:color w:val="auto"/>
        </w:rPr>
      </w:pPr>
      <w:r>
        <w:rPr>
          <w:rFonts w:ascii="Times New Roman" w:cs="Times New Roman" w:eastAsia="Times New Roman" w:hAnsi="Times New Roman"/>
          <w:sz w:val="20"/>
          <w:szCs w:val="20"/>
          <w:color w:val="auto"/>
        </w:rPr>
        <w:t>when taken together with all other such ERISA Events for which liability is reasonably expected to occur, could reasonably be expected to result in a Material Adverse Effect.</w:t>
      </w:r>
    </w:p>
    <w:p>
      <w:pPr>
        <w:spacing w:after="0" w:line="1" w:lineRule="exact"/>
        <w:rPr>
          <w:sz w:val="20"/>
          <w:szCs w:val="20"/>
          <w:color w:val="auto"/>
        </w:rPr>
      </w:pPr>
    </w:p>
    <w:p>
      <w:pPr>
        <w:jc w:val="both"/>
        <w:ind w:firstLine="1304"/>
        <w:spacing w:after="0" w:line="278" w:lineRule="auto"/>
        <w:tabs>
          <w:tab w:leader="none" w:pos="1835" w:val="left"/>
        </w:tabs>
        <w:numPr>
          <w:ilvl w:val="0"/>
          <w:numId w:val="10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Non-U.S. Pension Plan is in compliance with all requirements of law applicable thereto and the respective requirements of the governing documents for such plan except to the extent such non-compliance could not reasonably be expected to result in a Material Adverse Effect. With respect to each Non-U.S. Pension Plan, none of the Company, its Affiliates or any of their directors, officers, employees or agents has engaged in a transaction, or other act or omission (including entering into this Agreement and any act done or to be done in connection with this Agreement), that has subjected, or could reasonably be expected to subject, the Company or any of its Subsidiaries, directly or indirectly, to any penalty (including any tax or civil penalty), fine, claim or other liability (including any liability under a contribution notice or financial support direction (as those terms are defined in the United Kingdom Pensions Act 2004) or in relation to the exercise of any Criminal Pension Power),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88</w:t>
      </w:r>
    </w:p>
    <w:p>
      <w:pPr>
        <w:sectPr>
          <w:pgSz w:w="11900" w:h="16838" w:orient="portrait"/>
          <w:cols w:equalWidth="0" w:num="1">
            <w:col w:w="11240"/>
          </w:cols>
          <w:pgMar w:left="320" w:top="1413" w:right="339" w:bottom="1440" w:gutter="0" w:footer="0" w:header="0"/>
        </w:sectPr>
      </w:pPr>
    </w:p>
    <w:bookmarkStart w:id="97" w:name="page98"/>
    <w:bookmarkEnd w:id="97"/>
    <w:p>
      <w:pPr>
        <w:jc w:val="both"/>
        <w:spacing w:after="0" w:line="281" w:lineRule="auto"/>
        <w:rPr>
          <w:sz w:val="20"/>
          <w:szCs w:val="20"/>
          <w:color w:val="auto"/>
        </w:rPr>
      </w:pPr>
      <w:r>
        <w:rPr>
          <w:rFonts w:ascii="Times New Roman" w:cs="Times New Roman" w:eastAsia="Times New Roman" w:hAnsi="Times New Roman"/>
          <w:sz w:val="20"/>
          <w:szCs w:val="20"/>
          <w:color w:val="auto"/>
        </w:rPr>
        <w:t>liability or amount payable under section 75 or 75A of the United Kingdom Pensions Act 1995), that could reasonably be expected, individually or in the aggregate, to have a Material Adverse Effect and there are no facts or circumstances which may give rise to any such penalty, fine, claim, or other liability. With respect to each Non-U.S. Pension Plan, reserves have been established in the financial statements furnished to Lenders in respect of any unfunded liabilities in accordance with applicable law or, where required, in accordance with ordinary accounting practices in the jurisdiction in which such Non-U.S. Pension Plan is maintained. The aggregate unfunded liabilities with respect to such Non-U.S. Pension Plans could not reasonably be expected to result in a Material Adverse Effect before the date that, in relation to a Non-U.S. Pension Plan, if, (i) the entire debt is triggered under Section 75 or section 75A of the United Kingdom Pensions Act 1995 or (ii) a contribution notice or financial support direction is issued or any Criminal Pension Power is exercised in respect of any Non-U.S. Pension Plan. There are no actions, suits or claims (other than routine claims for benefits) pending against or, to the knowledge of any Borrower, threatened in writing against the Company or any of its Subsidiaries with respect to any Non-U.S. Pension Plan which could reasonably be expected, individually or in the aggregate, to result in a Material Adverse Effect.</w:t>
      </w:r>
    </w:p>
    <w:p>
      <w:pPr>
        <w:spacing w:after="0" w:line="170" w:lineRule="exact"/>
        <w:rPr>
          <w:sz w:val="20"/>
          <w:szCs w:val="20"/>
          <w:color w:val="auto"/>
        </w:rPr>
      </w:pPr>
    </w:p>
    <w:p>
      <w:pPr>
        <w:jc w:val="both"/>
        <w:ind w:firstLine="1296"/>
        <w:spacing w:after="0" w:line="279" w:lineRule="auto"/>
        <w:rPr>
          <w:sz w:val="20"/>
          <w:szCs w:val="20"/>
          <w:color w:val="auto"/>
        </w:rPr>
      </w:pPr>
      <w:r>
        <w:rPr>
          <w:rFonts w:ascii="Times New Roman" w:cs="Times New Roman" w:eastAsia="Times New Roman" w:hAnsi="Times New Roman"/>
          <w:sz w:val="20"/>
          <w:szCs w:val="20"/>
          <w:color w:val="010000"/>
        </w:rPr>
        <w:t xml:space="preserve">SECTION 3.11. </w:t>
      </w:r>
      <w:r>
        <w:rPr>
          <w:rFonts w:ascii="Times New Roman" w:cs="Times New Roman" w:eastAsia="Times New Roman" w:hAnsi="Times New Roman"/>
          <w:sz w:val="20"/>
          <w:szCs w:val="20"/>
          <w:u w:val="single" w:color="auto"/>
          <w:color w:val="000000"/>
        </w:rPr>
        <w:t>Disclosure</w:t>
      </w:r>
      <w:r>
        <w:rPr>
          <w:rFonts w:ascii="Times New Roman" w:cs="Times New Roman" w:eastAsia="Times New Roman" w:hAnsi="Times New Roman"/>
          <w:sz w:val="20"/>
          <w:szCs w:val="20"/>
          <w:color w:val="000000"/>
        </w:rPr>
        <w:t>. The Company has disclosed (directly or through disclosure in its reports filed with the SEC) to</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 xml:space="preserve">the Lenders all agreements, instruments and corporate or other restrictions to which it or any of its Subsidiaries is subject, and all other matters known to it, that, individually or in the aggregate, could reasonably be expected to result in a Material Adverse Effect. Neither the Information Memorandum nor any of the other reports, financial statements, certificates or other information furnished by or on behalf of the Company or any Subsidiary to the Administrative Agent or any Lender in connection with the negotiation of this Agreement or delivered hereunder (as modified or supplemented by other information so furnished) contains any material misstatement of fact or omits to state any material fact necessary to make the statements therein, in the light of the circumstances under which they were made, not misleading; </w:t>
      </w:r>
      <w:r>
        <w:rPr>
          <w:rFonts w:ascii="Times New Roman" w:cs="Times New Roman" w:eastAsia="Times New Roman" w:hAnsi="Times New Roman"/>
          <w:sz w:val="20"/>
          <w:szCs w:val="20"/>
          <w:u w:val="single" w:color="auto"/>
          <w:color w:val="000000"/>
        </w:rPr>
        <w:t>provided</w:t>
      </w:r>
      <w:r>
        <w:rPr>
          <w:rFonts w:ascii="Times New Roman" w:cs="Times New Roman" w:eastAsia="Times New Roman" w:hAnsi="Times New Roman"/>
          <w:sz w:val="20"/>
          <w:szCs w:val="20"/>
          <w:color w:val="000000"/>
        </w:rPr>
        <w:t xml:space="preserve"> that, with respect to projected financial information, the Borrowers represent only that such information was prepared in good faith based upon assumptions believed to be reasonable at the time. As of the Restatement Effective Date, to the best knowledge of the Company, the information included in the Beneficial Ownership Certification provided on or prior to the Restatement Effective Date to any Lender in connection with this Agreement is true and correct in all respects.</w:t>
      </w:r>
    </w:p>
    <w:p>
      <w:pPr>
        <w:spacing w:after="0" w:line="2" w:lineRule="exact"/>
        <w:rPr>
          <w:sz w:val="20"/>
          <w:szCs w:val="20"/>
          <w:color w:val="auto"/>
        </w:rPr>
      </w:pPr>
    </w:p>
    <w:p>
      <w:pPr>
        <w:jc w:val="both"/>
        <w:ind w:firstLine="1296"/>
        <w:spacing w:after="0" w:line="281" w:lineRule="auto"/>
        <w:rPr>
          <w:sz w:val="20"/>
          <w:szCs w:val="20"/>
          <w:color w:val="auto"/>
        </w:rPr>
      </w:pPr>
      <w:r>
        <w:rPr>
          <w:rFonts w:ascii="Times New Roman" w:cs="Times New Roman" w:eastAsia="Times New Roman" w:hAnsi="Times New Roman"/>
          <w:sz w:val="20"/>
          <w:szCs w:val="20"/>
          <w:color w:val="010000"/>
        </w:rPr>
        <w:t xml:space="preserve">SECTION 3.12. </w:t>
      </w:r>
      <w:r>
        <w:rPr>
          <w:rFonts w:ascii="Times New Roman" w:cs="Times New Roman" w:eastAsia="Times New Roman" w:hAnsi="Times New Roman"/>
          <w:sz w:val="20"/>
          <w:szCs w:val="20"/>
          <w:u w:val="single" w:color="auto"/>
          <w:color w:val="000000"/>
        </w:rPr>
        <w:t>Federal Reserve Regulations</w:t>
      </w:r>
      <w:r>
        <w:rPr>
          <w:rFonts w:ascii="Times New Roman" w:cs="Times New Roman" w:eastAsia="Times New Roman" w:hAnsi="Times New Roman"/>
          <w:sz w:val="20"/>
          <w:szCs w:val="20"/>
          <w:color w:val="000000"/>
        </w:rPr>
        <w:t>. No part of the proceeds of any Loan have been used or will be used, whether</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directly or indirectly, for any purpose that entails a violation of any of the Regulations of the Board, including Regulations T, U and X.</w:t>
      </w:r>
    </w:p>
    <w:p>
      <w:pPr>
        <w:spacing w:after="0" w:line="1"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0"/>
          <w:szCs w:val="20"/>
          <w:color w:val="010000"/>
        </w:rPr>
        <w:t xml:space="preserve">SECTION 3.13. </w:t>
      </w:r>
      <w:r>
        <w:rPr>
          <w:rFonts w:ascii="Times New Roman" w:cs="Times New Roman" w:eastAsia="Times New Roman" w:hAnsi="Times New Roman"/>
          <w:sz w:val="20"/>
          <w:szCs w:val="20"/>
          <w:u w:val="single" w:color="auto"/>
          <w:color w:val="000000"/>
        </w:rPr>
        <w:t>Liens</w:t>
      </w:r>
      <w:r>
        <w:rPr>
          <w:rFonts w:ascii="Times New Roman" w:cs="Times New Roman" w:eastAsia="Times New Roman" w:hAnsi="Times New Roman"/>
          <w:sz w:val="20"/>
          <w:szCs w:val="20"/>
          <w:color w:val="000000"/>
        </w:rPr>
        <w:t>. There are no Liens on any of the real or personal properties of the Company or any Subsidiary</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except for Liens permitted by Section 6.02.</w:t>
      </w:r>
    </w:p>
    <w:p>
      <w:pPr>
        <w:spacing w:after="0" w:line="1" w:lineRule="exact"/>
        <w:rPr>
          <w:sz w:val="20"/>
          <w:szCs w:val="20"/>
          <w:color w:val="auto"/>
        </w:rPr>
      </w:pPr>
    </w:p>
    <w:p>
      <w:pPr>
        <w:ind w:left="1300"/>
        <w:spacing w:after="0"/>
        <w:tabs>
          <w:tab w:leader="none" w:pos="2760" w:val="left"/>
        </w:tabs>
        <w:rPr>
          <w:sz w:val="20"/>
          <w:szCs w:val="20"/>
          <w:color w:val="auto"/>
        </w:rPr>
      </w:pPr>
      <w:r>
        <w:rPr>
          <w:rFonts w:ascii="Times New Roman" w:cs="Times New Roman" w:eastAsia="Times New Roman" w:hAnsi="Times New Roman"/>
          <w:sz w:val="20"/>
          <w:szCs w:val="20"/>
          <w:color w:val="010000"/>
        </w:rPr>
        <w:t>SECTION 3.14.</w:t>
      </w:r>
      <w:r>
        <w:rPr>
          <w:sz w:val="20"/>
          <w:szCs w:val="20"/>
          <w:color w:val="auto"/>
        </w:rPr>
        <w:tab/>
      </w:r>
      <w:r>
        <w:rPr>
          <w:rFonts w:ascii="Times New Roman" w:cs="Times New Roman" w:eastAsia="Times New Roman" w:hAnsi="Times New Roman"/>
          <w:sz w:val="19"/>
          <w:szCs w:val="19"/>
          <w:u w:val="single" w:color="auto"/>
          <w:color w:val="auto"/>
        </w:rPr>
        <w:t>No Default</w:t>
      </w:r>
      <w:r>
        <w:rPr>
          <w:rFonts w:ascii="Times New Roman" w:cs="Times New Roman" w:eastAsia="Times New Roman" w:hAnsi="Times New Roman"/>
          <w:sz w:val="19"/>
          <w:szCs w:val="19"/>
          <w:color w:val="auto"/>
        </w:rPr>
        <w:t>. No Default or Event of Default has occurred and is continuing.</w:t>
      </w:r>
    </w:p>
    <w:p>
      <w:pPr>
        <w:spacing w:after="0" w:line="38" w:lineRule="exact"/>
        <w:rPr>
          <w:sz w:val="20"/>
          <w:szCs w:val="20"/>
          <w:color w:val="auto"/>
        </w:rPr>
      </w:pPr>
    </w:p>
    <w:p>
      <w:pPr>
        <w:ind w:left="1300"/>
        <w:spacing w:after="0"/>
        <w:tabs>
          <w:tab w:leader="none" w:pos="2760" w:val="left"/>
        </w:tabs>
        <w:rPr>
          <w:sz w:val="20"/>
          <w:szCs w:val="20"/>
          <w:color w:val="auto"/>
        </w:rPr>
      </w:pPr>
      <w:r>
        <w:rPr>
          <w:rFonts w:ascii="Times New Roman" w:cs="Times New Roman" w:eastAsia="Times New Roman" w:hAnsi="Times New Roman"/>
          <w:sz w:val="20"/>
          <w:szCs w:val="20"/>
          <w:color w:val="010000"/>
        </w:rPr>
        <w:t>SECTION 3.15.</w:t>
      </w:r>
      <w:r>
        <w:rPr>
          <w:sz w:val="20"/>
          <w:szCs w:val="20"/>
          <w:color w:val="auto"/>
        </w:rPr>
        <w:tab/>
      </w:r>
      <w:r>
        <w:rPr>
          <w:rFonts w:ascii="Times New Roman" w:cs="Times New Roman" w:eastAsia="Times New Roman" w:hAnsi="Times New Roman"/>
          <w:sz w:val="19"/>
          <w:szCs w:val="19"/>
          <w:u w:val="single" w:color="auto"/>
          <w:color w:val="auto"/>
        </w:rPr>
        <w:t>Anti-Corruption Laws and Sanctions and Export Controls</w:t>
      </w:r>
      <w:r>
        <w:rPr>
          <w:rFonts w:ascii="Times New Roman" w:cs="Times New Roman" w:eastAsia="Times New Roman" w:hAnsi="Times New Roman"/>
          <w:sz w:val="19"/>
          <w:szCs w:val="19"/>
          <w:color w:val="auto"/>
        </w:rPr>
        <w:t>.</w:t>
      </w:r>
    </w:p>
    <w:p>
      <w:pPr>
        <w:spacing w:after="0" w:line="40" w:lineRule="exact"/>
        <w:rPr>
          <w:sz w:val="20"/>
          <w:szCs w:val="20"/>
          <w:color w:val="auto"/>
        </w:rPr>
      </w:pPr>
    </w:p>
    <w:p>
      <w:pPr>
        <w:jc w:val="both"/>
        <w:ind w:left="660" w:firstLine="644"/>
        <w:spacing w:after="0" w:line="286" w:lineRule="auto"/>
        <w:tabs>
          <w:tab w:leader="none" w:pos="1901" w:val="left"/>
        </w:tabs>
        <w:numPr>
          <w:ilvl w:val="0"/>
          <w:numId w:val="11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Company has implemented and maintains in effect policies and procedures reasonably designed to ensure compliance by the Company, its Subsidiaries and their respective directors, officers, employees and agents in each case only in relation to actions undertaken on the Company or its Subsidiaries’ behalf with applicable Anti-Corruption Laws, Export Controls and applicable Sanctions, and the Company, its Subsidiaries and their respective officers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89</w:t>
      </w:r>
    </w:p>
    <w:p>
      <w:pPr>
        <w:sectPr>
          <w:pgSz w:w="11900" w:h="16838" w:orient="portrait"/>
          <w:cols w:equalWidth="0" w:num="1">
            <w:col w:w="11240"/>
          </w:cols>
          <w:pgMar w:left="320" w:top="1426" w:right="339" w:bottom="1440" w:gutter="0" w:footer="0" w:header="0"/>
        </w:sectPr>
      </w:pPr>
    </w:p>
    <w:bookmarkStart w:id="98" w:name="page99"/>
    <w:bookmarkEnd w:id="98"/>
    <w:p>
      <w:pPr>
        <w:jc w:val="both"/>
        <w:ind w:left="660"/>
        <w:spacing w:after="0" w:line="301" w:lineRule="auto"/>
        <w:rPr>
          <w:sz w:val="20"/>
          <w:szCs w:val="20"/>
          <w:color w:val="auto"/>
        </w:rPr>
      </w:pPr>
      <w:r>
        <w:rPr>
          <w:rFonts w:ascii="Times New Roman" w:cs="Times New Roman" w:eastAsia="Times New Roman" w:hAnsi="Times New Roman"/>
          <w:sz w:val="19"/>
          <w:szCs w:val="19"/>
          <w:color w:val="auto"/>
        </w:rPr>
        <w:t>directors and to the knowledge of the Company its employees and agents, are in compliance with applicable Anti-Corruption Laws, Export Controls and Sanctions in all material respects and, in the case of any Foreign Subsidiary Borrower, is not knowingly engaged in any activity that could reasonably be expected to result in such Borrower being designated as a Sanctioned Person. None of (a) the Company, any Subsidiary or, to the knowledge of the Company or such Subsidiary any of their respective directors, officers or employees, or (b) to the knowledge of the Company, any agent of the Company or any Subsidiary that will act in any capacity in connection with or benefit from the credit facility established hereby, is a Sanctioned Person. No Borrowing or Letter of Credit, use of proceeds directly or indirectly or other Transactions will violate Anti-Corruption Laws or Sanctions applicable to any party hereto.</w:t>
      </w:r>
    </w:p>
    <w:p>
      <w:pPr>
        <w:spacing w:after="0" w:line="147" w:lineRule="exact"/>
        <w:rPr>
          <w:sz w:val="20"/>
          <w:szCs w:val="20"/>
          <w:color w:val="auto"/>
        </w:rPr>
      </w:pPr>
    </w:p>
    <w:p>
      <w:pPr>
        <w:jc w:val="both"/>
        <w:ind w:left="660" w:firstLine="644"/>
        <w:spacing w:after="0" w:line="281" w:lineRule="auto"/>
        <w:tabs>
          <w:tab w:leader="none" w:pos="1763" w:val="left"/>
        </w:tabs>
        <w:numPr>
          <w:ilvl w:val="0"/>
          <w:numId w:val="11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foregoing representations in this Section 3.15 will not apply to any party hereto to which (i) EU Regulation (EC) 2271/96 applies, (or any law or regulation implementing EU Regulation (EC) 2271/96 in any member state of the European Union) (the “</w:t>
      </w:r>
      <w:r>
        <w:rPr>
          <w:rFonts w:ascii="Times New Roman" w:cs="Times New Roman" w:eastAsia="Times New Roman" w:hAnsi="Times New Roman"/>
          <w:sz w:val="20"/>
          <w:szCs w:val="20"/>
          <w:u w:val="single" w:color="auto"/>
          <w:color w:val="auto"/>
        </w:rPr>
        <w:t>Blocking Law</w:t>
      </w:r>
      <w:r>
        <w:rPr>
          <w:rFonts w:ascii="Times New Roman" w:cs="Times New Roman" w:eastAsia="Times New Roman" w:hAnsi="Times New Roman"/>
          <w:sz w:val="20"/>
          <w:szCs w:val="20"/>
          <w:color w:val="auto"/>
        </w:rPr>
        <w:t>”), or (ii) the UK Protection of Trading Interests Legislation (“</w:t>
      </w:r>
      <w:r>
        <w:rPr>
          <w:rFonts w:ascii="Times New Roman" w:cs="Times New Roman" w:eastAsia="Times New Roman" w:hAnsi="Times New Roman"/>
          <w:sz w:val="20"/>
          <w:szCs w:val="20"/>
          <w:u w:val="single" w:color="auto"/>
          <w:color w:val="auto"/>
        </w:rPr>
        <w:t>UKPTIL</w:t>
      </w:r>
      <w:r>
        <w:rPr>
          <w:rFonts w:ascii="Times New Roman" w:cs="Times New Roman" w:eastAsia="Times New Roman" w:hAnsi="Times New Roman"/>
          <w:sz w:val="20"/>
          <w:szCs w:val="20"/>
          <w:color w:val="auto"/>
        </w:rPr>
        <w:t>”) applies, if and to the extent that such representations are or would be unenforceable by or in respect of that party pursuant to, or would otherwise result in a breach and/or violation of any provision of, the Blocking Law or the UKPTIL, as applicable. The representations and warranties in this Section 3.15 shall not be made by any German Borrower in so far as they would violate or expose any German Borrower or any of its Subsidiaries or any director, officer or employee thereof to any liability under any anti-boycott or blocking law, regulation or statute that is in force from time to time and applicable to such entity (including without limitation EU Regulation (EC) 2271/96 and Section 7 of the German Foreign Trade Ordinance (Verordnung zur Durchführung des Außenwirtschaftsgesetzes (</w:t>
      </w:r>
      <w:r>
        <w:rPr>
          <w:rFonts w:ascii="Times New Roman" w:cs="Times New Roman" w:eastAsia="Times New Roman" w:hAnsi="Times New Roman"/>
          <w:sz w:val="20"/>
          <w:szCs w:val="20"/>
          <w:i w:val="1"/>
          <w:iCs w:val="1"/>
          <w:color w:val="auto"/>
        </w:rPr>
        <w:t>Außenwirtschaftsverordnung – AWV</w:t>
      </w:r>
      <w:r>
        <w:rPr>
          <w:rFonts w:ascii="Times New Roman" w:cs="Times New Roman" w:eastAsia="Times New Roman" w:hAnsi="Times New Roman"/>
          <w:sz w:val="20"/>
          <w:szCs w:val="20"/>
          <w:color w:val="auto"/>
        </w:rPr>
        <w:t>))).</w:t>
      </w:r>
    </w:p>
    <w:p>
      <w:pPr>
        <w:spacing w:after="0" w:line="182" w:lineRule="exact"/>
        <w:rPr>
          <w:rFonts w:ascii="Times New Roman" w:cs="Times New Roman" w:eastAsia="Times New Roman" w:hAnsi="Times New Roman"/>
          <w:sz w:val="20"/>
          <w:szCs w:val="20"/>
          <w:color w:val="010000"/>
        </w:rPr>
      </w:pPr>
    </w:p>
    <w:p>
      <w:pPr>
        <w:jc w:val="both"/>
        <w:ind w:left="660" w:firstLine="644"/>
        <w:spacing w:after="0" w:line="284" w:lineRule="auto"/>
        <w:tabs>
          <w:tab w:leader="none" w:pos="1725" w:val="left"/>
        </w:tabs>
        <w:numPr>
          <w:ilvl w:val="0"/>
          <w:numId w:val="11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representations and warranties in this Section 3.15 given by any Borrower to any Lender that qualifies as a resident party domiciled in Germany (</w:t>
      </w:r>
      <w:r>
        <w:rPr>
          <w:rFonts w:ascii="Times New Roman" w:cs="Times New Roman" w:eastAsia="Times New Roman" w:hAnsi="Times New Roman"/>
          <w:sz w:val="20"/>
          <w:szCs w:val="20"/>
          <w:i w:val="1"/>
          <w:iCs w:val="1"/>
          <w:color w:val="auto"/>
        </w:rPr>
        <w:t>Inländer</w:t>
      </w:r>
      <w:r>
        <w:rPr>
          <w:rFonts w:ascii="Times New Roman" w:cs="Times New Roman" w:eastAsia="Times New Roman" w:hAnsi="Times New Roman"/>
          <w:sz w:val="20"/>
          <w:szCs w:val="20"/>
          <w:color w:val="auto"/>
        </w:rPr>
        <w:t>) within the meaning of Section 2 paragraph 15 German Foreign Trade Act (</w:t>
      </w:r>
      <w:r>
        <w:rPr>
          <w:rFonts w:ascii="Times New Roman" w:cs="Times New Roman" w:eastAsia="Times New Roman" w:hAnsi="Times New Roman"/>
          <w:sz w:val="20"/>
          <w:szCs w:val="20"/>
          <w:i w:val="1"/>
          <w:iCs w:val="1"/>
          <w:color w:val="auto"/>
        </w:rPr>
        <w:t>Außenwirtschaftsgesetz</w:t>
      </w:r>
      <w:r>
        <w:rPr>
          <w:rFonts w:ascii="Times New Roman" w:cs="Times New Roman" w:eastAsia="Times New Roman" w:hAnsi="Times New Roman"/>
          <w:sz w:val="20"/>
          <w:szCs w:val="20"/>
          <w:color w:val="auto"/>
        </w:rPr>
        <w:t>) are made only to the extent that any Lender domiciled in Germany (</w:t>
      </w:r>
      <w:r>
        <w:rPr>
          <w:rFonts w:ascii="Times New Roman" w:cs="Times New Roman" w:eastAsia="Times New Roman" w:hAnsi="Times New Roman"/>
          <w:sz w:val="20"/>
          <w:szCs w:val="20"/>
          <w:i w:val="1"/>
          <w:iCs w:val="1"/>
          <w:color w:val="auto"/>
        </w:rPr>
        <w:t>Inländer</w:t>
      </w:r>
      <w:r>
        <w:rPr>
          <w:rFonts w:ascii="Times New Roman" w:cs="Times New Roman" w:eastAsia="Times New Roman" w:hAnsi="Times New Roman"/>
          <w:sz w:val="20"/>
          <w:szCs w:val="20"/>
          <w:color w:val="auto"/>
        </w:rPr>
        <w:t>) within the meaning of Section 2 paragraph 15 German Foreign Trade Act (</w:t>
      </w:r>
      <w:r>
        <w:rPr>
          <w:rFonts w:ascii="Times New Roman" w:cs="Times New Roman" w:eastAsia="Times New Roman" w:hAnsi="Times New Roman"/>
          <w:sz w:val="20"/>
          <w:szCs w:val="20"/>
          <w:i w:val="1"/>
          <w:iCs w:val="1"/>
          <w:color w:val="auto"/>
        </w:rPr>
        <w:t>Außenwirtschaftsgesetz</w:t>
      </w:r>
      <w:r>
        <w:rPr>
          <w:rFonts w:ascii="Times New Roman" w:cs="Times New Roman" w:eastAsia="Times New Roman" w:hAnsi="Times New Roman"/>
          <w:sz w:val="20"/>
          <w:szCs w:val="20"/>
          <w:color w:val="auto"/>
        </w:rPr>
        <w:t>) would be permitted to make such undertakings pursuant to EU Regulation (EC) 2271/96 and Section 7 of the German Foreign Trade Ordinance (Verordnung zur Durchführung des Außenwirtschaftsgesetzes (</w:t>
      </w:r>
      <w:r>
        <w:rPr>
          <w:rFonts w:ascii="Times New Roman" w:cs="Times New Roman" w:eastAsia="Times New Roman" w:hAnsi="Times New Roman"/>
          <w:sz w:val="20"/>
          <w:szCs w:val="20"/>
          <w:i w:val="1"/>
          <w:iCs w:val="1"/>
          <w:color w:val="auto"/>
        </w:rPr>
        <w:t>Außenwirtschaftsverordnung – AWV</w:t>
      </w:r>
      <w:r>
        <w:rPr>
          <w:rFonts w:ascii="Times New Roman" w:cs="Times New Roman" w:eastAsia="Times New Roman" w:hAnsi="Times New Roman"/>
          <w:sz w:val="20"/>
          <w:szCs w:val="20"/>
          <w:color w:val="auto"/>
        </w:rPr>
        <w:t>).</w:t>
      </w:r>
    </w:p>
    <w:p>
      <w:pPr>
        <w:spacing w:after="0" w:line="163" w:lineRule="exact"/>
        <w:rPr>
          <w:sz w:val="20"/>
          <w:szCs w:val="20"/>
          <w:color w:val="auto"/>
        </w:rPr>
      </w:pPr>
    </w:p>
    <w:p>
      <w:pPr>
        <w:ind w:left="1300"/>
        <w:spacing w:after="0"/>
        <w:tabs>
          <w:tab w:leader="none" w:pos="2760" w:val="left"/>
        </w:tabs>
        <w:rPr>
          <w:sz w:val="20"/>
          <w:szCs w:val="20"/>
          <w:color w:val="auto"/>
        </w:rPr>
      </w:pPr>
      <w:r>
        <w:rPr>
          <w:rFonts w:ascii="Times New Roman" w:cs="Times New Roman" w:eastAsia="Times New Roman" w:hAnsi="Times New Roman"/>
          <w:sz w:val="20"/>
          <w:szCs w:val="20"/>
          <w:color w:val="010000"/>
        </w:rPr>
        <w:t>SECTION 3.16.</w:t>
      </w:r>
      <w:r>
        <w:rPr>
          <w:sz w:val="20"/>
          <w:szCs w:val="20"/>
          <w:color w:val="auto"/>
        </w:rPr>
        <w:tab/>
      </w:r>
      <w:r>
        <w:rPr>
          <w:rFonts w:ascii="Times New Roman" w:cs="Times New Roman" w:eastAsia="Times New Roman" w:hAnsi="Times New Roman"/>
          <w:sz w:val="19"/>
          <w:szCs w:val="19"/>
          <w:u w:val="single" w:color="auto"/>
          <w:color w:val="auto"/>
        </w:rPr>
        <w:t>Affected Financial Institutions</w:t>
      </w:r>
      <w:r>
        <w:rPr>
          <w:rFonts w:ascii="Times New Roman" w:cs="Times New Roman" w:eastAsia="Times New Roman" w:hAnsi="Times New Roman"/>
          <w:sz w:val="19"/>
          <w:szCs w:val="19"/>
          <w:color w:val="auto"/>
        </w:rPr>
        <w:t>. No Borrower is an Affected Financial Institution.</w:t>
      </w:r>
    </w:p>
    <w:p>
      <w:pPr>
        <w:spacing w:after="0" w:line="40" w:lineRule="exact"/>
        <w:rPr>
          <w:sz w:val="20"/>
          <w:szCs w:val="20"/>
          <w:color w:val="auto"/>
        </w:rPr>
      </w:pPr>
    </w:p>
    <w:p>
      <w:pPr>
        <w:jc w:val="both"/>
        <w:ind w:firstLine="1296"/>
        <w:spacing w:after="0" w:line="302" w:lineRule="auto"/>
        <w:rPr>
          <w:sz w:val="20"/>
          <w:szCs w:val="20"/>
          <w:color w:val="auto"/>
        </w:rPr>
      </w:pPr>
      <w:r>
        <w:rPr>
          <w:rFonts w:ascii="Times New Roman" w:cs="Times New Roman" w:eastAsia="Times New Roman" w:hAnsi="Times New Roman"/>
          <w:sz w:val="19"/>
          <w:szCs w:val="19"/>
          <w:color w:val="010000"/>
        </w:rPr>
        <w:t xml:space="preserve">SECTION 3.17. </w:t>
      </w:r>
      <w:r>
        <w:rPr>
          <w:rFonts w:ascii="Times New Roman" w:cs="Times New Roman" w:eastAsia="Times New Roman" w:hAnsi="Times New Roman"/>
          <w:sz w:val="19"/>
          <w:szCs w:val="19"/>
          <w:u w:val="single" w:color="auto"/>
          <w:color w:val="000000"/>
        </w:rPr>
        <w:t>Outbound Investment Rules</w:t>
      </w:r>
      <w:r>
        <w:rPr>
          <w:rFonts w:ascii="Times New Roman" w:cs="Times New Roman" w:eastAsia="Times New Roman" w:hAnsi="Times New Roman"/>
          <w:sz w:val="19"/>
          <w:szCs w:val="19"/>
          <w:color w:val="000000"/>
        </w:rPr>
        <w:t>. Neither the Company nor any of its Subsidiaries is a “covered foreign</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person’” as that term is used in the Outbound Investment Rules. Neither the Company nor any of its Subsidiaries currently engages, or has any present intention to engage in the future, directly or indirectly, in (i) a “covered activity” or a “covered transaction”, as each such term is defined in the Outbound Investment Rules, (ii) any activity or transaction that would constitute a “covered activity” or a “covered transaction”, as each such term is defined in the Outbound Investment Rules, if the Company or such Subsidiary were a U.S. Person or (iii) any other activity that would cause the Administrative Agent or any Lender to be in violation of the Outbound Investment Rules or cause the</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90</w:t>
      </w:r>
    </w:p>
    <w:p>
      <w:pPr>
        <w:sectPr>
          <w:pgSz w:w="11900" w:h="16838" w:orient="portrait"/>
          <w:cols w:equalWidth="0" w:num="1">
            <w:col w:w="11240"/>
          </w:cols>
          <w:pgMar w:left="320" w:top="1426" w:right="339" w:bottom="1440" w:gutter="0" w:footer="0" w:header="0"/>
        </w:sectPr>
      </w:pPr>
    </w:p>
    <w:bookmarkStart w:id="99" w:name="page100"/>
    <w:bookmarkEnd w:id="99"/>
    <w:p>
      <w:pPr>
        <w:jc w:val="both"/>
        <w:ind w:left="1300" w:hanging="1295"/>
        <w:spacing w:after="0" w:line="281" w:lineRule="auto"/>
        <w:rPr>
          <w:sz w:val="20"/>
          <w:szCs w:val="20"/>
          <w:color w:val="auto"/>
        </w:rPr>
      </w:pPr>
      <w:r>
        <w:rPr>
          <w:rFonts w:ascii="Times New Roman" w:cs="Times New Roman" w:eastAsia="Times New Roman" w:hAnsi="Times New Roman"/>
          <w:sz w:val="20"/>
          <w:szCs w:val="20"/>
          <w:color w:val="auto"/>
        </w:rPr>
        <w:t xml:space="preserve">Administrative Agent or any Lender to be legally prohibited by the Outbound Investment Rules from performing under this Agreement. </w:t>
      </w:r>
      <w:r>
        <w:rPr>
          <w:rFonts w:ascii="Times New Roman" w:cs="Times New Roman" w:eastAsia="Times New Roman" w:hAnsi="Times New Roman"/>
          <w:sz w:val="20"/>
          <w:szCs w:val="20"/>
          <w:color w:val="010000"/>
        </w:rPr>
        <w:t xml:space="preserve">SECTION 3.18. </w:t>
      </w:r>
      <w:r>
        <w:rPr>
          <w:rFonts w:ascii="Times New Roman" w:cs="Times New Roman" w:eastAsia="Times New Roman" w:hAnsi="Times New Roman"/>
          <w:sz w:val="20"/>
          <w:szCs w:val="20"/>
          <w:u w:val="single" w:color="auto"/>
          <w:color w:val="000000"/>
        </w:rPr>
        <w:t>Solvency</w:t>
      </w:r>
      <w:r>
        <w:rPr>
          <w:rFonts w:ascii="Times New Roman" w:cs="Times New Roman" w:eastAsia="Times New Roman" w:hAnsi="Times New Roman"/>
          <w:sz w:val="20"/>
          <w:szCs w:val="20"/>
          <w:color w:val="000000"/>
        </w:rPr>
        <w:t>. As of the Indicor Closing Date, after giving effect to the Indicor Transactions (including the</w:t>
      </w:r>
    </w:p>
    <w:p>
      <w:pPr>
        <w:spacing w:after="0" w:line="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color w:val="auto"/>
        </w:rPr>
        <w:t>making of the Indicor Closing Date Revolving Loans under this Agreement on the Indicor Closing Date and the application of the proceeds thereof), (a) the fair value of the assets of the Company and its Subsidiaries, on a consolidated basis, exceeds their debts and liabilities, subordinated, contingent or otherwise, on a consolidated basis, (b) the present fair saleable value of the property of the Company and its Subsidiaries, on a consolidated basis, is greater than the amount that will be required to pay the probable liability, on a consolidated basis, of their debts and other liabilities, subordinated, contingent or otherwise, on a consolidated basis, as such debts and other liabilities become absolute and matured, (c) the Company and its Subsidiaries, on a consolidated basis, are able to pay their debts and liabilities, subordinated, contingent or otherwise, on a consolidated basis, as such liabilities become absolute and matured and (d) the Company and its Subsidiaries, on a consolidated basis, are not engaged in, and are not about to engage in, business for which they have unreasonably small capital. For purposes of this Section 3.18, the amount of any contingent liability at any time will be computed as the amount that would reasonably be expected to become an actual and matured liability.</w:t>
      </w:r>
    </w:p>
    <w:p>
      <w:pPr>
        <w:spacing w:after="0" w:line="8" w:lineRule="exact"/>
        <w:rPr>
          <w:sz w:val="20"/>
          <w:szCs w:val="20"/>
          <w:color w:val="auto"/>
        </w:rPr>
      </w:pPr>
    </w:p>
    <w:p>
      <w:pPr>
        <w:jc w:val="both"/>
        <w:ind w:firstLine="1296"/>
        <w:spacing w:after="0" w:line="279" w:lineRule="auto"/>
        <w:rPr>
          <w:sz w:val="20"/>
          <w:szCs w:val="20"/>
          <w:color w:val="auto"/>
        </w:rPr>
      </w:pPr>
      <w:r>
        <w:rPr>
          <w:rFonts w:ascii="Times New Roman" w:cs="Times New Roman" w:eastAsia="Times New Roman" w:hAnsi="Times New Roman"/>
          <w:sz w:val="20"/>
          <w:szCs w:val="20"/>
          <w:color w:val="010000"/>
        </w:rPr>
        <w:t xml:space="preserve">SECTION 3.19. </w:t>
      </w:r>
      <w:r>
        <w:rPr>
          <w:rFonts w:ascii="Times New Roman" w:cs="Times New Roman" w:eastAsia="Times New Roman" w:hAnsi="Times New Roman"/>
          <w:sz w:val="20"/>
          <w:szCs w:val="20"/>
          <w:u w:val="single" w:color="auto"/>
          <w:color w:val="000000"/>
        </w:rPr>
        <w:t>Use of Proceeds</w:t>
      </w:r>
      <w:r>
        <w:rPr>
          <w:rFonts w:ascii="Times New Roman" w:cs="Times New Roman" w:eastAsia="Times New Roman" w:hAnsi="Times New Roman"/>
          <w:sz w:val="21"/>
          <w:szCs w:val="21"/>
          <w:color w:val="000000"/>
        </w:rPr>
        <w:t>.</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The Company will use the proceeds of any Indicor Closing Date Revolving Loan funded</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on the Indicor Closing Date for the Indicor Certain Funds Purpose. The Company will not, directly or directly, use any part of the proceeds of any Indicor Closing Date Revolving Loan in violation of the United States Foreign Corrupt Practices Act of 1977, as amended, any Anti-Corruption Laws, any Anti-Money Laundering Laws and any Sanctions applicable to any party hereto.</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010000"/>
        </w:rPr>
        <w:t>ARTICLE IV</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Conditions</w:t>
      </w:r>
    </w:p>
    <w:p>
      <w:pPr>
        <w:spacing w:after="0" w:line="243" w:lineRule="exact"/>
        <w:rPr>
          <w:sz w:val="20"/>
          <w:szCs w:val="20"/>
          <w:color w:val="auto"/>
        </w:rPr>
      </w:pPr>
    </w:p>
    <w:p>
      <w:pPr>
        <w:jc w:val="both"/>
        <w:ind w:firstLine="1296"/>
        <w:spacing w:after="0" w:line="281" w:lineRule="auto"/>
        <w:rPr>
          <w:sz w:val="20"/>
          <w:szCs w:val="20"/>
          <w:color w:val="auto"/>
        </w:rPr>
      </w:pPr>
      <w:r>
        <w:rPr>
          <w:rFonts w:ascii="Times New Roman" w:cs="Times New Roman" w:eastAsia="Times New Roman" w:hAnsi="Times New Roman"/>
          <w:sz w:val="20"/>
          <w:szCs w:val="20"/>
          <w:color w:val="010000"/>
        </w:rPr>
        <w:t xml:space="preserve">SECTION 4.01. </w:t>
      </w:r>
      <w:r>
        <w:rPr>
          <w:rFonts w:ascii="Times New Roman" w:cs="Times New Roman" w:eastAsia="Times New Roman" w:hAnsi="Times New Roman"/>
          <w:sz w:val="20"/>
          <w:szCs w:val="20"/>
          <w:u w:val="single" w:color="auto"/>
          <w:color w:val="000000"/>
        </w:rPr>
        <w:t>Restatement Effective Date</w:t>
      </w:r>
      <w:r>
        <w:rPr>
          <w:rFonts w:ascii="Times New Roman" w:cs="Times New Roman" w:eastAsia="Times New Roman" w:hAnsi="Times New Roman"/>
          <w:sz w:val="20"/>
          <w:szCs w:val="20"/>
          <w:color w:val="000000"/>
        </w:rPr>
        <w:t>. The obligations of the Lenders to make Loans and of the Issuing Banks to</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issue Letters of Credit hereunder shall not become effective until the date on which each of the following conditions is satisfied (or waived in accordance with Section 9.02):</w:t>
      </w:r>
    </w:p>
    <w:p>
      <w:pPr>
        <w:spacing w:after="0" w:line="2" w:lineRule="exact"/>
        <w:rPr>
          <w:sz w:val="20"/>
          <w:szCs w:val="20"/>
          <w:color w:val="auto"/>
        </w:rPr>
      </w:pPr>
    </w:p>
    <w:p>
      <w:pPr>
        <w:jc w:val="both"/>
        <w:ind w:left="660" w:firstLine="644"/>
        <w:spacing w:after="0" w:line="284" w:lineRule="auto"/>
        <w:tabs>
          <w:tab w:leader="none" w:pos="1739" w:val="left"/>
        </w:tabs>
        <w:numPr>
          <w:ilvl w:val="0"/>
          <w:numId w:val="11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The Administrative Agent (or its counsel) shall have received (i) from each party hereto either (A) a counterpart of this Agreement signed on behalf of such party or (B) written evidence satisfactory to the Administrative Agent (which may include telecopy or electronic transmission of a signed signature page of this Agreement) that such party has signed a counterpart of this Agreement and (ii) duly executed copies of the Loan Documents and such other legal opinions, certificates, documents, instruments and agreements as the Administrative Agent shall reasonably request in connection with the Transactions, all in form and substance satisfactory to the Administrative Agent and its counsel and as further described in the list of closing documents attached as </w:t>
      </w:r>
      <w:r>
        <w:rPr>
          <w:rFonts w:ascii="Times New Roman" w:cs="Times New Roman" w:eastAsia="Times New Roman" w:hAnsi="Times New Roman"/>
          <w:sz w:val="20"/>
          <w:szCs w:val="20"/>
          <w:u w:val="single" w:color="auto"/>
          <w:color w:val="auto"/>
        </w:rPr>
        <w:t>Exhibit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E</w:t>
      </w:r>
      <w:r>
        <w:rPr>
          <w:rFonts w:ascii="Times New Roman" w:cs="Times New Roman" w:eastAsia="Times New Roman" w:hAnsi="Times New Roman"/>
          <w:sz w:val="20"/>
          <w:szCs w:val="20"/>
          <w:color w:val="auto"/>
        </w:rPr>
        <w:t>.</w:t>
      </w:r>
    </w:p>
    <w:p>
      <w:pPr>
        <w:spacing w:after="0" w:line="160" w:lineRule="exact"/>
        <w:rPr>
          <w:rFonts w:ascii="Times New Roman" w:cs="Times New Roman" w:eastAsia="Times New Roman" w:hAnsi="Times New Roman"/>
          <w:sz w:val="20"/>
          <w:szCs w:val="20"/>
          <w:color w:val="010000"/>
        </w:rPr>
      </w:pPr>
    </w:p>
    <w:p>
      <w:pPr>
        <w:jc w:val="both"/>
        <w:ind w:left="660" w:firstLine="644"/>
        <w:spacing w:after="0" w:line="286" w:lineRule="auto"/>
        <w:tabs>
          <w:tab w:leader="none" w:pos="1777" w:val="left"/>
        </w:tabs>
        <w:numPr>
          <w:ilvl w:val="0"/>
          <w:numId w:val="11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The Administrative Agent shall have received favorable written opinions (addressed to the Administrative Agent and the Lenders and dated the Restatement Effective Date) of each of (i) Morgan, Lewis &amp; Bockius LLP, U.S. counsel for the Loan Parties, substantially in the form of </w:t>
      </w:r>
      <w:r>
        <w:rPr>
          <w:rFonts w:ascii="Times New Roman" w:cs="Times New Roman" w:eastAsia="Times New Roman" w:hAnsi="Times New Roman"/>
          <w:sz w:val="20"/>
          <w:szCs w:val="20"/>
          <w:u w:val="single" w:color="auto"/>
          <w:color w:val="auto"/>
        </w:rPr>
        <w:t>Exhibit B-1</w:t>
      </w:r>
      <w:r>
        <w:rPr>
          <w:rFonts w:ascii="Times New Roman" w:cs="Times New Roman" w:eastAsia="Times New Roman" w:hAnsi="Times New Roman"/>
          <w:sz w:val="20"/>
          <w:szCs w:val="20"/>
          <w:color w:val="auto"/>
        </w:rPr>
        <w:t xml:space="preserve">, (ii) Morgan, Lewis &amp; Bockius UK LLP, England and Wales counsel for the Loan Parties, substantially in the form of </w:t>
      </w:r>
      <w:r>
        <w:rPr>
          <w:rFonts w:ascii="Times New Roman" w:cs="Times New Roman" w:eastAsia="Times New Roman" w:hAnsi="Times New Roman"/>
          <w:sz w:val="20"/>
          <w:szCs w:val="20"/>
          <w:u w:val="single" w:color="auto"/>
          <w:color w:val="auto"/>
        </w:rPr>
        <w:t>Exhibit B-2</w:t>
      </w:r>
      <w:r>
        <w:rPr>
          <w:rFonts w:ascii="Times New Roman" w:cs="Times New Roman" w:eastAsia="Times New Roman" w:hAnsi="Times New Roman"/>
          <w:sz w:val="20"/>
          <w:szCs w:val="20"/>
          <w:color w:val="auto"/>
        </w:rPr>
        <w:t>, (iii) McCarthy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91</w:t>
      </w:r>
    </w:p>
    <w:p>
      <w:pPr>
        <w:sectPr>
          <w:pgSz w:w="11900" w:h="16838" w:orient="portrait"/>
          <w:cols w:equalWidth="0" w:num="1">
            <w:col w:w="11240"/>
          </w:cols>
          <w:pgMar w:left="320" w:top="1426" w:right="339" w:bottom="1440" w:gutter="0" w:footer="0" w:header="0"/>
        </w:sectPr>
      </w:pPr>
    </w:p>
    <w:bookmarkStart w:id="100" w:name="page101"/>
    <w:bookmarkEnd w:id="100"/>
    <w:p>
      <w:pPr>
        <w:jc w:val="both"/>
        <w:ind w:left="660"/>
        <w:spacing w:after="0" w:line="286" w:lineRule="auto"/>
        <w:rPr>
          <w:sz w:val="20"/>
          <w:szCs w:val="20"/>
          <w:color w:val="auto"/>
        </w:rPr>
      </w:pPr>
      <w:r>
        <w:rPr>
          <w:rFonts w:ascii="Times New Roman" w:cs="Times New Roman" w:eastAsia="Times New Roman" w:hAnsi="Times New Roman"/>
          <w:sz w:val="20"/>
          <w:szCs w:val="20"/>
          <w:color w:val="auto"/>
        </w:rPr>
        <w:t xml:space="preserve">Tetrault LLP, Canadian counsel for the Loan Parties, substantially in the form of </w:t>
      </w:r>
      <w:r>
        <w:rPr>
          <w:rFonts w:ascii="Times New Roman" w:cs="Times New Roman" w:eastAsia="Times New Roman" w:hAnsi="Times New Roman"/>
          <w:sz w:val="20"/>
          <w:szCs w:val="20"/>
          <w:u w:val="single" w:color="auto"/>
          <w:color w:val="auto"/>
        </w:rPr>
        <w:t>Exhibit B-3</w:t>
      </w:r>
      <w:r>
        <w:rPr>
          <w:rFonts w:ascii="Times New Roman" w:cs="Times New Roman" w:eastAsia="Times New Roman" w:hAnsi="Times New Roman"/>
          <w:sz w:val="20"/>
          <w:szCs w:val="20"/>
          <w:color w:val="auto"/>
        </w:rPr>
        <w:t xml:space="preserve"> and (iv) Morgan, Lewis &amp; Bockius LLP, German counsel for the Loan Parties, substantially in the form of </w:t>
      </w:r>
      <w:r>
        <w:rPr>
          <w:rFonts w:ascii="Times New Roman" w:cs="Times New Roman" w:eastAsia="Times New Roman" w:hAnsi="Times New Roman"/>
          <w:sz w:val="20"/>
          <w:szCs w:val="20"/>
          <w:u w:val="single" w:color="auto"/>
          <w:color w:val="auto"/>
        </w:rPr>
        <w:t>Exhibit B-4</w:t>
      </w:r>
      <w:r>
        <w:rPr>
          <w:rFonts w:ascii="Times New Roman" w:cs="Times New Roman" w:eastAsia="Times New Roman" w:hAnsi="Times New Roman"/>
          <w:sz w:val="20"/>
          <w:szCs w:val="20"/>
          <w:color w:val="auto"/>
        </w:rPr>
        <w:t>, and in each case covering such other matters relating to the Loan Parties, the Loan Documents or the Transactions as the Administrative Agent shall reasonably request. The Company hereby requests such counsel to deliver such opinions.</w:t>
      </w:r>
    </w:p>
    <w:p>
      <w:pPr>
        <w:spacing w:after="0" w:line="159" w:lineRule="exact"/>
        <w:rPr>
          <w:sz w:val="20"/>
          <w:szCs w:val="20"/>
          <w:color w:val="auto"/>
        </w:rPr>
      </w:pPr>
    </w:p>
    <w:p>
      <w:pPr>
        <w:jc w:val="both"/>
        <w:ind w:left="660" w:firstLine="644"/>
        <w:spacing w:after="0" w:line="253" w:lineRule="auto"/>
        <w:tabs>
          <w:tab w:leader="none" w:pos="1847" w:val="left"/>
        </w:tabs>
        <w:numPr>
          <w:ilvl w:val="0"/>
          <w:numId w:val="11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The Administrative Agent shall have received such documents and certificates as the Administrative Agent or its counsel may reasonably request relating to the organization, existence and good standing of the initial Loan Parties, the authorization of the Transactions and any other legal matters relating to such Loan Parties, the Loan Documents or the Transactions, all in form and substance satisfactory to the Administrative Agent and its counsel and as further described in the list of closing documents attached as </w:t>
      </w:r>
      <w:r>
        <w:rPr>
          <w:rFonts w:ascii="Times New Roman" w:cs="Times New Roman" w:eastAsia="Times New Roman" w:hAnsi="Times New Roman"/>
          <w:sz w:val="20"/>
          <w:szCs w:val="20"/>
          <w:u w:val="single" w:color="auto"/>
          <w:color w:val="auto"/>
        </w:rPr>
        <w:t>Exhibit E</w:t>
      </w:r>
      <w:r>
        <w:rPr>
          <w:rFonts w:ascii="Times New Roman" w:cs="Times New Roman" w:eastAsia="Times New Roman" w:hAnsi="Times New Roman"/>
          <w:sz w:val="20"/>
          <w:szCs w:val="20"/>
          <w:color w:val="auto"/>
        </w:rPr>
        <w:t>.</w:t>
      </w:r>
    </w:p>
    <w:p>
      <w:pPr>
        <w:spacing w:after="0" w:line="164" w:lineRule="exact"/>
        <w:rPr>
          <w:rFonts w:ascii="Times New Roman" w:cs="Times New Roman" w:eastAsia="Times New Roman" w:hAnsi="Times New Roman"/>
          <w:sz w:val="20"/>
          <w:szCs w:val="20"/>
          <w:color w:val="010000"/>
        </w:rPr>
      </w:pPr>
    </w:p>
    <w:p>
      <w:pPr>
        <w:jc w:val="both"/>
        <w:ind w:left="660" w:firstLine="644"/>
        <w:spacing w:after="0" w:line="268" w:lineRule="auto"/>
        <w:tabs>
          <w:tab w:leader="none" w:pos="1817" w:val="left"/>
        </w:tabs>
        <w:numPr>
          <w:ilvl w:val="0"/>
          <w:numId w:val="11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Administrative Agent shall have received a certificate, dated the Restatement Effective Date and signed by the President, a Vice President or a Financial Officer of the Company, confirming compliance with the conditions set forth in paragraphs (a) and (b) of Section 4.02.</w:t>
      </w:r>
    </w:p>
    <w:p>
      <w:pPr>
        <w:spacing w:after="0" w:line="147" w:lineRule="exact"/>
        <w:rPr>
          <w:rFonts w:ascii="Times New Roman" w:cs="Times New Roman" w:eastAsia="Times New Roman" w:hAnsi="Times New Roman"/>
          <w:sz w:val="20"/>
          <w:szCs w:val="20"/>
          <w:color w:val="010000"/>
        </w:rPr>
      </w:pPr>
    </w:p>
    <w:p>
      <w:pPr>
        <w:jc w:val="both"/>
        <w:ind w:left="660" w:firstLine="644"/>
        <w:spacing w:after="0" w:line="252" w:lineRule="auto"/>
        <w:tabs>
          <w:tab w:leader="none" w:pos="1752" w:val="left"/>
        </w:tabs>
        <w:numPr>
          <w:ilvl w:val="0"/>
          <w:numId w:val="11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 The Administrative Agent, and any Lender that has so requested, shall have received, at least ten (10) days prior to the Restatement Effective Date, all documentation and other information regarding the Borrowers requested in connection with applicable “know your customer” and Anti-Money Laundering Laws, including the Patriot Act, to the extent requested in writing, of the Company at least ten (10) days prior to the Restatement Effective Date and (ii) to the extent any Borrower qualifies as a “legal entity customer” under the Beneficial Ownership Regulation, at least ten (10) days prior to the Restatement Effective Date, any Lender that has requested, in a written notice to the Company at least ten (10) days prior to the Restatement Effective Date, a Beneficial Ownership Certification in relation to such Borrower, shall have received such Beneficial Ownership Certification (provided that, upon the execution and delivery by such Lender of its signature page to this Agreement, the condition set forth in this clause (e) shall be deemed to be satisfied).</w:t>
      </w:r>
    </w:p>
    <w:p>
      <w:pPr>
        <w:spacing w:after="0" w:line="162" w:lineRule="exact"/>
        <w:rPr>
          <w:rFonts w:ascii="Times New Roman" w:cs="Times New Roman" w:eastAsia="Times New Roman" w:hAnsi="Times New Roman"/>
          <w:sz w:val="20"/>
          <w:szCs w:val="20"/>
          <w:color w:val="010000"/>
        </w:rPr>
      </w:pPr>
    </w:p>
    <w:p>
      <w:pPr>
        <w:jc w:val="both"/>
        <w:ind w:left="660" w:firstLine="644"/>
        <w:spacing w:after="0" w:line="261" w:lineRule="auto"/>
        <w:tabs>
          <w:tab w:leader="none" w:pos="1866" w:val="left"/>
        </w:tabs>
        <w:numPr>
          <w:ilvl w:val="0"/>
          <w:numId w:val="11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Administrative Agent shall have been paid all fees and other amounts due and payable on or prior to the Restatement Effective Date, including, to the extent invoiced, reimbursement or payment of all out-of-pocket expenses required to be reimbursed or paid by the Company hereunder.</w:t>
      </w:r>
    </w:p>
    <w:p>
      <w:pPr>
        <w:spacing w:after="0" w:line="154" w:lineRule="exact"/>
        <w:rPr>
          <w:rFonts w:ascii="Times New Roman" w:cs="Times New Roman" w:eastAsia="Times New Roman" w:hAnsi="Times New Roman"/>
          <w:sz w:val="20"/>
          <w:szCs w:val="20"/>
          <w:color w:val="010000"/>
        </w:rPr>
      </w:pPr>
    </w:p>
    <w:p>
      <w:pPr>
        <w:jc w:val="both"/>
        <w:ind w:left="660" w:firstLine="644"/>
        <w:spacing w:after="0" w:line="258" w:lineRule="auto"/>
        <w:tabs>
          <w:tab w:leader="none" w:pos="1817" w:val="left"/>
        </w:tabs>
        <w:numPr>
          <w:ilvl w:val="0"/>
          <w:numId w:val="11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Administrative Agent with respect to the Indicor Bridge Facility shall have received a written notice from the Company that this Agreement and the Indicor Closing Date Revolving Commitments hereunder qualify as an “Existing Credit Agreement Certain Funds Amendment” and the commitments under the Indicor Bridge Facility shall be automatically reduced pursuant to the terms of the Indicor Bridge Facility.</w:t>
      </w:r>
    </w:p>
    <w:p>
      <w:pPr>
        <w:spacing w:after="0" w:line="159"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The Administrative Agent shall notify the Company and the Lenders of the Restatement Effective Date, and such notice shall be conclusive and binding.</w:t>
      </w:r>
    </w:p>
    <w:p>
      <w:pPr>
        <w:spacing w:after="0" w:line="11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010000"/>
        </w:rPr>
        <w:t xml:space="preserve">SECTION 4.02. </w:t>
      </w:r>
      <w:r>
        <w:rPr>
          <w:rFonts w:ascii="Times New Roman" w:cs="Times New Roman" w:eastAsia="Times New Roman" w:hAnsi="Times New Roman"/>
          <w:sz w:val="20"/>
          <w:szCs w:val="20"/>
          <w:u w:val="single" w:color="auto"/>
          <w:color w:val="000000"/>
        </w:rPr>
        <w:t>Each Credit Event</w:t>
      </w:r>
      <w:r>
        <w:rPr>
          <w:rFonts w:ascii="Times New Roman" w:cs="Times New Roman" w:eastAsia="Times New Roman" w:hAnsi="Times New Roman"/>
          <w:sz w:val="20"/>
          <w:szCs w:val="20"/>
          <w:color w:val="000000"/>
        </w:rPr>
        <w:t>. Other than with respect to any funding of the Indicor Closing Date Revolving Loans</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(which shall only be subject to the satisfaction of the conditions set forth in Section 4.04), the obligation of each Lender to make a Loan on the occasion of any Borrowing, and of</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92</w:t>
      </w:r>
    </w:p>
    <w:p>
      <w:pPr>
        <w:sectPr>
          <w:pgSz w:w="11900" w:h="16838" w:orient="portrait"/>
          <w:cols w:equalWidth="0" w:num="1">
            <w:col w:w="11240"/>
          </w:cols>
          <w:pgMar w:left="320" w:top="1426"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20"/>
          <w:szCs w:val="20"/>
          <w:color w:val="auto"/>
        </w:rPr>
        <w:t>the Issuing Banks to issue, amend or extend any Letter of Credit, is subject to the satisfaction of the following conditions:</w:t>
      </w:r>
    </w:p>
    <w:p>
      <w:pPr>
        <w:spacing w:after="0" w:line="22" w:lineRule="exact"/>
        <w:rPr>
          <w:sz w:val="20"/>
          <w:szCs w:val="20"/>
          <w:color w:val="auto"/>
        </w:rPr>
      </w:pPr>
    </w:p>
    <w:p>
      <w:pPr>
        <w:jc w:val="both"/>
        <w:ind w:left="660" w:firstLine="644"/>
        <w:spacing w:after="0" w:line="212" w:lineRule="auto"/>
        <w:tabs>
          <w:tab w:leader="none" w:pos="1739" w:val="left"/>
        </w:tabs>
        <w:numPr>
          <w:ilvl w:val="0"/>
          <w:numId w:val="11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representations and warranties of the Borrowers set forth in this Agreement shall be true and correct in all material respects (or, in the case of any representation or warranty qualified by materiality or Material Adverse Effect, in all respects) on and as of the date of such Borrowing or the date of issuance, amendment, renewal or extension of such Letter of Credit (except to the extent any such representation or warranty expressly relates to any earlier and/or specific date, in which case such representation and warranty shall be true and correct in all material respects (or, in the case of any representation or warranty qualified by materiality or Material Adverse Effect, in all respects) as of such earlier and/or specific date), as applicable.</w:t>
      </w:r>
    </w:p>
    <w:p>
      <w:pPr>
        <w:spacing w:after="0" w:line="136" w:lineRule="exact"/>
        <w:rPr>
          <w:rFonts w:ascii="Times New Roman" w:cs="Times New Roman" w:eastAsia="Times New Roman" w:hAnsi="Times New Roman"/>
          <w:sz w:val="20"/>
          <w:szCs w:val="20"/>
          <w:color w:val="010000"/>
        </w:rPr>
      </w:pPr>
    </w:p>
    <w:p>
      <w:pPr>
        <w:ind w:left="660" w:firstLine="644"/>
        <w:spacing w:after="0"/>
        <w:tabs>
          <w:tab w:leader="none" w:pos="1750" w:val="left"/>
        </w:tabs>
        <w:numPr>
          <w:ilvl w:val="0"/>
          <w:numId w:val="11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At the time of and immediately after giving effect to such Borrowing or the issuance, amendment or extension of such Letter of Credit, as applicable, no Default or Event of Default shall exist.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Each Borrowing other than any Borrowing with respect to the Indicor Closing Date Loans (which shall only be subject to the satisfaction of</w:t>
      </w:r>
    </w:p>
    <w:p>
      <w:pPr>
        <w:spacing w:after="0" w:line="204" w:lineRule="auto"/>
        <w:rPr>
          <w:sz w:val="20"/>
          <w:szCs w:val="20"/>
          <w:color w:val="auto"/>
        </w:rPr>
      </w:pPr>
      <w:r>
        <w:rPr>
          <w:rFonts w:ascii="Times New Roman" w:cs="Times New Roman" w:eastAsia="Times New Roman" w:hAnsi="Times New Roman"/>
          <w:sz w:val="20"/>
          <w:szCs w:val="20"/>
          <w:color w:val="auto"/>
        </w:rPr>
        <w:t>the conditions set forth in Section 4.04) and each issuance, amendment, renewal or extension of a Letter of Credit shall be deemed to constitute a representation and warranty by the Borrowers on the date thereof as to the matters specified in paragraphs (a) and (b) of this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Section.</w:t>
      </w:r>
    </w:p>
    <w:p>
      <w:pPr>
        <w:spacing w:after="0" w:line="121" w:lineRule="exact"/>
        <w:rPr>
          <w:sz w:val="20"/>
          <w:szCs w:val="20"/>
          <w:color w:val="auto"/>
        </w:rPr>
      </w:pPr>
    </w:p>
    <w:p>
      <w:pPr>
        <w:ind w:left="1300"/>
        <w:spacing w:after="0"/>
        <w:tabs>
          <w:tab w:leader="none" w:pos="2960" w:val="left"/>
        </w:tabs>
        <w:rPr>
          <w:sz w:val="20"/>
          <w:szCs w:val="20"/>
          <w:color w:val="auto"/>
        </w:rPr>
      </w:pPr>
      <w:r>
        <w:rPr>
          <w:rFonts w:ascii="Times New Roman" w:cs="Times New Roman" w:eastAsia="Times New Roman" w:hAnsi="Times New Roman"/>
          <w:sz w:val="20"/>
          <w:szCs w:val="20"/>
          <w:color w:val="010000"/>
        </w:rPr>
        <w:t>SECTION 4.03.</w:t>
      </w:r>
      <w:r>
        <w:rPr>
          <w:sz w:val="20"/>
          <w:szCs w:val="20"/>
          <w:color w:val="auto"/>
        </w:rPr>
        <w:tab/>
      </w:r>
      <w:r>
        <w:rPr>
          <w:rFonts w:ascii="Times New Roman" w:cs="Times New Roman" w:eastAsia="Times New Roman" w:hAnsi="Times New Roman"/>
          <w:sz w:val="20"/>
          <w:szCs w:val="20"/>
          <w:u w:val="single" w:color="auto"/>
          <w:color w:val="auto"/>
        </w:rPr>
        <w:t>Designation of a Foreign Subsidiary Borrower</w:t>
      </w:r>
      <w:r>
        <w:rPr>
          <w:rFonts w:ascii="Times New Roman" w:cs="Times New Roman" w:eastAsia="Times New Roman" w:hAnsi="Times New Roman"/>
          <w:sz w:val="20"/>
          <w:szCs w:val="20"/>
          <w:color w:val="auto"/>
        </w:rPr>
        <w:t>. The designation of a Foreign Subsidiary Borrower</w:t>
      </w:r>
    </w:p>
    <w:p>
      <w:pPr>
        <w:ind w:right="20"/>
        <w:spacing w:after="0" w:line="204" w:lineRule="auto"/>
        <w:rPr>
          <w:sz w:val="20"/>
          <w:szCs w:val="20"/>
          <w:color w:val="auto"/>
        </w:rPr>
      </w:pPr>
      <w:r>
        <w:rPr>
          <w:rFonts w:ascii="Times New Roman" w:cs="Times New Roman" w:eastAsia="Times New Roman" w:hAnsi="Times New Roman"/>
          <w:sz w:val="20"/>
          <w:szCs w:val="20"/>
          <w:color w:val="auto"/>
        </w:rPr>
        <w:t>pursuant to Section 2.24 is subject to the condition precedent that the Company or such proposed Foreign Subsidiary Borrower shall have furnished or caused to be furnished to the Administrative Agent:</w:t>
      </w:r>
    </w:p>
    <w:p>
      <w:pPr>
        <w:spacing w:after="0" w:line="1" w:lineRule="exact"/>
        <w:rPr>
          <w:sz w:val="20"/>
          <w:szCs w:val="20"/>
          <w:color w:val="auto"/>
        </w:rPr>
      </w:pPr>
    </w:p>
    <w:p>
      <w:pPr>
        <w:jc w:val="both"/>
        <w:ind w:left="660" w:firstLine="644"/>
        <w:spacing w:after="0" w:line="215" w:lineRule="auto"/>
        <w:tabs>
          <w:tab w:leader="none" w:pos="1752" w:val="left"/>
        </w:tabs>
        <w:numPr>
          <w:ilvl w:val="0"/>
          <w:numId w:val="11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Copies, certified by the Secretary or Assistant Secretary of such Subsidiary, of its Board of Directors’ resolutions (and resolutions of other bodies, if any are deemed necessary by counsel for the Administrative Agent) approving the Borrowing Subsidiary Agreement and any other Loan Documents to which such Subsidiary is becoming a party and such documents and certificates as the Administrative Agent or its counsel may reasonably request relating to the organization, existence and good standing of such Subsidiary;</w:t>
      </w:r>
    </w:p>
    <w:p>
      <w:pPr>
        <w:spacing w:after="0" w:line="135" w:lineRule="exact"/>
        <w:rPr>
          <w:rFonts w:ascii="Times New Roman" w:cs="Times New Roman" w:eastAsia="Times New Roman" w:hAnsi="Times New Roman"/>
          <w:sz w:val="20"/>
          <w:szCs w:val="20"/>
          <w:color w:val="010000"/>
        </w:rPr>
      </w:pPr>
    </w:p>
    <w:p>
      <w:pPr>
        <w:jc w:val="both"/>
        <w:ind w:left="660" w:firstLine="644"/>
        <w:spacing w:after="0" w:line="220" w:lineRule="auto"/>
        <w:tabs>
          <w:tab w:leader="none" w:pos="1736" w:val="left"/>
        </w:tabs>
        <w:numPr>
          <w:ilvl w:val="0"/>
          <w:numId w:val="11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 incumbency certificate, executed by the Secretary or Assistant Secretary of such Subsidiary, which shall identify by name and title and bear the signature of the officers of such Subsidiary authorized to request Borrowings hereunder and sign the Borrowing Subsidiary Agreement and the other Loan Documents to which such Subsidiary is becoming a party, upon which certificate the Administrative Agent and the Lenders shall be entitled to rely until informed of any change in writing by the Company or such Subsidiary;</w:t>
      </w:r>
    </w:p>
    <w:p>
      <w:pPr>
        <w:spacing w:after="0" w:line="133" w:lineRule="exact"/>
        <w:rPr>
          <w:rFonts w:ascii="Times New Roman" w:cs="Times New Roman" w:eastAsia="Times New Roman" w:hAnsi="Times New Roman"/>
          <w:sz w:val="20"/>
          <w:szCs w:val="20"/>
          <w:color w:val="010000"/>
        </w:rPr>
      </w:pPr>
    </w:p>
    <w:p>
      <w:pPr>
        <w:jc w:val="both"/>
        <w:ind w:left="660" w:firstLine="644"/>
        <w:spacing w:after="0" w:line="226" w:lineRule="auto"/>
        <w:tabs>
          <w:tab w:leader="none" w:pos="1739" w:val="left"/>
        </w:tabs>
        <w:numPr>
          <w:ilvl w:val="0"/>
          <w:numId w:val="11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Opinions of counsel to such Subsidiary, in form and substance reasonably satisfactory to the Administrative Agent and its counsel, with respect to the laws of its jurisdiction of organization and such other matters as are reasonably requested by counsel to the Administrative Agent and addressed to the Administrative Agent and the Lenders; and</w:t>
      </w:r>
    </w:p>
    <w:p>
      <w:pPr>
        <w:spacing w:after="0" w:line="146" w:lineRule="exact"/>
        <w:rPr>
          <w:rFonts w:ascii="Times New Roman" w:cs="Times New Roman" w:eastAsia="Times New Roman" w:hAnsi="Times New Roman"/>
          <w:sz w:val="20"/>
          <w:szCs w:val="20"/>
          <w:color w:val="010000"/>
        </w:rPr>
      </w:pPr>
    </w:p>
    <w:p>
      <w:pPr>
        <w:ind w:left="660" w:firstLine="644"/>
        <w:spacing w:after="0" w:line="233" w:lineRule="auto"/>
        <w:tabs>
          <w:tab w:leader="none" w:pos="1750" w:val="left"/>
        </w:tabs>
        <w:numPr>
          <w:ilvl w:val="0"/>
          <w:numId w:val="11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promissory notes requested by any Lender, and any other instruments and documents reasonably requested by the Administrative Agent.</w:t>
      </w:r>
    </w:p>
    <w:p>
      <w:pPr>
        <w:spacing w:after="0" w:line="147" w:lineRule="exact"/>
        <w:rPr>
          <w:rFonts w:ascii="Times New Roman" w:cs="Times New Roman" w:eastAsia="Times New Roman" w:hAnsi="Times New Roman"/>
          <w:sz w:val="20"/>
          <w:szCs w:val="20"/>
          <w:color w:val="010000"/>
        </w:rPr>
      </w:pPr>
    </w:p>
    <w:p>
      <w:pPr>
        <w:jc w:val="both"/>
        <w:ind w:left="660" w:firstLine="644"/>
        <w:spacing w:after="0" w:line="226" w:lineRule="auto"/>
        <w:tabs>
          <w:tab w:leader="none" w:pos="1725" w:val="left"/>
        </w:tabs>
        <w:numPr>
          <w:ilvl w:val="0"/>
          <w:numId w:val="11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documentation and other information related to such Subsidiary reasonably requested by the Administrative Agent or any Lender under applicable “know your customer” or similar rules and regulations, including the Patriot Act and the Beneficial Ownership Regulation.</w:t>
      </w:r>
    </w:p>
    <w:p>
      <w:pPr>
        <w:spacing w:after="0" w:line="133" w:lineRule="exact"/>
        <w:rPr>
          <w:rFonts w:ascii="Times New Roman" w:cs="Times New Roman" w:eastAsia="Times New Roman" w:hAnsi="Times New Roman"/>
          <w:sz w:val="20"/>
          <w:szCs w:val="20"/>
          <w:color w:val="010000"/>
        </w:rPr>
      </w:pPr>
    </w:p>
    <w:p>
      <w:pPr>
        <w:jc w:val="both"/>
        <w:ind w:left="660" w:firstLine="644"/>
        <w:spacing w:after="0" w:line="216" w:lineRule="auto"/>
        <w:tabs>
          <w:tab w:leader="none" w:pos="1771" w:val="left"/>
        </w:tabs>
        <w:numPr>
          <w:ilvl w:val="0"/>
          <w:numId w:val="11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 the event a Foreign Subsidiary Borrower is organized under the laws of Germany, (i) the following constitutional documents of such Foreign Subsidiary Borrower (and, if applicable, its general partner): an electronic commercial register excerpt (not older than two (2) days), articles of association (certified by the competent commercial register), shareholders’ list (certified by the competent commercial register) and any by-laws, if applicable and (ii) a copy of a resolution of the shareholders’/partners’ and/or, if required by law or customary for such Foreign Subsidiary Borrower, resolutions of the management and/or supervisory board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93</w:t>
      </w:r>
    </w:p>
    <w:p>
      <w:pPr>
        <w:sectPr>
          <w:pgSz w:w="11900" w:h="16838" w:orient="portrait"/>
          <w:cols w:equalWidth="0" w:num="1">
            <w:col w:w="11240"/>
          </w:cols>
          <w:pgMar w:left="320" w:top="1413" w:right="339" w:bottom="1440" w:gutter="0" w:footer="0" w:header="0"/>
        </w:sectPr>
      </w:pPr>
    </w:p>
    <w:bookmarkStart w:id="102" w:name="page103"/>
    <w:bookmarkEnd w:id="102"/>
    <w:p>
      <w:pPr>
        <w:ind w:left="660"/>
        <w:spacing w:after="0"/>
        <w:rPr>
          <w:sz w:val="20"/>
          <w:szCs w:val="20"/>
          <w:color w:val="auto"/>
        </w:rPr>
      </w:pPr>
      <w:r>
        <w:rPr>
          <w:rFonts w:ascii="Times New Roman" w:cs="Times New Roman" w:eastAsia="Times New Roman" w:hAnsi="Times New Roman"/>
          <w:sz w:val="20"/>
          <w:szCs w:val="20"/>
          <w:color w:val="auto"/>
        </w:rPr>
        <w:t>Foreign Subsidiary Borrower, partner’s/other competent corporate body’s (as applicable) meeting of each such Foreign Subsidiary</w:t>
      </w:r>
    </w:p>
    <w:p>
      <w:pPr>
        <w:ind w:left="660"/>
        <w:spacing w:after="0" w:line="204" w:lineRule="auto"/>
        <w:rPr>
          <w:sz w:val="20"/>
          <w:szCs w:val="20"/>
          <w:color w:val="auto"/>
        </w:rPr>
      </w:pPr>
      <w:r>
        <w:rPr>
          <w:rFonts w:ascii="Times New Roman" w:cs="Times New Roman" w:eastAsia="Times New Roman" w:hAnsi="Times New Roman"/>
          <w:sz w:val="20"/>
          <w:szCs w:val="20"/>
          <w:color w:val="auto"/>
        </w:rPr>
        <w:t>Borrower approving the terms of, and the transactions contemplated by, the Borrowing Subsidiary Agreement, this Agreement and any other Loan Documents to which such Foreign Subsidiary Borrower is becoming a party and such documents and certificates as</w:t>
      </w:r>
    </w:p>
    <w:p>
      <w:pPr>
        <w:spacing w:after="0" w:line="1" w:lineRule="exact"/>
        <w:rPr>
          <w:sz w:val="20"/>
          <w:szCs w:val="20"/>
          <w:color w:val="auto"/>
        </w:rPr>
      </w:pPr>
    </w:p>
    <w:p>
      <w:pPr>
        <w:ind w:left="660" w:right="20"/>
        <w:spacing w:after="0" w:line="228" w:lineRule="auto"/>
        <w:rPr>
          <w:sz w:val="20"/>
          <w:szCs w:val="20"/>
          <w:color w:val="auto"/>
        </w:rPr>
      </w:pPr>
      <w:r>
        <w:rPr>
          <w:rFonts w:ascii="Times New Roman" w:cs="Times New Roman" w:eastAsia="Times New Roman" w:hAnsi="Times New Roman"/>
          <w:sz w:val="20"/>
          <w:szCs w:val="20"/>
          <w:color w:val="auto"/>
        </w:rPr>
        <w:t>the Administrative Agent or its counsel may reasonably request and resolving that such Subsidiary executes any such documents to which it is a party.</w:t>
      </w:r>
    </w:p>
    <w:p>
      <w:pPr>
        <w:spacing w:after="0" w:line="162" w:lineRule="exact"/>
        <w:rPr>
          <w:sz w:val="20"/>
          <w:szCs w:val="20"/>
          <w:color w:val="auto"/>
        </w:rPr>
      </w:pPr>
    </w:p>
    <w:p>
      <w:pPr>
        <w:ind w:firstLine="1296"/>
        <w:spacing w:after="0" w:line="268" w:lineRule="auto"/>
        <w:rPr>
          <w:sz w:val="20"/>
          <w:szCs w:val="20"/>
          <w:color w:val="auto"/>
        </w:rPr>
      </w:pPr>
      <w:r>
        <w:rPr>
          <w:rFonts w:ascii="Times New Roman" w:cs="Times New Roman" w:eastAsia="Times New Roman" w:hAnsi="Times New Roman"/>
          <w:sz w:val="20"/>
          <w:szCs w:val="20"/>
          <w:color w:val="010000"/>
        </w:rPr>
        <w:t xml:space="preserve">SECTION 4.04. </w:t>
      </w:r>
      <w:r>
        <w:rPr>
          <w:rFonts w:ascii="Times New Roman" w:cs="Times New Roman" w:eastAsia="Times New Roman" w:hAnsi="Times New Roman"/>
          <w:sz w:val="20"/>
          <w:szCs w:val="20"/>
          <w:u w:val="single" w:color="auto"/>
          <w:color w:val="000000"/>
        </w:rPr>
        <w:t>Indicor Closing Date Revolving Loans</w:t>
      </w:r>
      <w:r>
        <w:rPr>
          <w:rFonts w:ascii="Times New Roman" w:cs="Times New Roman" w:eastAsia="Times New Roman" w:hAnsi="Times New Roman"/>
          <w:sz w:val="20"/>
          <w:szCs w:val="20"/>
          <w:color w:val="000000"/>
        </w:rPr>
        <w:t>. The obligations of each Lender to make the Indicor Closing Date</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Revolving Loans hereunder on the Indicor Closing Date is subject to the satisfaction of the following conditions:</w:t>
      </w:r>
    </w:p>
    <w:p>
      <w:pPr>
        <w:spacing w:after="0" w:line="1" w:lineRule="exact"/>
        <w:rPr>
          <w:sz w:val="20"/>
          <w:szCs w:val="20"/>
          <w:color w:val="auto"/>
        </w:rPr>
      </w:pPr>
    </w:p>
    <w:p>
      <w:pPr>
        <w:jc w:val="both"/>
        <w:ind w:left="660" w:firstLine="644"/>
        <w:spacing w:after="0" w:line="271" w:lineRule="auto"/>
        <w:tabs>
          <w:tab w:leader="none" w:pos="1820" w:val="left"/>
        </w:tabs>
        <w:numPr>
          <w:ilvl w:val="0"/>
          <w:numId w:val="11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The Indicor Acquisition shall be consummated substantially concurrently with the Indicor Closing Date Revolving Loans in accordance with the Indicor Acquisition Agreement without giving effect to any amendment, modification, supplement or waiver by the Company thereto or consents by the Company thereunder that are in the aggregate (when taken as a whole) materially adverse to the Lenders, in their respective capacities as such, without the consent of the Lenders (such consent not to be unreasonably withheld, conditioned or delayed);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changes to the purchase price shall not be deemed to be materially adverse to the interests of the Lenders if such purchase price changes do not exceed 10% in the aggregate and, in the case of a purchase price decrease, shall reduce the commitments in respect of the Indicor Term Loan Facility on a dollar-for-dollar basis (which reduction shall be allocated to a reduction of each tranche of the Indicor Term Loan Facility in the amounts specified by the Company);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that (x) a decrease in the purchase price shall be deemed to be materially adverse to the interests of the Lenders if such purchase price decrease exceeds 10% in the aggregate and (y) an increase in the purchase price shall be deemed to be materially adverse to the Lenders if (I) such purchase price increase exceeds 10% in the aggregate or (II) such purchase price increase is funded with third-party debt for borrowed money.</w:t>
      </w:r>
    </w:p>
    <w:p>
      <w:pPr>
        <w:spacing w:after="0" w:line="162" w:lineRule="exact"/>
        <w:rPr>
          <w:rFonts w:ascii="Times New Roman" w:cs="Times New Roman" w:eastAsia="Times New Roman" w:hAnsi="Times New Roman"/>
          <w:sz w:val="20"/>
          <w:szCs w:val="20"/>
          <w:color w:val="010000"/>
        </w:rPr>
      </w:pPr>
    </w:p>
    <w:p>
      <w:pPr>
        <w:jc w:val="both"/>
        <w:ind w:left="660" w:firstLine="644"/>
        <w:spacing w:after="0" w:line="289" w:lineRule="auto"/>
        <w:tabs>
          <w:tab w:leader="none" w:pos="1736" w:val="left"/>
        </w:tabs>
        <w:numPr>
          <w:ilvl w:val="0"/>
          <w:numId w:val="11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On or after May 5, 2026, no Material Adverse Effect (as defined in the Indicor Acquisition Agreement on May 5, 2026) shall have occurred, nor shall any event or events have occurred that, individually or in the aggregate, with or without the lapse of time, could reasonably be expected to result in a Material Adverse Effect (as so defined).</w:t>
      </w:r>
    </w:p>
    <w:p>
      <w:pPr>
        <w:spacing w:after="0" w:line="141" w:lineRule="exact"/>
        <w:rPr>
          <w:rFonts w:ascii="Times New Roman" w:cs="Times New Roman" w:eastAsia="Times New Roman" w:hAnsi="Times New Roman"/>
          <w:sz w:val="20"/>
          <w:szCs w:val="20"/>
          <w:color w:val="010000"/>
        </w:rPr>
      </w:pPr>
    </w:p>
    <w:p>
      <w:pPr>
        <w:jc w:val="both"/>
        <w:ind w:left="660" w:firstLine="644"/>
        <w:spacing w:after="0" w:line="272" w:lineRule="auto"/>
        <w:tabs>
          <w:tab w:leader="none" w:pos="1752" w:val="left"/>
        </w:tabs>
        <w:numPr>
          <w:ilvl w:val="0"/>
          <w:numId w:val="11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Administrative Agent shall have received with respect to the Company: (a)(x) audited consolidated balance sheets as of December 31, 2025 and 2024, the related consolidated statements of income, comprehensive income, stockholders’ equity and cash flows for each of the three years in the period ended December 31, 2025, and the related notes and (y) audited consolidated balance sheets and related consolidated statements of income, comprehensive income, stockholders’ equity and cash flows for each subsequent fiscal year ended at least 60 days prior to the Indicor Closing Date, and the related notes and (b) unaudited consolidated statement of income, condensed consolidated statement of comprehensive income, the consolidated balance sheet, the consolidated statement of stockholders’ equity, the condensed consolidated statement of cash flows and the related notes for each subsequent fiscal quarter ended at least 40 days prior to the Indicor Closing Date, in each case, which are prepared in accordance with GAAP; it being understood that, with respect to such financial information for each such fiscal year and fiscal quarter, such condition shall be deemed satisfied through the filing by the Company of its annual report on Form 10-K or quarterly report on Form 10-Q with respect to such fiscal year or fiscal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94</w:t>
      </w:r>
    </w:p>
    <w:p>
      <w:pPr>
        <w:sectPr>
          <w:pgSz w:w="11900" w:h="16838" w:orient="portrait"/>
          <w:cols w:equalWidth="0" w:num="1">
            <w:col w:w="11240"/>
          </w:cols>
          <w:pgMar w:left="320" w:top="1394" w:right="339" w:bottom="1440" w:gutter="0" w:footer="0" w:header="0"/>
        </w:sectPr>
      </w:pPr>
    </w:p>
    <w:bookmarkStart w:id="103" w:name="page104"/>
    <w:bookmarkEnd w:id="103"/>
    <w:p>
      <w:pPr>
        <w:jc w:val="both"/>
        <w:ind w:left="660" w:firstLine="644"/>
        <w:spacing w:after="0" w:line="272" w:lineRule="auto"/>
        <w:tabs>
          <w:tab w:leader="none" w:pos="1898" w:val="left"/>
        </w:tabs>
        <w:numPr>
          <w:ilvl w:val="0"/>
          <w:numId w:val="11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Administrative Agent shall have received with respect to the Group Companies (as defined in the Indicor Acquisition Agreement): (a) the unaudited combined statements of profit and loss for the Group Companies for the twelve (12)-month periods ended December 31, 2025 and December 31, 2024, (b) the unaudited combined balance sheet of the Group Companies dated as of each of December 31, 2025 and December 31, 2024 and (c) to the extent received from the Sellers (as defined in the Indicor Acquisition Agreement), the unaudited combined statements of profit and loss and combined balance sheets for each subsequent fiscal quarter ended at least 40 days (or, in the case of the fourth quarter of the fiscal year, at least 60 days) prior to the Indicor Closing Date.</w:t>
      </w:r>
    </w:p>
    <w:p>
      <w:pPr>
        <w:spacing w:after="0" w:line="173" w:lineRule="exact"/>
        <w:rPr>
          <w:rFonts w:ascii="Times New Roman" w:cs="Times New Roman" w:eastAsia="Times New Roman" w:hAnsi="Times New Roman"/>
          <w:sz w:val="20"/>
          <w:szCs w:val="20"/>
          <w:color w:val="010000"/>
        </w:rPr>
      </w:pPr>
    </w:p>
    <w:p>
      <w:pPr>
        <w:jc w:val="both"/>
        <w:ind w:left="660" w:firstLine="644"/>
        <w:spacing w:after="0" w:line="282" w:lineRule="auto"/>
        <w:tabs>
          <w:tab w:leader="none" w:pos="1806" w:val="left"/>
        </w:tabs>
        <w:numPr>
          <w:ilvl w:val="0"/>
          <w:numId w:val="11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The Administrative Agent shall have received (i) a duly executed Borrowing Request complying with the terms of Section 2.03 and (ii) a solvency certificate from the chief financial officer of the Company in the form attached as </w:t>
      </w:r>
      <w:r>
        <w:rPr>
          <w:rFonts w:ascii="Times New Roman" w:cs="Times New Roman" w:eastAsia="Times New Roman" w:hAnsi="Times New Roman"/>
          <w:sz w:val="20"/>
          <w:szCs w:val="20"/>
          <w:u w:val="single" w:color="auto"/>
          <w:color w:val="auto"/>
        </w:rPr>
        <w:t>Exhibit I</w:t>
      </w:r>
      <w:r>
        <w:rPr>
          <w:rFonts w:ascii="Times New Roman" w:cs="Times New Roman" w:eastAsia="Times New Roman" w:hAnsi="Times New Roman"/>
          <w:sz w:val="20"/>
          <w:szCs w:val="20"/>
          <w:color w:val="auto"/>
        </w:rPr>
        <w:t xml:space="preserve"> certifying that the Company and its Subsidiaries, on a consolidated basis after giving effect to the Indicor Transactions, are solvent.</w:t>
      </w:r>
    </w:p>
    <w:p>
      <w:pPr>
        <w:spacing w:after="0" w:line="161" w:lineRule="exact"/>
        <w:rPr>
          <w:rFonts w:ascii="Times New Roman" w:cs="Times New Roman" w:eastAsia="Times New Roman" w:hAnsi="Times New Roman"/>
          <w:sz w:val="20"/>
          <w:szCs w:val="20"/>
          <w:color w:val="010000"/>
        </w:rPr>
      </w:pPr>
    </w:p>
    <w:p>
      <w:pPr>
        <w:jc w:val="both"/>
        <w:ind w:left="660" w:firstLine="644"/>
        <w:spacing w:after="0" w:line="275" w:lineRule="auto"/>
        <w:tabs>
          <w:tab w:leader="none" w:pos="1744" w:val="left"/>
        </w:tabs>
        <w:numPr>
          <w:ilvl w:val="0"/>
          <w:numId w:val="11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(a) The Indicor Acquisition Agreement Representations and the Indicor Specified Representations shall be accurate in all material respects on and as of the Indicor Closing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to the extent the Indicor Acquisition Agreement Representations and the Indicor Specified Representations specifically refer to an earlier date, they shall be accurate in all material respects as of such earlier date and (b) no Event of Default under (1) paragraphs (a) and (b) of Article VII and (2) paragraphs (h), (i), (j), (k) or (l) of Article VII (in each case, with respect to the Company only).</w:t>
      </w:r>
    </w:p>
    <w:p>
      <w:pPr>
        <w:spacing w:after="0" w:line="167" w:lineRule="exact"/>
        <w:rPr>
          <w:rFonts w:ascii="Times New Roman" w:cs="Times New Roman" w:eastAsia="Times New Roman" w:hAnsi="Times New Roman"/>
          <w:sz w:val="20"/>
          <w:szCs w:val="20"/>
          <w:color w:val="010000"/>
        </w:rPr>
      </w:pPr>
    </w:p>
    <w:p>
      <w:pPr>
        <w:ind w:left="660" w:firstLine="644"/>
        <w:spacing w:after="0" w:line="297" w:lineRule="auto"/>
        <w:tabs>
          <w:tab w:leader="none" w:pos="1777" w:val="left"/>
        </w:tabs>
        <w:numPr>
          <w:ilvl w:val="0"/>
          <w:numId w:val="11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Administrative Agent shall have received a certificate from a Financial Officer certifying as to the satisfaction of the conditions precedent contained in this Section 4.04(a), (b), (f) and (i).</w:t>
      </w:r>
    </w:p>
    <w:p>
      <w:pPr>
        <w:spacing w:after="0" w:line="146" w:lineRule="exact"/>
        <w:rPr>
          <w:rFonts w:ascii="Times New Roman" w:cs="Times New Roman" w:eastAsia="Times New Roman" w:hAnsi="Times New Roman"/>
          <w:sz w:val="20"/>
          <w:szCs w:val="20"/>
          <w:color w:val="010000"/>
        </w:rPr>
      </w:pPr>
    </w:p>
    <w:p>
      <w:pPr>
        <w:jc w:val="both"/>
        <w:ind w:left="660" w:firstLine="644"/>
        <w:spacing w:after="0" w:line="282" w:lineRule="auto"/>
        <w:tabs>
          <w:tab w:leader="none" w:pos="1831" w:val="left"/>
        </w:tabs>
        <w:numPr>
          <w:ilvl w:val="0"/>
          <w:numId w:val="11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Company shall have paid all fees and expenses due and, in the case of expenses and legal fees, to the extent invoiced in reasonable detail at least two business days prior to the Indicor Closing Date and required to be paid on the Indicor Closing Date.</w:t>
      </w:r>
    </w:p>
    <w:p>
      <w:pPr>
        <w:spacing w:after="0" w:line="147" w:lineRule="exact"/>
        <w:rPr>
          <w:rFonts w:ascii="Times New Roman" w:cs="Times New Roman" w:eastAsia="Times New Roman" w:hAnsi="Times New Roman"/>
          <w:sz w:val="20"/>
          <w:szCs w:val="20"/>
          <w:color w:val="010000"/>
        </w:rPr>
      </w:pPr>
    </w:p>
    <w:p>
      <w:pPr>
        <w:ind w:left="1760" w:hanging="456"/>
        <w:spacing w:after="0"/>
        <w:tabs>
          <w:tab w:leader="none" w:pos="1760" w:val="left"/>
        </w:tabs>
        <w:numPr>
          <w:ilvl w:val="0"/>
          <w:numId w:val="11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Indicor Refinancing shall have occurred concurrently with the funding of such Indicor Closing Date Revolving</w:t>
      </w:r>
    </w:p>
    <w:p>
      <w:pPr>
        <w:spacing w:after="0" w:line="21" w:lineRule="exact"/>
        <w:rPr>
          <w:rFonts w:ascii="Times New Roman" w:cs="Times New Roman" w:eastAsia="Times New Roman" w:hAnsi="Times New Roman"/>
          <w:sz w:val="20"/>
          <w:szCs w:val="20"/>
          <w:color w:val="010000"/>
        </w:rPr>
      </w:pPr>
    </w:p>
    <w:p>
      <w:pPr>
        <w:ind w:left="660"/>
        <w:spacing w:after="0"/>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Loans.</w:t>
      </w:r>
    </w:p>
    <w:p>
      <w:pPr>
        <w:spacing w:after="0" w:line="180" w:lineRule="exact"/>
        <w:rPr>
          <w:rFonts w:ascii="Times New Roman" w:cs="Times New Roman" w:eastAsia="Times New Roman" w:hAnsi="Times New Roman"/>
          <w:sz w:val="20"/>
          <w:szCs w:val="20"/>
          <w:color w:val="010000"/>
        </w:rPr>
      </w:pPr>
    </w:p>
    <w:p>
      <w:pPr>
        <w:ind w:left="660" w:right="20" w:firstLine="644"/>
        <w:spacing w:after="0" w:line="283" w:lineRule="auto"/>
        <w:tabs>
          <w:tab w:leader="none" w:pos="1706" w:val="left"/>
        </w:tabs>
        <w:numPr>
          <w:ilvl w:val="0"/>
          <w:numId w:val="11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conditions set forth in clauses (a), (b), (c) and (d) in Section 2.01 are satisfied at the time of, and immediately after giving effect to, the funding of the Indicor Closing Date Revolving Loans.</w:t>
      </w:r>
    </w:p>
    <w:p>
      <w:pPr>
        <w:spacing w:after="0" w:line="133" w:lineRule="exact"/>
        <w:rPr>
          <w:sz w:val="20"/>
          <w:szCs w:val="20"/>
          <w:color w:val="auto"/>
        </w:rPr>
      </w:pPr>
    </w:p>
    <w:p>
      <w:pPr>
        <w:ind w:right="20" w:firstLine="648"/>
        <w:spacing w:after="0" w:line="283" w:lineRule="auto"/>
        <w:rPr>
          <w:sz w:val="20"/>
          <w:szCs w:val="20"/>
          <w:color w:val="auto"/>
        </w:rPr>
      </w:pPr>
      <w:r>
        <w:rPr>
          <w:rFonts w:ascii="Times New Roman" w:cs="Times New Roman" w:eastAsia="Times New Roman" w:hAnsi="Times New Roman"/>
          <w:sz w:val="20"/>
          <w:szCs w:val="20"/>
          <w:color w:val="auto"/>
        </w:rPr>
        <w:t>The Administrative Agent shall notify the Company and the Lenders of the Indicor Closing Date, and such notice shall be conclusive and binding.</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010000"/>
        </w:rPr>
        <w:t>ARTICLE V</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Affirmative Covenants</w:t>
      </w:r>
    </w:p>
    <w:p>
      <w:pPr>
        <w:spacing w:after="0" w:line="229" w:lineRule="exact"/>
        <w:rPr>
          <w:sz w:val="20"/>
          <w:szCs w:val="20"/>
          <w:color w:val="auto"/>
        </w:rPr>
      </w:pPr>
    </w:p>
    <w:p>
      <w:pPr>
        <w:ind w:firstLine="1296"/>
        <w:spacing w:after="0" w:line="269" w:lineRule="auto"/>
        <w:rPr>
          <w:sz w:val="20"/>
          <w:szCs w:val="20"/>
          <w:color w:val="auto"/>
        </w:rPr>
      </w:pPr>
      <w:r>
        <w:rPr>
          <w:rFonts w:ascii="Times New Roman" w:cs="Times New Roman" w:eastAsia="Times New Roman" w:hAnsi="Times New Roman"/>
          <w:sz w:val="20"/>
          <w:szCs w:val="20"/>
          <w:color w:val="auto"/>
        </w:rPr>
        <w:t>Until the Commitments have expired or been terminated and the principal of and interest on each Loan and all fees payable hereunder shall have been paid in full and all Letters of Credit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95</w:t>
      </w:r>
    </w:p>
    <w:p>
      <w:pPr>
        <w:sectPr>
          <w:pgSz w:w="11900" w:h="16838" w:orient="portrait"/>
          <w:cols w:equalWidth="0" w:num="1">
            <w:col w:w="11240"/>
          </w:cols>
          <w:pgMar w:left="320" w:top="1426" w:right="339" w:bottom="1440" w:gutter="0" w:footer="0" w:header="0"/>
        </w:sectPr>
      </w:pPr>
    </w:p>
    <w:bookmarkStart w:id="104" w:name="page105"/>
    <w:bookmarkEnd w:id="104"/>
    <w:p>
      <w:pPr>
        <w:spacing w:after="0" w:line="283" w:lineRule="auto"/>
        <w:rPr>
          <w:sz w:val="20"/>
          <w:szCs w:val="20"/>
          <w:color w:val="auto"/>
        </w:rPr>
      </w:pPr>
      <w:r>
        <w:rPr>
          <w:rFonts w:ascii="Times New Roman" w:cs="Times New Roman" w:eastAsia="Times New Roman" w:hAnsi="Times New Roman"/>
          <w:sz w:val="20"/>
          <w:szCs w:val="20"/>
          <w:color w:val="auto"/>
        </w:rPr>
        <w:t>have expired or terminated, in each case, without any pending draw, and all LC Disbursements shall have been reimbursed, the Company covenants and agrees with the Lenders that:</w:t>
      </w:r>
    </w:p>
    <w:p>
      <w:pPr>
        <w:spacing w:after="0" w:line="133" w:lineRule="exact"/>
        <w:rPr>
          <w:sz w:val="20"/>
          <w:szCs w:val="20"/>
          <w:color w:val="auto"/>
        </w:rPr>
      </w:pPr>
    </w:p>
    <w:p>
      <w:pPr>
        <w:ind w:left="1300"/>
        <w:spacing w:after="0"/>
        <w:tabs>
          <w:tab w:leader="none" w:pos="2800" w:val="left"/>
        </w:tabs>
        <w:rPr>
          <w:sz w:val="20"/>
          <w:szCs w:val="20"/>
          <w:color w:val="auto"/>
        </w:rPr>
      </w:pPr>
      <w:r>
        <w:rPr>
          <w:rFonts w:ascii="Times New Roman" w:cs="Times New Roman" w:eastAsia="Times New Roman" w:hAnsi="Times New Roman"/>
          <w:sz w:val="20"/>
          <w:szCs w:val="20"/>
          <w:color w:val="010000"/>
        </w:rPr>
        <w:t>SECTION 5.01.</w:t>
      </w:r>
      <w:r>
        <w:rPr>
          <w:sz w:val="20"/>
          <w:szCs w:val="20"/>
          <w:color w:val="auto"/>
        </w:rPr>
        <w:tab/>
      </w:r>
      <w:r>
        <w:rPr>
          <w:rFonts w:ascii="Times New Roman" w:cs="Times New Roman" w:eastAsia="Times New Roman" w:hAnsi="Times New Roman"/>
          <w:sz w:val="20"/>
          <w:szCs w:val="20"/>
          <w:u w:val="single" w:color="auto"/>
          <w:color w:val="auto"/>
        </w:rPr>
        <w:t>Financial Statements and Other Information</w:t>
      </w:r>
      <w:r>
        <w:rPr>
          <w:rFonts w:ascii="Times New Roman" w:cs="Times New Roman" w:eastAsia="Times New Roman" w:hAnsi="Times New Roman"/>
          <w:sz w:val="20"/>
          <w:szCs w:val="20"/>
          <w:color w:val="auto"/>
        </w:rPr>
        <w:t>. The Company will furnish to the Administrative Agent and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each Lender:</w:t>
      </w:r>
    </w:p>
    <w:p>
      <w:pPr>
        <w:spacing w:after="0" w:line="6" w:lineRule="exact"/>
        <w:rPr>
          <w:sz w:val="20"/>
          <w:szCs w:val="20"/>
          <w:color w:val="auto"/>
        </w:rPr>
      </w:pPr>
    </w:p>
    <w:p>
      <w:pPr>
        <w:jc w:val="both"/>
        <w:ind w:left="660" w:firstLine="644"/>
        <w:spacing w:after="0" w:line="250" w:lineRule="auto"/>
        <w:tabs>
          <w:tab w:leader="none" w:pos="1806" w:val="left"/>
        </w:tabs>
        <w:numPr>
          <w:ilvl w:val="0"/>
          <w:numId w:val="11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within ninety (90) days after the end of each fiscal year of the Company (or, if earlier, by the date that the Annual Report on Form 10-K of the Company for such fiscal year would be required to be filed under the rules and regulations of the SEC, giving effect to any automatic extension available thereunder for the filing of such form), its audited consolidated balance sheet and related statements of operations, stockholders’ equity and cash flows as of the end of and for such year, setting forth in each case in comparative form the figures for the previous fiscal year, all reported on by Ernst &amp; Young LLP or other independent public accountants of recognized national standing (without a “going concern” or like qualification or exception and without any qualification or exception as to the scope of such audit) to the effect that such consolidated financial statements present fairly in all material respects the financial condition and results of operations of the Company and its consolidated Subsidiaries on a consolidated basis in accordance with GAAP consistently applied;</w:t>
      </w:r>
    </w:p>
    <w:p>
      <w:pPr>
        <w:spacing w:after="0" w:line="164" w:lineRule="exact"/>
        <w:rPr>
          <w:rFonts w:ascii="Times New Roman" w:cs="Times New Roman" w:eastAsia="Times New Roman" w:hAnsi="Times New Roman"/>
          <w:sz w:val="20"/>
          <w:szCs w:val="20"/>
          <w:color w:val="010000"/>
        </w:rPr>
      </w:pPr>
    </w:p>
    <w:p>
      <w:pPr>
        <w:jc w:val="both"/>
        <w:ind w:left="660" w:firstLine="644"/>
        <w:spacing w:after="0" w:line="252" w:lineRule="auto"/>
        <w:tabs>
          <w:tab w:leader="none" w:pos="1750" w:val="left"/>
        </w:tabs>
        <w:numPr>
          <w:ilvl w:val="0"/>
          <w:numId w:val="11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within forty-five (45) days after the end of each of the first three fiscal quarters of each fiscal year of the Company (or, if earlier, by the date that the Quarterly Report on Form 10-Q of the Company for such fiscal quarter would be required to be filed under the rules and regulations of the SEC, giving effect to any automatic extension available thereunder for the filing of such form), its consolidated balance sheet and related statements of operations, stockholders’ equity and cash flows as of the end of and for such fiscal quarter and the then elapsed portion of the fiscal year, setting forth in each case in comparative form the figures for the corresponding period or periods of (or, in the case of the balance sheet, as of the end of) the previous fiscal year, all certified by one of its Financial Officers as presenting fairly in all material respects the financial condition and results of operations of the Company and its consolidated Subsidiaries on a consolidated basis in accordance with GAAP consistently applied, subject to normal year-end audit adjustments and the absence of footnotes;</w:t>
      </w:r>
    </w:p>
    <w:p>
      <w:pPr>
        <w:spacing w:after="0" w:line="148" w:lineRule="exact"/>
        <w:rPr>
          <w:rFonts w:ascii="Times New Roman" w:cs="Times New Roman" w:eastAsia="Times New Roman" w:hAnsi="Times New Roman"/>
          <w:sz w:val="20"/>
          <w:szCs w:val="20"/>
          <w:color w:val="010000"/>
        </w:rPr>
      </w:pPr>
    </w:p>
    <w:p>
      <w:pPr>
        <w:jc w:val="both"/>
        <w:ind w:left="660" w:firstLine="644"/>
        <w:spacing w:after="0" w:line="216" w:lineRule="auto"/>
        <w:tabs>
          <w:tab w:leader="none" w:pos="1739" w:val="left"/>
        </w:tabs>
        <w:numPr>
          <w:ilvl w:val="0"/>
          <w:numId w:val="11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concurrently with any delivery of financial statements under clause (a) or (b) above, a certificate of a Financial Officer of the Company (i) certifying as to whether a Default has occurred and, if a Default has occurred, specifying the details thereof and any action taken or proposed to be taken with respect thereto, (ii) setting forth reasonably detailed calculations demonstrating compliance with Section 6.07 and (iii) stating whether any change in GAAP or in the application thereof has occurred since the date of the audited financial statements referred to in Section 3.04 and, if any such change has occurred, specifying the effect of such change on the financial statements accompanying such certificate;</w:t>
      </w:r>
    </w:p>
    <w:p>
      <w:pPr>
        <w:spacing w:after="0" w:line="148" w:lineRule="exact"/>
        <w:rPr>
          <w:rFonts w:ascii="Times New Roman" w:cs="Times New Roman" w:eastAsia="Times New Roman" w:hAnsi="Times New Roman"/>
          <w:sz w:val="20"/>
          <w:szCs w:val="20"/>
          <w:color w:val="010000"/>
        </w:rPr>
      </w:pPr>
    </w:p>
    <w:p>
      <w:pPr>
        <w:jc w:val="both"/>
        <w:ind w:left="660" w:firstLine="644"/>
        <w:spacing w:after="0" w:line="226" w:lineRule="auto"/>
        <w:tabs>
          <w:tab w:leader="none" w:pos="1763" w:val="left"/>
        </w:tabs>
        <w:numPr>
          <w:ilvl w:val="0"/>
          <w:numId w:val="11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concurrently with any delivery of financial statements under clause (a) above, a certificate of the accounting firm that reported on such financial statements stating whether they obtained knowledge during the course of their examination of such financial statements of any Default (which certificate may be limited to the extent required by accounting rules or guidelines);</w:t>
      </w:r>
    </w:p>
    <w:p>
      <w:pPr>
        <w:spacing w:after="0" w:line="133" w:lineRule="exact"/>
        <w:rPr>
          <w:rFonts w:ascii="Times New Roman" w:cs="Times New Roman" w:eastAsia="Times New Roman" w:hAnsi="Times New Roman"/>
          <w:sz w:val="20"/>
          <w:szCs w:val="20"/>
          <w:color w:val="010000"/>
        </w:rPr>
      </w:pPr>
    </w:p>
    <w:p>
      <w:pPr>
        <w:jc w:val="both"/>
        <w:ind w:left="660" w:firstLine="644"/>
        <w:spacing w:after="0" w:line="222" w:lineRule="auto"/>
        <w:tabs>
          <w:tab w:leader="none" w:pos="1739" w:val="left"/>
        </w:tabs>
        <w:numPr>
          <w:ilvl w:val="0"/>
          <w:numId w:val="11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promptly after the same become publicly available, copies of all periodic and other reports, proxy statements and other materials filed by the Company or any Subsidiary with the SEC, or any Governmental Authority succeeding to any or all of the functions of said Commission, or with any national securities exchange, or distributed by the Company to its shareholders generally, as the case may be;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96</w:t>
      </w:r>
    </w:p>
    <w:p>
      <w:pPr>
        <w:sectPr>
          <w:pgSz w:w="11900" w:h="16838" w:orient="portrait"/>
          <w:cols w:equalWidth="0" w:num="1">
            <w:col w:w="11240"/>
          </w:cols>
          <w:pgMar w:left="320" w:top="1413" w:right="339" w:bottom="1440" w:gutter="0" w:footer="0" w:header="0"/>
        </w:sectPr>
      </w:pPr>
    </w:p>
    <w:bookmarkStart w:id="105" w:name="page106"/>
    <w:bookmarkEnd w:id="105"/>
    <w:p>
      <w:pPr>
        <w:jc w:val="both"/>
        <w:ind w:left="660" w:firstLine="644"/>
        <w:spacing w:after="0" w:line="220" w:lineRule="auto"/>
        <w:tabs>
          <w:tab w:leader="none" w:pos="1825" w:val="left"/>
        </w:tabs>
        <w:numPr>
          <w:ilvl w:val="0"/>
          <w:numId w:val="11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promptly following any request therefor, (x) such other information regarding the operations, business affairs and financial condition of the Company or any Subsidiary, or compliance with the terms of this Agreement, as the Administrative Agent or any Lender (through the Administrative Agent) may reasonably request and (y) information and documentation reasonably requested by the Administrative Agent or any Lender for purposes of compliance with applicable “know your customer” and Anti-Money Laundering Laws, including the Patriot Act and the Beneficial Ownership Regulation.</w:t>
      </w:r>
    </w:p>
    <w:p>
      <w:pPr>
        <w:spacing w:after="0" w:line="1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Documents required to be delivered pursuant to clauses (a) and (b) of this Section 5.01 may be delivered electronically and if so</w:t>
      </w:r>
    </w:p>
    <w:p>
      <w:pPr>
        <w:ind w:left="660"/>
        <w:spacing w:after="0" w:line="215" w:lineRule="auto"/>
        <w:rPr>
          <w:sz w:val="20"/>
          <w:szCs w:val="20"/>
          <w:color w:val="auto"/>
        </w:rPr>
      </w:pPr>
      <w:r>
        <w:rPr>
          <w:rFonts w:ascii="Times New Roman" w:cs="Times New Roman" w:eastAsia="Times New Roman" w:hAnsi="Times New Roman"/>
          <w:sz w:val="19"/>
          <w:szCs w:val="19"/>
          <w:color w:val="auto"/>
        </w:rPr>
        <w:t>delivered, shall be deemed to have been delivered on the date on which such documents are filed for public availability on the SEC’s Electronic Data Gathering and Retrieval System. Notwithstanding anything contained herein, in every instance the Company shall be</w:t>
      </w:r>
    </w:p>
    <w:p>
      <w:pPr>
        <w:ind w:left="660" w:right="20"/>
        <w:spacing w:after="0" w:line="228" w:lineRule="auto"/>
        <w:rPr>
          <w:sz w:val="20"/>
          <w:szCs w:val="20"/>
          <w:color w:val="auto"/>
        </w:rPr>
      </w:pPr>
      <w:r>
        <w:rPr>
          <w:rFonts w:ascii="Times New Roman" w:cs="Times New Roman" w:eastAsia="Times New Roman" w:hAnsi="Times New Roman"/>
          <w:sz w:val="20"/>
          <w:szCs w:val="20"/>
          <w:color w:val="auto"/>
        </w:rPr>
        <w:t>required to provide paper copies of the compliance certificates required by clause (c) of this Section 5.01 to the Administrative Agent.</w:t>
      </w:r>
    </w:p>
    <w:p>
      <w:pPr>
        <w:spacing w:after="0" w:line="149" w:lineRule="exact"/>
        <w:rPr>
          <w:sz w:val="20"/>
          <w:szCs w:val="20"/>
          <w:color w:val="auto"/>
        </w:rPr>
      </w:pPr>
    </w:p>
    <w:p>
      <w:pPr>
        <w:ind w:firstLine="1296"/>
        <w:spacing w:after="0" w:line="222" w:lineRule="auto"/>
        <w:rPr>
          <w:sz w:val="20"/>
          <w:szCs w:val="20"/>
          <w:color w:val="auto"/>
        </w:rPr>
      </w:pPr>
      <w:r>
        <w:rPr>
          <w:rFonts w:ascii="Times New Roman" w:cs="Times New Roman" w:eastAsia="Times New Roman" w:hAnsi="Times New Roman"/>
          <w:sz w:val="20"/>
          <w:szCs w:val="20"/>
          <w:color w:val="010000"/>
        </w:rPr>
        <w:t xml:space="preserve">SECTION 5.02. </w:t>
      </w:r>
      <w:r>
        <w:rPr>
          <w:rFonts w:ascii="Times New Roman" w:cs="Times New Roman" w:eastAsia="Times New Roman" w:hAnsi="Times New Roman"/>
          <w:sz w:val="20"/>
          <w:szCs w:val="20"/>
          <w:u w:val="single" w:color="auto"/>
          <w:color w:val="000000"/>
        </w:rPr>
        <w:t>Notices of Material Events</w:t>
      </w:r>
      <w:r>
        <w:rPr>
          <w:rFonts w:ascii="Times New Roman" w:cs="Times New Roman" w:eastAsia="Times New Roman" w:hAnsi="Times New Roman"/>
          <w:sz w:val="20"/>
          <w:szCs w:val="20"/>
          <w:color w:val="000000"/>
        </w:rPr>
        <w:t>. The Company will furnish to the Administrative Agent and each Lender</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prompt written notice of the following:</w:t>
      </w:r>
    </w:p>
    <w:p>
      <w:pPr>
        <w:spacing w:after="0" w:line="2" w:lineRule="exact"/>
        <w:rPr>
          <w:sz w:val="20"/>
          <w:szCs w:val="20"/>
          <w:color w:val="auto"/>
        </w:rPr>
      </w:pPr>
    </w:p>
    <w:p>
      <w:pPr>
        <w:ind w:left="1720" w:hanging="416"/>
        <w:spacing w:after="0"/>
        <w:tabs>
          <w:tab w:leader="none" w:pos="1720" w:val="left"/>
        </w:tabs>
        <w:numPr>
          <w:ilvl w:val="0"/>
          <w:numId w:val="12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occurrence of any Default;</w:t>
      </w:r>
    </w:p>
    <w:p>
      <w:pPr>
        <w:spacing w:after="0" w:line="139" w:lineRule="exact"/>
        <w:rPr>
          <w:rFonts w:ascii="Times New Roman" w:cs="Times New Roman" w:eastAsia="Times New Roman" w:hAnsi="Times New Roman"/>
          <w:sz w:val="20"/>
          <w:szCs w:val="20"/>
          <w:color w:val="010000"/>
        </w:rPr>
      </w:pPr>
    </w:p>
    <w:p>
      <w:pPr>
        <w:jc w:val="both"/>
        <w:ind w:left="660" w:firstLine="644"/>
        <w:spacing w:after="0" w:line="226" w:lineRule="auto"/>
        <w:tabs>
          <w:tab w:leader="none" w:pos="1790" w:val="left"/>
        </w:tabs>
        <w:numPr>
          <w:ilvl w:val="0"/>
          <w:numId w:val="12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filing or commencement of any action, suit or proceeding by or before any arbitrator or Governmental Authority against or affecting the Company or any Affiliate thereof that could reasonably be expected to result in a Material Adverse Effect; and</w:t>
      </w:r>
    </w:p>
    <w:p>
      <w:pPr>
        <w:spacing w:after="0" w:line="133" w:lineRule="exact"/>
        <w:rPr>
          <w:rFonts w:ascii="Times New Roman" w:cs="Times New Roman" w:eastAsia="Times New Roman" w:hAnsi="Times New Roman"/>
          <w:sz w:val="20"/>
          <w:szCs w:val="20"/>
          <w:color w:val="010000"/>
        </w:rPr>
      </w:pPr>
    </w:p>
    <w:p>
      <w:pPr>
        <w:jc w:val="both"/>
        <w:ind w:left="660" w:firstLine="644"/>
        <w:spacing w:after="0" w:line="215" w:lineRule="auto"/>
        <w:tabs>
          <w:tab w:leader="none" w:pos="1752" w:val="left"/>
        </w:tabs>
        <w:numPr>
          <w:ilvl w:val="0"/>
          <w:numId w:val="12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 the occurrence of any ERISA Event that could reasonably be expected to result in a Material Adverse Effect or (ii) the occurrence of any of the following to the extent the same could reasonably be expected to result in a Material Adverse Effect: (A) threatened in writing or actual issuance by the Pensions Regulator of a financial support direction or a contribution notice (as those terms are defined in the United Kingdom Pensions Act 2004) or threatened in writing or actual exercise of any Criminal Pension Power by the Pensions Regulator or the CPS in relation to any Non-U.S. Pension Plan, (B) any amount is due to any Non-U.S. Pension Plan pursuant to Section 75 or 75A of the United Kingdom Pensions Act 1995, (C) an amount becomes payable under section 75 or 75A of the United Kingdom Pensions Act 1995 to any Non-U.S. Pension Plan and/or (D) the occurrence of a Notifiable Event in relation to any Non-U.S. Pension Plan.</w:t>
      </w:r>
    </w:p>
    <w:p>
      <w:pPr>
        <w:spacing w:after="0" w:line="134"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9"/>
          <w:szCs w:val="19"/>
          <w:color w:val="auto"/>
        </w:rPr>
        <w:t>Each notice delivered under this Section (i) shall be in writing, (ii) shall contain a heading or a reference line that reads “Notice under Section 5.02 of the Ametek Amended and Restated Credit Agreement dated September 22, 2011” and (iii) shall be accompanied by a statement of a</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Financial Officer or other executive officer of the Company setting forth the details of the event or development requiring such notice and any action taken or proposed to be taken with respect thereto.</w:t>
      </w:r>
    </w:p>
    <w:p>
      <w:pPr>
        <w:spacing w:after="0" w:line="121" w:lineRule="exact"/>
        <w:rPr>
          <w:sz w:val="20"/>
          <w:szCs w:val="20"/>
          <w:color w:val="auto"/>
        </w:rPr>
      </w:pPr>
    </w:p>
    <w:p>
      <w:pPr>
        <w:jc w:val="both"/>
        <w:ind w:firstLine="1296"/>
        <w:spacing w:after="0" w:line="222" w:lineRule="auto"/>
        <w:rPr>
          <w:sz w:val="20"/>
          <w:szCs w:val="20"/>
          <w:color w:val="auto"/>
        </w:rPr>
      </w:pPr>
      <w:r>
        <w:rPr>
          <w:rFonts w:ascii="Times New Roman" w:cs="Times New Roman" w:eastAsia="Times New Roman" w:hAnsi="Times New Roman"/>
          <w:sz w:val="20"/>
          <w:szCs w:val="20"/>
          <w:color w:val="010000"/>
        </w:rPr>
        <w:t xml:space="preserve">SECTION 5.03. </w:t>
      </w:r>
      <w:r>
        <w:rPr>
          <w:rFonts w:ascii="Times New Roman" w:cs="Times New Roman" w:eastAsia="Times New Roman" w:hAnsi="Times New Roman"/>
          <w:sz w:val="20"/>
          <w:szCs w:val="20"/>
          <w:u w:val="single" w:color="auto"/>
          <w:color w:val="000000"/>
        </w:rPr>
        <w:t>Existence; Conduct of Business</w:t>
      </w:r>
      <w:r>
        <w:rPr>
          <w:rFonts w:ascii="Times New Roman" w:cs="Times New Roman" w:eastAsia="Times New Roman" w:hAnsi="Times New Roman"/>
          <w:sz w:val="20"/>
          <w:szCs w:val="20"/>
          <w:color w:val="000000"/>
        </w:rPr>
        <w:t>. The Company will, and will cause each of its Subsidiaries to, do or cause</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to be done all things necessary to preserve, renew and keep in full force and effect its legal existence and the rights, qualifications, licenses,</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permits, privileges, franchises, governmental authorizations and intellectual property rights material to the conduct of its business, and maintain all requisite authority to conduct its business in each jurisdiction in which its business is conducted;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foregoing</w:t>
      </w:r>
    </w:p>
    <w:p>
      <w:pPr>
        <w:spacing w:after="0" w:line="211" w:lineRule="auto"/>
        <w:rPr>
          <w:sz w:val="20"/>
          <w:szCs w:val="20"/>
          <w:color w:val="auto"/>
        </w:rPr>
      </w:pPr>
      <w:r>
        <w:rPr>
          <w:rFonts w:ascii="Times New Roman" w:cs="Times New Roman" w:eastAsia="Times New Roman" w:hAnsi="Times New Roman"/>
          <w:sz w:val="20"/>
          <w:szCs w:val="20"/>
          <w:color w:val="auto"/>
        </w:rPr>
        <w:t>shall not prohibit any merger, consolidation, amalgamation, Division, liquidation or dissolution permitted under this Agreement. Each</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Subsidiary organized under the laws of England and Wales shall cause its registered office and centre of main interests ((as that term is used in Article 3(1) of the Regulation, as it has effect in the United Kingdom pursuant to the Insolvency (Amendment) (EU Exit) Regulations</w:t>
      </w:r>
    </w:p>
    <w:p>
      <w:pPr>
        <w:spacing w:after="0" w:line="211" w:lineRule="auto"/>
        <w:rPr>
          <w:sz w:val="20"/>
          <w:szCs w:val="20"/>
          <w:color w:val="auto"/>
        </w:rPr>
      </w:pPr>
      <w:r>
        <w:rPr>
          <w:rFonts w:ascii="Times New Roman" w:cs="Times New Roman" w:eastAsia="Times New Roman" w:hAnsi="Times New Roman"/>
          <w:sz w:val="20"/>
          <w:szCs w:val="20"/>
          <w:color w:val="auto"/>
        </w:rPr>
        <w:t>2019 (as amended)) is in England and Wales and shall have an Establishment situated solely in England and Wales. Each Subsidiary</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organized under the laws of the Netherlands shall cause its registered office and centre of main interests (as that term is used in Article 3(1) of the Regulation) to be situated solely in the Netherlands and shall have an Establishment situated solely in the Netherlands. Each Subsidiary</w:t>
      </w:r>
    </w:p>
    <w:p>
      <w:pPr>
        <w:spacing w:after="0" w:line="211" w:lineRule="auto"/>
        <w:rPr>
          <w:sz w:val="20"/>
          <w:szCs w:val="20"/>
          <w:color w:val="auto"/>
        </w:rPr>
      </w:pPr>
      <w:r>
        <w:rPr>
          <w:rFonts w:ascii="Times New Roman" w:cs="Times New Roman" w:eastAsia="Times New Roman" w:hAnsi="Times New Roman"/>
          <w:sz w:val="20"/>
          <w:szCs w:val="20"/>
          <w:color w:val="auto"/>
        </w:rPr>
        <w:t>organized under the laws of Germany shall cause its centre of main interests (as defined in Council Regulation (EC) No 1346/2000 of 29</w:t>
      </w:r>
    </w:p>
    <w:p>
      <w:pPr>
        <w:spacing w:after="0" w:line="221" w:lineRule="auto"/>
        <w:rPr>
          <w:sz w:val="20"/>
          <w:szCs w:val="20"/>
          <w:color w:val="auto"/>
        </w:rPr>
      </w:pPr>
      <w:r>
        <w:rPr>
          <w:rFonts w:ascii="Times New Roman" w:cs="Times New Roman" w:eastAsia="Times New Roman" w:hAnsi="Times New Roman"/>
          <w:sz w:val="20"/>
          <w:szCs w:val="20"/>
          <w:color w:val="auto"/>
        </w:rPr>
        <w:t>May 2000 on insolvency proceedings (as amended or superseded from time to time, e.g., pursuant to Regulation (EU) No 2015/848 of the European Parliament and of the Council of 20 May 2015 on insolvency proceedings)) to be situated in Germany.</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97</w:t>
      </w:r>
    </w:p>
    <w:p>
      <w:pPr>
        <w:sectPr>
          <w:pgSz w:w="11900" w:h="16838" w:orient="portrait"/>
          <w:cols w:equalWidth="0" w:num="1">
            <w:col w:w="11240"/>
          </w:cols>
          <w:pgMar w:left="320" w:top="1399" w:right="339" w:bottom="1440" w:gutter="0" w:footer="0" w:header="0"/>
        </w:sectPr>
      </w:pPr>
    </w:p>
    <w:bookmarkStart w:id="106" w:name="page107"/>
    <w:bookmarkEnd w:id="106"/>
    <w:p>
      <w:pPr>
        <w:ind w:left="1300"/>
        <w:spacing w:after="0"/>
        <w:tabs>
          <w:tab w:leader="none" w:pos="2780" w:val="left"/>
        </w:tabs>
        <w:rPr>
          <w:sz w:val="20"/>
          <w:szCs w:val="20"/>
          <w:color w:val="auto"/>
        </w:rPr>
      </w:pPr>
      <w:r>
        <w:rPr>
          <w:rFonts w:ascii="Times New Roman" w:cs="Times New Roman" w:eastAsia="Times New Roman" w:hAnsi="Times New Roman"/>
          <w:sz w:val="20"/>
          <w:szCs w:val="20"/>
          <w:color w:val="010000"/>
        </w:rPr>
        <w:t>SECTION 5.04.</w:t>
      </w:r>
      <w:r>
        <w:rPr>
          <w:sz w:val="20"/>
          <w:szCs w:val="20"/>
          <w:color w:val="auto"/>
        </w:rPr>
        <w:tab/>
      </w:r>
      <w:r>
        <w:rPr>
          <w:rFonts w:ascii="Times New Roman" w:cs="Times New Roman" w:eastAsia="Times New Roman" w:hAnsi="Times New Roman"/>
          <w:sz w:val="20"/>
          <w:szCs w:val="20"/>
          <w:u w:val="single" w:color="auto"/>
          <w:color w:val="auto"/>
        </w:rPr>
        <w:t>Payment of Obligations</w:t>
      </w:r>
      <w:r>
        <w:rPr>
          <w:rFonts w:ascii="Times New Roman" w:cs="Times New Roman" w:eastAsia="Times New Roman" w:hAnsi="Times New Roman"/>
          <w:sz w:val="20"/>
          <w:szCs w:val="20"/>
          <w:color w:val="auto"/>
        </w:rPr>
        <w:t>. The Company will, and will cause each of its Subsidiaries to, pay its obligations</w:t>
      </w:r>
    </w:p>
    <w:p>
      <w:pPr>
        <w:spacing w:after="0" w:line="215" w:lineRule="auto"/>
        <w:rPr>
          <w:sz w:val="20"/>
          <w:szCs w:val="20"/>
          <w:color w:val="auto"/>
        </w:rPr>
      </w:pPr>
      <w:r>
        <w:rPr>
          <w:rFonts w:ascii="Times New Roman" w:cs="Times New Roman" w:eastAsia="Times New Roman" w:hAnsi="Times New Roman"/>
          <w:sz w:val="19"/>
          <w:szCs w:val="19"/>
          <w:color w:val="auto"/>
        </w:rPr>
        <w:t>under the terms of each mortgage indenture, security agreement and other debt instrument that, if not paid, could result in a Material Adverse Effect before the same shall become in default, except where (a) the validity or amount thereof is being contested in good faith by appropriate</w:t>
      </w:r>
    </w:p>
    <w:p>
      <w:pPr>
        <w:spacing w:after="0" w:line="222" w:lineRule="auto"/>
        <w:rPr>
          <w:sz w:val="20"/>
          <w:szCs w:val="20"/>
          <w:color w:val="auto"/>
        </w:rPr>
      </w:pPr>
      <w:r>
        <w:rPr>
          <w:rFonts w:ascii="Times New Roman" w:cs="Times New Roman" w:eastAsia="Times New Roman" w:hAnsi="Times New Roman"/>
          <w:sz w:val="19"/>
          <w:szCs w:val="19"/>
          <w:color w:val="auto"/>
        </w:rPr>
        <w:t>proceedings, (b) the Company or such Subsidiary has set aside on its books adequate reserves with respect thereto in accordance with GAAP</w:t>
      </w:r>
    </w:p>
    <w:p>
      <w:pPr>
        <w:spacing w:after="0" w:line="215" w:lineRule="auto"/>
        <w:rPr>
          <w:sz w:val="20"/>
          <w:szCs w:val="20"/>
          <w:color w:val="auto"/>
        </w:rPr>
      </w:pPr>
      <w:r>
        <w:rPr>
          <w:rFonts w:ascii="Times New Roman" w:cs="Times New Roman" w:eastAsia="Times New Roman" w:hAnsi="Times New Roman"/>
          <w:sz w:val="19"/>
          <w:szCs w:val="19"/>
          <w:color w:val="auto"/>
        </w:rPr>
        <w:t>and (c) the failure to make payment pending such contest could not reasonably be expected to result in a Material Adverse Effect. The Company will, and will cause each of its Subsidiaries to, pay and discharge all material Taxes and UK Taxes imposed upon it or its properties</w:t>
      </w:r>
    </w:p>
    <w:p>
      <w:pPr>
        <w:spacing w:after="0" w:line="211" w:lineRule="auto"/>
        <w:rPr>
          <w:sz w:val="20"/>
          <w:szCs w:val="20"/>
          <w:color w:val="auto"/>
        </w:rPr>
      </w:pPr>
      <w:r>
        <w:rPr>
          <w:rFonts w:ascii="Times New Roman" w:cs="Times New Roman" w:eastAsia="Times New Roman" w:hAnsi="Times New Roman"/>
          <w:sz w:val="20"/>
          <w:szCs w:val="20"/>
          <w:color w:val="auto"/>
        </w:rPr>
        <w:t>prior to the date on which penalties attach thereto, except where (a) the validity or amount thereof is being contested in good faith by</w:t>
      </w:r>
    </w:p>
    <w:p>
      <w:pPr>
        <w:spacing w:after="0" w:line="204" w:lineRule="auto"/>
        <w:rPr>
          <w:sz w:val="20"/>
          <w:szCs w:val="20"/>
          <w:color w:val="auto"/>
        </w:rPr>
      </w:pPr>
      <w:r>
        <w:rPr>
          <w:rFonts w:ascii="Times New Roman" w:cs="Times New Roman" w:eastAsia="Times New Roman" w:hAnsi="Times New Roman"/>
          <w:sz w:val="20"/>
          <w:szCs w:val="20"/>
          <w:color w:val="auto"/>
        </w:rPr>
        <w:t>appropriate proceedings, (b) the Company or such Subsidiary has set aside on its books adequate reserves with respect thereto in accordance with GAAP and (c) the failure to make payment pending such contest could not reasonably be expected to result in a Material Adverse</w:t>
      </w:r>
    </w:p>
    <w:p>
      <w:pPr>
        <w:spacing w:after="0" w:line="211" w:lineRule="auto"/>
        <w:rPr>
          <w:sz w:val="20"/>
          <w:szCs w:val="20"/>
          <w:color w:val="auto"/>
        </w:rPr>
      </w:pPr>
      <w:r>
        <w:rPr>
          <w:rFonts w:ascii="Times New Roman" w:cs="Times New Roman" w:eastAsia="Times New Roman" w:hAnsi="Times New Roman"/>
          <w:sz w:val="20"/>
          <w:szCs w:val="20"/>
          <w:color w:val="auto"/>
        </w:rPr>
        <w:t>Effect.</w:t>
      </w:r>
    </w:p>
    <w:p>
      <w:pPr>
        <w:ind w:left="1300"/>
        <w:spacing w:after="0" w:line="198" w:lineRule="auto"/>
        <w:tabs>
          <w:tab w:leader="none" w:pos="2900" w:val="left"/>
        </w:tabs>
        <w:rPr>
          <w:sz w:val="20"/>
          <w:szCs w:val="20"/>
          <w:color w:val="auto"/>
        </w:rPr>
      </w:pPr>
      <w:r>
        <w:rPr>
          <w:rFonts w:ascii="Times New Roman" w:cs="Times New Roman" w:eastAsia="Times New Roman" w:hAnsi="Times New Roman"/>
          <w:sz w:val="20"/>
          <w:szCs w:val="20"/>
          <w:color w:val="010000"/>
        </w:rPr>
        <w:t>SECTION 5.05.</w:t>
      </w:r>
      <w:r>
        <w:rPr>
          <w:sz w:val="20"/>
          <w:szCs w:val="20"/>
          <w:color w:val="auto"/>
        </w:rPr>
        <w:tab/>
      </w:r>
      <w:r>
        <w:rPr>
          <w:rFonts w:ascii="Times New Roman" w:cs="Times New Roman" w:eastAsia="Times New Roman" w:hAnsi="Times New Roman"/>
          <w:sz w:val="20"/>
          <w:szCs w:val="20"/>
          <w:u w:val="single" w:color="auto"/>
          <w:color w:val="auto"/>
        </w:rPr>
        <w:t>Maintenance of Properties; Insurance</w:t>
      </w:r>
      <w:r>
        <w:rPr>
          <w:rFonts w:ascii="Times New Roman" w:cs="Times New Roman" w:eastAsia="Times New Roman" w:hAnsi="Times New Roman"/>
          <w:sz w:val="20"/>
          <w:szCs w:val="20"/>
          <w:color w:val="auto"/>
        </w:rPr>
        <w:t>. The Company will, and will cause each of its Subsidiaries to,</w:t>
      </w:r>
    </w:p>
    <w:p>
      <w:pPr>
        <w:jc w:val="both"/>
        <w:ind w:firstLine="8"/>
        <w:spacing w:after="0" w:line="211" w:lineRule="auto"/>
        <w:tabs>
          <w:tab w:leader="none" w:pos="299"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keep and maintain all property material to the conduct of its business in good working order and condition, ordinary wear and tear excepted, except where the failure to maintain such property could not reasonably be expected to result in a Material Adverse Effect and</w:t>
      </w:r>
    </w:p>
    <w:p>
      <w:pPr>
        <w:jc w:val="both"/>
        <w:ind w:firstLine="8"/>
        <w:spacing w:after="0" w:line="204" w:lineRule="auto"/>
        <w:tabs>
          <w:tab w:leader="none" w:pos="294"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 insurance in such amounts and against such risks as are customarily maintained by companies engaged in the same or similar businesses operating in the same or similar locations, provided that the Company and its Subsidiaries may self-insure against such risks and in such amounts as are usually self-insured by companies engaged in the same or similar businesses operating in the same or similar locations.</w:t>
      </w:r>
    </w:p>
    <w:p>
      <w:pPr>
        <w:spacing w:after="0" w:line="1" w:lineRule="exact"/>
        <w:rPr>
          <w:rFonts w:ascii="Times New Roman" w:cs="Times New Roman" w:eastAsia="Times New Roman" w:hAnsi="Times New Roman"/>
          <w:sz w:val="20"/>
          <w:szCs w:val="20"/>
          <w:color w:val="auto"/>
        </w:rPr>
      </w:pPr>
    </w:p>
    <w:p>
      <w:pPr>
        <w:jc w:val="both"/>
        <w:ind w:firstLine="1296"/>
        <w:spacing w:after="0" w:line="207"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010000"/>
        </w:rPr>
        <w:t xml:space="preserve">SECTION 5.06. </w:t>
      </w:r>
      <w:r>
        <w:rPr>
          <w:rFonts w:ascii="Times New Roman" w:cs="Times New Roman" w:eastAsia="Times New Roman" w:hAnsi="Times New Roman"/>
          <w:sz w:val="20"/>
          <w:szCs w:val="20"/>
          <w:u w:val="single" w:color="auto"/>
          <w:color w:val="000000"/>
        </w:rPr>
        <w:t>Books and Records; Inspection Rights</w:t>
      </w:r>
      <w:r>
        <w:rPr>
          <w:rFonts w:ascii="Times New Roman" w:cs="Times New Roman" w:eastAsia="Times New Roman" w:hAnsi="Times New Roman"/>
          <w:sz w:val="20"/>
          <w:szCs w:val="20"/>
          <w:color w:val="000000"/>
        </w:rPr>
        <w:t>. The Company will, and will cause each of its Subsidiaries to, keep</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proper books of record and account in which full, true and correct entries are made of all dealings and transactions in relation to its business and activities. The Company will, and will cause each of its Subsidiaries to, permit any representatives designated by the Administrative Agent, upon reasonable prior notice, periodically (but no more frequently than annually unless an Event of Default shall be continuing) to visit and inspect its properties, to examine and make extracts from its books and records, and to discuss its affairs, finances and condition with its officers and independent accountants, all at such reasonable times and as often as reasonably requested. The Company acknowledges that the Administrative Agent, after exercising its rights of inspection, may prepare and distribute to the Lenders certain reports pertaining to the Company and its Subsidiaries’ assets for internal use by the Administrative Agent and the Lenders.</w:t>
      </w:r>
    </w:p>
    <w:p>
      <w:pPr>
        <w:spacing w:after="0" w:line="6"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010000"/>
        </w:rPr>
        <w:t xml:space="preserve">SECTION 5.07.  </w:t>
      </w:r>
      <w:r>
        <w:rPr>
          <w:rFonts w:ascii="Times New Roman" w:cs="Times New Roman" w:eastAsia="Times New Roman" w:hAnsi="Times New Roman"/>
          <w:sz w:val="20"/>
          <w:szCs w:val="20"/>
          <w:u w:val="single" w:color="auto"/>
          <w:color w:val="000000"/>
        </w:rPr>
        <w:t>Compliance with Laws</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w:t>
      </w:r>
    </w:p>
    <w:p>
      <w:pPr>
        <w:spacing w:after="0" w:line="6" w:lineRule="exact"/>
        <w:rPr>
          <w:rFonts w:ascii="Times New Roman" w:cs="Times New Roman" w:eastAsia="Times New Roman" w:hAnsi="Times New Roman"/>
          <w:sz w:val="20"/>
          <w:szCs w:val="20"/>
          <w:color w:val="auto"/>
        </w:rPr>
      </w:pPr>
    </w:p>
    <w:p>
      <w:pPr>
        <w:jc w:val="both"/>
        <w:ind w:left="660" w:firstLine="644"/>
        <w:spacing w:after="0" w:line="249" w:lineRule="auto"/>
        <w:tabs>
          <w:tab w:leader="none" w:pos="1725" w:val="left"/>
        </w:tabs>
        <w:numPr>
          <w:ilvl w:val="1"/>
          <w:numId w:val="12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Company will, and will cause each of its Subsidiaries to, comply with all laws, rules, regulations and orders of any Governmental Authority applicable to it or its property (including without limitation Environmental Laws), except where the failure to so comply could not reasonably be expected to result in a Material Adverse Effect. The Company will maintain in effect and enforce policies and procedures designed to ensure compliance by the Company, its Subsidiaries and their respective directors, officers, employees and agents with Anti-Corruption Laws, Export Controls and applicable Sanctions.</w:t>
      </w:r>
    </w:p>
    <w:p>
      <w:pPr>
        <w:spacing w:after="0" w:line="182" w:lineRule="exact"/>
        <w:rPr>
          <w:rFonts w:ascii="Times New Roman" w:cs="Times New Roman" w:eastAsia="Times New Roman" w:hAnsi="Times New Roman"/>
          <w:sz w:val="20"/>
          <w:szCs w:val="20"/>
          <w:color w:val="010000"/>
        </w:rPr>
      </w:pPr>
    </w:p>
    <w:p>
      <w:pPr>
        <w:jc w:val="both"/>
        <w:ind w:left="660" w:firstLine="644"/>
        <w:spacing w:after="0" w:line="253" w:lineRule="auto"/>
        <w:tabs>
          <w:tab w:leader="none" w:pos="1763" w:val="left"/>
        </w:tabs>
        <w:numPr>
          <w:ilvl w:val="1"/>
          <w:numId w:val="12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affirmative covenants in the last sentence of Section 5.07(a) shall not be made by any German Borrower in so far as they would violate or expose any German Borrower or any of its Subsidiaries or any director, officer or employee thereof to any liability under any anti-boycott or blocking law, regulation or statute that is in force from time to time and applicable to such entity (including without limitation EU Regulation (EC) 2271/96 and Section 7 of the German Foreign Trade Ordinance (Verordnung zur Durchführung des Außenwirtschaftsgesetzes (</w:t>
      </w:r>
      <w:r>
        <w:rPr>
          <w:rFonts w:ascii="Times New Roman" w:cs="Times New Roman" w:eastAsia="Times New Roman" w:hAnsi="Times New Roman"/>
          <w:sz w:val="20"/>
          <w:szCs w:val="20"/>
          <w:i w:val="1"/>
          <w:iCs w:val="1"/>
          <w:color w:val="auto"/>
        </w:rPr>
        <w:t>Außenwirtschaftsverordnung – AWV</w:t>
      </w:r>
      <w:r>
        <w:rPr>
          <w:rFonts w:ascii="Times New Roman" w:cs="Times New Roman" w:eastAsia="Times New Roman" w:hAnsi="Times New Roman"/>
          <w:sz w:val="20"/>
          <w:szCs w:val="20"/>
          <w:color w:val="auto"/>
        </w:rPr>
        <w:t>)).</w:t>
      </w:r>
    </w:p>
    <w:p>
      <w:pPr>
        <w:spacing w:after="0" w:line="164" w:lineRule="exact"/>
        <w:rPr>
          <w:rFonts w:ascii="Times New Roman" w:cs="Times New Roman" w:eastAsia="Times New Roman" w:hAnsi="Times New Roman"/>
          <w:sz w:val="20"/>
          <w:szCs w:val="20"/>
          <w:color w:val="010000"/>
        </w:rPr>
      </w:pPr>
    </w:p>
    <w:p>
      <w:pPr>
        <w:jc w:val="both"/>
        <w:ind w:left="660" w:firstLine="644"/>
        <w:spacing w:after="0" w:line="257" w:lineRule="auto"/>
        <w:tabs>
          <w:tab w:leader="none" w:pos="1739" w:val="left"/>
        </w:tabs>
        <w:numPr>
          <w:ilvl w:val="1"/>
          <w:numId w:val="12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affirmative covenants in the last sentence of Section 5.07(a) given by any Borrower to any Lender that qualifies as a resident party domiciled in Germany (</w:t>
      </w:r>
      <w:r>
        <w:rPr>
          <w:rFonts w:ascii="Times New Roman" w:cs="Times New Roman" w:eastAsia="Times New Roman" w:hAnsi="Times New Roman"/>
          <w:sz w:val="20"/>
          <w:szCs w:val="20"/>
          <w:i w:val="1"/>
          <w:iCs w:val="1"/>
          <w:color w:val="auto"/>
        </w:rPr>
        <w:t>Inländer</w:t>
      </w:r>
      <w:r>
        <w:rPr>
          <w:rFonts w:ascii="Times New Roman" w:cs="Times New Roman" w:eastAsia="Times New Roman" w:hAnsi="Times New Roman"/>
          <w:sz w:val="20"/>
          <w:szCs w:val="20"/>
          <w:color w:val="auto"/>
        </w:rPr>
        <w:t>) within the meaning of Section 2 paragraph 15 German Foreign Trade Act (</w:t>
      </w:r>
      <w:r>
        <w:rPr>
          <w:rFonts w:ascii="Times New Roman" w:cs="Times New Roman" w:eastAsia="Times New Roman" w:hAnsi="Times New Roman"/>
          <w:sz w:val="20"/>
          <w:szCs w:val="20"/>
          <w:i w:val="1"/>
          <w:iCs w:val="1"/>
          <w:color w:val="auto"/>
        </w:rPr>
        <w:t>Außenwirtschaftsgesetz</w:t>
      </w:r>
      <w:r>
        <w:rPr>
          <w:rFonts w:ascii="Times New Roman" w:cs="Times New Roman" w:eastAsia="Times New Roman" w:hAnsi="Times New Roman"/>
          <w:sz w:val="20"/>
          <w:szCs w:val="20"/>
          <w:color w:val="auto"/>
        </w:rPr>
        <w:t>) are made only to the extent that any Lender domiciled in Germany (</w:t>
      </w:r>
      <w:r>
        <w:rPr>
          <w:rFonts w:ascii="Times New Roman" w:cs="Times New Roman" w:eastAsia="Times New Roman" w:hAnsi="Times New Roman"/>
          <w:sz w:val="20"/>
          <w:szCs w:val="20"/>
          <w:i w:val="1"/>
          <w:iCs w:val="1"/>
          <w:color w:val="auto"/>
        </w:rPr>
        <w:t>Inländer</w:t>
      </w:r>
      <w:r>
        <w:rPr>
          <w:rFonts w:ascii="Times New Roman" w:cs="Times New Roman" w:eastAsia="Times New Roman" w:hAnsi="Times New Roman"/>
          <w:sz w:val="20"/>
          <w:szCs w:val="20"/>
          <w:color w:val="auto"/>
        </w:rPr>
        <w:t>) within the meaning of Section 2 paragraph 15 German Foreign Trade Act (</w:t>
      </w:r>
      <w:r>
        <w:rPr>
          <w:rFonts w:ascii="Times New Roman" w:cs="Times New Roman" w:eastAsia="Times New Roman" w:hAnsi="Times New Roman"/>
          <w:sz w:val="20"/>
          <w:szCs w:val="20"/>
          <w:i w:val="1"/>
          <w:iCs w:val="1"/>
          <w:color w:val="auto"/>
        </w:rPr>
        <w:t>Außenwirtschaftsgesetz</w:t>
      </w:r>
      <w:r>
        <w:rPr>
          <w:rFonts w:ascii="Times New Roman" w:cs="Times New Roman" w:eastAsia="Times New Roman" w:hAnsi="Times New Roman"/>
          <w:sz w:val="20"/>
          <w:szCs w:val="20"/>
          <w:color w:val="auto"/>
        </w:rPr>
        <w:t>) would be permitted to make such undertakings pursuant to EU Regulation (EC) 2271/96 and Section 7 of the German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98</w:t>
      </w:r>
    </w:p>
    <w:p>
      <w:pPr>
        <w:sectPr>
          <w:pgSz w:w="11900" w:h="16838" w:orient="portrait"/>
          <w:cols w:equalWidth="0" w:num="1">
            <w:col w:w="11240"/>
          </w:cols>
          <w:pgMar w:left="320" w:top="1394" w:right="339" w:bottom="1440" w:gutter="0" w:footer="0" w:header="0"/>
        </w:sectPr>
      </w:pPr>
    </w:p>
    <w:bookmarkStart w:id="107" w:name="page108"/>
    <w:bookmarkEnd w:id="107"/>
    <w:p>
      <w:pPr>
        <w:ind w:left="660"/>
        <w:spacing w:after="0"/>
        <w:rPr>
          <w:sz w:val="20"/>
          <w:szCs w:val="20"/>
          <w:color w:val="auto"/>
        </w:rPr>
      </w:pPr>
      <w:r>
        <w:rPr>
          <w:rFonts w:ascii="Times New Roman" w:cs="Times New Roman" w:eastAsia="Times New Roman" w:hAnsi="Times New Roman"/>
          <w:sz w:val="20"/>
          <w:szCs w:val="20"/>
          <w:color w:val="auto"/>
        </w:rPr>
        <w:t>Foreign Trade Ordinance (Verordnung zur Durchführung des Außenwirtschaftsgesetzes (</w:t>
      </w:r>
      <w:r>
        <w:rPr>
          <w:rFonts w:ascii="Times New Roman" w:cs="Times New Roman" w:eastAsia="Times New Roman" w:hAnsi="Times New Roman"/>
          <w:sz w:val="20"/>
          <w:szCs w:val="20"/>
          <w:i w:val="1"/>
          <w:iCs w:val="1"/>
          <w:color w:val="auto"/>
        </w:rPr>
        <w:t>Außenwirtschaftsverordnung – AWV</w:t>
      </w:r>
      <w:r>
        <w:rPr>
          <w:rFonts w:ascii="Times New Roman" w:cs="Times New Roman" w:eastAsia="Times New Roman" w:hAnsi="Times New Roman"/>
          <w:sz w:val="20"/>
          <w:szCs w:val="20"/>
          <w:color w:val="auto"/>
        </w:rPr>
        <w:t>).</w:t>
      </w:r>
    </w:p>
    <w:p>
      <w:pPr>
        <w:spacing w:after="0" w:line="206"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0"/>
          <w:szCs w:val="20"/>
          <w:color w:val="010000"/>
        </w:rPr>
        <w:t xml:space="preserve">SECTION 5.08. </w:t>
      </w:r>
      <w:r>
        <w:rPr>
          <w:rFonts w:ascii="Times New Roman" w:cs="Times New Roman" w:eastAsia="Times New Roman" w:hAnsi="Times New Roman"/>
          <w:sz w:val="20"/>
          <w:szCs w:val="20"/>
          <w:u w:val="single" w:color="auto"/>
          <w:color w:val="000000"/>
        </w:rPr>
        <w:t>Use of Proceeds</w:t>
      </w:r>
      <w:r>
        <w:rPr>
          <w:rFonts w:ascii="Times New Roman" w:cs="Times New Roman" w:eastAsia="Times New Roman" w:hAnsi="Times New Roman"/>
          <w:sz w:val="20"/>
          <w:szCs w:val="20"/>
          <w:color w:val="000000"/>
        </w:rPr>
        <w:t>. The proceeds of the Loans will be used only to refinance the indebtedness of the</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 xml:space="preserve">Company existing on the Restatement Effective Date, finance the working capital needs, and for general corporate purposes (including acquisitions), of the Company and its Subsidiaries; </w:t>
      </w:r>
      <w:r>
        <w:rPr>
          <w:rFonts w:ascii="Times New Roman" w:cs="Times New Roman" w:eastAsia="Times New Roman" w:hAnsi="Times New Roman"/>
          <w:sz w:val="20"/>
          <w:szCs w:val="20"/>
          <w:u w:val="single" w:color="auto"/>
          <w:color w:val="000000"/>
        </w:rPr>
        <w:t>provided</w:t>
      </w:r>
      <w:r>
        <w:rPr>
          <w:rFonts w:ascii="Times New Roman" w:cs="Times New Roman" w:eastAsia="Times New Roman" w:hAnsi="Times New Roman"/>
          <w:sz w:val="20"/>
          <w:szCs w:val="20"/>
          <w:color w:val="000000"/>
        </w:rPr>
        <w:t xml:space="preserve"> that the proceeds of the Indicor Closing Date Revolving Loans may only be used to finance the Indicor Transactions in accordance with Section 3.19 hereof. No part of the proceeds of any Loan will be used, whether directly or indirectly, for any purpose that entails a violation of any of the Regulations of the Board, including Regulations T, U and X.</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010000"/>
        </w:rPr>
        <w:t>ARTICLE VI</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Negative Covenants</w:t>
      </w:r>
    </w:p>
    <w:p>
      <w:pPr>
        <w:spacing w:after="0" w:line="21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Until the Commitments have expired or terminated and the principal of and interest on each Loan and all fees payable hereunder have been paid in full and all Letters of Credit have expired or terminated, in each case, without any pending draw, and all LC Disbursements shall have been reimbursed, the Company covenants and agrees, as to itself and its Subsidiaries, as applicable, with the Lenders that:</w:t>
      </w:r>
    </w:p>
    <w:p>
      <w:pPr>
        <w:spacing w:after="0" w:line="15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010000"/>
        </w:rPr>
        <w:t xml:space="preserve">SECTION 6.01. </w:t>
      </w:r>
      <w:r>
        <w:rPr>
          <w:rFonts w:ascii="Times New Roman" w:cs="Times New Roman" w:eastAsia="Times New Roman" w:hAnsi="Times New Roman"/>
          <w:sz w:val="20"/>
          <w:szCs w:val="20"/>
          <w:u w:val="single" w:color="auto"/>
          <w:color w:val="000000"/>
        </w:rPr>
        <w:t>Indebtedness</w:t>
      </w:r>
      <w:r>
        <w:rPr>
          <w:rFonts w:ascii="Times New Roman" w:cs="Times New Roman" w:eastAsia="Times New Roman" w:hAnsi="Times New Roman"/>
          <w:sz w:val="20"/>
          <w:szCs w:val="20"/>
          <w:color w:val="000000"/>
        </w:rPr>
        <w:t>. The Company will not, and will not permit any Subsidiary to create, incur, assume or permit</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to exist any Indebtedness, except:</w:t>
      </w:r>
    </w:p>
    <w:p>
      <w:pPr>
        <w:spacing w:after="0" w:line="1" w:lineRule="exact"/>
        <w:rPr>
          <w:sz w:val="20"/>
          <w:szCs w:val="20"/>
          <w:color w:val="auto"/>
        </w:rPr>
      </w:pPr>
    </w:p>
    <w:p>
      <w:pPr>
        <w:ind w:left="1720" w:hanging="416"/>
        <w:spacing w:after="0"/>
        <w:tabs>
          <w:tab w:leader="none" w:pos="1720" w:val="left"/>
        </w:tabs>
        <w:numPr>
          <w:ilvl w:val="0"/>
          <w:numId w:val="12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Obligations;</w:t>
      </w:r>
    </w:p>
    <w:p>
      <w:pPr>
        <w:spacing w:after="0" w:line="186" w:lineRule="exact"/>
        <w:rPr>
          <w:rFonts w:ascii="Times New Roman" w:cs="Times New Roman" w:eastAsia="Times New Roman" w:hAnsi="Times New Roman"/>
          <w:sz w:val="20"/>
          <w:szCs w:val="20"/>
          <w:color w:val="010000"/>
        </w:rPr>
      </w:pPr>
    </w:p>
    <w:p>
      <w:pPr>
        <w:jc w:val="both"/>
        <w:ind w:left="660" w:firstLine="644"/>
        <w:spacing w:after="0" w:line="261" w:lineRule="auto"/>
        <w:tabs>
          <w:tab w:leader="none" w:pos="1831" w:val="left"/>
        </w:tabs>
        <w:numPr>
          <w:ilvl w:val="0"/>
          <w:numId w:val="12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Indebtedness existing on the date hereof and set forth in </w:t>
      </w:r>
      <w:r>
        <w:rPr>
          <w:rFonts w:ascii="Times New Roman" w:cs="Times New Roman" w:eastAsia="Times New Roman" w:hAnsi="Times New Roman"/>
          <w:sz w:val="20"/>
          <w:szCs w:val="20"/>
          <w:u w:val="single" w:color="auto"/>
          <w:color w:val="auto"/>
        </w:rPr>
        <w:t>Schedule 6.01</w:t>
      </w:r>
      <w:r>
        <w:rPr>
          <w:rFonts w:ascii="Times New Roman" w:cs="Times New Roman" w:eastAsia="Times New Roman" w:hAnsi="Times New Roman"/>
          <w:sz w:val="20"/>
          <w:szCs w:val="20"/>
          <w:color w:val="auto"/>
        </w:rPr>
        <w:t xml:space="preserve"> and refinancings, extensions, renewals and replacements of any such Indebtedness with Indebtedness of a similar type that does not increase the outstanding principal amount thereof;</w:t>
      </w:r>
    </w:p>
    <w:p>
      <w:pPr>
        <w:spacing w:after="0" w:line="154" w:lineRule="exact"/>
        <w:rPr>
          <w:rFonts w:ascii="Times New Roman" w:cs="Times New Roman" w:eastAsia="Times New Roman" w:hAnsi="Times New Roman"/>
          <w:sz w:val="20"/>
          <w:szCs w:val="20"/>
          <w:color w:val="010000"/>
        </w:rPr>
      </w:pPr>
    </w:p>
    <w:p>
      <w:pPr>
        <w:ind w:left="1720" w:hanging="416"/>
        <w:spacing w:after="0"/>
        <w:tabs>
          <w:tab w:leader="none" w:pos="1720" w:val="left"/>
        </w:tabs>
        <w:numPr>
          <w:ilvl w:val="0"/>
          <w:numId w:val="12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Indebtedness of the Company to any Subsidiary and of any Subsidiary to the Company or any other Subsidiary;</w:t>
      </w:r>
    </w:p>
    <w:p>
      <w:pPr>
        <w:spacing w:after="0" w:line="215" w:lineRule="exact"/>
        <w:rPr>
          <w:rFonts w:ascii="Times New Roman" w:cs="Times New Roman" w:eastAsia="Times New Roman" w:hAnsi="Times New Roman"/>
          <w:sz w:val="20"/>
          <w:szCs w:val="20"/>
          <w:color w:val="010000"/>
        </w:rPr>
      </w:pPr>
    </w:p>
    <w:p>
      <w:pPr>
        <w:ind w:left="660" w:firstLine="644"/>
        <w:spacing w:after="0" w:line="269" w:lineRule="auto"/>
        <w:tabs>
          <w:tab w:leader="none" w:pos="1750" w:val="left"/>
        </w:tabs>
        <w:numPr>
          <w:ilvl w:val="0"/>
          <w:numId w:val="12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Guarantees by the Company of Indebtedness of any Subsidiary and by any Subsidiary of Indebtedness of the Company or any other Subsidiary;</w:t>
      </w:r>
    </w:p>
    <w:p>
      <w:pPr>
        <w:spacing w:after="0" w:line="145" w:lineRule="exact"/>
        <w:rPr>
          <w:rFonts w:ascii="Times New Roman" w:cs="Times New Roman" w:eastAsia="Times New Roman" w:hAnsi="Times New Roman"/>
          <w:sz w:val="20"/>
          <w:szCs w:val="20"/>
          <w:color w:val="010000"/>
        </w:rPr>
      </w:pPr>
    </w:p>
    <w:p>
      <w:pPr>
        <w:jc w:val="both"/>
        <w:ind w:left="660" w:firstLine="644"/>
        <w:spacing w:after="0" w:line="250" w:lineRule="auto"/>
        <w:tabs>
          <w:tab w:leader="none" w:pos="1739" w:val="left"/>
        </w:tabs>
        <w:numPr>
          <w:ilvl w:val="0"/>
          <w:numId w:val="12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(i) Indebtedness of the Company or any Subsidiary incurred to finance the acquisition, construction or improvement of any assets, including Capital Lease Obligations;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such Indebtedness is incurred prior to or within one-hundred eighty (180) days after such acquisition or the completion of such construction or improvement and (B) the principal amount of such Indebtedness does not exceed the cost of acquiring, constructing or improving such fixed or capital assets; and (ii) any refinancings, extensions, renewals and replacements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amount of such Indebtedness is not increased at the time of such refinancing, extension, renewal or replacement except by an amount equal to any premium or other amount paid, and fees and expenses incurred, in connection therewith;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the aggregate principal amount of Indebtedness permitted under this </w:t>
      </w:r>
      <w:r>
        <w:rPr>
          <w:rFonts w:ascii="Times New Roman" w:cs="Times New Roman" w:eastAsia="Times New Roman" w:hAnsi="Times New Roman"/>
          <w:sz w:val="20"/>
          <w:szCs w:val="20"/>
          <w:u w:val="single" w:color="auto"/>
          <w:color w:val="auto"/>
        </w:rPr>
        <w:t>clause (e)</w:t>
      </w:r>
      <w:r>
        <w:rPr>
          <w:rFonts w:ascii="Times New Roman" w:cs="Times New Roman" w:eastAsia="Times New Roman" w:hAnsi="Times New Roman"/>
          <w:sz w:val="20"/>
          <w:szCs w:val="20"/>
          <w:color w:val="auto"/>
        </w:rPr>
        <w:t xml:space="preserve">, when combined with the aggregate principal amount of Indebtedness and other obligations incurred pursuant to </w:t>
      </w:r>
      <w:r>
        <w:rPr>
          <w:rFonts w:ascii="Times New Roman" w:cs="Times New Roman" w:eastAsia="Times New Roman" w:hAnsi="Times New Roman"/>
          <w:sz w:val="20"/>
          <w:szCs w:val="20"/>
          <w:u w:val="single" w:color="auto"/>
          <w:color w:val="auto"/>
        </w:rPr>
        <w:t>Section 6.01(m)</w:t>
      </w:r>
      <w:r>
        <w:rPr>
          <w:rFonts w:ascii="Times New Roman" w:cs="Times New Roman" w:eastAsia="Times New Roman" w:hAnsi="Times New Roman"/>
          <w:sz w:val="20"/>
          <w:szCs w:val="20"/>
          <w:color w:val="auto"/>
        </w:rPr>
        <w:t xml:space="preserve">, shall not in the aggregate exceed 15% of Consolidated Total Assets of the Company (determined by reference to the Company’s most recently delivered Financials or, if prior to the date of delivery of the first Financials to be delivered pursuant hereto, the most recent financial statements referred to in </w:t>
      </w:r>
      <w:r>
        <w:rPr>
          <w:rFonts w:ascii="Times New Roman" w:cs="Times New Roman" w:eastAsia="Times New Roman" w:hAnsi="Times New Roman"/>
          <w:sz w:val="20"/>
          <w:szCs w:val="20"/>
          <w:u w:val="single" w:color="auto"/>
          <w:color w:val="auto"/>
        </w:rPr>
        <w:t>Section 3.04(a)</w:t>
      </w:r>
      <w:r>
        <w:rPr>
          <w:rFonts w:ascii="Times New Roman" w:cs="Times New Roman" w:eastAsia="Times New Roman" w:hAnsi="Times New Roman"/>
          <w:sz w:val="20"/>
          <w:szCs w:val="20"/>
          <w:color w:val="auto"/>
        </w:rPr>
        <w:t>) at any time of determination;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99</w:t>
      </w:r>
    </w:p>
    <w:p>
      <w:pPr>
        <w:sectPr>
          <w:pgSz w:w="11900" w:h="16838" w:orient="portrait"/>
          <w:cols w:equalWidth="0" w:num="1">
            <w:col w:w="11240"/>
          </w:cols>
          <w:pgMar w:left="320" w:top="1409" w:right="339" w:bottom="1440" w:gutter="0" w:footer="0" w:header="0"/>
        </w:sectPr>
      </w:pPr>
    </w:p>
    <w:bookmarkStart w:id="108" w:name="page109"/>
    <w:bookmarkEnd w:id="108"/>
    <w:p>
      <w:pPr>
        <w:jc w:val="both"/>
        <w:ind w:left="-460" w:firstLine="644"/>
        <w:spacing w:after="0" w:line="252" w:lineRule="auto"/>
        <w:tabs>
          <w:tab w:leader="none" w:pos="651" w:val="left"/>
        </w:tabs>
        <w:numPr>
          <w:ilvl w:val="0"/>
          <w:numId w:val="12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Indebtedness of any Person that becomes a Subsidiary (or of any Person not previously a Subsidiary that is merged, consolidated or amalgamated with or into a Subsidiary in a transaction permitted hereunder) after the Restatement Effective Date or Indebtedness of any Person assumed by any Subsidiary in connection with an acquisition of assets by such Subsidiary in an acquisition consummated after the Restatement Effective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Indebtedness exists at the time such Person becomes a Subsidiary (or is so merged, consolidated or amalgamated) or such assets are acquired and is not created in contemplation of or in connection with such Person becoming a Subsidiary (or such merger, consolidation or amalgamation) or such assets being acquired; and any refinancings, extensions, renewals and replacements of any such Indebtedness that do not increase the outstanding principal amount thereof at the time of such refinancing, extension, renewal or replacement except by an amount equal to any premium or other amount paid, and fees and expenses incurred, in connection therewith;</w:t>
      </w:r>
    </w:p>
    <w:p>
      <w:pPr>
        <w:spacing w:after="0" w:line="162" w:lineRule="exact"/>
        <w:rPr>
          <w:rFonts w:ascii="Times New Roman" w:cs="Times New Roman" w:eastAsia="Times New Roman" w:hAnsi="Times New Roman"/>
          <w:sz w:val="20"/>
          <w:szCs w:val="20"/>
          <w:color w:val="010000"/>
        </w:rPr>
      </w:pPr>
    </w:p>
    <w:p>
      <w:pPr>
        <w:jc w:val="both"/>
        <w:ind w:left="-460" w:firstLine="644"/>
        <w:spacing w:after="0" w:line="251" w:lineRule="auto"/>
        <w:tabs>
          <w:tab w:leader="none" w:pos="751" w:val="left"/>
        </w:tabs>
        <w:numPr>
          <w:ilvl w:val="0"/>
          <w:numId w:val="12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(i) Indebtedness pursuant to Permitted Receivables Facilities;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aggregate outstanding amount of Attributable Receivables Indebtedness thereunder shall not exceed the greater of (A) $125,000,000 and (B) 15% of Consolidated Total Assets of the Company and its Subsidiaries (determined by reference to the Company’s most recently delivered Financials or, if prior to the date of delivery of the first Financials to be delivered pursuant hereto, the most recent financial statements referred to in Section 3.04(a)) at such time and (ii) Indebtedness owing to the Company or any other Subsidiary that is a transferor of Permitted Receivables Facility Assets in connection with a Permitted Receivables Facility to the extent such Indebtedness is on account of customary indebtedness incurred to finance a portion of the purchase price of Permitted Receivables Facility Assets in connection with such Permitted Receivables Facility;</w:t>
      </w:r>
    </w:p>
    <w:p>
      <w:pPr>
        <w:spacing w:after="0" w:line="168" w:lineRule="exact"/>
        <w:rPr>
          <w:rFonts w:ascii="Times New Roman" w:cs="Times New Roman" w:eastAsia="Times New Roman" w:hAnsi="Times New Roman"/>
          <w:sz w:val="20"/>
          <w:szCs w:val="20"/>
          <w:color w:val="010000"/>
        </w:rPr>
      </w:pPr>
    </w:p>
    <w:p>
      <w:pPr>
        <w:ind w:left="620" w:hanging="436"/>
        <w:spacing w:after="0"/>
        <w:tabs>
          <w:tab w:leader="none" w:pos="620" w:val="left"/>
        </w:tabs>
        <w:numPr>
          <w:ilvl w:val="0"/>
          <w:numId w:val="12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Indebtedness of the Company or any Subsidiary as an account party in respect of trade letters of credit;</w:t>
      </w:r>
    </w:p>
    <w:p>
      <w:pPr>
        <w:spacing w:after="0" w:line="215" w:lineRule="exact"/>
        <w:rPr>
          <w:rFonts w:ascii="Times New Roman" w:cs="Times New Roman" w:eastAsia="Times New Roman" w:hAnsi="Times New Roman"/>
          <w:sz w:val="20"/>
          <w:szCs w:val="20"/>
          <w:color w:val="010000"/>
        </w:rPr>
      </w:pPr>
    </w:p>
    <w:p>
      <w:pPr>
        <w:ind w:left="560" w:hanging="376"/>
        <w:spacing w:after="0"/>
        <w:tabs>
          <w:tab w:leader="none" w:pos="560" w:val="left"/>
        </w:tabs>
        <w:numPr>
          <w:ilvl w:val="0"/>
          <w:numId w:val="12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Indebtedness under any Swap Agreement permitted by Section 6.04;</w:t>
      </w:r>
    </w:p>
    <w:p>
      <w:pPr>
        <w:spacing w:after="0" w:line="202" w:lineRule="exact"/>
        <w:rPr>
          <w:rFonts w:ascii="Times New Roman" w:cs="Times New Roman" w:eastAsia="Times New Roman" w:hAnsi="Times New Roman"/>
          <w:sz w:val="20"/>
          <w:szCs w:val="20"/>
          <w:color w:val="010000"/>
        </w:rPr>
      </w:pPr>
    </w:p>
    <w:p>
      <w:pPr>
        <w:ind w:left="560" w:hanging="376"/>
        <w:spacing w:after="0"/>
        <w:tabs>
          <w:tab w:leader="none" w:pos="560" w:val="left"/>
        </w:tabs>
        <w:numPr>
          <w:ilvl w:val="0"/>
          <w:numId w:val="12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Indebtedness of the Borrowers consisting of borrowings against the cash value of COLI Policies;</w:t>
      </w:r>
    </w:p>
    <w:p>
      <w:pPr>
        <w:spacing w:after="0" w:line="202" w:lineRule="exact"/>
        <w:rPr>
          <w:rFonts w:ascii="Times New Roman" w:cs="Times New Roman" w:eastAsia="Times New Roman" w:hAnsi="Times New Roman"/>
          <w:sz w:val="20"/>
          <w:szCs w:val="20"/>
          <w:color w:val="010000"/>
        </w:rPr>
      </w:pPr>
    </w:p>
    <w:p>
      <w:pPr>
        <w:ind w:left="620" w:hanging="436"/>
        <w:spacing w:after="0"/>
        <w:tabs>
          <w:tab w:leader="none" w:pos="620" w:val="left"/>
        </w:tabs>
        <w:numPr>
          <w:ilvl w:val="0"/>
          <w:numId w:val="12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Indebtedness of the Company or any Subsidiary which constitutes Permitted Earn-Out Indebtedness;</w:t>
      </w:r>
    </w:p>
    <w:p>
      <w:pPr>
        <w:spacing w:after="0" w:line="202" w:lineRule="exact"/>
        <w:rPr>
          <w:rFonts w:ascii="Times New Roman" w:cs="Times New Roman" w:eastAsia="Times New Roman" w:hAnsi="Times New Roman"/>
          <w:sz w:val="20"/>
          <w:szCs w:val="20"/>
          <w:color w:val="010000"/>
        </w:rPr>
      </w:pPr>
    </w:p>
    <w:p>
      <w:pPr>
        <w:ind w:left="560" w:hanging="376"/>
        <w:spacing w:after="0"/>
        <w:tabs>
          <w:tab w:leader="none" w:pos="560" w:val="left"/>
        </w:tabs>
        <w:numPr>
          <w:ilvl w:val="0"/>
          <w:numId w:val="12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Indebtedness of the Company that is not secured by any Lien on any property or asset of the Company;</w:t>
      </w:r>
    </w:p>
    <w:p>
      <w:pPr>
        <w:spacing w:after="0" w:line="215" w:lineRule="exact"/>
        <w:rPr>
          <w:rFonts w:ascii="Times New Roman" w:cs="Times New Roman" w:eastAsia="Times New Roman" w:hAnsi="Times New Roman"/>
          <w:sz w:val="20"/>
          <w:szCs w:val="20"/>
          <w:color w:val="010000"/>
        </w:rPr>
      </w:pPr>
    </w:p>
    <w:p>
      <w:pPr>
        <w:jc w:val="both"/>
        <w:ind w:left="-460" w:firstLine="644"/>
        <w:spacing w:after="0" w:line="251" w:lineRule="auto"/>
        <w:tabs>
          <w:tab w:leader="none" w:pos="685" w:val="left"/>
        </w:tabs>
        <w:numPr>
          <w:ilvl w:val="0"/>
          <w:numId w:val="12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Indebtedness of the Company or any Subsidiary secured by any Lien on any property or asset of the Company or such Subsidiary or Indebtedness of any Subsidiary not secured by any Lien on any property or asset of such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aggregate outstanding principal amount of Indebtedness permitted by this </w:t>
      </w:r>
      <w:r>
        <w:rPr>
          <w:rFonts w:ascii="Times New Roman" w:cs="Times New Roman" w:eastAsia="Times New Roman" w:hAnsi="Times New Roman"/>
          <w:sz w:val="20"/>
          <w:szCs w:val="20"/>
          <w:u w:val="single" w:color="auto"/>
          <w:color w:val="auto"/>
        </w:rPr>
        <w:t>clause (m)</w:t>
      </w:r>
      <w:r>
        <w:rPr>
          <w:rFonts w:ascii="Times New Roman" w:cs="Times New Roman" w:eastAsia="Times New Roman" w:hAnsi="Times New Roman"/>
          <w:sz w:val="20"/>
          <w:szCs w:val="20"/>
          <w:color w:val="auto"/>
        </w:rPr>
        <w:t>, when combined with the aggregate principal amount of Indebtedness and other obligations incurred pursuant to Section 6.01(e), shall not in the aggregate exceed 15% of Consolidated Total Assets of the Company (determined by reference to the Company’s most recently delivered Financials or, if prior to the date of delivery of the first Financials to be delivered pursuant hereto, the most recent financial statements referred to in Section 3.04(a)) at any time of determination;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0"/>
          <w:szCs w:val="20"/>
          <w:color w:val="auto"/>
        </w:rPr>
        <w:t>100</w:t>
      </w:r>
    </w:p>
    <w:p>
      <w:pPr>
        <w:sectPr>
          <w:pgSz w:w="11900" w:h="16838" w:orient="portrait"/>
          <w:cols w:equalWidth="0" w:num="1">
            <w:col w:w="10120"/>
          </w:cols>
          <w:pgMar w:left="1440" w:top="1413" w:right="339" w:bottom="1440" w:gutter="0" w:footer="0" w:header="0"/>
        </w:sectPr>
      </w:pPr>
    </w:p>
    <w:bookmarkStart w:id="109" w:name="page110"/>
    <w:bookmarkEnd w:id="109"/>
    <w:p>
      <w:pPr>
        <w:ind w:left="1740" w:hanging="436"/>
        <w:spacing w:after="0"/>
        <w:tabs>
          <w:tab w:leader="none" w:pos="1740" w:val="left"/>
        </w:tabs>
        <w:numPr>
          <w:ilvl w:val="0"/>
          <w:numId w:val="12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Indicor Permitted Debt Facilities; and</w:t>
      </w:r>
    </w:p>
    <w:p>
      <w:pPr>
        <w:spacing w:after="0" w:line="202" w:lineRule="exact"/>
        <w:rPr>
          <w:rFonts w:ascii="Times New Roman" w:cs="Times New Roman" w:eastAsia="Times New Roman" w:hAnsi="Times New Roman"/>
          <w:sz w:val="20"/>
          <w:szCs w:val="20"/>
          <w:color w:val="010000"/>
        </w:rPr>
      </w:pPr>
    </w:p>
    <w:p>
      <w:pPr>
        <w:ind w:left="1740" w:hanging="436"/>
        <w:spacing w:after="0"/>
        <w:tabs>
          <w:tab w:leader="none" w:pos="1740" w:val="left"/>
        </w:tabs>
        <w:numPr>
          <w:ilvl w:val="0"/>
          <w:numId w:val="12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issuance of commercial paper by the Company under its commercial paper program.</w:t>
      </w:r>
    </w:p>
    <w:p>
      <w:pPr>
        <w:spacing w:after="0" w:line="216"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0"/>
          <w:szCs w:val="20"/>
          <w:color w:val="010000"/>
        </w:rPr>
        <w:t xml:space="preserve">SECTION 6.02. </w:t>
      </w:r>
      <w:r>
        <w:rPr>
          <w:rFonts w:ascii="Times New Roman" w:cs="Times New Roman" w:eastAsia="Times New Roman" w:hAnsi="Times New Roman"/>
          <w:sz w:val="20"/>
          <w:szCs w:val="20"/>
          <w:u w:val="single" w:color="auto"/>
          <w:color w:val="000000"/>
        </w:rPr>
        <w:t>Liens</w:t>
      </w:r>
      <w:r>
        <w:rPr>
          <w:rFonts w:ascii="Times New Roman" w:cs="Times New Roman" w:eastAsia="Times New Roman" w:hAnsi="Times New Roman"/>
          <w:sz w:val="20"/>
          <w:szCs w:val="20"/>
          <w:color w:val="000000"/>
        </w:rPr>
        <w:t>. The Company will not, and will not permit any Subsidiary to, create, incur, assume or permit to</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exist any Lien on any property or asset now owned or hereafter acquired by it, or assign or sell any income (including accounts receivable) in respect of any thereof, except:</w:t>
      </w:r>
    </w:p>
    <w:p>
      <w:pPr>
        <w:spacing w:after="0" w:line="2" w:lineRule="exact"/>
        <w:rPr>
          <w:sz w:val="20"/>
          <w:szCs w:val="20"/>
          <w:color w:val="auto"/>
        </w:rPr>
      </w:pPr>
    </w:p>
    <w:p>
      <w:pPr>
        <w:ind w:left="1720" w:hanging="416"/>
        <w:spacing w:after="0"/>
        <w:tabs>
          <w:tab w:leader="none" w:pos="1720" w:val="left"/>
        </w:tabs>
        <w:numPr>
          <w:ilvl w:val="1"/>
          <w:numId w:val="12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Permitted Encumbrances;</w:t>
      </w:r>
    </w:p>
    <w:p>
      <w:pPr>
        <w:spacing w:after="0" w:line="193" w:lineRule="exact"/>
        <w:rPr>
          <w:rFonts w:ascii="Times New Roman" w:cs="Times New Roman" w:eastAsia="Times New Roman" w:hAnsi="Times New Roman"/>
          <w:sz w:val="20"/>
          <w:szCs w:val="20"/>
          <w:color w:val="010000"/>
        </w:rPr>
      </w:pPr>
    </w:p>
    <w:p>
      <w:pPr>
        <w:jc w:val="both"/>
        <w:ind w:left="660" w:firstLine="644"/>
        <w:spacing w:after="0" w:line="254" w:lineRule="auto"/>
        <w:tabs>
          <w:tab w:leader="none" w:pos="1844" w:val="left"/>
        </w:tabs>
        <w:numPr>
          <w:ilvl w:val="1"/>
          <w:numId w:val="12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any Lien on any property or asset of the Company or any Subsidiary existing on the date hereof and set forth in </w:t>
      </w:r>
      <w:r>
        <w:rPr>
          <w:rFonts w:ascii="Times New Roman" w:cs="Times New Roman" w:eastAsia="Times New Roman" w:hAnsi="Times New Roman"/>
          <w:sz w:val="20"/>
          <w:szCs w:val="20"/>
          <w:u w:val="single" w:color="auto"/>
          <w:color w:val="auto"/>
        </w:rPr>
        <w:t>Schedule 6.02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Lien shall not apply to any other property or asset of the Company or any Subsidiary and</w:t>
      </w:r>
    </w:p>
    <w:p>
      <w:pPr>
        <w:spacing w:after="0" w:line="1" w:lineRule="exact"/>
        <w:rPr>
          <w:rFonts w:ascii="Times New Roman" w:cs="Times New Roman" w:eastAsia="Times New Roman" w:hAnsi="Times New Roman"/>
          <w:sz w:val="20"/>
          <w:szCs w:val="20"/>
          <w:color w:val="010000"/>
        </w:rPr>
      </w:pPr>
    </w:p>
    <w:p>
      <w:pPr>
        <w:jc w:val="both"/>
        <w:ind w:left="660" w:hanging="4"/>
        <w:spacing w:after="0" w:line="253" w:lineRule="auto"/>
        <w:tabs>
          <w:tab w:leader="none" w:pos="977"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Lien shall secure only those obligations which it secures on the date hereof and extensions, renewals and replacements thereof that do not increase the outstanding principal amount thereof, except by an amount equal to any premium or other amount paid, and fees and expenses incurred, in connection therewith;</w:t>
      </w:r>
    </w:p>
    <w:p>
      <w:pPr>
        <w:spacing w:after="0" w:line="161" w:lineRule="exact"/>
        <w:rPr>
          <w:rFonts w:ascii="Times New Roman" w:cs="Times New Roman" w:eastAsia="Times New Roman" w:hAnsi="Times New Roman"/>
          <w:sz w:val="20"/>
          <w:szCs w:val="20"/>
          <w:color w:val="auto"/>
        </w:rPr>
      </w:pPr>
    </w:p>
    <w:p>
      <w:pPr>
        <w:jc w:val="both"/>
        <w:ind w:left="660" w:firstLine="644"/>
        <w:spacing w:after="0" w:line="251" w:lineRule="auto"/>
        <w:tabs>
          <w:tab w:leader="none" w:pos="1725" w:val="left"/>
        </w:tabs>
        <w:numPr>
          <w:ilvl w:val="1"/>
          <w:numId w:val="12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any Lien existing on any property or asset prior to the acquisition thereof by the Company or any Subsidiary or existing on any property or asset of any Person that becomes a Subsidiary after the date hereof prior to the time such Person becomes a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Lien is not created in contemplation of or in connection with such acquisition or such Person becoming a Subsidiary, as the case may be, (ii) such Lien shall not apply to any other property or assets of the Company or any Subsidiary and (iii) such Lien shall secure only those obligations which it secures on the date of such acquisition or the date such Person becomes a Subsidiary, as the case may be, and extensions, renewals and replacements thereof that do not increase the outstanding principal amount thereof, except by an amount equal to any premium or other amount paid, and fees and expenses incurred, in connection therewith;</w:t>
      </w:r>
    </w:p>
    <w:p>
      <w:pPr>
        <w:spacing w:after="0" w:line="181" w:lineRule="exact"/>
        <w:rPr>
          <w:rFonts w:ascii="Times New Roman" w:cs="Times New Roman" w:eastAsia="Times New Roman" w:hAnsi="Times New Roman"/>
          <w:sz w:val="20"/>
          <w:szCs w:val="20"/>
          <w:color w:val="010000"/>
        </w:rPr>
      </w:pPr>
    </w:p>
    <w:p>
      <w:pPr>
        <w:jc w:val="both"/>
        <w:ind w:left="660" w:firstLine="644"/>
        <w:spacing w:after="0" w:line="253" w:lineRule="auto"/>
        <w:tabs>
          <w:tab w:leader="none" w:pos="1777" w:val="left"/>
        </w:tabs>
        <w:numPr>
          <w:ilvl w:val="1"/>
          <w:numId w:val="12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Liens on assets acquired, constructed or improved by the Company or any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security interests secure Indebtedness permitted by clause (e) of Section 6.01, (ii) such security interests and the Indebtedness secured thereby are incurred prior to or within one hundred eighty (180) days after such acquisition or the completion of such construction or improvement, (iii) the Indebtedness secured thereby does not exceed the cost of acquiring, constructing or improving such assets and (iv) such security interests shall not apply to any other property or assets of the Company or any Subsidiary;</w:t>
      </w:r>
    </w:p>
    <w:p>
      <w:pPr>
        <w:spacing w:after="0" w:line="164" w:lineRule="exact"/>
        <w:rPr>
          <w:rFonts w:ascii="Times New Roman" w:cs="Times New Roman" w:eastAsia="Times New Roman" w:hAnsi="Times New Roman"/>
          <w:sz w:val="20"/>
          <w:szCs w:val="20"/>
          <w:color w:val="010000"/>
        </w:rPr>
      </w:pPr>
    </w:p>
    <w:p>
      <w:pPr>
        <w:ind w:left="1720" w:hanging="416"/>
        <w:spacing w:after="0"/>
        <w:tabs>
          <w:tab w:leader="none" w:pos="1720" w:val="left"/>
        </w:tabs>
        <w:numPr>
          <w:ilvl w:val="1"/>
          <w:numId w:val="12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Liens on Permitted Receivables Facility Assets arising under Permitted Receivables Facilities;</w:t>
      </w:r>
    </w:p>
    <w:p>
      <w:pPr>
        <w:spacing w:after="0" w:line="202" w:lineRule="exact"/>
        <w:rPr>
          <w:rFonts w:ascii="Times New Roman" w:cs="Times New Roman" w:eastAsia="Times New Roman" w:hAnsi="Times New Roman"/>
          <w:sz w:val="20"/>
          <w:szCs w:val="20"/>
          <w:color w:val="010000"/>
        </w:rPr>
      </w:pPr>
    </w:p>
    <w:p>
      <w:pPr>
        <w:ind w:left="660" w:right="20" w:firstLine="644"/>
        <w:spacing w:after="0" w:line="283" w:lineRule="auto"/>
        <w:tabs>
          <w:tab w:leader="none" w:pos="1852" w:val="left"/>
        </w:tabs>
        <w:numPr>
          <w:ilvl w:val="1"/>
          <w:numId w:val="12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Liens arising from precautionary UCC (or other similar recording or notice statutes) financing statement filings regarding operating leases permitted pursuant to this Agreement;</w:t>
      </w:r>
    </w:p>
    <w:p>
      <w:pPr>
        <w:spacing w:after="0" w:line="132" w:lineRule="exact"/>
        <w:rPr>
          <w:rFonts w:ascii="Times New Roman" w:cs="Times New Roman" w:eastAsia="Times New Roman" w:hAnsi="Times New Roman"/>
          <w:sz w:val="20"/>
          <w:szCs w:val="20"/>
          <w:color w:val="010000"/>
        </w:rPr>
      </w:pPr>
    </w:p>
    <w:p>
      <w:pPr>
        <w:jc w:val="both"/>
        <w:ind w:left="660" w:firstLine="644"/>
        <w:spacing w:after="0" w:line="257" w:lineRule="auto"/>
        <w:tabs>
          <w:tab w:leader="none" w:pos="1790" w:val="left"/>
        </w:tabs>
        <w:numPr>
          <w:ilvl w:val="1"/>
          <w:numId w:val="12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Liens on any asset or property of the Company or any Subsidiaries so long as the aggregate principal amount of the Indebtedness and other obligations secured by such Liens does not exceed 15% of Consolidated Total Assets of the Company (determined by reference to the Company’s most recently delivered Financials or, if prior to the date of delivery of the first Financials to be delivered pursuant hereto, the most recent financial statements referred to in </w:t>
      </w:r>
      <w:r>
        <w:rPr>
          <w:rFonts w:ascii="Times New Roman" w:cs="Times New Roman" w:eastAsia="Times New Roman" w:hAnsi="Times New Roman"/>
          <w:sz w:val="20"/>
          <w:szCs w:val="20"/>
          <w:u w:val="single" w:color="auto"/>
          <w:color w:val="auto"/>
        </w:rPr>
        <w:t>Section 3.04(a))</w:t>
      </w:r>
      <w:r>
        <w:rPr>
          <w:rFonts w:ascii="Times New Roman" w:cs="Times New Roman" w:eastAsia="Times New Roman" w:hAnsi="Times New Roman"/>
          <w:sz w:val="20"/>
          <w:szCs w:val="20"/>
          <w:color w:val="auto"/>
        </w:rPr>
        <w:t xml:space="preserve"> at any time of determination;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101</w:t>
      </w:r>
    </w:p>
    <w:p>
      <w:pPr>
        <w:sectPr>
          <w:pgSz w:w="11900" w:h="16838" w:orient="portrait"/>
          <w:cols w:equalWidth="0" w:num="1">
            <w:col w:w="11240"/>
          </w:cols>
          <w:pgMar w:left="320" w:top="1413" w:right="339" w:bottom="1440" w:gutter="0" w:footer="0" w:header="0"/>
        </w:sectPr>
      </w:pPr>
    </w:p>
    <w:bookmarkStart w:id="110" w:name="page111"/>
    <w:bookmarkEnd w:id="110"/>
    <w:p>
      <w:pPr>
        <w:ind w:left="1740" w:hanging="436"/>
        <w:spacing w:after="0"/>
        <w:tabs>
          <w:tab w:leader="none" w:pos="1740" w:val="left"/>
        </w:tabs>
        <w:numPr>
          <w:ilvl w:val="0"/>
          <w:numId w:val="12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Liens, if any, created by any Loan Documents;</w:t>
      </w:r>
    </w:p>
    <w:p>
      <w:pPr>
        <w:spacing w:after="0" w:line="198" w:lineRule="exact"/>
        <w:rPr>
          <w:rFonts w:ascii="Times New Roman" w:cs="Times New Roman" w:eastAsia="Times New Roman" w:hAnsi="Times New Roman"/>
          <w:sz w:val="20"/>
          <w:szCs w:val="20"/>
          <w:color w:val="010000"/>
        </w:rPr>
      </w:pPr>
    </w:p>
    <w:p>
      <w:pPr>
        <w:ind w:left="660" w:right="20" w:firstLine="644"/>
        <w:spacing w:after="0" w:line="287" w:lineRule="auto"/>
        <w:tabs>
          <w:tab w:leader="none" w:pos="1693" w:val="left"/>
        </w:tabs>
        <w:numPr>
          <w:ilvl w:val="0"/>
          <w:numId w:val="12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Liens arising under the general terms and conditions (</w:t>
      </w:r>
      <w:r>
        <w:rPr>
          <w:rFonts w:ascii="Times New Roman" w:cs="Times New Roman" w:eastAsia="Times New Roman" w:hAnsi="Times New Roman"/>
          <w:sz w:val="20"/>
          <w:szCs w:val="20"/>
          <w:i w:val="1"/>
          <w:iCs w:val="1"/>
          <w:color w:val="auto"/>
        </w:rPr>
        <w:t>Allgemeine Geschäftsbedingungen der Banken und Sparkassen</w:t>
      </w:r>
      <w:r>
        <w:rPr>
          <w:rFonts w:ascii="Times New Roman" w:cs="Times New Roman" w:eastAsia="Times New Roman" w:hAnsi="Times New Roman"/>
          <w:sz w:val="20"/>
          <w:szCs w:val="20"/>
          <w:color w:val="auto"/>
        </w:rPr>
        <w:t>) in relation to bank accounts held in Germany;</w:t>
      </w:r>
    </w:p>
    <w:p>
      <w:pPr>
        <w:spacing w:after="0" w:line="128" w:lineRule="exact"/>
        <w:rPr>
          <w:rFonts w:ascii="Times New Roman" w:cs="Times New Roman" w:eastAsia="Times New Roman" w:hAnsi="Times New Roman"/>
          <w:sz w:val="20"/>
          <w:szCs w:val="20"/>
          <w:color w:val="010000"/>
        </w:rPr>
      </w:pPr>
    </w:p>
    <w:p>
      <w:pPr>
        <w:ind w:left="660" w:firstLine="644"/>
        <w:spacing w:after="0" w:line="283" w:lineRule="auto"/>
        <w:tabs>
          <w:tab w:leader="none" w:pos="1814" w:val="left"/>
        </w:tabs>
        <w:numPr>
          <w:ilvl w:val="0"/>
          <w:numId w:val="12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Liens arising out of conditional sale, title retention (including extended retention of title), consignment or similar arrangements for the sale of goods;</w:t>
      </w:r>
    </w:p>
    <w:p>
      <w:pPr>
        <w:spacing w:after="0" w:line="132" w:lineRule="exact"/>
        <w:rPr>
          <w:rFonts w:ascii="Times New Roman" w:cs="Times New Roman" w:eastAsia="Times New Roman" w:hAnsi="Times New Roman"/>
          <w:sz w:val="20"/>
          <w:szCs w:val="20"/>
          <w:color w:val="010000"/>
        </w:rPr>
      </w:pPr>
    </w:p>
    <w:p>
      <w:pPr>
        <w:ind w:left="660" w:firstLine="644"/>
        <w:spacing w:after="0" w:line="283" w:lineRule="auto"/>
        <w:tabs>
          <w:tab w:leader="none" w:pos="1750" w:val="left"/>
        </w:tabs>
        <w:numPr>
          <w:ilvl w:val="0"/>
          <w:numId w:val="12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lien required to be granted under mandatory law in favor of creditors as a consequence of a merger or a conversion permitted under this Agreement due to Section 22 and 204 of the German Reorganization Act (</w:t>
      </w:r>
      <w:r>
        <w:rPr>
          <w:rFonts w:ascii="Times New Roman" w:cs="Times New Roman" w:eastAsia="Times New Roman" w:hAnsi="Times New Roman"/>
          <w:sz w:val="20"/>
          <w:szCs w:val="20"/>
          <w:i w:val="1"/>
          <w:iCs w:val="1"/>
          <w:color w:val="auto"/>
        </w:rPr>
        <w:t>Umwandlungsgesetz</w:t>
      </w:r>
      <w:r>
        <w:rPr>
          <w:rFonts w:ascii="Times New Roman" w:cs="Times New Roman" w:eastAsia="Times New Roman" w:hAnsi="Times New Roman"/>
          <w:sz w:val="20"/>
          <w:szCs w:val="20"/>
          <w:color w:val="auto"/>
        </w:rPr>
        <w:t>);</w:t>
      </w:r>
    </w:p>
    <w:p>
      <w:pPr>
        <w:spacing w:after="0" w:line="132" w:lineRule="exact"/>
        <w:rPr>
          <w:rFonts w:ascii="Times New Roman" w:cs="Times New Roman" w:eastAsia="Times New Roman" w:hAnsi="Times New Roman"/>
          <w:sz w:val="20"/>
          <w:szCs w:val="20"/>
          <w:color w:val="010000"/>
        </w:rPr>
      </w:pPr>
    </w:p>
    <w:p>
      <w:pPr>
        <w:ind w:left="660" w:right="20" w:firstLine="644"/>
        <w:spacing w:after="0" w:line="269" w:lineRule="auto"/>
        <w:tabs>
          <w:tab w:leader="none" w:pos="1733" w:val="left"/>
        </w:tabs>
        <w:numPr>
          <w:ilvl w:val="0"/>
          <w:numId w:val="12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Liens on the net cash proceeds of any Acquisition Indebtedness held in escrow by a third party escrow agent prior to the release thereof from escrow; and</w:t>
      </w:r>
    </w:p>
    <w:p>
      <w:pPr>
        <w:spacing w:after="0" w:line="159" w:lineRule="exact"/>
        <w:rPr>
          <w:rFonts w:ascii="Times New Roman" w:cs="Times New Roman" w:eastAsia="Times New Roman" w:hAnsi="Times New Roman"/>
          <w:sz w:val="20"/>
          <w:szCs w:val="20"/>
          <w:color w:val="010000"/>
        </w:rPr>
      </w:pPr>
    </w:p>
    <w:p>
      <w:pPr>
        <w:ind w:left="660" w:right="20" w:firstLine="644"/>
        <w:spacing w:after="0" w:line="269" w:lineRule="auto"/>
        <w:tabs>
          <w:tab w:leader="none" w:pos="1818" w:val="left"/>
        </w:tabs>
        <w:numPr>
          <w:ilvl w:val="0"/>
          <w:numId w:val="12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Liens on assets of the Company and its Subsidiaries not otherwise permitted above so long as the aggregate principal amount of the Indebtedness and other obligations subject to such Liens does not at any time exceed $50,000,000.</w:t>
      </w:r>
    </w:p>
    <w:p>
      <w:pPr>
        <w:spacing w:after="0" w:line="15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010000"/>
        </w:rPr>
        <w:t xml:space="preserve">SECTION 6.03. </w:t>
      </w:r>
      <w:r>
        <w:rPr>
          <w:rFonts w:ascii="Times New Roman" w:cs="Times New Roman" w:eastAsia="Times New Roman" w:hAnsi="Times New Roman"/>
          <w:sz w:val="20"/>
          <w:szCs w:val="20"/>
          <w:u w:val="single" w:color="auto"/>
          <w:color w:val="000000"/>
        </w:rPr>
        <w:t>Fundamental Changes and Asset Sales</w:t>
      </w:r>
      <w:r>
        <w:rPr>
          <w:rFonts w:ascii="Times New Roman" w:cs="Times New Roman" w:eastAsia="Times New Roman" w:hAnsi="Times New Roman"/>
          <w:sz w:val="21"/>
          <w:szCs w:val="21"/>
          <w:color w:val="000000"/>
        </w:rPr>
        <w:t>.</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The Company will not, and will not permit any Subsidiary to,</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merge into or consolidate or amalgamate with any other Person, consummate a Division as the Dividing Person, or sell, transfer, lease or otherwise dispose of (in one transaction or in a series of transactions and whether effected pursuant to a Division or otherwise) any of its assets (including pursuant to a Sale and Leaseback Transaction), or any of the Equity Interests of any of its Subsidiaries (in each case, whether now owned or hereafter acquired), or liquidate or dissolve, except that:</w:t>
      </w:r>
    </w:p>
    <w:p>
      <w:pPr>
        <w:spacing w:after="0" w:line="4" w:lineRule="exact"/>
        <w:rPr>
          <w:sz w:val="20"/>
          <w:szCs w:val="20"/>
          <w:color w:val="auto"/>
        </w:rPr>
      </w:pPr>
    </w:p>
    <w:p>
      <w:pPr>
        <w:ind w:left="2340" w:hanging="388"/>
        <w:spacing w:after="0"/>
        <w:tabs>
          <w:tab w:leader="none" w:pos="2340" w:val="left"/>
        </w:tabs>
        <w:numPr>
          <w:ilvl w:val="1"/>
          <w:numId w:val="12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Person may merge into the Company in a transaction in which the Company is the surviving corporation;</w:t>
      </w:r>
    </w:p>
    <w:p>
      <w:pPr>
        <w:spacing w:after="0" w:line="207" w:lineRule="exact"/>
        <w:rPr>
          <w:rFonts w:ascii="Times New Roman" w:cs="Times New Roman" w:eastAsia="Times New Roman" w:hAnsi="Times New Roman"/>
          <w:sz w:val="20"/>
          <w:szCs w:val="20"/>
          <w:color w:val="010000"/>
        </w:rPr>
      </w:pPr>
    </w:p>
    <w:p>
      <w:pPr>
        <w:jc w:val="both"/>
        <w:ind w:left="1300" w:firstLine="652"/>
        <w:spacing w:after="0" w:line="264" w:lineRule="auto"/>
        <w:tabs>
          <w:tab w:leader="none" w:pos="2387" w:val="left"/>
        </w:tabs>
        <w:numPr>
          <w:ilvl w:val="1"/>
          <w:numId w:val="12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(A) any Subsidiary may merge or amalgamate with any other Subsidiary, (B) any Subsidiary may merge into or amalgamate with a Loan Party in a transaction in which the surviving entity is such Loan Party (provided that any such merger involving the Company must result in the Company as the surviving entity) or (C) any Subsidiary that is an LLC may consummate a Division as the Dividing Person if, immediately upon the consummation of the Division, the assets of the applicable Dividing Person are held by one or more Subsidiaries at such time, or, with respect to assets not so held by one or more Subsidiaries, such Division, in the aggregate, would otherwise result in a Disposition permitted by </w:t>
      </w:r>
      <w:r>
        <w:rPr>
          <w:rFonts w:ascii="Times New Roman" w:cs="Times New Roman" w:eastAsia="Times New Roman" w:hAnsi="Times New Roman"/>
          <w:sz w:val="19"/>
          <w:szCs w:val="19"/>
          <w:u w:val="single" w:color="auto"/>
          <w:color w:val="auto"/>
        </w:rPr>
        <w:t>Section 6.03(a)(v)</w:t>
      </w:r>
    </w:p>
    <w:p>
      <w:pPr>
        <w:spacing w:after="0" w:line="4" w:lineRule="exact"/>
        <w:rPr>
          <w:rFonts w:ascii="Times New Roman" w:cs="Times New Roman" w:eastAsia="Times New Roman" w:hAnsi="Times New Roman"/>
          <w:sz w:val="19"/>
          <w:szCs w:val="19"/>
          <w:color w:val="010000"/>
        </w:rPr>
      </w:pPr>
    </w:p>
    <w:p>
      <w:pPr>
        <w:ind w:left="1300"/>
        <w:spacing w:after="0"/>
        <w:rPr>
          <w:rFonts w:ascii="Times New Roman" w:cs="Times New Roman" w:eastAsia="Times New Roman" w:hAnsi="Times New Roman"/>
          <w:sz w:val="19"/>
          <w:szCs w:val="19"/>
          <w:color w:val="010000"/>
        </w:rPr>
      </w:pP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w:t>
      </w:r>
    </w:p>
    <w:p>
      <w:pPr>
        <w:spacing w:after="0" w:line="200" w:lineRule="exact"/>
        <w:rPr>
          <w:rFonts w:ascii="Times New Roman" w:cs="Times New Roman" w:eastAsia="Times New Roman" w:hAnsi="Times New Roman"/>
          <w:sz w:val="19"/>
          <w:szCs w:val="19"/>
          <w:color w:val="010000"/>
        </w:rPr>
      </w:pPr>
    </w:p>
    <w:p>
      <w:pPr>
        <w:ind w:left="2440" w:hanging="488"/>
        <w:spacing w:after="0"/>
        <w:tabs>
          <w:tab w:leader="none" w:pos="2440" w:val="left"/>
        </w:tabs>
        <w:numPr>
          <w:ilvl w:val="1"/>
          <w:numId w:val="12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Subsidiary may sell, transfer, lease or otherwise dispose of its assets to any other Subsidiary;</w:t>
      </w:r>
    </w:p>
    <w:p>
      <w:pPr>
        <w:spacing w:after="0" w:line="229" w:lineRule="exact"/>
        <w:rPr>
          <w:rFonts w:ascii="Times New Roman" w:cs="Times New Roman" w:eastAsia="Times New Roman" w:hAnsi="Times New Roman"/>
          <w:sz w:val="20"/>
          <w:szCs w:val="20"/>
          <w:color w:val="010000"/>
        </w:rPr>
      </w:pPr>
    </w:p>
    <w:p>
      <w:pPr>
        <w:ind w:left="1300" w:firstLine="652"/>
        <w:spacing w:after="0" w:line="269" w:lineRule="auto"/>
        <w:tabs>
          <w:tab w:leader="none" w:pos="2512" w:val="left"/>
        </w:tabs>
        <w:numPr>
          <w:ilvl w:val="1"/>
          <w:numId w:val="12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Company or any Subsidiary may sell Permitted Receivables Facility Assets and Permitted Receivables Related Assets under Permitted Receivables Facilities;</w:t>
      </w:r>
    </w:p>
    <w:p>
      <w:pPr>
        <w:spacing w:after="0" w:line="186" w:lineRule="exact"/>
        <w:rPr>
          <w:rFonts w:ascii="Times New Roman" w:cs="Times New Roman" w:eastAsia="Times New Roman" w:hAnsi="Times New Roman"/>
          <w:sz w:val="20"/>
          <w:szCs w:val="20"/>
          <w:color w:val="010000"/>
        </w:rPr>
      </w:pPr>
    </w:p>
    <w:p>
      <w:pPr>
        <w:jc w:val="both"/>
        <w:ind w:left="1300" w:firstLine="652"/>
        <w:spacing w:after="0" w:line="268" w:lineRule="auto"/>
        <w:tabs>
          <w:tab w:leader="none" w:pos="2430" w:val="left"/>
        </w:tabs>
        <w:numPr>
          <w:ilvl w:val="1"/>
          <w:numId w:val="12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Company and its Subsidiaries may (A) sell inventory in the ordinary course of business, (B) effect sales, leases, trade-ins or dispositions of used equipment for value in the ordinary course of business consistent with past practice,</w:t>
      </w:r>
    </w:p>
    <w:p>
      <w:pPr>
        <w:spacing w:after="0" w:line="1" w:lineRule="exact"/>
        <w:rPr>
          <w:rFonts w:ascii="Times New Roman" w:cs="Times New Roman" w:eastAsia="Times New Roman" w:hAnsi="Times New Roman"/>
          <w:sz w:val="20"/>
          <w:szCs w:val="20"/>
          <w:color w:val="010000"/>
        </w:rPr>
      </w:pPr>
    </w:p>
    <w:p>
      <w:pPr>
        <w:ind w:left="1620" w:hanging="316"/>
        <w:spacing w:after="0"/>
        <w:tabs>
          <w:tab w:leader="none" w:pos="1620"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enter into licenses of technology in the ordinary course of business, and (D) make any other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102</w:t>
      </w:r>
    </w:p>
    <w:p>
      <w:pPr>
        <w:sectPr>
          <w:pgSz w:w="11900" w:h="16838" w:orient="portrait"/>
          <w:cols w:equalWidth="0" w:num="1">
            <w:col w:w="11240"/>
          </w:cols>
          <w:pgMar w:left="320" w:top="1413" w:right="339" w:bottom="1440" w:gutter="0" w:footer="0" w:header="0"/>
        </w:sectPr>
      </w:pPr>
    </w:p>
    <w:bookmarkStart w:id="111" w:name="page112"/>
    <w:bookmarkEnd w:id="111"/>
    <w:p>
      <w:pPr>
        <w:jc w:val="both"/>
        <w:ind w:left="1300"/>
        <w:spacing w:after="0" w:line="275" w:lineRule="auto"/>
        <w:rPr>
          <w:sz w:val="20"/>
          <w:szCs w:val="20"/>
          <w:color w:val="auto"/>
        </w:rPr>
      </w:pPr>
      <w:r>
        <w:rPr>
          <w:rFonts w:ascii="Times New Roman" w:cs="Times New Roman" w:eastAsia="Times New Roman" w:hAnsi="Times New Roman"/>
          <w:sz w:val="20"/>
          <w:szCs w:val="20"/>
          <w:color w:val="auto"/>
        </w:rPr>
        <w:t xml:space="preserve">transfers, leases or dispositions that, together with all other property of the Company and its Subsidiaries previously leased, sold or disposed of as permitted by this clause (D) during any fiscal year of the Company, does not exceed 25% of Consolidated Total Assets (determined by reference to the Company’s most recently delivered Financials or, if prior to the date of delivery of the first Financials to be delivered pursuant hereto, the most recent financial statements referred to in </w:t>
      </w:r>
      <w:r>
        <w:rPr>
          <w:rFonts w:ascii="Times New Roman" w:cs="Times New Roman" w:eastAsia="Times New Roman" w:hAnsi="Times New Roman"/>
          <w:sz w:val="20"/>
          <w:szCs w:val="20"/>
          <w:u w:val="single" w:color="auto"/>
          <w:color w:val="auto"/>
        </w:rPr>
        <w:t>Section 3.04(a))</w:t>
      </w:r>
      <w:r>
        <w:rPr>
          <w:rFonts w:ascii="Times New Roman" w:cs="Times New Roman" w:eastAsia="Times New Roman" w:hAnsi="Times New Roman"/>
          <w:sz w:val="20"/>
          <w:szCs w:val="20"/>
          <w:color w:val="auto"/>
        </w:rPr>
        <w:t>;</w:t>
      </w:r>
    </w:p>
    <w:p>
      <w:pPr>
        <w:spacing w:after="0" w:line="181" w:lineRule="exact"/>
        <w:rPr>
          <w:sz w:val="20"/>
          <w:szCs w:val="20"/>
          <w:color w:val="auto"/>
        </w:rPr>
      </w:pPr>
    </w:p>
    <w:p>
      <w:pPr>
        <w:jc w:val="both"/>
        <w:ind w:left="1300" w:firstLine="652"/>
        <w:spacing w:after="0" w:line="282" w:lineRule="auto"/>
        <w:tabs>
          <w:tab w:leader="none" w:pos="2445" w:val="left"/>
        </w:tabs>
        <w:numPr>
          <w:ilvl w:val="1"/>
          <w:numId w:val="13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Subsidiary that is not a Loan Party may liquidate or dissolve if the Company determines in good faith that such liquidation or dissolution is in the best interests of the Company and after giving effect to such transaction, no Default shall exist;</w:t>
      </w:r>
    </w:p>
    <w:p>
      <w:pPr>
        <w:spacing w:after="0" w:line="188" w:lineRule="exact"/>
        <w:rPr>
          <w:rFonts w:ascii="Times New Roman" w:cs="Times New Roman" w:eastAsia="Times New Roman" w:hAnsi="Times New Roman"/>
          <w:sz w:val="20"/>
          <w:szCs w:val="20"/>
          <w:color w:val="010000"/>
        </w:rPr>
      </w:pPr>
    </w:p>
    <w:p>
      <w:pPr>
        <w:ind w:left="1300" w:firstLine="652"/>
        <w:spacing w:after="0" w:line="297" w:lineRule="auto"/>
        <w:tabs>
          <w:tab w:leader="none" w:pos="2486" w:val="left"/>
        </w:tabs>
        <w:numPr>
          <w:ilvl w:val="1"/>
          <w:numId w:val="13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Company and its Subsidiaries may make Consolidated Capital Expenditures in the ordinary course of their respective businesses;</w:t>
      </w:r>
    </w:p>
    <w:p>
      <w:pPr>
        <w:spacing w:after="0" w:line="159" w:lineRule="exact"/>
        <w:rPr>
          <w:rFonts w:ascii="Times New Roman" w:cs="Times New Roman" w:eastAsia="Times New Roman" w:hAnsi="Times New Roman"/>
          <w:sz w:val="20"/>
          <w:szCs w:val="20"/>
          <w:color w:val="010000"/>
        </w:rPr>
      </w:pPr>
    </w:p>
    <w:p>
      <w:pPr>
        <w:ind w:left="2540" w:hanging="588"/>
        <w:spacing w:after="0"/>
        <w:tabs>
          <w:tab w:leader="none" w:pos="2540" w:val="left"/>
        </w:tabs>
        <w:numPr>
          <w:ilvl w:val="1"/>
          <w:numId w:val="13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Company and its Subsidiaries may make advances, investments and loans in and to third parties;</w:t>
      </w:r>
    </w:p>
    <w:p>
      <w:pPr>
        <w:spacing w:after="0" w:line="242" w:lineRule="exact"/>
        <w:rPr>
          <w:rFonts w:ascii="Times New Roman" w:cs="Times New Roman" w:eastAsia="Times New Roman" w:hAnsi="Times New Roman"/>
          <w:sz w:val="20"/>
          <w:szCs w:val="20"/>
          <w:color w:val="010000"/>
        </w:rPr>
      </w:pPr>
    </w:p>
    <w:p>
      <w:pPr>
        <w:ind w:left="2440" w:hanging="488"/>
        <w:spacing w:after="0"/>
        <w:tabs>
          <w:tab w:leader="none" w:pos="2440" w:val="left"/>
        </w:tabs>
        <w:numPr>
          <w:ilvl w:val="1"/>
          <w:numId w:val="13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Company and its Subsidiaries may make Restricted Payments;</w:t>
      </w:r>
    </w:p>
    <w:p>
      <w:pPr>
        <w:spacing w:after="0" w:line="242" w:lineRule="exact"/>
        <w:rPr>
          <w:rFonts w:ascii="Times New Roman" w:cs="Times New Roman" w:eastAsia="Times New Roman" w:hAnsi="Times New Roman"/>
          <w:sz w:val="20"/>
          <w:szCs w:val="20"/>
          <w:color w:val="010000"/>
        </w:rPr>
      </w:pPr>
    </w:p>
    <w:p>
      <w:pPr>
        <w:jc w:val="both"/>
        <w:ind w:left="1300" w:firstLine="652"/>
        <w:spacing w:after="0" w:line="282" w:lineRule="auto"/>
        <w:tabs>
          <w:tab w:leader="none" w:pos="2403" w:val="left"/>
        </w:tabs>
        <w:numPr>
          <w:ilvl w:val="1"/>
          <w:numId w:val="13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Company and its Subsidiaries may make dispositions of assets received in connection with the bankruptcy or reorganization of suppliers and customers and in settlement of delinquent obligations of, and other disputes with, customers and suppliers arising in the ordinary course of business; and</w:t>
      </w:r>
    </w:p>
    <w:p>
      <w:pPr>
        <w:spacing w:after="0" w:line="174" w:lineRule="exact"/>
        <w:rPr>
          <w:rFonts w:ascii="Times New Roman" w:cs="Times New Roman" w:eastAsia="Times New Roman" w:hAnsi="Times New Roman"/>
          <w:sz w:val="20"/>
          <w:szCs w:val="20"/>
          <w:color w:val="010000"/>
        </w:rPr>
      </w:pPr>
    </w:p>
    <w:p>
      <w:pPr>
        <w:ind w:left="1300" w:firstLine="652"/>
        <w:spacing w:after="0" w:line="297" w:lineRule="auto"/>
        <w:tabs>
          <w:tab w:leader="none" w:pos="2539" w:val="left"/>
        </w:tabs>
        <w:numPr>
          <w:ilvl w:val="1"/>
          <w:numId w:val="13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Company and its Subsidiaries may lease (as lessor) real or personal property not interfering with the ordinary course of business of the Company and otherwise in compliance with this Agreement.</w:t>
      </w:r>
    </w:p>
    <w:p>
      <w:pPr>
        <w:spacing w:after="0" w:line="159" w:lineRule="exact"/>
        <w:rPr>
          <w:rFonts w:ascii="Times New Roman" w:cs="Times New Roman" w:eastAsia="Times New Roman" w:hAnsi="Times New Roman"/>
          <w:sz w:val="20"/>
          <w:szCs w:val="20"/>
          <w:color w:val="010000"/>
        </w:rPr>
      </w:pPr>
    </w:p>
    <w:p>
      <w:pPr>
        <w:jc w:val="both"/>
        <w:ind w:left="660" w:firstLine="644"/>
        <w:spacing w:after="0" w:line="275" w:lineRule="auto"/>
        <w:tabs>
          <w:tab w:leader="none" w:pos="1804" w:val="left"/>
        </w:tabs>
        <w:numPr>
          <w:ilvl w:val="0"/>
          <w:numId w:val="13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Company will not, and will not permit any of its Subsidiaries to, engage to any material extent in any business other than (i) businesses of the type conducted by the Company and its Subsidiaries on the date of execution of this Agreement and businesses reasonably related thereto, (ii) reasonable extensions thereof and (iii) any other manufacturing business, including, without limitation, the distribution and/or resale of manufactured products and other reasonable extensions of the manufacturing business.</w:t>
      </w:r>
    </w:p>
    <w:p>
      <w:pPr>
        <w:spacing w:after="0" w:line="167" w:lineRule="exact"/>
        <w:rPr>
          <w:rFonts w:ascii="Times New Roman" w:cs="Times New Roman" w:eastAsia="Times New Roman" w:hAnsi="Times New Roman"/>
          <w:sz w:val="20"/>
          <w:szCs w:val="20"/>
          <w:color w:val="010000"/>
        </w:rPr>
      </w:pPr>
    </w:p>
    <w:p>
      <w:pPr>
        <w:ind w:left="1720" w:hanging="416"/>
        <w:spacing w:after="0"/>
        <w:tabs>
          <w:tab w:leader="none" w:pos="1720" w:val="left"/>
        </w:tabs>
        <w:numPr>
          <w:ilvl w:val="0"/>
          <w:numId w:val="13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Company will not change its fiscal year from the basis in effect on the Restatement Effective Date.</w:t>
      </w:r>
    </w:p>
    <w:p>
      <w:pPr>
        <w:spacing w:after="0" w:line="224" w:lineRule="exact"/>
        <w:rPr>
          <w:sz w:val="20"/>
          <w:szCs w:val="20"/>
          <w:color w:val="auto"/>
        </w:rPr>
      </w:pPr>
    </w:p>
    <w:p>
      <w:pPr>
        <w:jc w:val="both"/>
        <w:ind w:firstLine="1296"/>
        <w:spacing w:after="0" w:line="277" w:lineRule="auto"/>
        <w:rPr>
          <w:sz w:val="20"/>
          <w:szCs w:val="20"/>
          <w:color w:val="auto"/>
        </w:rPr>
      </w:pPr>
      <w:r>
        <w:rPr>
          <w:rFonts w:ascii="Times New Roman" w:cs="Times New Roman" w:eastAsia="Times New Roman" w:hAnsi="Times New Roman"/>
          <w:sz w:val="20"/>
          <w:szCs w:val="20"/>
          <w:color w:val="010000"/>
        </w:rPr>
        <w:t xml:space="preserve">SECTION 6.04. </w:t>
      </w:r>
      <w:r>
        <w:rPr>
          <w:rFonts w:ascii="Times New Roman" w:cs="Times New Roman" w:eastAsia="Times New Roman" w:hAnsi="Times New Roman"/>
          <w:sz w:val="20"/>
          <w:szCs w:val="20"/>
          <w:u w:val="single" w:color="auto"/>
          <w:color w:val="000000"/>
        </w:rPr>
        <w:t>Speculative Swap Agreements</w:t>
      </w:r>
      <w:r>
        <w:rPr>
          <w:rFonts w:ascii="Times New Roman" w:cs="Times New Roman" w:eastAsia="Times New Roman" w:hAnsi="Times New Roman"/>
          <w:sz w:val="21"/>
          <w:szCs w:val="21"/>
          <w:color w:val="000000"/>
        </w:rPr>
        <w:t>.</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The Company will not, and will not permit any of its Subsidiaries to, enter</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into any Swap Agreement, except (a) Swap Agreements entered into to hedge or mitigate risks, including the potential purchase price of acquisitions in a foreign currency, of the Company or any Subsidiary (other than those in respect of Equity Interests of the Company or any of its Subsidiaries), and (b) Swap Agreements entered into in order to effectively cap, collar or exchange interest rates (from fixed to floating rates, from one floating rate to another floating rate or otherwise) with respect to any interest-bearing liability or investment of the Company or any Subsidiary.</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103</w:t>
      </w:r>
    </w:p>
    <w:p>
      <w:pPr>
        <w:sectPr>
          <w:pgSz w:w="11900" w:h="16838" w:orient="portrait"/>
          <w:cols w:equalWidth="0" w:num="1">
            <w:col w:w="11240"/>
          </w:cols>
          <w:pgMar w:left="320" w:top="1426" w:right="339" w:bottom="1440" w:gutter="0" w:footer="0" w:header="0"/>
        </w:sectPr>
      </w:pPr>
    </w:p>
    <w:bookmarkStart w:id="112" w:name="page113"/>
    <w:bookmarkEnd w:id="112"/>
    <w:p>
      <w:pPr>
        <w:jc w:val="both"/>
        <w:ind w:firstLine="1296"/>
        <w:spacing w:after="0" w:line="269" w:lineRule="auto"/>
        <w:rPr>
          <w:sz w:val="20"/>
          <w:szCs w:val="20"/>
          <w:color w:val="auto"/>
        </w:rPr>
      </w:pPr>
      <w:r>
        <w:rPr>
          <w:rFonts w:ascii="Times New Roman" w:cs="Times New Roman" w:eastAsia="Times New Roman" w:hAnsi="Times New Roman"/>
          <w:sz w:val="20"/>
          <w:szCs w:val="20"/>
          <w:color w:val="010000"/>
        </w:rPr>
        <w:t xml:space="preserve">SECTION 6.05. </w:t>
      </w:r>
      <w:r>
        <w:rPr>
          <w:rFonts w:ascii="Times New Roman" w:cs="Times New Roman" w:eastAsia="Times New Roman" w:hAnsi="Times New Roman"/>
          <w:sz w:val="20"/>
          <w:szCs w:val="20"/>
          <w:u w:val="single" w:color="auto"/>
          <w:color w:val="000000"/>
        </w:rPr>
        <w:t>Transactions with Affiliates</w:t>
      </w:r>
      <w:r>
        <w:rPr>
          <w:rFonts w:ascii="Times New Roman" w:cs="Times New Roman" w:eastAsia="Times New Roman" w:hAnsi="Times New Roman"/>
          <w:sz w:val="20"/>
          <w:szCs w:val="20"/>
          <w:color w:val="000000"/>
        </w:rPr>
        <w:t>. The Company will not, and will not permit any of its Subsidiaries to, sell,</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lease or otherwise transfer any property or assets to, or purchase, lease or otherwise acquire any property or assets from, or otherwise engage in any other transactions with, any of its Affiliates, except (a) at prices and on terms and conditions not less favorable to the Company or such Subsidiary than could be obtained on an arm’s-length basis from unrelated third parties, (b) transactions between or among the Company and its wholly owned Subsidiaries not involving any other Affiliate (including transfers of inventory), (c) Restricted Payments, (d) Intercompany Loans, (e) each of the Company and any Subsidiary may, in the ordinary course of business, charge each other for services provided to the other, (f) the payment of reasonable and customary fees, compensation and employee benefits to directors of the Company or any Subsidiary who are not employees of the Company or any Subsidiary in the ordinary course of business, (g) any issuances of securities or other payments, awards or grants in cash, securities or otherwise pursuant to, stock options, stock ownership or any other equity incentive plans approved by the Company’s board of directors (or any committee thereof) and (h) employment and severance arrangements entered into in the ordinary course of business between the Company or any Subsidiary and any employee thereof.</w:t>
      </w:r>
    </w:p>
    <w:p>
      <w:pPr>
        <w:spacing w:after="0" w:line="1" w:lineRule="exact"/>
        <w:rPr>
          <w:sz w:val="20"/>
          <w:szCs w:val="20"/>
          <w:color w:val="auto"/>
        </w:rPr>
      </w:pPr>
    </w:p>
    <w:p>
      <w:pPr>
        <w:ind w:left="1300"/>
        <w:spacing w:after="0"/>
        <w:tabs>
          <w:tab w:leader="none" w:pos="2760" w:val="left"/>
        </w:tabs>
        <w:rPr>
          <w:sz w:val="20"/>
          <w:szCs w:val="20"/>
          <w:color w:val="auto"/>
        </w:rPr>
      </w:pPr>
      <w:r>
        <w:rPr>
          <w:rFonts w:ascii="Times New Roman" w:cs="Times New Roman" w:eastAsia="Times New Roman" w:hAnsi="Times New Roman"/>
          <w:sz w:val="20"/>
          <w:szCs w:val="20"/>
          <w:color w:val="010000"/>
        </w:rPr>
        <w:t>SECTION 6.06.</w:t>
      </w:r>
      <w:r>
        <w:rPr>
          <w:sz w:val="20"/>
          <w:szCs w:val="20"/>
          <w:color w:val="auto"/>
        </w:rPr>
        <w:tab/>
      </w:r>
      <w:r>
        <w:rPr>
          <w:rFonts w:ascii="Times New Roman" w:cs="Times New Roman" w:eastAsia="Times New Roman" w:hAnsi="Times New Roman"/>
          <w:sz w:val="19"/>
          <w:szCs w:val="19"/>
          <w:u w:val="single" w:color="auto"/>
          <w:color w:val="auto"/>
        </w:rPr>
        <w:t>Reserved</w:t>
      </w:r>
      <w:r>
        <w:rPr>
          <w:rFonts w:ascii="Times New Roman" w:cs="Times New Roman" w:eastAsia="Times New Roman" w:hAnsi="Times New Roman"/>
          <w:sz w:val="19"/>
          <w:szCs w:val="19"/>
          <w:color w:val="auto"/>
        </w:rPr>
        <w:t>.</w:t>
      </w:r>
    </w:p>
    <w:p>
      <w:pPr>
        <w:spacing w:after="0" w:line="6" w:lineRule="exact"/>
        <w:rPr>
          <w:sz w:val="20"/>
          <w:szCs w:val="20"/>
          <w:color w:val="auto"/>
        </w:rPr>
      </w:pPr>
    </w:p>
    <w:p>
      <w:pPr>
        <w:ind w:left="1300"/>
        <w:spacing w:after="0"/>
        <w:tabs>
          <w:tab w:leader="none" w:pos="2760" w:val="left"/>
        </w:tabs>
        <w:rPr>
          <w:sz w:val="20"/>
          <w:szCs w:val="20"/>
          <w:color w:val="auto"/>
        </w:rPr>
      </w:pPr>
      <w:r>
        <w:rPr>
          <w:rFonts w:ascii="Times New Roman" w:cs="Times New Roman" w:eastAsia="Times New Roman" w:hAnsi="Times New Roman"/>
          <w:sz w:val="20"/>
          <w:szCs w:val="20"/>
          <w:color w:val="010000"/>
        </w:rPr>
        <w:t>SECTION 6.07.</w:t>
      </w:r>
      <w:r>
        <w:rPr>
          <w:sz w:val="20"/>
          <w:szCs w:val="20"/>
          <w:color w:val="auto"/>
        </w:rPr>
        <w:tab/>
      </w:r>
      <w:r>
        <w:rPr>
          <w:rFonts w:ascii="Times New Roman" w:cs="Times New Roman" w:eastAsia="Times New Roman" w:hAnsi="Times New Roman"/>
          <w:sz w:val="19"/>
          <w:szCs w:val="19"/>
          <w:u w:val="single" w:color="auto"/>
          <w:color w:val="auto"/>
        </w:rPr>
        <w:t>Financial Covenants</w:t>
      </w:r>
      <w:r>
        <w:rPr>
          <w:rFonts w:ascii="Times New Roman" w:cs="Times New Roman" w:eastAsia="Times New Roman" w:hAnsi="Times New Roman"/>
          <w:sz w:val="19"/>
          <w:szCs w:val="19"/>
          <w:color w:val="auto"/>
        </w:rPr>
        <w:t>.</w:t>
      </w:r>
    </w:p>
    <w:p>
      <w:pPr>
        <w:spacing w:after="0" w:line="6" w:lineRule="exact"/>
        <w:rPr>
          <w:sz w:val="20"/>
          <w:szCs w:val="20"/>
          <w:color w:val="auto"/>
        </w:rPr>
      </w:pPr>
    </w:p>
    <w:p>
      <w:pPr>
        <w:jc w:val="both"/>
        <w:ind w:left="660" w:firstLine="644"/>
        <w:spacing w:after="0" w:line="249" w:lineRule="auto"/>
        <w:tabs>
          <w:tab w:leader="none" w:pos="1739" w:val="left"/>
        </w:tabs>
        <w:numPr>
          <w:ilvl w:val="0"/>
          <w:numId w:val="13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Maximum Total Net Leverage Ratio</w:t>
      </w:r>
      <w:r>
        <w:rPr>
          <w:rFonts w:ascii="Times New Roman" w:cs="Times New Roman" w:eastAsia="Times New Roman" w:hAnsi="Times New Roman"/>
          <w:sz w:val="20"/>
          <w:szCs w:val="20"/>
          <w:color w:val="auto"/>
        </w:rPr>
        <w:t>. The Company will not permit the Total Net Leverage Ratio, determined as of the end of each of its fiscal quarters ending on and after June 30, 2026 but prior to the Financial Covenant Transition Date, to be greater than 3.50 to 1.00. Notwithstanding the foregoing, the Company shall be permitted to allow the maximum Total Net Leverage Ratio permitted under this Section 6.07(a) to be increased to 4.00 to 1.00 for a period of four consecutive fiscal quarters (such period, an “</w:t>
      </w:r>
      <w:r>
        <w:rPr>
          <w:rFonts w:ascii="Times New Roman" w:cs="Times New Roman" w:eastAsia="Times New Roman" w:hAnsi="Times New Roman"/>
          <w:sz w:val="20"/>
          <w:szCs w:val="20"/>
          <w:u w:val="single" w:color="auto"/>
          <w:color w:val="auto"/>
        </w:rPr>
        <w:t>Adjusted Covenant Period</w:t>
      </w:r>
      <w:r>
        <w:rPr>
          <w:rFonts w:ascii="Times New Roman" w:cs="Times New Roman" w:eastAsia="Times New Roman" w:hAnsi="Times New Roman"/>
          <w:sz w:val="20"/>
          <w:szCs w:val="20"/>
          <w:color w:val="auto"/>
        </w:rPr>
        <w:t xml:space="preserve">”) in connection with a Qualifying Material Acquisition occurring during the first of such four fiscal quarters (and in respect of which the Company shall provide notice in writing to the Administrative Agent (for distribution to the Lenders) of such increase and a transaction description of such Qualifying Material Acquisition (including the name of the person or summary description of the assets being acquired and the approximate purchase price)), so long as the Company is in compliance on a pro forma basis with the maximum Total Net Leverage Ratio of 4.00 to 1.00 on the closing date of such Qualifying Material Acquisition immediately after giving effect (including giving effect on a pro forma basis) to such Qualifying Material Acquisition;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it is understood and agreed that (A) the Company may not elect a new Adjusted Covenant Period for at least two (2) fiscal quarters following the end of an Adjusted Covenant Period and (B) the maximum Total Net Leverage Ratio permitted under this Section 6.07(a) shall revert to 3.50 to 1.00 as of the end of such Adjusted Covenant Period and thereafter until another Adjusted Covenant Period (if any) is elected pursuant to the terms and conditions described above.</w:t>
      </w:r>
    </w:p>
    <w:p>
      <w:pPr>
        <w:spacing w:after="0" w:line="167" w:lineRule="exact"/>
        <w:rPr>
          <w:rFonts w:ascii="Times New Roman" w:cs="Times New Roman" w:eastAsia="Times New Roman" w:hAnsi="Times New Roman"/>
          <w:sz w:val="20"/>
          <w:szCs w:val="20"/>
          <w:color w:val="010000"/>
        </w:rPr>
      </w:pPr>
    </w:p>
    <w:p>
      <w:pPr>
        <w:ind w:left="660" w:firstLine="644"/>
        <w:spacing w:after="0" w:line="269" w:lineRule="auto"/>
        <w:tabs>
          <w:tab w:leader="none" w:pos="1736" w:val="left"/>
        </w:tabs>
        <w:numPr>
          <w:ilvl w:val="0"/>
          <w:numId w:val="13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Interest Coverage Ratio</w:t>
      </w:r>
      <w:r>
        <w:rPr>
          <w:rFonts w:ascii="Times New Roman" w:cs="Times New Roman" w:eastAsia="Times New Roman" w:hAnsi="Times New Roman"/>
          <w:sz w:val="20"/>
          <w:szCs w:val="20"/>
          <w:color w:val="auto"/>
        </w:rPr>
        <w:t>. The Company will not permit the Interest Coverage Ratio, determined as of the end of each of its fiscal quarters ending on and after the Financial Covenant Transition Date, to be less than 3.00 to 1.00.</w:t>
      </w:r>
    </w:p>
    <w:p>
      <w:pPr>
        <w:spacing w:after="0" w:line="159" w:lineRule="exact"/>
        <w:rPr>
          <w:sz w:val="20"/>
          <w:szCs w:val="20"/>
          <w:color w:val="auto"/>
        </w:rPr>
      </w:pPr>
    </w:p>
    <w:p>
      <w:pPr>
        <w:ind w:left="1300"/>
        <w:spacing w:after="0"/>
        <w:tabs>
          <w:tab w:leader="none" w:pos="2760" w:val="left"/>
        </w:tabs>
        <w:rPr>
          <w:sz w:val="20"/>
          <w:szCs w:val="20"/>
          <w:color w:val="auto"/>
        </w:rPr>
      </w:pPr>
      <w:r>
        <w:rPr>
          <w:rFonts w:ascii="Times New Roman" w:cs="Times New Roman" w:eastAsia="Times New Roman" w:hAnsi="Times New Roman"/>
          <w:sz w:val="20"/>
          <w:szCs w:val="20"/>
          <w:color w:val="010000"/>
        </w:rPr>
        <w:t>SECTION 6.08.</w:t>
      </w:r>
      <w:r>
        <w:rPr>
          <w:sz w:val="20"/>
          <w:szCs w:val="20"/>
          <w:color w:val="auto"/>
        </w:rPr>
        <w:tab/>
      </w:r>
      <w:r>
        <w:rPr>
          <w:rFonts w:ascii="Times New Roman" w:cs="Times New Roman" w:eastAsia="Times New Roman" w:hAnsi="Times New Roman"/>
          <w:sz w:val="19"/>
          <w:szCs w:val="19"/>
          <w:u w:val="single" w:color="auto"/>
          <w:color w:val="auto"/>
        </w:rPr>
        <w:t>Anti-Corruption Laws and Sanctions</w:t>
      </w:r>
      <w:r>
        <w:rPr>
          <w:rFonts w:ascii="Times New Roman" w:cs="Times New Roman" w:eastAsia="Times New Roman" w:hAnsi="Times New Roman"/>
          <w:sz w:val="19"/>
          <w:szCs w:val="19"/>
          <w:color w:val="auto"/>
        </w:rPr>
        <w:t>.</w:t>
      </w:r>
    </w:p>
    <w:p>
      <w:pPr>
        <w:spacing w:after="0" w:line="22" w:lineRule="exact"/>
        <w:rPr>
          <w:sz w:val="20"/>
          <w:szCs w:val="20"/>
          <w:color w:val="auto"/>
        </w:rPr>
      </w:pPr>
    </w:p>
    <w:p>
      <w:pPr>
        <w:jc w:val="both"/>
        <w:ind w:left="660" w:firstLine="644"/>
        <w:spacing w:after="0" w:line="251" w:lineRule="auto"/>
        <w:tabs>
          <w:tab w:leader="none" w:pos="1725" w:val="left"/>
        </w:tabs>
        <w:numPr>
          <w:ilvl w:val="0"/>
          <w:numId w:val="13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No Borrower will request any Borrowing or Letter of Credit, and no Borrower shall use, and the Company shall procure that its Subsidiaries and its or their respective directors, officers, employees and agents shall not use, the proceeds of any Borrowing or Letter of Credit directly or indirectly (i) in furtherance of an offer, payment, promise to pay, or authorization of the payment or giving of money, or anything else of value, to any Person in violation of any Anti-Corruption Laws, (ii) for the purpose of funding, financing or facilitating any activities,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104</w:t>
      </w:r>
    </w:p>
    <w:p>
      <w:pPr>
        <w:sectPr>
          <w:pgSz w:w="11900" w:h="16838" w:orient="portrait"/>
          <w:cols w:equalWidth="0" w:num="1">
            <w:col w:w="11240"/>
          </w:cols>
          <w:pgMar w:left="320" w:top="1426" w:right="339" w:bottom="1440" w:gutter="0" w:footer="0" w:header="0"/>
        </w:sectPr>
      </w:pPr>
    </w:p>
    <w:bookmarkStart w:id="113" w:name="page114"/>
    <w:bookmarkEnd w:id="113"/>
    <w:p>
      <w:pPr>
        <w:jc w:val="both"/>
        <w:ind w:left="660"/>
        <w:spacing w:after="0" w:line="251" w:lineRule="auto"/>
        <w:rPr>
          <w:sz w:val="20"/>
          <w:szCs w:val="20"/>
          <w:color w:val="auto"/>
        </w:rPr>
      </w:pPr>
      <w:r>
        <w:rPr>
          <w:rFonts w:ascii="Times New Roman" w:cs="Times New Roman" w:eastAsia="Times New Roman" w:hAnsi="Times New Roman"/>
          <w:sz w:val="20"/>
          <w:szCs w:val="20"/>
          <w:color w:val="auto"/>
        </w:rPr>
        <w:t>or transaction of or with any Sanctioned Person, or in any Sanctioned Country, (iii) in any manner that would result in the violation of any Sanctions applicable to any party hereto or (iv)(x) to finance any activity in violation of applicable Export Controls or where such violation is about to occur or (y) otherwise in violation of applicable Export Controls. The foregoing clauses (ii) and (iii) of this clause (a) of Section 6.08 will not apply to any party hereto to which (i) the Blocking Law applies, if and to the extent that such representations are or would be unenforceable by or in respect of that party pursuant to, or would otherwise result in a breach and/or violation of, any provision of the Blocking Law or (ii) the UKPTIL applies, if and to the extent that such representations are or would be unenforceable by or in respect of that party pursuant to, or would otherwise result in a breach and/or violation of any provision of, the Blocking Law or the UKPTIL, as applicable.</w:t>
      </w:r>
    </w:p>
    <w:p>
      <w:pPr>
        <w:spacing w:after="0" w:line="168" w:lineRule="exact"/>
        <w:rPr>
          <w:sz w:val="20"/>
          <w:szCs w:val="20"/>
          <w:color w:val="auto"/>
        </w:rPr>
      </w:pPr>
    </w:p>
    <w:p>
      <w:pPr>
        <w:jc w:val="both"/>
        <w:ind w:left="660" w:firstLine="644"/>
        <w:spacing w:after="0" w:line="257" w:lineRule="auto"/>
        <w:tabs>
          <w:tab w:leader="none" w:pos="1750" w:val="left"/>
        </w:tabs>
        <w:numPr>
          <w:ilvl w:val="0"/>
          <w:numId w:val="13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negative covenants in this Section 6.08 shall not be made by any German Borrower in so far as they would violate or expose any German Borrower or any of its Subsidiaries or any director, officer or employee thereof to any liability under any anti-boycott or blocking law, regulation or statute that is in force from time to time and applicable to such entity (including without limitation EU Regulation (EC) 2271/96 and Section 7 of the German Foreign Trade Ordinance (Verordnung zur Durchführung des Außenwirtschaftsgesetzes (</w:t>
      </w:r>
      <w:r>
        <w:rPr>
          <w:rFonts w:ascii="Times New Roman" w:cs="Times New Roman" w:eastAsia="Times New Roman" w:hAnsi="Times New Roman"/>
          <w:sz w:val="20"/>
          <w:szCs w:val="20"/>
          <w:i w:val="1"/>
          <w:iCs w:val="1"/>
          <w:color w:val="auto"/>
        </w:rPr>
        <w:t>Außenwirtschaftsverordnung – AWV</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010000"/>
        </w:rPr>
      </w:pPr>
    </w:p>
    <w:p>
      <w:pPr>
        <w:jc w:val="both"/>
        <w:ind w:left="660" w:firstLine="644"/>
        <w:spacing w:after="0" w:line="253" w:lineRule="auto"/>
        <w:tabs>
          <w:tab w:leader="none" w:pos="1806" w:val="left"/>
        </w:tabs>
        <w:numPr>
          <w:ilvl w:val="0"/>
          <w:numId w:val="13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negative covenants in this Section 6.08 given by any Borrower to any Lender that qualifies as a resident party domiciled in Germany (</w:t>
      </w:r>
      <w:r>
        <w:rPr>
          <w:rFonts w:ascii="Times New Roman" w:cs="Times New Roman" w:eastAsia="Times New Roman" w:hAnsi="Times New Roman"/>
          <w:sz w:val="20"/>
          <w:szCs w:val="20"/>
          <w:i w:val="1"/>
          <w:iCs w:val="1"/>
          <w:color w:val="auto"/>
        </w:rPr>
        <w:t>Inländer</w:t>
      </w:r>
      <w:r>
        <w:rPr>
          <w:rFonts w:ascii="Times New Roman" w:cs="Times New Roman" w:eastAsia="Times New Roman" w:hAnsi="Times New Roman"/>
          <w:sz w:val="20"/>
          <w:szCs w:val="20"/>
          <w:color w:val="auto"/>
        </w:rPr>
        <w:t>) within the meaning of Section 2 paragraph 15 German Foreign Trade Act (</w:t>
      </w:r>
      <w:r>
        <w:rPr>
          <w:rFonts w:ascii="Times New Roman" w:cs="Times New Roman" w:eastAsia="Times New Roman" w:hAnsi="Times New Roman"/>
          <w:sz w:val="20"/>
          <w:szCs w:val="20"/>
          <w:i w:val="1"/>
          <w:iCs w:val="1"/>
          <w:color w:val="auto"/>
        </w:rPr>
        <w:t>Außenwirtschaftsgesetz</w:t>
      </w:r>
      <w:r>
        <w:rPr>
          <w:rFonts w:ascii="Times New Roman" w:cs="Times New Roman" w:eastAsia="Times New Roman" w:hAnsi="Times New Roman"/>
          <w:sz w:val="20"/>
          <w:szCs w:val="20"/>
          <w:color w:val="auto"/>
        </w:rPr>
        <w:t>) are made only to the extent that any Lender domiciled in Germany (</w:t>
      </w:r>
      <w:r>
        <w:rPr>
          <w:rFonts w:ascii="Times New Roman" w:cs="Times New Roman" w:eastAsia="Times New Roman" w:hAnsi="Times New Roman"/>
          <w:sz w:val="20"/>
          <w:szCs w:val="20"/>
          <w:i w:val="1"/>
          <w:iCs w:val="1"/>
          <w:color w:val="auto"/>
        </w:rPr>
        <w:t>Inländer</w:t>
      </w:r>
      <w:r>
        <w:rPr>
          <w:rFonts w:ascii="Times New Roman" w:cs="Times New Roman" w:eastAsia="Times New Roman" w:hAnsi="Times New Roman"/>
          <w:sz w:val="20"/>
          <w:szCs w:val="20"/>
          <w:color w:val="auto"/>
        </w:rPr>
        <w:t>) within the meaning of Section 2 paragraph 15 German Foreign Trade Act (</w:t>
      </w:r>
      <w:r>
        <w:rPr>
          <w:rFonts w:ascii="Times New Roman" w:cs="Times New Roman" w:eastAsia="Times New Roman" w:hAnsi="Times New Roman"/>
          <w:sz w:val="20"/>
          <w:szCs w:val="20"/>
          <w:i w:val="1"/>
          <w:iCs w:val="1"/>
          <w:color w:val="auto"/>
        </w:rPr>
        <w:t>Außenwirtschaftsgesetz</w:t>
      </w:r>
      <w:r>
        <w:rPr>
          <w:rFonts w:ascii="Times New Roman" w:cs="Times New Roman" w:eastAsia="Times New Roman" w:hAnsi="Times New Roman"/>
          <w:sz w:val="20"/>
          <w:szCs w:val="20"/>
          <w:color w:val="auto"/>
        </w:rPr>
        <w:t>) would be permitted to make such undertakings pursuant to EU Regulation (EC) 2271/96 and Section 7 of the German Foreign Trade Ordinance (Verordnung zur Durchführung des Außenwirtschaftsgesetzes (</w:t>
      </w:r>
      <w:r>
        <w:rPr>
          <w:rFonts w:ascii="Times New Roman" w:cs="Times New Roman" w:eastAsia="Times New Roman" w:hAnsi="Times New Roman"/>
          <w:sz w:val="20"/>
          <w:szCs w:val="20"/>
          <w:i w:val="1"/>
          <w:iCs w:val="1"/>
          <w:color w:val="auto"/>
        </w:rPr>
        <w:t>Außenwirtschaftsverordnung – AWV</w:t>
      </w:r>
      <w:r>
        <w:rPr>
          <w:rFonts w:ascii="Times New Roman" w:cs="Times New Roman" w:eastAsia="Times New Roman" w:hAnsi="Times New Roman"/>
          <w:sz w:val="20"/>
          <w:szCs w:val="20"/>
          <w:color w:val="auto"/>
        </w:rPr>
        <w:t>).</w:t>
      </w:r>
    </w:p>
    <w:p>
      <w:pPr>
        <w:spacing w:after="0" w:line="165" w:lineRule="exact"/>
        <w:rPr>
          <w:sz w:val="20"/>
          <w:szCs w:val="20"/>
          <w:color w:val="auto"/>
        </w:rPr>
      </w:pPr>
    </w:p>
    <w:p>
      <w:pPr>
        <w:jc w:val="both"/>
        <w:ind w:right="20" w:firstLine="1296"/>
        <w:spacing w:after="0" w:line="258" w:lineRule="auto"/>
        <w:rPr>
          <w:sz w:val="20"/>
          <w:szCs w:val="20"/>
          <w:color w:val="auto"/>
        </w:rPr>
      </w:pPr>
      <w:r>
        <w:rPr>
          <w:rFonts w:ascii="Times New Roman" w:cs="Times New Roman" w:eastAsia="Times New Roman" w:hAnsi="Times New Roman"/>
          <w:sz w:val="20"/>
          <w:szCs w:val="20"/>
          <w:color w:val="010000"/>
        </w:rPr>
        <w:t xml:space="preserve">SECTION 6.09. </w:t>
      </w:r>
      <w:r>
        <w:rPr>
          <w:rFonts w:ascii="Times New Roman" w:cs="Times New Roman" w:eastAsia="Times New Roman" w:hAnsi="Times New Roman"/>
          <w:sz w:val="20"/>
          <w:szCs w:val="20"/>
          <w:u w:val="single" w:color="auto"/>
          <w:color w:val="000000"/>
        </w:rPr>
        <w:t>UK Pensions</w:t>
      </w:r>
      <w:r>
        <w:rPr>
          <w:rFonts w:ascii="Times New Roman" w:cs="Times New Roman" w:eastAsia="Times New Roman" w:hAnsi="Times New Roman"/>
          <w:sz w:val="20"/>
          <w:szCs w:val="20"/>
          <w:color w:val="000000"/>
        </w:rPr>
        <w:t>. The Company will ensure it is not a party, and will procure that no Subsidiary is a party, to</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any act or omission in relation to any Non-U.S. Pension Plan that could reasonably be expected to result in a Material Adverse Effect.</w:t>
      </w:r>
    </w:p>
    <w:p>
      <w:pPr>
        <w:jc w:val="both"/>
        <w:ind w:firstLine="1296"/>
        <w:spacing w:after="0" w:line="248" w:lineRule="auto"/>
        <w:rPr>
          <w:sz w:val="20"/>
          <w:szCs w:val="20"/>
          <w:color w:val="auto"/>
        </w:rPr>
      </w:pPr>
      <w:r>
        <w:rPr>
          <w:rFonts w:ascii="Times New Roman" w:cs="Times New Roman" w:eastAsia="Times New Roman" w:hAnsi="Times New Roman"/>
          <w:sz w:val="20"/>
          <w:szCs w:val="20"/>
          <w:color w:val="010000"/>
        </w:rPr>
        <w:t xml:space="preserve">SECTION 6.10. </w:t>
      </w:r>
      <w:r>
        <w:rPr>
          <w:rFonts w:ascii="Times New Roman" w:cs="Times New Roman" w:eastAsia="Times New Roman" w:hAnsi="Times New Roman"/>
          <w:sz w:val="20"/>
          <w:szCs w:val="20"/>
          <w:u w:val="single" w:color="auto"/>
          <w:color w:val="000000"/>
        </w:rPr>
        <w:t>Outbound Investment Rules</w:t>
      </w:r>
      <w:r>
        <w:rPr>
          <w:rFonts w:ascii="Times New Roman" w:cs="Times New Roman" w:eastAsia="Times New Roman" w:hAnsi="Times New Roman"/>
          <w:sz w:val="20"/>
          <w:szCs w:val="20"/>
          <w:color w:val="000000"/>
        </w:rPr>
        <w:t>. The Company will not, and will not permit any of its Subsidiaries to, (a) be</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or become a “covered foreign person”, as that term is defined in the Outbound Investment Rules, or (b) engage, directly or indirectly, in (i) a “covered activity” or a “covered transaction”, as each such term is defined in the Outbound Investment Rules, (ii) any activity or transaction that would constitute a “covered activity” or a “covered transaction”, as each such term is defined in the Outbound Investment Rules, if the Company or such Subsidiary were a U.S. Person or (iii) any other activity that would cause the Administrative Agent or any Lender to be in violation of the Outbound Investment Rules or cause the Administrative Agent or any Lender to be legally prohibited by the Outbound Investment Rules from performing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-935355</wp:posOffset>
            </wp:positionV>
            <wp:extent cx="9645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64565"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0"/>
          <w:szCs w:val="20"/>
          <w:color w:val="010000"/>
        </w:rPr>
        <w:t>ARTICLE VII</w:t>
      </w:r>
    </w:p>
    <w:p>
      <w:pPr>
        <w:spacing w:after="0" w:line="214"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0"/>
          <w:szCs w:val="20"/>
          <w:u w:val="single" w:color="auto"/>
          <w:color w:val="auto"/>
        </w:rPr>
        <w:t>Events of Default</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If any of the following events (“</w:t>
      </w:r>
      <w:r>
        <w:rPr>
          <w:rFonts w:ascii="Times New Roman" w:cs="Times New Roman" w:eastAsia="Times New Roman" w:hAnsi="Times New Roman"/>
          <w:sz w:val="20"/>
          <w:szCs w:val="20"/>
          <w:u w:val="single" w:color="auto"/>
          <w:color w:val="auto"/>
        </w:rPr>
        <w:t>Events of Default</w:t>
      </w:r>
      <w:r>
        <w:rPr>
          <w:rFonts w:ascii="Times New Roman" w:cs="Times New Roman" w:eastAsia="Times New Roman" w:hAnsi="Times New Roman"/>
          <w:sz w:val="20"/>
          <w:szCs w:val="20"/>
          <w:color w:val="auto"/>
        </w:rPr>
        <w:t>”) shall occur:</w:t>
      </w:r>
    </w:p>
    <w:p>
      <w:pPr>
        <w:spacing w:after="0" w:line="202" w:lineRule="exact"/>
        <w:rPr>
          <w:sz w:val="20"/>
          <w:szCs w:val="20"/>
          <w:color w:val="auto"/>
        </w:rPr>
      </w:pPr>
    </w:p>
    <w:p>
      <w:pPr>
        <w:jc w:val="both"/>
        <w:ind w:left="660" w:firstLine="644"/>
        <w:spacing w:after="0" w:line="261" w:lineRule="auto"/>
        <w:tabs>
          <w:tab w:leader="none" w:pos="1847" w:val="left"/>
        </w:tabs>
        <w:numPr>
          <w:ilvl w:val="0"/>
          <w:numId w:val="13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Borrower shall fail to pay any principal of any Loan or any reimbursement obligation in respect of any LC Disbursement when and as the same shall become due and payable, whether at the due date thereof or at a date fixed for prepayment thereof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105</w:t>
      </w:r>
    </w:p>
    <w:p>
      <w:pPr>
        <w:sectPr>
          <w:pgSz w:w="11900" w:h="16838" w:orient="portrait"/>
          <w:cols w:equalWidth="0" w:num="1">
            <w:col w:w="11240"/>
          </w:cols>
          <w:pgMar w:left="320" w:top="1413" w:right="339" w:bottom="1440" w:gutter="0" w:footer="0" w:header="0"/>
        </w:sectPr>
      </w:pPr>
    </w:p>
    <w:bookmarkStart w:id="114" w:name="page115"/>
    <w:bookmarkEnd w:id="114"/>
    <w:p>
      <w:pPr>
        <w:jc w:val="both"/>
        <w:ind w:left="-460" w:firstLine="644"/>
        <w:spacing w:after="0" w:line="261" w:lineRule="auto"/>
        <w:tabs>
          <w:tab w:leader="none" w:pos="643" w:val="left"/>
        </w:tabs>
        <w:numPr>
          <w:ilvl w:val="0"/>
          <w:numId w:val="13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Borrower shall fail to pay any interest on any Loan or any fee or any other amount (other than an amount referred to in clause (a) of this Article) payable under this Agreement or any other Loan Document, when and as the same shall become due and payable, and such failure shall continue unremedied for a period of five (5) Business Days;</w:t>
      </w:r>
    </w:p>
    <w:p>
      <w:pPr>
        <w:spacing w:after="0" w:line="154" w:lineRule="exact"/>
        <w:rPr>
          <w:rFonts w:ascii="Times New Roman" w:cs="Times New Roman" w:eastAsia="Times New Roman" w:hAnsi="Times New Roman"/>
          <w:sz w:val="20"/>
          <w:szCs w:val="20"/>
          <w:color w:val="010000"/>
        </w:rPr>
      </w:pPr>
    </w:p>
    <w:p>
      <w:pPr>
        <w:jc w:val="both"/>
        <w:ind w:left="-460" w:firstLine="644"/>
        <w:spacing w:after="0" w:line="257" w:lineRule="auto"/>
        <w:tabs>
          <w:tab w:leader="none" w:pos="700" w:val="left"/>
        </w:tabs>
        <w:numPr>
          <w:ilvl w:val="0"/>
          <w:numId w:val="13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representation or warranty made or deemed made by or on behalf of any Borrower or any Subsidiary in or in connection with this Agreement or any other Loan Document or any amendment or modification hereof or thereof or waiver hereunder or thereunder, or in any certificate required to be delivered pursuant to or in connection with this Agreement or any other Loan Document or any amendment or modification thereof or waiver thereunder, shall prove to have been incorrect in any material respect on the date when made or deemed made;</w:t>
      </w:r>
    </w:p>
    <w:p>
      <w:pPr>
        <w:spacing w:after="0" w:line="159" w:lineRule="exact"/>
        <w:rPr>
          <w:rFonts w:ascii="Times New Roman" w:cs="Times New Roman" w:eastAsia="Times New Roman" w:hAnsi="Times New Roman"/>
          <w:sz w:val="20"/>
          <w:szCs w:val="20"/>
          <w:color w:val="010000"/>
        </w:rPr>
      </w:pPr>
    </w:p>
    <w:p>
      <w:pPr>
        <w:ind w:left="-460" w:firstLine="644"/>
        <w:spacing w:after="0" w:line="283" w:lineRule="auto"/>
        <w:tabs>
          <w:tab w:leader="none" w:pos="684" w:val="left"/>
        </w:tabs>
        <w:numPr>
          <w:ilvl w:val="0"/>
          <w:numId w:val="13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any Borrower shall fail to observe or perform any covenant, condition or agreement contained in Section 5.02, 5.03 (with respect to any Borrower’s existence) or 5.08, in </w:t>
      </w:r>
      <w:r>
        <w:rPr>
          <w:rFonts w:ascii="Times New Roman" w:cs="Times New Roman" w:eastAsia="Times New Roman" w:hAnsi="Times New Roman"/>
          <w:sz w:val="20"/>
          <w:szCs w:val="20"/>
          <w:u w:val="single" w:color="auto"/>
          <w:color w:val="auto"/>
        </w:rPr>
        <w:t>Article VI</w:t>
      </w:r>
      <w:r>
        <w:rPr>
          <w:rFonts w:ascii="Times New Roman" w:cs="Times New Roman" w:eastAsia="Times New Roman" w:hAnsi="Times New Roman"/>
          <w:sz w:val="20"/>
          <w:szCs w:val="20"/>
          <w:color w:val="auto"/>
        </w:rPr>
        <w:t xml:space="preserve"> or in </w:t>
      </w:r>
      <w:r>
        <w:rPr>
          <w:rFonts w:ascii="Times New Roman" w:cs="Times New Roman" w:eastAsia="Times New Roman" w:hAnsi="Times New Roman"/>
          <w:sz w:val="20"/>
          <w:szCs w:val="20"/>
          <w:u w:val="single" w:color="auto"/>
          <w:color w:val="auto"/>
        </w:rPr>
        <w:t>Article X</w:t>
      </w:r>
      <w:r>
        <w:rPr>
          <w:rFonts w:ascii="Times New Roman" w:cs="Times New Roman" w:eastAsia="Times New Roman" w:hAnsi="Times New Roman"/>
          <w:sz w:val="20"/>
          <w:szCs w:val="20"/>
          <w:color w:val="auto"/>
        </w:rPr>
        <w:t>;</w:t>
      </w:r>
    </w:p>
    <w:p>
      <w:pPr>
        <w:spacing w:after="0" w:line="132" w:lineRule="exact"/>
        <w:rPr>
          <w:rFonts w:ascii="Times New Roman" w:cs="Times New Roman" w:eastAsia="Times New Roman" w:hAnsi="Times New Roman"/>
          <w:sz w:val="20"/>
          <w:szCs w:val="20"/>
          <w:color w:val="010000"/>
        </w:rPr>
      </w:pPr>
    </w:p>
    <w:p>
      <w:pPr>
        <w:jc w:val="both"/>
        <w:ind w:left="-460" w:firstLine="644"/>
        <w:spacing w:after="0" w:line="258" w:lineRule="auto"/>
        <w:tabs>
          <w:tab w:leader="none" w:pos="619" w:val="left"/>
        </w:tabs>
        <w:numPr>
          <w:ilvl w:val="0"/>
          <w:numId w:val="13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Borrower shall fail to observe or perform any covenant, condition or agreement contained in this Agreement (other than those specified in clause (a), (b) or (d) of this Article) or any other Loan Document, and such failure shall continue unremedied for a period of thirty (30) days after notice thereof from the Administrative Agent to the Company (which notice will be given at the request of any Lender);</w:t>
      </w:r>
    </w:p>
    <w:p>
      <w:pPr>
        <w:spacing w:after="0" w:line="158" w:lineRule="exact"/>
        <w:rPr>
          <w:rFonts w:ascii="Times New Roman" w:cs="Times New Roman" w:eastAsia="Times New Roman" w:hAnsi="Times New Roman"/>
          <w:sz w:val="20"/>
          <w:szCs w:val="20"/>
          <w:color w:val="010000"/>
        </w:rPr>
      </w:pPr>
    </w:p>
    <w:p>
      <w:pPr>
        <w:jc w:val="both"/>
        <w:ind w:left="-460" w:firstLine="644"/>
        <w:spacing w:after="0" w:line="261" w:lineRule="auto"/>
        <w:tabs>
          <w:tab w:leader="none" w:pos="678" w:val="left"/>
        </w:tabs>
        <w:numPr>
          <w:ilvl w:val="0"/>
          <w:numId w:val="13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Company or any Subsidiary shall fail to make any payment (whether of principal or interest and regardless of amount) in respect of any Material Indebtedness, when and as the same shall become due and payable and such failure continues after the applicable grace or notice period, if any, specified in the relevant document on the date of such failure;</w:t>
      </w:r>
    </w:p>
    <w:p>
      <w:pPr>
        <w:spacing w:after="0" w:line="154" w:lineRule="exact"/>
        <w:rPr>
          <w:rFonts w:ascii="Times New Roman" w:cs="Times New Roman" w:eastAsia="Times New Roman" w:hAnsi="Times New Roman"/>
          <w:sz w:val="20"/>
          <w:szCs w:val="20"/>
          <w:color w:val="010000"/>
        </w:rPr>
      </w:pPr>
    </w:p>
    <w:p>
      <w:pPr>
        <w:jc w:val="both"/>
        <w:ind w:left="-460" w:firstLine="644"/>
        <w:spacing w:after="0" w:line="251" w:lineRule="auto"/>
        <w:tabs>
          <w:tab w:leader="none" w:pos="630" w:val="left"/>
        </w:tabs>
        <w:numPr>
          <w:ilvl w:val="0"/>
          <w:numId w:val="13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any event or condition occurs that results in any Material Indebtedness becoming due prior to its scheduled maturity or that enables or permits (with or without the giving of notice, the lapse of time or both) the holder or holders of any Material Indebtedness or any trustee or agent on its or their behalf to cause any Material Indebtedness to become due, or to require the prepayment, repurchase, redemption or defeasance thereof, prior to its scheduled maturity;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this clause (g) shall not apply to (i) secured Indebtedness that becomes due as a result of the voluntary sale or transfer of, or a casualty or condemnation event with respect to, the property or assets securing such Indebtedness, (ii) any Indebtedness that becomes due as a result of a voluntary prepayment, repurchase or redemption thereof or, in the case of a Swap Agreement, any voluntary termination thereof, (iii) any prepayment, repurchase, redemption or defeasance of any Acquisition Indebtedness if the related Qualifying Material Acquisition is not consummated, (iv) customary debt, equity and asset sale proceeds prepayment requirements contained in any bridge or other interim credit facility and (v) any Indebtedness of any Person assumed in connection with an acquisition to the extent that such Indebtedness is repaid, repurchased or redeemed (or offered to be repaid, repurchased or redeemed) as required by the terms thereof in connection with such Acquisition;</w:t>
      </w:r>
    </w:p>
    <w:p>
      <w:pPr>
        <w:spacing w:after="0" w:line="164" w:lineRule="exact"/>
        <w:rPr>
          <w:rFonts w:ascii="Times New Roman" w:cs="Times New Roman" w:eastAsia="Times New Roman" w:hAnsi="Times New Roman"/>
          <w:sz w:val="20"/>
          <w:szCs w:val="20"/>
          <w:color w:val="010000"/>
        </w:rPr>
      </w:pPr>
    </w:p>
    <w:p>
      <w:pPr>
        <w:jc w:val="both"/>
        <w:ind w:left="-460" w:firstLine="644"/>
        <w:spacing w:after="0" w:line="257" w:lineRule="auto"/>
        <w:tabs>
          <w:tab w:leader="none" w:pos="778" w:val="left"/>
        </w:tabs>
        <w:numPr>
          <w:ilvl w:val="0"/>
          <w:numId w:val="13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 involuntary proceeding shall be commenced or an involuntary petition shall be filed seeking (i) liquidation, reorganization or other relief in respect of the Company or any Significant Subsidiary or its debts, or of a substantial part of its assets, under any Federal, state or foreign bankruptcy, insolvency, receivership or similar law now or hereafter in effect or (ii) the appointment of a receiver, trustee, custodian, sequestrator, conservator or similar official for the Company or any Significant Subsidiary or for a substantial part of its assets, and, in any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0"/>
          <w:szCs w:val="20"/>
          <w:color w:val="auto"/>
        </w:rPr>
        <w:t>106</w:t>
      </w:r>
    </w:p>
    <w:p>
      <w:pPr>
        <w:sectPr>
          <w:pgSz w:w="11900" w:h="16838" w:orient="portrait"/>
          <w:cols w:equalWidth="0" w:num="1">
            <w:col w:w="10120"/>
          </w:cols>
          <w:pgMar w:left="1440" w:top="1413" w:right="339" w:bottom="1440" w:gutter="0" w:footer="0" w:header="0"/>
        </w:sectPr>
      </w:pPr>
    </w:p>
    <w:bookmarkStart w:id="115" w:name="page116"/>
    <w:bookmarkEnd w:id="115"/>
    <w:p>
      <w:pPr>
        <w:spacing w:after="0" w:line="283" w:lineRule="auto"/>
        <w:rPr>
          <w:sz w:val="20"/>
          <w:szCs w:val="20"/>
          <w:color w:val="auto"/>
        </w:rPr>
      </w:pPr>
      <w:r>
        <w:rPr>
          <w:rFonts w:ascii="Times New Roman" w:cs="Times New Roman" w:eastAsia="Times New Roman" w:hAnsi="Times New Roman"/>
          <w:sz w:val="20"/>
          <w:szCs w:val="20"/>
          <w:color w:val="auto"/>
        </w:rPr>
        <w:t>case, such proceeding or petition shall continue undismissed for sixty (60) days or an order or decree approving or ordering any of the foregoing shall be entered;</w:t>
      </w:r>
    </w:p>
    <w:p>
      <w:pPr>
        <w:spacing w:after="0" w:line="133" w:lineRule="exact"/>
        <w:rPr>
          <w:sz w:val="20"/>
          <w:szCs w:val="20"/>
          <w:color w:val="auto"/>
        </w:rPr>
      </w:pPr>
    </w:p>
    <w:p>
      <w:pPr>
        <w:jc w:val="both"/>
        <w:ind w:firstLine="644"/>
        <w:spacing w:after="0" w:line="253" w:lineRule="auto"/>
        <w:tabs>
          <w:tab w:leader="none" w:pos="1073" w:val="left"/>
        </w:tabs>
        <w:numPr>
          <w:ilvl w:val="0"/>
          <w:numId w:val="13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Company or any Significant Subsidiary shall (i) voluntarily commence any proceeding or file any petition seeking liquidation, reorganization or other relief under any Federal, state or foreign bankruptcy, insolvency, receivership or similar law now or hereafter in effect, (ii) consent to the institution of, or fail to contest in a timely and appropriate manner, any proceeding or petition described in clause (h) of this Article, (iii) apply for or consent to the appointment of a receiver, trustee, custodian, sequestrator, conservator or similar official for the Company or any Significant Subsidiary or for a substantial part of its assets, (iv) make a general assignment for the benefit of creditors or (v) take any action for the purpose of effecting any of the foregoing;</w:t>
      </w:r>
    </w:p>
    <w:p>
      <w:pPr>
        <w:spacing w:after="0" w:line="165" w:lineRule="exact"/>
        <w:rPr>
          <w:rFonts w:ascii="Times New Roman" w:cs="Times New Roman" w:eastAsia="Times New Roman" w:hAnsi="Times New Roman"/>
          <w:sz w:val="20"/>
          <w:szCs w:val="20"/>
          <w:color w:val="010000"/>
        </w:rPr>
      </w:pPr>
    </w:p>
    <w:p>
      <w:pPr>
        <w:ind w:left="1020" w:hanging="376"/>
        <w:spacing w:after="0"/>
        <w:tabs>
          <w:tab w:leader="none" w:pos="1020" w:val="left"/>
        </w:tabs>
        <w:numPr>
          <w:ilvl w:val="0"/>
          <w:numId w:val="13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 UK Insolvency Event shall occur in respect of any UK Relevant Entity;</w:t>
      </w:r>
    </w:p>
    <w:p>
      <w:pPr>
        <w:spacing w:after="0" w:line="202" w:lineRule="exact"/>
        <w:rPr>
          <w:rFonts w:ascii="Times New Roman" w:cs="Times New Roman" w:eastAsia="Times New Roman" w:hAnsi="Times New Roman"/>
          <w:sz w:val="20"/>
          <w:szCs w:val="20"/>
          <w:color w:val="010000"/>
        </w:rPr>
      </w:pPr>
    </w:p>
    <w:p>
      <w:pPr>
        <w:jc w:val="both"/>
        <w:ind w:firstLine="644"/>
        <w:spacing w:after="0" w:line="250" w:lineRule="auto"/>
        <w:tabs>
          <w:tab w:leader="none" w:pos="1171" w:val="left"/>
        </w:tabs>
        <w:numPr>
          <w:ilvl w:val="0"/>
          <w:numId w:val="13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with respect to the Company or any Significant Subsidiary, in each case having its center of main interest (in the meaning of section 3 of the German Insolvency Code (</w:t>
      </w:r>
      <w:r>
        <w:rPr>
          <w:rFonts w:ascii="Times New Roman" w:cs="Times New Roman" w:eastAsia="Times New Roman" w:hAnsi="Times New Roman"/>
          <w:sz w:val="20"/>
          <w:szCs w:val="20"/>
          <w:i w:val="1"/>
          <w:iCs w:val="1"/>
          <w:color w:val="auto"/>
        </w:rPr>
        <w:t>Insolvenzordnung</w:t>
      </w:r>
      <w:r>
        <w:rPr>
          <w:rFonts w:ascii="Times New Roman" w:cs="Times New Roman" w:eastAsia="Times New Roman" w:hAnsi="Times New Roman"/>
          <w:sz w:val="20"/>
          <w:szCs w:val="20"/>
          <w:color w:val="auto"/>
        </w:rPr>
        <w:t>) or article 3 para. 1 of Council Regulation (EC) No. 1346/2000 of May 29, 2000 on insolvency proceedings (as amended or superseded from time to time, e.g., pursuant to Regulation (EU) No 2015/848 of the European Parliament and of the Council of 20 May 2015 on insolvency proceedings)) in Germany, (i) the Company or such Significant Subsidiary is unable to pay its debts as they fall due (</w:t>
      </w:r>
      <w:r>
        <w:rPr>
          <w:rFonts w:ascii="Times New Roman" w:cs="Times New Roman" w:eastAsia="Times New Roman" w:hAnsi="Times New Roman"/>
          <w:sz w:val="20"/>
          <w:szCs w:val="20"/>
          <w:i w:val="1"/>
          <w:iCs w:val="1"/>
          <w:color w:val="auto"/>
        </w:rPr>
        <w:t>zahlungsunfähig</w:t>
      </w:r>
      <w:r>
        <w:rPr>
          <w:rFonts w:ascii="Times New Roman" w:cs="Times New Roman" w:eastAsia="Times New Roman" w:hAnsi="Times New Roman"/>
          <w:sz w:val="20"/>
          <w:szCs w:val="20"/>
          <w:color w:val="auto"/>
        </w:rPr>
        <w:t>), is over indebted (</w:t>
      </w:r>
      <w:r>
        <w:rPr>
          <w:rFonts w:ascii="Times New Roman" w:cs="Times New Roman" w:eastAsia="Times New Roman" w:hAnsi="Times New Roman"/>
          <w:sz w:val="20"/>
          <w:szCs w:val="20"/>
          <w:i w:val="1"/>
          <w:iCs w:val="1"/>
          <w:color w:val="auto"/>
        </w:rPr>
        <w:t>überschuldet</w:t>
      </w:r>
      <w:r>
        <w:rPr>
          <w:rFonts w:ascii="Times New Roman" w:cs="Times New Roman" w:eastAsia="Times New Roman" w:hAnsi="Times New Roman"/>
          <w:sz w:val="20"/>
          <w:szCs w:val="20"/>
          <w:color w:val="auto"/>
        </w:rPr>
        <w:t>), imminent illiquid (</w:t>
      </w:r>
      <w:r>
        <w:rPr>
          <w:rFonts w:ascii="Times New Roman" w:cs="Times New Roman" w:eastAsia="Times New Roman" w:hAnsi="Times New Roman"/>
          <w:sz w:val="20"/>
          <w:szCs w:val="20"/>
          <w:i w:val="1"/>
          <w:iCs w:val="1"/>
          <w:color w:val="auto"/>
        </w:rPr>
        <w:t>drohende Zahlungsunfähigkeit</w:t>
      </w:r>
      <w:r>
        <w:rPr>
          <w:rFonts w:ascii="Times New Roman" w:cs="Times New Roman" w:eastAsia="Times New Roman" w:hAnsi="Times New Roman"/>
          <w:sz w:val="20"/>
          <w:szCs w:val="20"/>
          <w:color w:val="auto"/>
        </w:rPr>
        <w:t>), or, for any reasons set out in Section 17 or 19 (inclusive) of the German Insolvency Code (</w:t>
      </w:r>
      <w:r>
        <w:rPr>
          <w:rFonts w:ascii="Times New Roman" w:cs="Times New Roman" w:eastAsia="Times New Roman" w:hAnsi="Times New Roman"/>
          <w:sz w:val="20"/>
          <w:szCs w:val="20"/>
          <w:i w:val="1"/>
          <w:iCs w:val="1"/>
          <w:color w:val="auto"/>
        </w:rPr>
        <w:t>Insolvenzordnung</w:t>
      </w:r>
      <w:r>
        <w:rPr>
          <w:rFonts w:ascii="Times New Roman" w:cs="Times New Roman" w:eastAsia="Times New Roman" w:hAnsi="Times New Roman"/>
          <w:sz w:val="20"/>
          <w:szCs w:val="20"/>
          <w:color w:val="auto"/>
        </w:rPr>
        <w:t>) or (ii) a Person making an application for the opening of insolvency proceedings for the reasons set out in sections 17 to 19 of the German Insolvency Code (</w:t>
      </w:r>
      <w:r>
        <w:rPr>
          <w:rFonts w:ascii="Times New Roman" w:cs="Times New Roman" w:eastAsia="Times New Roman" w:hAnsi="Times New Roman"/>
          <w:sz w:val="20"/>
          <w:szCs w:val="20"/>
          <w:i w:val="1"/>
          <w:iCs w:val="1"/>
          <w:color w:val="auto"/>
        </w:rPr>
        <w:t>Insolvenzordnung</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i w:val="1"/>
          <w:iCs w:val="1"/>
          <w:color w:val="auto"/>
        </w:rPr>
        <w:t>Antrag auf Eröffnung eines Insolvenzverfahrens</w:t>
      </w:r>
      <w:r>
        <w:rPr>
          <w:rFonts w:ascii="Times New Roman" w:cs="Times New Roman" w:eastAsia="Times New Roman" w:hAnsi="Times New Roman"/>
          <w:sz w:val="20"/>
          <w:szCs w:val="20"/>
          <w:color w:val="auto"/>
        </w:rPr>
        <w:t>) or any competent court taking actions pursuant to section 21 of the German Insolvency Code (</w:t>
      </w:r>
      <w:r>
        <w:rPr>
          <w:rFonts w:ascii="Times New Roman" w:cs="Times New Roman" w:eastAsia="Times New Roman" w:hAnsi="Times New Roman"/>
          <w:sz w:val="20"/>
          <w:szCs w:val="20"/>
          <w:i w:val="1"/>
          <w:iCs w:val="1"/>
          <w:color w:val="auto"/>
        </w:rPr>
        <w:t>Insolvenzordnung</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i w:val="1"/>
          <w:iCs w:val="1"/>
          <w:color w:val="auto"/>
        </w:rPr>
        <w:t>Anordnung von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Sicherungsmaßnahmen</w:t>
      </w:r>
      <w:r>
        <w:rPr>
          <w:rFonts w:ascii="Times New Roman" w:cs="Times New Roman" w:eastAsia="Times New Roman" w:hAnsi="Times New Roman"/>
          <w:sz w:val="20"/>
          <w:szCs w:val="20"/>
          <w:color w:val="auto"/>
        </w:rPr>
        <w:t>) unless, in case of an application for the opening of insolvency proceedings by any Person (other than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Company, any of its Subsidiaries or its direct or indirect shareholders), such application is dismissed by the competent court (for any reason other than for lack of assets (</w:t>
      </w:r>
      <w:r>
        <w:rPr>
          <w:rFonts w:ascii="Times New Roman" w:cs="Times New Roman" w:eastAsia="Times New Roman" w:hAnsi="Times New Roman"/>
          <w:sz w:val="20"/>
          <w:szCs w:val="20"/>
          <w:i w:val="1"/>
          <w:iCs w:val="1"/>
          <w:color w:val="auto"/>
        </w:rPr>
        <w:t>mangels Masse</w:t>
      </w:r>
      <w:r>
        <w:rPr>
          <w:rFonts w:ascii="Times New Roman" w:cs="Times New Roman" w:eastAsia="Times New Roman" w:hAnsi="Times New Roman"/>
          <w:sz w:val="20"/>
          <w:szCs w:val="20"/>
          <w:color w:val="auto"/>
        </w:rPr>
        <w:t>)) or successfully withdrawn by such Person, in each case within 10 Business Days after such application;</w:t>
      </w:r>
    </w:p>
    <w:p>
      <w:pPr>
        <w:spacing w:after="0" w:line="179" w:lineRule="exact"/>
        <w:rPr>
          <w:rFonts w:ascii="Times New Roman" w:cs="Times New Roman" w:eastAsia="Times New Roman" w:hAnsi="Times New Roman"/>
          <w:sz w:val="20"/>
          <w:szCs w:val="20"/>
          <w:color w:val="010000"/>
        </w:rPr>
      </w:pPr>
    </w:p>
    <w:p>
      <w:pPr>
        <w:ind w:left="1020" w:hanging="376"/>
        <w:spacing w:after="0"/>
        <w:tabs>
          <w:tab w:leader="none" w:pos="1020" w:val="left"/>
        </w:tabs>
        <w:numPr>
          <w:ilvl w:val="0"/>
          <w:numId w:val="13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Company or any Significant Subsidiary shall admit in writing its inability to pay its debts as they become due;</w:t>
      </w:r>
    </w:p>
    <w:p>
      <w:pPr>
        <w:spacing w:after="0" w:line="202" w:lineRule="exact"/>
        <w:rPr>
          <w:rFonts w:ascii="Times New Roman" w:cs="Times New Roman" w:eastAsia="Times New Roman" w:hAnsi="Times New Roman"/>
          <w:sz w:val="20"/>
          <w:szCs w:val="20"/>
          <w:color w:val="010000"/>
        </w:rPr>
      </w:pPr>
    </w:p>
    <w:p>
      <w:pPr>
        <w:jc w:val="both"/>
        <w:ind w:firstLine="644"/>
        <w:spacing w:after="0" w:line="253" w:lineRule="auto"/>
        <w:tabs>
          <w:tab w:leader="none" w:pos="1172" w:val="left"/>
        </w:tabs>
        <w:numPr>
          <w:ilvl w:val="0"/>
          <w:numId w:val="13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one or more judgments for the payment of money in an aggregate amount in excess of $250,000,000 (excluding any amounts paid or covered by an unaffiliated insurance policy with a reputable and solvent insurance company that has not denied coverage) shall be rendered against the Company, any Significant Subsidiary or any combination thereof and the same shall remain undischarged for a period of thirty (30) consecutive days during which execution shall not be effectively stayed, or any action shall be legally taken by a judgment creditor to attach or levy upon any assets of the Company or any Significant Subsidiary to enforce any such judgment;</w:t>
      </w:r>
    </w:p>
    <w:p>
      <w:pPr>
        <w:spacing w:after="0" w:line="165" w:lineRule="exact"/>
        <w:rPr>
          <w:rFonts w:ascii="Times New Roman" w:cs="Times New Roman" w:eastAsia="Times New Roman" w:hAnsi="Times New Roman"/>
          <w:sz w:val="20"/>
          <w:szCs w:val="20"/>
          <w:color w:val="010000"/>
        </w:rPr>
      </w:pPr>
    </w:p>
    <w:p>
      <w:pPr>
        <w:ind w:left="1080" w:hanging="436"/>
        <w:spacing w:after="0"/>
        <w:tabs>
          <w:tab w:leader="none" w:pos="1080" w:val="left"/>
        </w:tabs>
        <w:numPr>
          <w:ilvl w:val="0"/>
          <w:numId w:val="13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 ERISA Event shall have occurred that could reasonably be expected to result in a Material Adverse Effect;</w:t>
      </w:r>
    </w:p>
    <w:p>
      <w:pPr>
        <w:spacing w:after="0" w:line="202" w:lineRule="exact"/>
        <w:rPr>
          <w:rFonts w:ascii="Times New Roman" w:cs="Times New Roman" w:eastAsia="Times New Roman" w:hAnsi="Times New Roman"/>
          <w:sz w:val="20"/>
          <w:szCs w:val="20"/>
          <w:color w:val="010000"/>
        </w:rPr>
      </w:pPr>
    </w:p>
    <w:p>
      <w:pPr>
        <w:ind w:firstLine="644"/>
        <w:spacing w:after="0" w:line="283" w:lineRule="auto"/>
        <w:tabs>
          <w:tab w:leader="none" w:pos="1090" w:val="left"/>
        </w:tabs>
        <w:numPr>
          <w:ilvl w:val="0"/>
          <w:numId w:val="13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Company or any of its Subsidiaries shall have been notified that any of them has, in relation to a Non-U.S. Pension Plan, incurred a debt or other liability under section 75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0"/>
          <w:szCs w:val="20"/>
          <w:color w:val="auto"/>
        </w:rPr>
        <w:t>107</w:t>
      </w:r>
    </w:p>
    <w:p>
      <w:pPr>
        <w:sectPr>
          <w:pgSz w:w="11900" w:h="16838" w:orient="portrait"/>
          <w:cols w:equalWidth="0" w:num="1">
            <w:col w:w="10580"/>
          </w:cols>
          <w:pgMar w:left="980" w:top="1413" w:right="339" w:bottom="1440" w:gutter="0" w:footer="0" w:header="0"/>
        </w:sectPr>
      </w:pPr>
    </w:p>
    <w:bookmarkStart w:id="116" w:name="page117"/>
    <w:bookmarkEnd w:id="116"/>
    <w:p>
      <w:pPr>
        <w:jc w:val="both"/>
        <w:ind w:left="660"/>
        <w:spacing w:after="0" w:line="258" w:lineRule="auto"/>
        <w:rPr>
          <w:sz w:val="20"/>
          <w:szCs w:val="20"/>
          <w:color w:val="auto"/>
        </w:rPr>
      </w:pPr>
      <w:r>
        <w:rPr>
          <w:rFonts w:ascii="Times New Roman" w:cs="Times New Roman" w:eastAsia="Times New Roman" w:hAnsi="Times New Roman"/>
          <w:sz w:val="20"/>
          <w:szCs w:val="20"/>
          <w:color w:val="auto"/>
        </w:rPr>
        <w:t>75A of the United Kingdom Pensions Act 1995, or has been issued with a contribution notice or financial support direction (as those terms are defined in the United Kingdom Pensions Act 2004) or has been subject to the exercise of any Criminal Pension Power, or otherwise is liable to pay any other amount in respect of Non-U.S. Pension Plans, in each case that could reasonably be expected to result in a Material Adverse Effect; or</w:t>
      </w:r>
    </w:p>
    <w:p>
      <w:pPr>
        <w:spacing w:after="0" w:line="159" w:lineRule="exact"/>
        <w:rPr>
          <w:sz w:val="20"/>
          <w:szCs w:val="20"/>
          <w:color w:val="auto"/>
        </w:rPr>
      </w:pPr>
    </w:p>
    <w:p>
      <w:pPr>
        <w:ind w:left="1740" w:hanging="436"/>
        <w:spacing w:after="0"/>
        <w:tabs>
          <w:tab w:leader="none" w:pos="1740" w:val="left"/>
        </w:tabs>
        <w:numPr>
          <w:ilvl w:val="0"/>
          <w:numId w:val="13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 Change in Control shall occur;</w:t>
      </w:r>
    </w:p>
    <w:p>
      <w:pPr>
        <w:spacing w:after="0" w:line="20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then, and in every such event (other than an event with respect to any Borrower described in clause (h) or (i) of this Article), and at any time thereafter during the continuance of such event, the Administrative Agent may, and at the request of the Required Lenders shall, by notice to the Company, take any or all of the following actions, at the same or different times: (i) terminate the Commitments, and thereupon the Commitments shall terminate immediately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however, that, in the case of the Indicor Closing Date Revolving Commitments (other than in connection with any event with respect to the Company described under (1) paragraphs (a) and (b) and (2) paragraphs (h), (i), (j), (k) or (l) (in each case, with respect to the Company only), such Commitments shall not terminate prior to the earlier of (x) the Indicor Closing Date Revolving Commitments Expiration Date and (y) the Indicor Closing Date (after consummation of the Indicor Transactions)),</w:t>
      </w:r>
    </w:p>
    <w:p>
      <w:pPr>
        <w:spacing w:after="0" w:line="6" w:lineRule="exact"/>
        <w:rPr>
          <w:sz w:val="20"/>
          <w:szCs w:val="20"/>
          <w:color w:val="auto"/>
        </w:rPr>
      </w:pPr>
    </w:p>
    <w:p>
      <w:pPr>
        <w:jc w:val="both"/>
        <w:ind w:firstLine="8"/>
        <w:spacing w:after="0" w:line="249" w:lineRule="auto"/>
        <w:tabs>
          <w:tab w:leader="none" w:pos="299"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Borrowers accrued hereunder and under the other Loan Documents, shall become due and payable immediately, without presentment, demand, protest or other notice of any kind, all of which are hereby waived by each Borrower, (iii) require cash collateral for the LC Exposure as required in Section 2.06(j), and (iv) exercise on behalf of itself, the Lenders and the Issuing Banks all rights and remedies available to it, the Lenders and the Issuing Banks under the Loan Documents and applicable law; and in case of any event with respect to any Borrower described in clause (h) or (i) of this Article, the Commitments shall automatically terminate and the principal of the Loans then outstanding and cash collateral for the LC Exposure, together with accrued interest thereon and all fees and other Obligations accrued hereunder and under the other Loan Documents, shall automatically become due and payable, and the obligation of the Company to cash collateralize the LC Exposure as provided in clause (iii) above shall automatically become effective, in each case, without presentment, demand, protest or other notice of any kind, all of which are hereby waived by each Borrower.</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010000"/>
        </w:rPr>
        <w:t>ARTICLE VIII</w:t>
      </w:r>
    </w:p>
    <w:p>
      <w:pPr>
        <w:spacing w:after="0" w:line="22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u w:val="single" w:color="auto"/>
          <w:color w:val="auto"/>
        </w:rPr>
        <w:t>The Administrative Agent</w:t>
      </w:r>
    </w:p>
    <w:p>
      <w:pPr>
        <w:spacing w:after="0" w:line="229" w:lineRule="exact"/>
        <w:rPr>
          <w:sz w:val="20"/>
          <w:szCs w:val="20"/>
          <w:color w:val="auto"/>
        </w:rPr>
      </w:pPr>
    </w:p>
    <w:p>
      <w:pPr>
        <w:ind w:left="1300"/>
        <w:spacing w:after="0"/>
        <w:tabs>
          <w:tab w:leader="none" w:pos="2760" w:val="left"/>
        </w:tabs>
        <w:rPr>
          <w:sz w:val="20"/>
          <w:szCs w:val="20"/>
          <w:color w:val="auto"/>
        </w:rPr>
      </w:pPr>
      <w:r>
        <w:rPr>
          <w:rFonts w:ascii="Times New Roman" w:cs="Times New Roman" w:eastAsia="Times New Roman" w:hAnsi="Times New Roman"/>
          <w:sz w:val="20"/>
          <w:szCs w:val="20"/>
          <w:color w:val="010000"/>
        </w:rPr>
        <w:t>SECTION 8.01.</w:t>
      </w:r>
      <w:r>
        <w:rPr>
          <w:sz w:val="20"/>
          <w:szCs w:val="20"/>
          <w:color w:val="auto"/>
        </w:rPr>
        <w:tab/>
      </w:r>
      <w:r>
        <w:rPr>
          <w:rFonts w:ascii="Times New Roman" w:cs="Times New Roman" w:eastAsia="Times New Roman" w:hAnsi="Times New Roman"/>
          <w:sz w:val="19"/>
          <w:szCs w:val="19"/>
          <w:u w:val="single" w:color="auto"/>
          <w:color w:val="auto"/>
        </w:rPr>
        <w:t>Authorization and Action</w:t>
      </w:r>
      <w:r>
        <w:rPr>
          <w:rFonts w:ascii="Times New Roman" w:cs="Times New Roman" w:eastAsia="Times New Roman" w:hAnsi="Times New Roman"/>
          <w:sz w:val="19"/>
          <w:szCs w:val="19"/>
          <w:color w:val="auto"/>
        </w:rPr>
        <w:t>.</w:t>
      </w:r>
    </w:p>
    <w:p>
      <w:pPr>
        <w:spacing w:after="0" w:line="28" w:lineRule="exact"/>
        <w:rPr>
          <w:sz w:val="20"/>
          <w:szCs w:val="20"/>
          <w:color w:val="auto"/>
        </w:rPr>
      </w:pPr>
    </w:p>
    <w:p>
      <w:pPr>
        <w:jc w:val="both"/>
        <w:ind w:firstLine="1304"/>
        <w:spacing w:after="0" w:line="248" w:lineRule="auto"/>
        <w:tabs>
          <w:tab w:leader="none" w:pos="1821" w:val="left"/>
        </w:tabs>
        <w:numPr>
          <w:ilvl w:val="0"/>
          <w:numId w:val="14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Lender and each Issuing Bank hereby irrevocably appoints the entity named as Administrative Agent in the heading of this Agreement and its successors and assigns to serve as the administrative agent under the Loan Documents and each Lender and each Issuing Bank authorizes the Administrative Agent to take such actions as agent on its behalf and to exercise such powers under this Agreement and the other Loan Documents as are delegated to the Administrative Agent under such agreements and to exercise such powers as are reasonably incidental thereto. Without limiting the foregoing, each Lender and each Issuing Bank hereby authorizes the Administrative Agent to execute and deliver, and to perform its obligations under, each of the Loan Documents to which the Administrative Agent is a party, and to exercise all rights, powers and remedies that the Administrative Agent may have under such Loan Documents. Each Lender and each Issuing Bank exempts the Administrative Agent from the restrictions pursuant to Section 181 Civil Code (</w:t>
      </w:r>
      <w:r>
        <w:rPr>
          <w:rFonts w:ascii="Times New Roman" w:cs="Times New Roman" w:eastAsia="Times New Roman" w:hAnsi="Times New Roman"/>
          <w:sz w:val="20"/>
          <w:szCs w:val="20"/>
          <w:i w:val="1"/>
          <w:iCs w:val="1"/>
          <w:color w:val="auto"/>
        </w:rPr>
        <w:t>Bürgerliches Gesetzbuch</w:t>
      </w:r>
      <w:r>
        <w:rPr>
          <w:rFonts w:ascii="Times New Roman" w:cs="Times New Roman" w:eastAsia="Times New Roman" w:hAnsi="Times New Roman"/>
          <w:sz w:val="20"/>
          <w:szCs w:val="20"/>
          <w:color w:val="auto"/>
        </w:rPr>
        <w:t>) and similar restrictions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108</w:t>
      </w:r>
    </w:p>
    <w:p>
      <w:pPr>
        <w:sectPr>
          <w:pgSz w:w="11900" w:h="16838" w:orient="portrait"/>
          <w:cols w:equalWidth="0" w:num="1">
            <w:col w:w="11240"/>
          </w:cols>
          <w:pgMar w:left="320" w:top="1413" w:right="339" w:bottom="1440" w:gutter="0" w:footer="0" w:header="0"/>
        </w:sectPr>
      </w:pPr>
    </w:p>
    <w:bookmarkStart w:id="117" w:name="page118"/>
    <w:bookmarkEnd w:id="117"/>
    <w:p>
      <w:pPr>
        <w:jc w:val="both"/>
        <w:spacing w:after="0" w:line="253" w:lineRule="auto"/>
        <w:rPr>
          <w:sz w:val="20"/>
          <w:szCs w:val="20"/>
          <w:color w:val="auto"/>
        </w:rPr>
      </w:pPr>
      <w:r>
        <w:rPr>
          <w:rFonts w:ascii="Times New Roman" w:cs="Times New Roman" w:eastAsia="Times New Roman" w:hAnsi="Times New Roman"/>
          <w:sz w:val="20"/>
          <w:szCs w:val="20"/>
          <w:color w:val="auto"/>
        </w:rPr>
        <w:t>applicable to it pursuant to any other applicable law, in each case to the extent legally possible to such Lender and Issuing Bank. A Lender and any Issuing Bank which cannot grant such exemption shall notify the Administrative Agent accordingly and, upon request of the Administrative Agent, either act in accordance with the terms of this Agreement and/or any other Loan Document as required pursuant to this Agreement and/or such other Loan Document or grant a special power of attorney to a party acting on its behalf, in a manner that is not prohibited pursuant to Section 181 of the German Civil Code (</w:t>
      </w:r>
      <w:r>
        <w:rPr>
          <w:rFonts w:ascii="Times New Roman" w:cs="Times New Roman" w:eastAsia="Times New Roman" w:hAnsi="Times New Roman"/>
          <w:sz w:val="20"/>
          <w:szCs w:val="20"/>
          <w:i w:val="1"/>
          <w:iCs w:val="1"/>
          <w:color w:val="auto"/>
        </w:rPr>
        <w:t>Bürgerliches Gesetzbuch</w:t>
      </w:r>
      <w:r>
        <w:rPr>
          <w:rFonts w:ascii="Times New Roman" w:cs="Times New Roman" w:eastAsia="Times New Roman" w:hAnsi="Times New Roman"/>
          <w:sz w:val="20"/>
          <w:szCs w:val="20"/>
          <w:color w:val="auto"/>
        </w:rPr>
        <w:t>) and/or any other applicable laws.</w:t>
      </w:r>
    </w:p>
    <w:p>
      <w:pPr>
        <w:spacing w:after="0" w:line="178" w:lineRule="exact"/>
        <w:rPr>
          <w:sz w:val="20"/>
          <w:szCs w:val="20"/>
          <w:color w:val="auto"/>
        </w:rPr>
      </w:pPr>
    </w:p>
    <w:p>
      <w:pPr>
        <w:jc w:val="both"/>
        <w:ind w:firstLine="1304"/>
        <w:spacing w:after="0" w:line="263" w:lineRule="auto"/>
        <w:tabs>
          <w:tab w:leader="none" w:pos="1832" w:val="left"/>
        </w:tabs>
        <w:numPr>
          <w:ilvl w:val="0"/>
          <w:numId w:val="14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As to any matters not expressly provided for herein and in the other Loan Documents (including enforcement or collection), the Administrative Agent shall not be required to exercise any discretion or take any action, but shall be required to act or to refrain from acting (and shall be fully protected in so acting or refraining from acting) upon the written instructions of the Required Lenders (or such other number or percentage of the Lenders as shall be necessary, pursuant to the terms in the Loan Documents), and, unless and until revoked in writing, such instructions shall be binding upon each Lender and each Issuing Bank;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however, that the Administrative Agent shall not be required to take any action that (i) the Administrative Agent in good faith believes exposes it to liability unless the Administrative Agent receives an indemnification and is exculpated in a manner satisfactory to it from the Lenders and each Issuing Bank with respect to such action or (ii) is contrary to this Agreement or any other Loan Document or applicable law, including any action that may be in violation of the automatic stay under any requirement of law relating to bankruptcy, insolvency or reorganization or relief of debtors or that may effect a forfeiture, modification or termination of property of a Defaulting Lender in violation of any requirement of law relating to bankruptcy, insolvency or reorganization or relief of debtors;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that the Administrative Agent may seek clarification or direction from the Required Lenders prior to the exercise of any such instructed action and may refrain from acting until such clarification or direction has been provided. Except as expressly set forth in the Loan Documents, the Administrative Agent shall not have any duty to disclose, and shall not be liable for the failure to disclose, any information relating to the Company, any Subsidiary or any Affiliate of any of the foregoing that is communicated to or obtained by the Person serving as Administrative Agent or any of its Affiliates in any capacity. Nothing in this Agreement shall require the Administrative Agent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spacing w:after="0" w:line="159" w:lineRule="exact"/>
        <w:rPr>
          <w:rFonts w:ascii="Times New Roman" w:cs="Times New Roman" w:eastAsia="Times New Roman" w:hAnsi="Times New Roman"/>
          <w:sz w:val="19"/>
          <w:szCs w:val="19"/>
          <w:color w:val="010000"/>
        </w:rPr>
      </w:pPr>
    </w:p>
    <w:p>
      <w:pPr>
        <w:jc w:val="both"/>
        <w:ind w:firstLine="1304"/>
        <w:spacing w:after="0" w:line="253" w:lineRule="auto"/>
        <w:tabs>
          <w:tab w:leader="none" w:pos="1794" w:val="left"/>
        </w:tabs>
        <w:numPr>
          <w:ilvl w:val="0"/>
          <w:numId w:val="14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 performing its functions and duties hereunder and under the other Loan Documents, the Administrative Agent is acting solely on behalf of the Lenders and the Issuing Banks (except in limited circumstances expressly provided for herein relating to the maintenance of the Register), and its duties are entirely mechanical and administrative in nature. The motivations of the Administrative Agent are commercial in nature and not to invest in the general performance or operations of the Borrowers. Without limiting the generality of the foregoing:</w:t>
      </w:r>
    </w:p>
    <w:p>
      <w:pPr>
        <w:spacing w:after="0" w:line="178" w:lineRule="exact"/>
        <w:rPr>
          <w:rFonts w:ascii="Times New Roman" w:cs="Times New Roman" w:eastAsia="Times New Roman" w:hAnsi="Times New Roman"/>
          <w:sz w:val="20"/>
          <w:szCs w:val="20"/>
          <w:color w:val="010000"/>
        </w:rPr>
      </w:pPr>
    </w:p>
    <w:p>
      <w:pPr>
        <w:jc w:val="both"/>
        <w:ind w:left="1300" w:firstLine="652"/>
        <w:spacing w:after="0" w:line="251" w:lineRule="auto"/>
        <w:tabs>
          <w:tab w:leader="none" w:pos="2360" w:val="left"/>
        </w:tabs>
        <w:numPr>
          <w:ilvl w:val="1"/>
          <w:numId w:val="14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Administrative Agent does not assume and shall not be deemed to have assumed any obligation or duty or any other relationship as the agent, fiduciary or trustee of or for any Lender, any Issuing Bank or any other holder of Obligations other than as expressly set forth herein and in the other Loan Documents, regardless of whether a Default or an Event of Default has occurred and is continuing (and it is understood and agreed that the use of the term “agent” (or any similar term) herein or in any other Loan Document with reference to the Administrative Agent is not intended to connote any fiduciary duty or other implied (or express) obligations arising under agency doctrine of any applicable law, and that such term is used as a matter of market custom and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109</w:t>
      </w:r>
    </w:p>
    <w:p>
      <w:pPr>
        <w:sectPr>
          <w:pgSz w:w="11900" w:h="16838" w:orient="portrait"/>
          <w:cols w:equalWidth="0" w:num="1">
            <w:col w:w="11240"/>
          </w:cols>
          <w:pgMar w:left="320" w:top="1413" w:right="339" w:bottom="1440" w:gutter="0" w:footer="0" w:header="0"/>
        </w:sectPr>
      </w:pPr>
    </w:p>
    <w:bookmarkStart w:id="118" w:name="page119"/>
    <w:bookmarkEnd w:id="118"/>
    <w:p>
      <w:pPr>
        <w:jc w:val="both"/>
        <w:ind w:left="1300"/>
        <w:spacing w:after="0" w:line="261" w:lineRule="auto"/>
        <w:rPr>
          <w:sz w:val="20"/>
          <w:szCs w:val="20"/>
          <w:color w:val="auto"/>
        </w:rPr>
      </w:pPr>
      <w:r>
        <w:rPr>
          <w:rFonts w:ascii="Times New Roman" w:cs="Times New Roman" w:eastAsia="Times New Roman" w:hAnsi="Times New Roman"/>
          <w:sz w:val="20"/>
          <w:szCs w:val="20"/>
          <w:color w:val="auto"/>
        </w:rPr>
        <w:t>intended to create or reflect only an administrative relationship between contracting parties); additionally, each Lender agrees that it will not assert any claim against the Administrative Agent based on an alleged breach of fiduciary duty by the Administrative Agent in connection with this Agreement and the transactions contemplated hereby; and</w:t>
      </w:r>
    </w:p>
    <w:p>
      <w:pPr>
        <w:spacing w:after="0" w:line="181" w:lineRule="exact"/>
        <w:rPr>
          <w:sz w:val="20"/>
          <w:szCs w:val="20"/>
          <w:color w:val="auto"/>
        </w:rPr>
      </w:pPr>
    </w:p>
    <w:p>
      <w:pPr>
        <w:ind w:left="1300" w:firstLine="652"/>
        <w:spacing w:after="0" w:line="269" w:lineRule="auto"/>
        <w:tabs>
          <w:tab w:leader="none" w:pos="2455" w:val="left"/>
        </w:tabs>
        <w:numPr>
          <w:ilvl w:val="1"/>
          <w:numId w:val="14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nothing in this Agreement or any Loan Document shall require the Administrative Agent to account to any Lender for any sum or the profit element of any sum received by the Administrative Agent for its own account.</w:t>
      </w:r>
    </w:p>
    <w:p>
      <w:pPr>
        <w:spacing w:after="0" w:line="172" w:lineRule="exact"/>
        <w:rPr>
          <w:rFonts w:ascii="Times New Roman" w:cs="Times New Roman" w:eastAsia="Times New Roman" w:hAnsi="Times New Roman"/>
          <w:sz w:val="20"/>
          <w:szCs w:val="20"/>
          <w:color w:val="010000"/>
        </w:rPr>
      </w:pPr>
    </w:p>
    <w:p>
      <w:pPr>
        <w:jc w:val="both"/>
        <w:ind w:firstLine="1304"/>
        <w:spacing w:after="0" w:line="251" w:lineRule="auto"/>
        <w:tabs>
          <w:tab w:leader="none" w:pos="1792" w:val="left"/>
        </w:tabs>
        <w:numPr>
          <w:ilvl w:val="0"/>
          <w:numId w:val="14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Administrative Agent may perform any of its duties and exercise its rights and powers hereunder or under any other Loan Document by or through any one or more sub-agents appointed by the Administrative Agent. The Administrative Agent and any such sub-agent may perform any of their respective duties and exercise their respective rights and powers through their respective Related Parties. The exculpatory provisions of this Article shall apply to any such sub-agent and to the Related Parties of the Administrative Agent and any such sub-agent, and shall apply to their respective activities pursuant to this Agreement. The Administrative Agent shall not be responsible for the negligence or misconduct of any sub-agent except to the extent that a court of competent jurisdiction determines in a final and nonappealable judgment that the Administrative Agent acted with gross negligence or willful misconduct in the selection of such sub-agent.</w:t>
      </w:r>
    </w:p>
    <w:p>
      <w:pPr>
        <w:spacing w:after="0" w:line="168" w:lineRule="exact"/>
        <w:rPr>
          <w:rFonts w:ascii="Times New Roman" w:cs="Times New Roman" w:eastAsia="Times New Roman" w:hAnsi="Times New Roman"/>
          <w:sz w:val="20"/>
          <w:szCs w:val="20"/>
          <w:color w:val="010000"/>
        </w:rPr>
      </w:pPr>
    </w:p>
    <w:p>
      <w:pPr>
        <w:jc w:val="both"/>
        <w:ind w:firstLine="1304"/>
        <w:spacing w:after="0" w:line="268" w:lineRule="auto"/>
        <w:tabs>
          <w:tab w:leader="none" w:pos="1794" w:val="left"/>
        </w:tabs>
        <w:numPr>
          <w:ilvl w:val="0"/>
          <w:numId w:val="14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None of any Co-Syndication Agent, any Co-Documentation Agent or any Arranger shall have obligations or duties whatsoever in such capacity under this Agreement or any other Loan Document and shall incur no liability hereunder or thereunder in such capacity, but all such persons shall have the benefit of the indemnities provided for hereunder.</w:t>
      </w:r>
    </w:p>
    <w:p>
      <w:pPr>
        <w:spacing w:after="0" w:line="147" w:lineRule="exact"/>
        <w:rPr>
          <w:rFonts w:ascii="Times New Roman" w:cs="Times New Roman" w:eastAsia="Times New Roman" w:hAnsi="Times New Roman"/>
          <w:sz w:val="20"/>
          <w:szCs w:val="20"/>
          <w:color w:val="010000"/>
        </w:rPr>
      </w:pPr>
    </w:p>
    <w:p>
      <w:pPr>
        <w:jc w:val="both"/>
        <w:ind w:firstLine="1304"/>
        <w:spacing w:after="0" w:line="253" w:lineRule="auto"/>
        <w:tabs>
          <w:tab w:leader="none" w:pos="1705" w:val="left"/>
        </w:tabs>
        <w:numPr>
          <w:ilvl w:val="0"/>
          <w:numId w:val="14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 case of the pendency of any proceeding with respect to any Borrower under any federal, state or foreign bankruptcy, insolvency, receivership or similar law now or hereafter in effect, the Administrative Agent (irrespective of whether the principal of any Loan or any reimbursement obligation in respect of any LC Disbursement shall then be due and payable as herein expressed or by declaration or otherwise and irrespective of whether the Administrative Agent shall have made any demand on any Borrower) shall be entitled and empowered (but not obligated) by intervention in such proceeding or otherwise:</w:t>
      </w:r>
    </w:p>
    <w:p>
      <w:pPr>
        <w:spacing w:after="0" w:line="164" w:lineRule="exact"/>
        <w:rPr>
          <w:rFonts w:ascii="Times New Roman" w:cs="Times New Roman" w:eastAsia="Times New Roman" w:hAnsi="Times New Roman"/>
          <w:sz w:val="20"/>
          <w:szCs w:val="20"/>
          <w:color w:val="010000"/>
        </w:rPr>
      </w:pPr>
    </w:p>
    <w:p>
      <w:pPr>
        <w:jc w:val="both"/>
        <w:ind w:left="1300" w:firstLine="652"/>
        <w:spacing w:after="0" w:line="258" w:lineRule="auto"/>
        <w:tabs>
          <w:tab w:leader="none" w:pos="2360" w:val="left"/>
        </w:tabs>
        <w:numPr>
          <w:ilvl w:val="1"/>
          <w:numId w:val="14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to file and prove a claim for the whole amount of the principal and interest owing and unpaid in respect of the Loans, LC Disbursements and all other Obligations that are owing and unpaid and to file such other documents as may be necessary or advisable in order to have the claims of the Lenders, the Issuing Bank and the Administrative Agent (including any claim under Sections 2.12, 2.13, 2.15, 2.17, 2.18 and 9.03) allowed in such judicial proceeding; and</w:t>
      </w:r>
    </w:p>
    <w:p>
      <w:pPr>
        <w:spacing w:after="0" w:line="186" w:lineRule="exact"/>
        <w:rPr>
          <w:sz w:val="20"/>
          <w:szCs w:val="20"/>
          <w:color w:val="auto"/>
        </w:rPr>
      </w:pPr>
    </w:p>
    <w:p>
      <w:pPr>
        <w:ind w:left="2400" w:hanging="448"/>
        <w:spacing w:after="0"/>
        <w:tabs>
          <w:tab w:leader="none" w:pos="2400" w:val="left"/>
        </w:tabs>
        <w:numPr>
          <w:ilvl w:val="0"/>
          <w:numId w:val="14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to collect and receive any monies or other property payable or deliverable on any such claims and to distribute</w:t>
      </w:r>
    </w:p>
    <w:p>
      <w:pPr>
        <w:spacing w:after="0" w:line="21" w:lineRule="exact"/>
        <w:rPr>
          <w:rFonts w:ascii="Times New Roman" w:cs="Times New Roman" w:eastAsia="Times New Roman" w:hAnsi="Times New Roman"/>
          <w:sz w:val="20"/>
          <w:szCs w:val="20"/>
          <w:color w:val="010000"/>
        </w:rPr>
      </w:pPr>
    </w:p>
    <w:p>
      <w:pPr>
        <w:ind w:left="1300"/>
        <w:spacing w:after="0"/>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same;</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and any custodian, receiver, assignee, trustee, liquidator, sequestrator or other similar official in any such proceeding is hereby authorized by each Lender, the Issuing Bank and each other holder of Obligations to make such payments to the Administrative Agent and, in the event that the Administrative Agent shall consent to the making of such payments directly to the Lenders, the Issuing Banks or the other holders of Obligations, to pay to the Administrative Agent any amount due to it, in its capacity as the Administrative Agent, under the Loan Documents (including under Section 9.03). Nothing contained herein shall be deemed to authorize the Administrative Agent to authorize or consent to or accept or adopt on behalf of</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110</w:t>
      </w:r>
    </w:p>
    <w:p>
      <w:pPr>
        <w:sectPr>
          <w:pgSz w:w="11900" w:h="16838" w:orient="portrait"/>
          <w:cols w:equalWidth="0" w:num="1">
            <w:col w:w="11240"/>
          </w:cols>
          <w:pgMar w:left="320" w:top="1413" w:right="339" w:bottom="1440" w:gutter="0" w:footer="0" w:header="0"/>
        </w:sectPr>
      </w:pPr>
    </w:p>
    <w:bookmarkStart w:id="119" w:name="page120"/>
    <w:bookmarkEnd w:id="119"/>
    <w:p>
      <w:pPr>
        <w:jc w:val="both"/>
        <w:spacing w:after="0" w:line="261" w:lineRule="auto"/>
        <w:rPr>
          <w:sz w:val="20"/>
          <w:szCs w:val="20"/>
          <w:color w:val="auto"/>
        </w:rPr>
      </w:pPr>
      <w:r>
        <w:rPr>
          <w:rFonts w:ascii="Times New Roman" w:cs="Times New Roman" w:eastAsia="Times New Roman" w:hAnsi="Times New Roman"/>
          <w:sz w:val="20"/>
          <w:szCs w:val="20"/>
          <w:color w:val="auto"/>
        </w:rPr>
        <w:t>any Lender or any Issuing Bank any plan of reorganization, arrangement, adjustment or composition affecting the Obligations or the rights of any Lender or any Issuing Bank or to authorize the Administrative Agent to vote in respect of the claim of any Lender or any Issuing Bank in any such proceeding.</w:t>
      </w:r>
    </w:p>
    <w:p>
      <w:pPr>
        <w:spacing w:after="0" w:line="208" w:lineRule="exact"/>
        <w:rPr>
          <w:sz w:val="20"/>
          <w:szCs w:val="20"/>
          <w:color w:val="auto"/>
        </w:rPr>
      </w:pPr>
    </w:p>
    <w:p>
      <w:pPr>
        <w:jc w:val="both"/>
        <w:ind w:firstLine="1304"/>
        <w:spacing w:after="0" w:line="253" w:lineRule="auto"/>
        <w:tabs>
          <w:tab w:leader="none" w:pos="1765" w:val="left"/>
        </w:tabs>
        <w:numPr>
          <w:ilvl w:val="0"/>
          <w:numId w:val="14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The provisions of this </w:t>
      </w:r>
      <w:r>
        <w:rPr>
          <w:rFonts w:ascii="Times New Roman" w:cs="Times New Roman" w:eastAsia="Times New Roman" w:hAnsi="Times New Roman"/>
          <w:sz w:val="20"/>
          <w:szCs w:val="20"/>
          <w:u w:val="single" w:color="auto"/>
          <w:color w:val="auto"/>
        </w:rPr>
        <w:t>Article VIII</w:t>
      </w:r>
      <w:r>
        <w:rPr>
          <w:rFonts w:ascii="Times New Roman" w:cs="Times New Roman" w:eastAsia="Times New Roman" w:hAnsi="Times New Roman"/>
          <w:sz w:val="20"/>
          <w:szCs w:val="20"/>
          <w:color w:val="auto"/>
        </w:rPr>
        <w:t xml:space="preserve"> are solely for the benefit of the Administrative Agent, the Lenders and the Issuing Banks, and, except solely to the extent of the Company’s rights to consent pursuant to and subject to the conditions set forth in this </w:t>
      </w:r>
      <w:r>
        <w:rPr>
          <w:rFonts w:ascii="Times New Roman" w:cs="Times New Roman" w:eastAsia="Times New Roman" w:hAnsi="Times New Roman"/>
          <w:sz w:val="20"/>
          <w:szCs w:val="20"/>
          <w:u w:val="single" w:color="auto"/>
          <w:color w:val="auto"/>
        </w:rPr>
        <w:t>Article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VIII</w:t>
      </w:r>
      <w:r>
        <w:rPr>
          <w:rFonts w:ascii="Times New Roman" w:cs="Times New Roman" w:eastAsia="Times New Roman" w:hAnsi="Times New Roman"/>
          <w:sz w:val="20"/>
          <w:szCs w:val="20"/>
          <w:color w:val="auto"/>
        </w:rPr>
        <w:t xml:space="preserve">, none of the Company or any Subsidiary, or any of their respective Affiliates, shall have any rights as a third party beneficiary under any such provisions. Each holder of Obligations, whether or not a party hereto, will be deemed, by its acceptance of the benefits of the Guarantees of the Obligations provided under the Loan Documents, to have agreed to the provisions of this </w:t>
      </w:r>
      <w:r>
        <w:rPr>
          <w:rFonts w:ascii="Times New Roman" w:cs="Times New Roman" w:eastAsia="Times New Roman" w:hAnsi="Times New Roman"/>
          <w:sz w:val="20"/>
          <w:szCs w:val="20"/>
          <w:u w:val="single" w:color="auto"/>
          <w:color w:val="auto"/>
        </w:rPr>
        <w:t>Article VIII</w:t>
      </w:r>
      <w:r>
        <w:rPr>
          <w:rFonts w:ascii="Times New Roman" w:cs="Times New Roman" w:eastAsia="Times New Roman" w:hAnsi="Times New Roman"/>
          <w:sz w:val="20"/>
          <w:szCs w:val="20"/>
          <w:color w:val="auto"/>
        </w:rPr>
        <w:t>.</w:t>
      </w:r>
    </w:p>
    <w:p>
      <w:pPr>
        <w:spacing w:after="0" w:line="165" w:lineRule="exact"/>
        <w:rPr>
          <w:sz w:val="20"/>
          <w:szCs w:val="20"/>
          <w:color w:val="auto"/>
        </w:rPr>
      </w:pPr>
    </w:p>
    <w:p>
      <w:pPr>
        <w:ind w:left="1300"/>
        <w:spacing w:after="0"/>
        <w:tabs>
          <w:tab w:leader="none" w:pos="2760" w:val="left"/>
        </w:tabs>
        <w:rPr>
          <w:sz w:val="20"/>
          <w:szCs w:val="20"/>
          <w:color w:val="auto"/>
        </w:rPr>
      </w:pPr>
      <w:r>
        <w:rPr>
          <w:rFonts w:ascii="Times New Roman" w:cs="Times New Roman" w:eastAsia="Times New Roman" w:hAnsi="Times New Roman"/>
          <w:sz w:val="20"/>
          <w:szCs w:val="20"/>
          <w:color w:val="010000"/>
        </w:rPr>
        <w:t>SECTION 8.02.</w:t>
      </w:r>
      <w:r>
        <w:rPr>
          <w:sz w:val="20"/>
          <w:szCs w:val="20"/>
          <w:color w:val="auto"/>
        </w:rPr>
        <w:tab/>
      </w:r>
      <w:r>
        <w:rPr>
          <w:rFonts w:ascii="Times New Roman" w:cs="Times New Roman" w:eastAsia="Times New Roman" w:hAnsi="Times New Roman"/>
          <w:sz w:val="19"/>
          <w:szCs w:val="19"/>
          <w:u w:val="single" w:color="auto"/>
          <w:color w:val="auto"/>
        </w:rPr>
        <w:t>Administrative Agent’s Reliance, Indemnification, Etc</w:t>
      </w:r>
      <w:r>
        <w:rPr>
          <w:rFonts w:ascii="Times New Roman" w:cs="Times New Roman" w:eastAsia="Times New Roman" w:hAnsi="Times New Roman"/>
          <w:sz w:val="19"/>
          <w:szCs w:val="19"/>
          <w:color w:val="auto"/>
        </w:rPr>
        <w:t>.</w:t>
      </w:r>
    </w:p>
    <w:p>
      <w:pPr>
        <w:spacing w:after="0" w:line="28" w:lineRule="exact"/>
        <w:rPr>
          <w:sz w:val="20"/>
          <w:szCs w:val="20"/>
          <w:color w:val="auto"/>
        </w:rPr>
      </w:pPr>
    </w:p>
    <w:p>
      <w:pPr>
        <w:jc w:val="both"/>
        <w:ind w:firstLine="1304"/>
        <w:spacing w:after="0" w:line="248" w:lineRule="auto"/>
        <w:tabs>
          <w:tab w:leader="none" w:pos="1740" w:val="left"/>
        </w:tabs>
        <w:numPr>
          <w:ilvl w:val="0"/>
          <w:numId w:val="14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Neither the Administrative Agent nor any of its Related Parties shall be (i) liable for any action taken or omitted to be taken by such party, the Administrative Agent or any of its Related Parties under or in connection with this Agreement or the other Loan Documents (x) with the consent of or at the request of the Required Lenders (or such other number or percentage of the Lenders as shall be necessary, or as the Administrative Agent shall believe in good faith to be necessary, under the circumstances as provided in the Loan Documents) or (y) in the absence of its own gross negligence or willful misconduct (such absence to be presumed unless otherwise determined by a court of competent jurisdiction by a final and nonappealable judgment) or (ii) responsible in any manner to any of the Lenders for any recitals, statements, representations or warranties made by any Borrower or any officer thereof contained in this Agreement or any other Loan Document or in any certificate, report, statement or other document referred to or provided for in, or received by the Administrative Agent under or in connection with, this Agreement or any other Loan Document or for the value, validity, effectiveness, genuineness, enforceability or sufficiency of this Agreement or any other Loan Document (including, for the avoidance of doubt, in connection with the Administrative Agent’s reliance on any Electronic Signature transmitted by telecopy, emailed pdf, or any other electronic means that reproduces an image of an actual executed signature page) or for any failure of any Borrower to perform its obligations hereunder or thereunder.</w:t>
      </w:r>
    </w:p>
    <w:p>
      <w:pPr>
        <w:spacing w:after="0" w:line="175" w:lineRule="exact"/>
        <w:rPr>
          <w:rFonts w:ascii="Times New Roman" w:cs="Times New Roman" w:eastAsia="Times New Roman" w:hAnsi="Times New Roman"/>
          <w:sz w:val="20"/>
          <w:szCs w:val="20"/>
          <w:color w:val="010000"/>
        </w:rPr>
      </w:pPr>
    </w:p>
    <w:p>
      <w:pPr>
        <w:jc w:val="both"/>
        <w:ind w:firstLine="1304"/>
        <w:spacing w:after="0" w:line="251" w:lineRule="auto"/>
        <w:tabs>
          <w:tab w:leader="none" w:pos="1913" w:val="left"/>
        </w:tabs>
        <w:numPr>
          <w:ilvl w:val="0"/>
          <w:numId w:val="14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The Administrative Agent shall be deemed not to have knowledge of any (i) notice of any of the events or circumstances set forth or described in Section 5.02 unless and until written notice thereof stating that it is a “notice under Section 5.02” in respect of this Agreement and identifying the specific clause under said Section is given to the Administrative Agent by the Company or (ii) notice of any Default or Event of Default unless and until written notice thereof (stating that it is a “notice of Default” or a “notice of an Event of Default”) is given to the Administrative Agent by the Company, a Lender or an Issuing Bank. Further, the Administrative Agent shall not be responsible for or have any duty to ascertain or inquire into (i) any statement, warranty or representation made in or in connection with any Loan Document, (ii) the contents of any certificate, report or other document delivered thereunder or in connection therewith, (iii) the performance or observance of any of the covenants, agreements or other terms or conditions set forth in any Loan Document or the occurrence of any Default or Event of Default, (iv) the sufficiency, validity, enforceability, effectiveness or genuineness of any Loan Document or any other agreement, instrument or document or (v) the satisfaction of any condition set forth in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or elsewhere in any Loan Document, other than to confirm receipt of items (which on their face purport to be such items) expressly required to be delivered to the Administrative Agent or satisfaction of any condition that expressly refers to the matters described therein being acceptable or satisfactory to the Administrative Agent. Notwithstanding anything herein to the contrary,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111</w:t>
      </w:r>
    </w:p>
    <w:p>
      <w:pPr>
        <w:sectPr>
          <w:pgSz w:w="11900" w:h="16838" w:orient="portrait"/>
          <w:cols w:equalWidth="0" w:num="1">
            <w:col w:w="11240"/>
          </w:cols>
          <w:pgMar w:left="320" w:top="1413" w:right="339" w:bottom="1440" w:gutter="0" w:footer="0" w:header="0"/>
        </w:sectPr>
      </w:pPr>
    </w:p>
    <w:bookmarkStart w:id="120" w:name="page121"/>
    <w:bookmarkEnd w:id="120"/>
    <w:p>
      <w:pPr>
        <w:jc w:val="both"/>
        <w:spacing w:after="0" w:line="261" w:lineRule="auto"/>
        <w:rPr>
          <w:sz w:val="20"/>
          <w:szCs w:val="20"/>
          <w:color w:val="auto"/>
        </w:rPr>
      </w:pPr>
      <w:r>
        <w:rPr>
          <w:rFonts w:ascii="Times New Roman" w:cs="Times New Roman" w:eastAsia="Times New Roman" w:hAnsi="Times New Roman"/>
          <w:sz w:val="20"/>
          <w:szCs w:val="20"/>
          <w:color w:val="auto"/>
        </w:rPr>
        <w:t>Administrative Agent shall not be liable for, or be responsible for any claim, liability, loss, cost or expense suffered by the Company, any Subsidiary, any Lender or any Issuing Bank as a result of, any determination of the Revolving Credit Exposure, any of the component amounts thereof or any portion thereof attributable to each Lender or each Issuing Bank or any Dollar Amount thereof.</w:t>
      </w:r>
    </w:p>
    <w:p>
      <w:pPr>
        <w:spacing w:after="0" w:line="154" w:lineRule="exact"/>
        <w:rPr>
          <w:sz w:val="20"/>
          <w:szCs w:val="20"/>
          <w:color w:val="auto"/>
        </w:rPr>
      </w:pPr>
    </w:p>
    <w:p>
      <w:pPr>
        <w:jc w:val="both"/>
        <w:ind w:firstLine="1304"/>
        <w:spacing w:after="0" w:line="250" w:lineRule="auto"/>
        <w:tabs>
          <w:tab w:leader="none" w:pos="1754" w:val="left"/>
        </w:tabs>
        <w:numPr>
          <w:ilvl w:val="0"/>
          <w:numId w:val="14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Without limiting the foregoing, the Administrative Agent (i) may treat the payee of any promissory note as its holder until such promissory note has been assigned in accordance with Section 9.04, (ii) may rely on the Register to the extent set forth in Section 9.04(b), (iii) may consult with legal counsel (including counsel to the Company), independent public accountants and other experts selected by it, and shall not be liable for any action taken or omitted to be taken in good faith by it in accordance with the advice of such counsel, accountants or experts, (iv) makes no warranty or representation to any Lender or any Issuing Bank and shall not be responsible to any Lender or any Issuing Bank for any statements, warranties or representations made by or on behalf of any Borrower in connection with this Agreement or any other Loan Document, (v) in determining compliance with any condition hereunder to the making of a Loan, or the issuance of a Letter of Credit, that by its terms must be fulfilled to the satisfaction of a Lender or an Issuing Bank, may presume that such condition is satisfactory to such Lender or such Issuing Bank unless the Administrative Agent shall have received notice to the contrary from such Lender or such Issuing Bank sufficiently in advance of the making of such Loan or the issuance of such Letter of Credit and (vi) shall be entitled to rely on, and shall incur no liability under or in respect of this Agreement or any other Loan Document by acting upon, any notice, consent, certificate or other instrument or writing (which writing may be a fax, any electronic message, Internet or intranet website posting or other distribution) or any statement made to it orally or by telephone and believed by it to be genuine and signed or sent or otherwise authenticated by the proper party or parties (whether or not such Person in fact meets the requirements set forth in the Loan Documents for being the maker thereof).</w:t>
      </w:r>
    </w:p>
    <w:p>
      <w:pPr>
        <w:spacing w:after="0" w:line="154" w:lineRule="exact"/>
        <w:rPr>
          <w:sz w:val="20"/>
          <w:szCs w:val="20"/>
          <w:color w:val="auto"/>
        </w:rPr>
      </w:pPr>
    </w:p>
    <w:p>
      <w:pPr>
        <w:ind w:left="1300"/>
        <w:spacing w:after="0"/>
        <w:tabs>
          <w:tab w:leader="none" w:pos="2760" w:val="left"/>
        </w:tabs>
        <w:rPr>
          <w:sz w:val="20"/>
          <w:szCs w:val="20"/>
          <w:color w:val="auto"/>
        </w:rPr>
      </w:pPr>
      <w:r>
        <w:rPr>
          <w:rFonts w:ascii="Times New Roman" w:cs="Times New Roman" w:eastAsia="Times New Roman" w:hAnsi="Times New Roman"/>
          <w:sz w:val="20"/>
          <w:szCs w:val="20"/>
          <w:color w:val="010000"/>
        </w:rPr>
        <w:t>SECTION 8.03.</w:t>
      </w:r>
      <w:r>
        <w:rPr>
          <w:sz w:val="20"/>
          <w:szCs w:val="20"/>
          <w:color w:val="auto"/>
        </w:rPr>
        <w:tab/>
      </w:r>
      <w:r>
        <w:rPr>
          <w:rFonts w:ascii="Times New Roman" w:cs="Times New Roman" w:eastAsia="Times New Roman" w:hAnsi="Times New Roman"/>
          <w:sz w:val="19"/>
          <w:szCs w:val="19"/>
          <w:u w:val="single" w:color="auto"/>
          <w:color w:val="auto"/>
        </w:rPr>
        <w:t>Posting of Communications</w:t>
      </w:r>
      <w:r>
        <w:rPr>
          <w:rFonts w:ascii="Times New Roman" w:cs="Times New Roman" w:eastAsia="Times New Roman" w:hAnsi="Times New Roman"/>
          <w:sz w:val="19"/>
          <w:szCs w:val="19"/>
          <w:color w:val="auto"/>
        </w:rPr>
        <w:t>.</w:t>
      </w:r>
    </w:p>
    <w:p>
      <w:pPr>
        <w:jc w:val="both"/>
        <w:ind w:firstLine="1304"/>
        <w:spacing w:after="0" w:line="229" w:lineRule="auto"/>
        <w:tabs>
          <w:tab w:leader="none" w:pos="1808" w:val="left"/>
        </w:tabs>
        <w:numPr>
          <w:ilvl w:val="0"/>
          <w:numId w:val="14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Borrowers agree that the Administrative Agent may, but shall not be obligated to, make any Communications available to the Lenders and the Issuing Banks by posting the Communications on IntraLinks™, DebtDomain, SyndTrak, ClearPar or any other electronic platform chosen by the Administrative Agent to be its electronic transmission system (the “</w:t>
      </w:r>
      <w:r>
        <w:rPr>
          <w:rFonts w:ascii="Times New Roman" w:cs="Times New Roman" w:eastAsia="Times New Roman" w:hAnsi="Times New Roman"/>
          <w:sz w:val="19"/>
          <w:szCs w:val="19"/>
          <w:u w:val="single" w:color="auto"/>
          <w:color w:val="auto"/>
        </w:rPr>
        <w:t>Approved Electronic Platform</w:t>
      </w:r>
      <w:r>
        <w:rPr>
          <w:rFonts w:ascii="Times New Roman" w:cs="Times New Roman" w:eastAsia="Times New Roman" w:hAnsi="Times New Roman"/>
          <w:sz w:val="19"/>
          <w:szCs w:val="19"/>
          <w:color w:val="auto"/>
        </w:rPr>
        <w:t>”).</w:t>
      </w:r>
    </w:p>
    <w:p>
      <w:pPr>
        <w:spacing w:after="0" w:line="135" w:lineRule="exact"/>
        <w:rPr>
          <w:rFonts w:ascii="Times New Roman" w:cs="Times New Roman" w:eastAsia="Times New Roman" w:hAnsi="Times New Roman"/>
          <w:sz w:val="19"/>
          <w:szCs w:val="19"/>
          <w:color w:val="010000"/>
        </w:rPr>
      </w:pPr>
    </w:p>
    <w:p>
      <w:pPr>
        <w:jc w:val="both"/>
        <w:ind w:firstLine="1304"/>
        <w:spacing w:after="0" w:line="214" w:lineRule="auto"/>
        <w:tabs>
          <w:tab w:leader="none" w:pos="1765" w:val="left"/>
        </w:tabs>
        <w:numPr>
          <w:ilvl w:val="0"/>
          <w:numId w:val="14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Although the Approved Electronic Platform and its primary web portal are secured with generally-applicable security procedures and policies implemented or modified by the Administrative Agent from time to time (including, as of the Restatement Effective Date, a user ID/password authorization system) and the Approved Electronic Platform is secured through a per-deal authorization method whereby each user may access the Approved Electronic Platform only on a deal-by-deal basis, each of the Lenders, the Issuing Banks and the Borrowers acknowledge and agree that the distribution of material through an electronic medium is not necessarily secure, that the Administrative Agent is not responsible for approving or vetting the representatives or contacts of any Lender that are added to the Approved Electronic Platform, and that there may be confidentiality and other risks associated with such distribution. Each of the Lenders, the Issuing Banks and the Borrowers hereby approve distribution of the Communications through the Approved Electronic Platform and understands and assumes the risks of such distribution.</w:t>
      </w:r>
    </w:p>
    <w:p>
      <w:pPr>
        <w:spacing w:after="0" w:line="138" w:lineRule="exact"/>
        <w:rPr>
          <w:rFonts w:ascii="Times New Roman" w:cs="Times New Roman" w:eastAsia="Times New Roman" w:hAnsi="Times New Roman"/>
          <w:sz w:val="20"/>
          <w:szCs w:val="20"/>
          <w:color w:val="010000"/>
        </w:rPr>
      </w:pPr>
    </w:p>
    <w:p>
      <w:pPr>
        <w:jc w:val="both"/>
        <w:ind w:firstLine="1304"/>
        <w:spacing w:after="0" w:line="216" w:lineRule="auto"/>
        <w:tabs>
          <w:tab w:leader="none" w:pos="1767" w:val="left"/>
        </w:tabs>
        <w:numPr>
          <w:ilvl w:val="0"/>
          <w:numId w:val="14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APPROVED ELECTRONIC PLATFORM AND THE COMMUNICATIONS ARE PROVIDED “AS IS” AND “AS AVAILABLE”. THE APPLICABLE PARTIES (AS DEFINED BELOW) DO NOT WARRANT THE ACCURACY OR COMPLETENESS OF THE COMMUNICATIONS, OR THE ADEQUACY OF THE APPROVED ELECTRONIC PLATFORM AND EXPRESSLY DISCLAIM LIABILITY FOR ERRORS OR OMISSIONS IN THE APPROVED ELECTRONIC PLATFORM AND THE COMMUNICATIONS. NO WARRANTY OF ANY KIND, EXPRESS, IMPLIED OR STATUTORY, INCLUDING ANY WARRANTY OF MERCHANTABILITY, FITNESS FOR A PARTICULAR PURPOSE, NON-INFRINGEMENT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112</w:t>
      </w:r>
    </w:p>
    <w:p>
      <w:pPr>
        <w:sectPr>
          <w:pgSz w:w="11900" w:h="16838" w:orient="portrait"/>
          <w:cols w:equalWidth="0" w:num="1">
            <w:col w:w="11240"/>
          </w:cols>
          <w:pgMar w:left="320" w:top="1413"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9"/>
          <w:szCs w:val="19"/>
          <w:color w:val="auto"/>
        </w:rPr>
        <w:t>THIRD PARTY RIGHTS OR FREEDOM FROM VIRUSES OR OTHER CODE DEFECTS, IS MADE BY THE APPLICABLE PARTIES</w:t>
      </w:r>
    </w:p>
    <w:p>
      <w:pPr>
        <w:spacing w:after="0" w:line="6"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IN CONNECTION WITH THE COMMUNICATIONS OR THE APPROVED ELECTRONIC PLATFORM. IN NO EVENT SHALL THE ADMINISTRATIVE AGENT, ANY ARRANGER, ANY CO-SYNDICATION AGENT OR ANY CO-DOCUMENTATION AGENT OR</w:t>
      </w:r>
    </w:p>
    <w:p>
      <w:pPr>
        <w:spacing w:after="0" w:line="222" w:lineRule="auto"/>
        <w:rPr>
          <w:sz w:val="20"/>
          <w:szCs w:val="20"/>
          <w:color w:val="auto"/>
        </w:rPr>
      </w:pPr>
      <w:r>
        <w:rPr>
          <w:rFonts w:ascii="Times New Roman" w:cs="Times New Roman" w:eastAsia="Times New Roman" w:hAnsi="Times New Roman"/>
          <w:sz w:val="19"/>
          <w:szCs w:val="19"/>
          <w:color w:val="auto"/>
        </w:rPr>
        <w:t>ANY OF THEIR RESPECTIVE RELATED PARTIES (COLLECTIVELY, “</w:t>
      </w:r>
      <w:r>
        <w:rPr>
          <w:rFonts w:ascii="Times New Roman" w:cs="Times New Roman" w:eastAsia="Times New Roman" w:hAnsi="Times New Roman"/>
          <w:sz w:val="19"/>
          <w:szCs w:val="19"/>
          <w:u w:val="single" w:color="auto"/>
          <w:color w:val="auto"/>
        </w:rPr>
        <w:t>APPLICABLE PARTIES</w:t>
      </w:r>
      <w:r>
        <w:rPr>
          <w:rFonts w:ascii="Times New Roman" w:cs="Times New Roman" w:eastAsia="Times New Roman" w:hAnsi="Times New Roman"/>
          <w:sz w:val="19"/>
          <w:szCs w:val="19"/>
          <w:color w:val="auto"/>
        </w:rPr>
        <w:t>”) HAVE ANY LIABILITY TO ANY</w:t>
      </w:r>
    </w:p>
    <w:p>
      <w:pPr>
        <w:spacing w:after="0" w:line="204" w:lineRule="auto"/>
        <w:rPr>
          <w:sz w:val="20"/>
          <w:szCs w:val="20"/>
          <w:color w:val="auto"/>
        </w:rPr>
      </w:pPr>
      <w:r>
        <w:rPr>
          <w:rFonts w:ascii="Times New Roman" w:cs="Times New Roman" w:eastAsia="Times New Roman" w:hAnsi="Times New Roman"/>
          <w:sz w:val="20"/>
          <w:szCs w:val="20"/>
          <w:color w:val="auto"/>
        </w:rPr>
        <w:t>BORROWER, ANY LENDER, ANY ISSUING BANK OR ANY OTHER PERSON OR ENTITY FOR DAMAGES OF ANY KIND, INCLUDING DIRECT OR INDIRECT, SPECIAL, INCIDENTAL OR CONSEQUENTIAL DAMAGES, LOSSES OR EXPENSES</w:t>
      </w:r>
    </w:p>
    <w:p>
      <w:pPr>
        <w:spacing w:after="0" w:line="211" w:lineRule="auto"/>
        <w:rPr>
          <w:sz w:val="20"/>
          <w:szCs w:val="20"/>
          <w:color w:val="auto"/>
        </w:rPr>
      </w:pPr>
      <w:r>
        <w:rPr>
          <w:rFonts w:ascii="Times New Roman" w:cs="Times New Roman" w:eastAsia="Times New Roman" w:hAnsi="Times New Roman"/>
          <w:sz w:val="20"/>
          <w:szCs w:val="20"/>
          <w:color w:val="auto"/>
        </w:rPr>
        <w:t>(WHETHER IN TORT, CONTRACT OR OTHERWISE) ARISING OUT OF ANY BORROWER’S OR THE ADMINISTRATIVE</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AGENT’S TRANSMISSION OF COMMUNICATIONS THROUGH THE INTERNET OR THE APPROVED ELECTRONIC PLATFORM.</w:t>
      </w:r>
    </w:p>
    <w:p>
      <w:pPr>
        <w:spacing w:after="0" w:line="148" w:lineRule="exact"/>
        <w:rPr>
          <w:sz w:val="20"/>
          <w:szCs w:val="20"/>
          <w:color w:val="auto"/>
        </w:rPr>
      </w:pPr>
    </w:p>
    <w:p>
      <w:pPr>
        <w:jc w:val="both"/>
        <w:ind w:firstLine="1304"/>
        <w:spacing w:after="0" w:line="216" w:lineRule="auto"/>
        <w:tabs>
          <w:tab w:leader="none" w:pos="1886" w:val="left"/>
        </w:tabs>
        <w:numPr>
          <w:ilvl w:val="0"/>
          <w:numId w:val="14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Lender and each Issuing Bank agrees that notice to it (as provided in the next sentence) specifying that Communications have been posted to the Approved Electronic Platform shall constitute effective delivery of the Communications to such Lender for purposes of the Loan Documents. Each Lender and each Issuing Bank agrees (i) to notify the Administrative Agent in writing (which could be in the form of electronic communication) from time to time of such Lender’s or such Issuing Bank’s (as applicable) email address to which the foregoing notice may be sent by electronic transmission and (ii) that the foregoing notice may be sent to such email address.</w:t>
      </w:r>
    </w:p>
    <w:p>
      <w:pPr>
        <w:spacing w:after="0" w:line="135" w:lineRule="exact"/>
        <w:rPr>
          <w:rFonts w:ascii="Times New Roman" w:cs="Times New Roman" w:eastAsia="Times New Roman" w:hAnsi="Times New Roman"/>
          <w:sz w:val="20"/>
          <w:szCs w:val="20"/>
          <w:color w:val="010000"/>
        </w:rPr>
      </w:pPr>
    </w:p>
    <w:p>
      <w:pPr>
        <w:jc w:val="both"/>
        <w:ind w:firstLine="1304"/>
        <w:spacing w:after="0" w:line="226" w:lineRule="auto"/>
        <w:tabs>
          <w:tab w:leader="none" w:pos="1713" w:val="left"/>
        </w:tabs>
        <w:numPr>
          <w:ilvl w:val="0"/>
          <w:numId w:val="14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of the Lenders, the Issuing Banks and the Company agrees that the Administrative Agent may, but (except as may be required by applicable law) shall not be obligated to, store the Communications on the Approved Electronic Platform in accordance with the Administrative Agent’s generally applicable document retention procedures and policies.</w:t>
      </w:r>
    </w:p>
    <w:p>
      <w:pPr>
        <w:spacing w:after="0" w:line="146" w:lineRule="exact"/>
        <w:rPr>
          <w:rFonts w:ascii="Times New Roman" w:cs="Times New Roman" w:eastAsia="Times New Roman" w:hAnsi="Times New Roman"/>
          <w:sz w:val="20"/>
          <w:szCs w:val="20"/>
          <w:color w:val="010000"/>
        </w:rPr>
      </w:pPr>
    </w:p>
    <w:p>
      <w:pPr>
        <w:ind w:firstLine="1304"/>
        <w:spacing w:after="0" w:line="233" w:lineRule="auto"/>
        <w:tabs>
          <w:tab w:leader="none" w:pos="1692" w:val="left"/>
        </w:tabs>
        <w:numPr>
          <w:ilvl w:val="0"/>
          <w:numId w:val="14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Nothing herein shall prejudice the right of the Administrative Agent, any Lender or any Issuing Bank to give any notice or other communication pursuant to any Loan Document in any other manner specified in such Loan Document.</w:t>
      </w:r>
    </w:p>
    <w:p>
      <w:pPr>
        <w:spacing w:after="0" w:line="147" w:lineRule="exact"/>
        <w:rPr>
          <w:sz w:val="20"/>
          <w:szCs w:val="20"/>
          <w:color w:val="auto"/>
        </w:rPr>
      </w:pPr>
    </w:p>
    <w:p>
      <w:pPr>
        <w:ind w:firstLine="1296"/>
        <w:spacing w:after="0" w:line="227" w:lineRule="auto"/>
        <w:rPr>
          <w:sz w:val="20"/>
          <w:szCs w:val="20"/>
          <w:color w:val="auto"/>
        </w:rPr>
      </w:pPr>
      <w:r>
        <w:rPr>
          <w:rFonts w:ascii="Times New Roman" w:cs="Times New Roman" w:eastAsia="Times New Roman" w:hAnsi="Times New Roman"/>
          <w:sz w:val="19"/>
          <w:szCs w:val="19"/>
          <w:color w:val="010000"/>
        </w:rPr>
        <w:t xml:space="preserve">SECTION 8.04. </w:t>
      </w:r>
      <w:r>
        <w:rPr>
          <w:rFonts w:ascii="Times New Roman" w:cs="Times New Roman" w:eastAsia="Times New Roman" w:hAnsi="Times New Roman"/>
          <w:sz w:val="19"/>
          <w:szCs w:val="19"/>
          <w:u w:val="single" w:color="auto"/>
          <w:color w:val="000000"/>
        </w:rPr>
        <w:t>The Administrative Agent Individually</w:t>
      </w:r>
      <w:r>
        <w:rPr>
          <w:rFonts w:ascii="Times New Roman" w:cs="Times New Roman" w:eastAsia="Times New Roman" w:hAnsi="Times New Roman"/>
          <w:sz w:val="19"/>
          <w:szCs w:val="19"/>
          <w:color w:val="000000"/>
        </w:rPr>
        <w:t>. With respect to its Commitments, Loans, Letter of Credit</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Commitments and Letters of Credit, the Person serving as the Administrative Agent shall have and may exercise the same rights and powers</w:t>
      </w:r>
    </w:p>
    <w:p>
      <w:pPr>
        <w:spacing w:after="0" w:line="211" w:lineRule="auto"/>
        <w:rPr>
          <w:sz w:val="20"/>
          <w:szCs w:val="20"/>
          <w:color w:val="auto"/>
        </w:rPr>
      </w:pPr>
      <w:r>
        <w:rPr>
          <w:rFonts w:ascii="Times New Roman" w:cs="Times New Roman" w:eastAsia="Times New Roman" w:hAnsi="Times New Roman"/>
          <w:sz w:val="20"/>
          <w:szCs w:val="20"/>
          <w:color w:val="auto"/>
        </w:rPr>
        <w:t>hereunder and is subject to the same obligations and liabilities as and to the extent set forth herein for any other Lender or any Issuing Bank,</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as the case may be. The terms “Issuing Bank”, “Lenders”, “Required Lenders” and any similar terms shall, unless the context clearly otherwise indicates, include the Administrative Agent in its individual capacity as a Lender, the Issuing Bank or as one of the Required</w:t>
      </w:r>
    </w:p>
    <w:p>
      <w:pPr>
        <w:spacing w:after="0" w:line="211" w:lineRule="auto"/>
        <w:rPr>
          <w:sz w:val="20"/>
          <w:szCs w:val="20"/>
          <w:color w:val="auto"/>
        </w:rPr>
      </w:pPr>
      <w:r>
        <w:rPr>
          <w:rFonts w:ascii="Times New Roman" w:cs="Times New Roman" w:eastAsia="Times New Roman" w:hAnsi="Times New Roman"/>
          <w:sz w:val="20"/>
          <w:szCs w:val="20"/>
          <w:color w:val="auto"/>
        </w:rPr>
        <w:t>Lenders, as applicable. The Person serving as the Administrative Agent and its Affiliates may accept deposits from, lend money to, own</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securities of, act as the financial advisor or in any other advisory capacity for and generally engage in any kind of banking, trust or other business with, the Company, any Subsidiary or any Affiliate of any of the foregoing as if such Person was not acting as the Administrative</w:t>
      </w:r>
    </w:p>
    <w:p>
      <w:pPr>
        <w:jc w:val="center"/>
        <w:ind w:right="4660"/>
        <w:spacing w:after="0" w:line="223" w:lineRule="auto"/>
        <w:rPr>
          <w:sz w:val="20"/>
          <w:szCs w:val="20"/>
          <w:color w:val="auto"/>
        </w:rPr>
      </w:pPr>
      <w:r>
        <w:rPr>
          <w:rFonts w:ascii="Times New Roman" w:cs="Times New Roman" w:eastAsia="Times New Roman" w:hAnsi="Times New Roman"/>
          <w:sz w:val="19"/>
          <w:szCs w:val="19"/>
          <w:color w:val="auto"/>
        </w:rPr>
        <w:t>Agent and without any duty to account therefor to the Lenders or the Issuing Bank.</w:t>
      </w:r>
    </w:p>
    <w:p>
      <w:pPr>
        <w:jc w:val="center"/>
        <w:ind w:right="4540"/>
        <w:spacing w:after="0" w:line="207" w:lineRule="auto"/>
        <w:tabs>
          <w:tab w:leader="none" w:pos="180" w:val="left"/>
        </w:tabs>
        <w:rPr>
          <w:sz w:val="20"/>
          <w:szCs w:val="20"/>
          <w:color w:val="auto"/>
        </w:rPr>
      </w:pPr>
      <w:r>
        <w:rPr>
          <w:rFonts w:ascii="Times New Roman" w:cs="Times New Roman" w:eastAsia="Times New Roman" w:hAnsi="Times New Roman"/>
          <w:sz w:val="20"/>
          <w:szCs w:val="20"/>
          <w:color w:val="010000"/>
        </w:rPr>
        <w:t>SECTION 8.05.</w:t>
      </w:r>
      <w:r>
        <w:rPr>
          <w:sz w:val="20"/>
          <w:szCs w:val="20"/>
          <w:color w:val="auto"/>
        </w:rPr>
        <w:tab/>
      </w:r>
      <w:r>
        <w:rPr>
          <w:rFonts w:ascii="Times New Roman" w:cs="Times New Roman" w:eastAsia="Times New Roman" w:hAnsi="Times New Roman"/>
          <w:sz w:val="19"/>
          <w:szCs w:val="19"/>
          <w:u w:val="single" w:color="auto"/>
          <w:color w:val="auto"/>
        </w:rPr>
        <w:t>Successor Administrative Agent</w:t>
      </w:r>
      <w:r>
        <w:rPr>
          <w:rFonts w:ascii="Times New Roman" w:cs="Times New Roman" w:eastAsia="Times New Roman" w:hAnsi="Times New Roman"/>
          <w:sz w:val="19"/>
          <w:szCs w:val="19"/>
          <w:color w:val="auto"/>
        </w:rPr>
        <w:t>.</w:t>
      </w:r>
    </w:p>
    <w:p>
      <w:pPr>
        <w:jc w:val="both"/>
        <w:ind w:firstLine="1304"/>
        <w:spacing w:after="0" w:line="209" w:lineRule="auto"/>
        <w:tabs>
          <w:tab w:leader="none" w:pos="1767" w:val="left"/>
        </w:tabs>
        <w:numPr>
          <w:ilvl w:val="0"/>
          <w:numId w:val="15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The Administrative Agent may resign at any time by giving 30 days’ prior written notice thereof to the Lenders, the Issuing Banks and the Company, whether or not a successor Administrative Agent has been appointed. Upon any such resignation, the Required Lenders shall have the right to appoint a successor Administrative Agent. If no successor Administrative Agent shall have been so appointed by the Required Lenders, and shall have accepted such appointment, within 30 days after the retiring Administrative Agent’s giving of notice of resignation, then the retiring Administrative Agent may, on behalf of the Lenders and the Issuing Banks, appoint a successor Administrative Agent, which shall be a bank with an office in New York, New York or an Affiliate of any such bank. In either case, such appointment shall be subject to the prior written approval of the Company (which approval may not be unreasonably withheld and shall not be required while an Event of Default under clause (a), (b), (h), (i), (j), (k) or (l) of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 xml:space="preserve"> has occurred and is continuing). Upon the acceptance of any appointment as Administrative Agent by a successor Administrative Agent, such successor Administrative Agent shall succeed to, and become vested with, all the rights, powers, privileges and duties of the retiring Administrative Agent. Upon the acceptance of appointment as Administrative Agent by a successor Administrative Agent, the retiring Administrative Agent shall be discharged from its duties and obligations under this Agreement and the other Loan Documents. Prior to any retiring Administrative Agent’s resignation hereunder as Administrative Agent, the retiring Administrative Agent shall take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113</w:t>
      </w:r>
    </w:p>
    <w:p>
      <w:pPr>
        <w:sectPr>
          <w:pgSz w:w="11900" w:h="16838" w:orient="portrait"/>
          <w:cols w:equalWidth="0" w:num="1">
            <w:col w:w="11240"/>
          </w:cols>
          <w:pgMar w:left="320" w:top="1399"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20"/>
          <w:szCs w:val="20"/>
          <w:color w:val="auto"/>
        </w:rPr>
        <w:t>action as may be reasonably necessary to assign to the successor Administrative Agent its rights as Administrative Agent under the Loan Documents.</w:t>
      </w:r>
    </w:p>
    <w:p>
      <w:pPr>
        <w:spacing w:after="0" w:line="134" w:lineRule="exact"/>
        <w:rPr>
          <w:sz w:val="20"/>
          <w:szCs w:val="20"/>
          <w:color w:val="auto"/>
        </w:rPr>
      </w:pPr>
    </w:p>
    <w:p>
      <w:pPr>
        <w:jc w:val="both"/>
        <w:ind w:firstLine="1304"/>
        <w:spacing w:after="0" w:line="211" w:lineRule="auto"/>
        <w:tabs>
          <w:tab w:leader="none" w:pos="1832" w:val="left"/>
        </w:tabs>
        <w:numPr>
          <w:ilvl w:val="0"/>
          <w:numId w:val="15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Notwithstanding paragraph (a) of this Section, in the event no successor Administrative Agent shall have been so appointed and shall have accepted such appointment within 30 days after the retiring Administrative Agent gives notice of its intent to resign, the retiring Administrative Agent may give notice of the effectiveness of its resignation to the Lenders, the Issuing Banks and the Company, whereupon, on the date of effectiveness of such resignation stated in such notice, (i) the retiring Administrative Agent shall be discharged from its duties and obligations hereunder and under the other Loan Documents and (ii) the Required Lenders shall succeed to and become vested with all the rights, powers, privileges and duties of the retiring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all payments required to be made hereunder or under any other Loan Document to the Administrative Agent for the account of any Person other than the Administrative Agent shall be made directly to such Person and (B) all notices and other communications required or contemplated to be given or made to the Administrative Agent shall directly be given or made to each Lender and each Issuing Bank. Following the effectiveness of the Administrative Agent’s resignation from its capacity as such, the provisions of this </w:t>
      </w:r>
      <w:r>
        <w:rPr>
          <w:rFonts w:ascii="Times New Roman" w:cs="Times New Roman" w:eastAsia="Times New Roman" w:hAnsi="Times New Roman"/>
          <w:sz w:val="20"/>
          <w:szCs w:val="20"/>
          <w:u w:val="single" w:color="auto"/>
          <w:color w:val="auto"/>
        </w:rPr>
        <w:t>Article VIII</w:t>
      </w:r>
      <w:r>
        <w:rPr>
          <w:rFonts w:ascii="Times New Roman" w:cs="Times New Roman" w:eastAsia="Times New Roman" w:hAnsi="Times New Roman"/>
          <w:sz w:val="20"/>
          <w:szCs w:val="20"/>
          <w:color w:val="auto"/>
        </w:rPr>
        <w:t xml:space="preserve"> and Section 9.03, as well as any exculpatory, reimbursement and indemnification provisions set forth in any other Loan Document, shall continue in effect for the benefit of such retiring Administrative Agent, its sub-agents and their respective Related Parties in respect of any actions taken or omitted to be taken by any of them while the retiring Administrative Agent was acting as Administrative Agent.</w:t>
      </w:r>
    </w:p>
    <w:p>
      <w:pPr>
        <w:spacing w:after="0" w:line="134" w:lineRule="exact"/>
        <w:rPr>
          <w:sz w:val="20"/>
          <w:szCs w:val="20"/>
          <w:color w:val="auto"/>
        </w:rPr>
      </w:pPr>
    </w:p>
    <w:p>
      <w:pPr>
        <w:ind w:left="1300"/>
        <w:spacing w:after="0"/>
        <w:tabs>
          <w:tab w:leader="none" w:pos="2760" w:val="left"/>
        </w:tabs>
        <w:rPr>
          <w:sz w:val="20"/>
          <w:szCs w:val="20"/>
          <w:color w:val="auto"/>
        </w:rPr>
      </w:pPr>
      <w:r>
        <w:rPr>
          <w:rFonts w:ascii="Times New Roman" w:cs="Times New Roman" w:eastAsia="Times New Roman" w:hAnsi="Times New Roman"/>
          <w:sz w:val="20"/>
          <w:szCs w:val="20"/>
          <w:color w:val="010000"/>
        </w:rPr>
        <w:t>SECTION 8.06.</w:t>
      </w:r>
      <w:r>
        <w:rPr>
          <w:sz w:val="20"/>
          <w:szCs w:val="20"/>
          <w:color w:val="auto"/>
        </w:rPr>
        <w:tab/>
      </w:r>
      <w:r>
        <w:rPr>
          <w:rFonts w:ascii="Times New Roman" w:cs="Times New Roman" w:eastAsia="Times New Roman" w:hAnsi="Times New Roman"/>
          <w:sz w:val="19"/>
          <w:szCs w:val="19"/>
          <w:u w:val="single" w:color="auto"/>
          <w:color w:val="auto"/>
        </w:rPr>
        <w:t>Acknowledgements of Lenders and Issuing Bank</w:t>
      </w:r>
      <w:r>
        <w:rPr>
          <w:rFonts w:ascii="Times New Roman" w:cs="Times New Roman" w:eastAsia="Times New Roman" w:hAnsi="Times New Roman"/>
          <w:sz w:val="19"/>
          <w:szCs w:val="19"/>
          <w:color w:val="auto"/>
        </w:rPr>
        <w:t>.</w:t>
      </w:r>
    </w:p>
    <w:p>
      <w:pPr>
        <w:jc w:val="both"/>
        <w:ind w:firstLine="1304"/>
        <w:spacing w:after="0" w:line="208" w:lineRule="auto"/>
        <w:tabs>
          <w:tab w:leader="none" w:pos="1821" w:val="left"/>
        </w:tabs>
        <w:numPr>
          <w:ilvl w:val="0"/>
          <w:numId w:val="15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Lender and each Issuing Bank represents and warrants that (i) the Loan Documents set forth the terms of a commercial lending facility, (ii) in participating as a Lender, it is engaged in making, acquiring or holding commercial loans and in providing other facilities set forth herein as may be applicable to such Lender or such Issuing Bank, in each case in the ordinary course of business, and not for the purpose of investing in the general performance or operations of the Borrowers, or for the purpose of purchasing, acquiring or holding any other type of financial instrument such as a security (and each Lender and each Issuing Bank agrees not to assert a claim in contravention of the foregoing, such as a claim under the federal, state, provincial or territorial securities law), (iii) it has, independently and without reliance upon the Administrative Agent, any Arranger, or any other Lender or any other Issuing Bank, or any of the Related Parties of any of the foregoing, and based on such documents and information as it has deemed appropriate, made its own credit analysis and decision to enter into this Agreement as a Lender, and to make, acquire or hold Loans hereunder and (iv) it is sophisticated with respect to decisions to make, acquire and/or hold commercial loans and to provide other facilities set forth herein, as may be applicable to such Lender or such Issuing Bank, and either it, or the Person exercising discretion in making its decision to make, acquire and/or hold such commercial loans or to provide such other facilities, is experienced in making, acquiring or holding such commercial loans or providing such other facilities. Each Lender and each Issuing Bank also acknowledges that it will, independently and without reliance upon the Administrative Agent, any Arranger or any other Lender or any other Issuing Bank, or any of the Related Parties of any of the foregoing, and based on such documents and information (which may contain material, non-public information within the meaning of the United States securities laws concerning the Company and its Affiliates)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43" w:lineRule="exact"/>
        <w:rPr>
          <w:rFonts w:ascii="Times New Roman" w:cs="Times New Roman" w:eastAsia="Times New Roman" w:hAnsi="Times New Roman"/>
          <w:sz w:val="20"/>
          <w:szCs w:val="20"/>
          <w:color w:val="010000"/>
        </w:rPr>
      </w:pPr>
    </w:p>
    <w:p>
      <w:pPr>
        <w:jc w:val="both"/>
        <w:ind w:firstLine="1304"/>
        <w:spacing w:after="0" w:line="222" w:lineRule="auto"/>
        <w:tabs>
          <w:tab w:leader="none" w:pos="1778" w:val="left"/>
        </w:tabs>
        <w:numPr>
          <w:ilvl w:val="0"/>
          <w:numId w:val="15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Lender, by delivering its signature page to this Agreement on the Restatement Effective Date, or delivering its signature page to an Assignment and Assumption or any other Loan Document pursuant to which it shall become a Lender hereunder, shall be deemed to have acknowledged receipt of, and consented to and approved, each Loan Document and each other document required to be delivered to, or be approved by or satisfactory to, the Administrative Agent or the Lenders on the Restatement Effective Date.</w:t>
      </w:r>
    </w:p>
    <w:p>
      <w:pPr>
        <w:spacing w:after="0" w:line="14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010000"/>
        </w:rPr>
        <w:t>(c)</w:t>
      </w:r>
    </w:p>
    <w:p>
      <w:pPr>
        <w:spacing w:after="0" w:line="189" w:lineRule="exact"/>
        <w:rPr>
          <w:sz w:val="20"/>
          <w:szCs w:val="20"/>
          <w:color w:val="auto"/>
        </w:rPr>
      </w:pPr>
    </w:p>
    <w:p>
      <w:pPr>
        <w:ind w:left="1300" w:firstLine="652"/>
        <w:spacing w:after="0" w:line="297" w:lineRule="auto"/>
        <w:tabs>
          <w:tab w:leader="none" w:pos="2400" w:val="left"/>
        </w:tabs>
        <w:numPr>
          <w:ilvl w:val="0"/>
          <w:numId w:val="15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Lender hereby agrees that (x) if the Administrative Agent notifies such Lender that the Administrative Agent has determined in its sole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114</w:t>
      </w:r>
    </w:p>
    <w:p>
      <w:pPr>
        <w:sectPr>
          <w:pgSz w:w="11900" w:h="16838" w:orient="portrait"/>
          <w:cols w:equalWidth="0" w:num="1">
            <w:col w:w="11240"/>
          </w:cols>
          <w:pgMar w:left="320" w:top="1399" w:right="339" w:bottom="1440" w:gutter="0" w:footer="0" w:header="0"/>
        </w:sectPr>
      </w:pPr>
    </w:p>
    <w:bookmarkStart w:id="123" w:name="page124"/>
    <w:bookmarkEnd w:id="123"/>
    <w:p>
      <w:pPr>
        <w:jc w:val="both"/>
        <w:ind w:left="180"/>
        <w:spacing w:after="0" w:line="286" w:lineRule="auto"/>
        <w:rPr>
          <w:sz w:val="20"/>
          <w:szCs w:val="20"/>
          <w:color w:val="auto"/>
        </w:rPr>
      </w:pPr>
      <w:r>
        <w:rPr>
          <w:rFonts w:ascii="Times New Roman" w:cs="Times New Roman" w:eastAsia="Times New Roman" w:hAnsi="Times New Roman"/>
          <w:sz w:val="19"/>
          <w:szCs w:val="19"/>
          <w:color w:val="auto"/>
        </w:rPr>
        <w:t>that any funds received by such Lender from the Administrative Agent or any of its Affiliates (whether as a payment, prepayment or repayment of principal, interest, fees or otherwise; individually and collectively, a “</w:t>
      </w:r>
      <w:r>
        <w:rPr>
          <w:rFonts w:ascii="Times New Roman" w:cs="Times New Roman" w:eastAsia="Times New Roman" w:hAnsi="Times New Roman"/>
          <w:sz w:val="19"/>
          <w:szCs w:val="19"/>
          <w:u w:val="single" w:color="auto"/>
          <w:color w:val="auto"/>
        </w:rPr>
        <w:t>Payment</w:t>
      </w:r>
      <w:r>
        <w:rPr>
          <w:rFonts w:ascii="Times New Roman" w:cs="Times New Roman" w:eastAsia="Times New Roman" w:hAnsi="Times New Roman"/>
          <w:sz w:val="19"/>
          <w:szCs w:val="19"/>
          <w:color w:val="auto"/>
        </w:rPr>
        <w:t>”) were erroneously transmitted to such Lender (whether or not known to such Lender), and demands the return of such Payment (or a portion thereof), such Lender shall promptly, but in no event later than one (1) Business Day thereafter (or such later date as the Administrative Agent, may, in its sole discretion, specify in writing), return to the Administrative Agent the amount of any such Payment (or portion thereof) as to which such a demand was made in same day funds, together with interest thereon (except to the extent waived in writing by the Administrative Agent)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 and (y) to the extent permitted by applicable law, such Lender shall not assert, and hereby waives, as to the Administrative Agent, any claim, counterclaim, defense or right of set-off or recoupment with respect to any demand, claim or counterclaim by the Administrative Agent for the return of any Payments received, including without limitation any defense based on “discharge for value” or any similar doctrine. A notice of the Administrative Agent to any Lender under this Section 8.06(c) shall be conclusive, absent manifest error.</w:t>
      </w:r>
    </w:p>
    <w:p>
      <w:pPr>
        <w:spacing w:after="0" w:line="176" w:lineRule="exact"/>
        <w:rPr>
          <w:sz w:val="20"/>
          <w:szCs w:val="20"/>
          <w:color w:val="auto"/>
        </w:rPr>
      </w:pPr>
    </w:p>
    <w:p>
      <w:pPr>
        <w:jc w:val="both"/>
        <w:ind w:left="180" w:firstLine="652"/>
        <w:spacing w:after="0" w:line="271" w:lineRule="auto"/>
        <w:tabs>
          <w:tab w:leader="none" w:pos="1321" w:val="left"/>
        </w:tabs>
        <w:numPr>
          <w:ilvl w:val="0"/>
          <w:numId w:val="15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Lender hereby further agrees that if it receives a Payment from the Administrative Agent or any of its Affiliates (x) that is in a different amount than, or on a different date from, that specified in a notice of payment sent by the Administrative Agent (or any of its Affiliates) with respect to such Payment (a “</w:t>
      </w:r>
      <w:r>
        <w:rPr>
          <w:rFonts w:ascii="Times New Roman" w:cs="Times New Roman" w:eastAsia="Times New Roman" w:hAnsi="Times New Roman"/>
          <w:sz w:val="20"/>
          <w:szCs w:val="20"/>
          <w:u w:val="single" w:color="auto"/>
          <w:color w:val="auto"/>
        </w:rPr>
        <w:t>Payment Notice</w:t>
      </w:r>
      <w:r>
        <w:rPr>
          <w:rFonts w:ascii="Times New Roman" w:cs="Times New Roman" w:eastAsia="Times New Roman" w:hAnsi="Times New Roman"/>
          <w:sz w:val="20"/>
          <w:szCs w:val="20"/>
          <w:color w:val="auto"/>
        </w:rPr>
        <w:t>”) or (y) that was not preceded or accompanied by a Payment Notice, it shall be on notice, in each such case, that an error has been made with respect to such Payment. Each Lender agrees that, in each such case, or if it otherwise becomes aware a Payment (or portion thereof) may have been sent in error, such Lender shall promptly notify the Administrative Agent of such occurrence and, upon demand from the Administrative Agent, it shall promptly, but in no event later than one (1) Business Day thereafter (or such later date as the Administrative Agent, may, in its sole discretion, specify in writing), return to the Administrative Agent the amount of any such Payment (or portion thereof) as to which such a demand was made in same day funds, together with interest thereon (except to the extent waived in writing by the Administrative Agent)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w:t>
      </w:r>
    </w:p>
    <w:p>
      <w:pPr>
        <w:spacing w:after="0" w:line="188" w:lineRule="exact"/>
        <w:rPr>
          <w:rFonts w:ascii="Times New Roman" w:cs="Times New Roman" w:eastAsia="Times New Roman" w:hAnsi="Times New Roman"/>
          <w:sz w:val="20"/>
          <w:szCs w:val="20"/>
          <w:color w:val="010000"/>
        </w:rPr>
      </w:pPr>
    </w:p>
    <w:p>
      <w:pPr>
        <w:jc w:val="both"/>
        <w:ind w:left="180" w:firstLine="652"/>
        <w:spacing w:after="0" w:line="277" w:lineRule="auto"/>
        <w:tabs>
          <w:tab w:leader="none" w:pos="1336" w:val="left"/>
        </w:tabs>
        <w:numPr>
          <w:ilvl w:val="0"/>
          <w:numId w:val="15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Company and each other Loan Party hereby agrees that (x) in the event an erroneous Payment (or portion thereof) are not recovered from any Lender that has received such Payment (or portion thereof) for any reason, the Administrative Agent shall be subrogated to all the rights of such Lender with respect to such amount and (y) an erroneous Payment shall not pay, prepay, repay, discharge or otherwise satisfy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0"/>
          <w:szCs w:val="20"/>
          <w:color w:val="auto"/>
        </w:rPr>
        <w:t>115</w:t>
      </w:r>
    </w:p>
    <w:p>
      <w:pPr>
        <w:sectPr>
          <w:pgSz w:w="11900" w:h="16838" w:orient="portrait"/>
          <w:cols w:equalWidth="0" w:num="1">
            <w:col w:w="10120"/>
          </w:cols>
          <w:pgMar w:left="1440" w:top="1426" w:right="339" w:bottom="1440" w:gutter="0" w:footer="0" w:header="0"/>
        </w:sectPr>
      </w:pPr>
    </w:p>
    <w:bookmarkStart w:id="124" w:name="page125"/>
    <w:bookmarkEnd w:id="124"/>
    <w:p>
      <w:pPr>
        <w:jc w:val="both"/>
        <w:ind w:left="1300"/>
        <w:spacing w:after="0" w:line="282" w:lineRule="auto"/>
        <w:rPr>
          <w:sz w:val="20"/>
          <w:szCs w:val="20"/>
          <w:color w:val="auto"/>
        </w:rPr>
      </w:pPr>
      <w:r>
        <w:rPr>
          <w:rFonts w:ascii="Times New Roman" w:cs="Times New Roman" w:eastAsia="Times New Roman" w:hAnsi="Times New Roman"/>
          <w:sz w:val="20"/>
          <w:szCs w:val="20"/>
          <w:color w:val="auto"/>
        </w:rPr>
        <w:t>Obligations owed by the Company or any other Loan Party, except, in the case of clause (y), to the extent such erroneous Payment is, and solely with respect to the amount of such erroneous Payment that is, comprised of funds received by the Administrative Agent from the Company or any other Loan Party for the purposes of satisfying an Obligation.</w:t>
      </w:r>
    </w:p>
    <w:p>
      <w:pPr>
        <w:spacing w:after="0" w:line="175" w:lineRule="exact"/>
        <w:rPr>
          <w:sz w:val="20"/>
          <w:szCs w:val="20"/>
          <w:color w:val="auto"/>
        </w:rPr>
      </w:pPr>
    </w:p>
    <w:p>
      <w:pPr>
        <w:jc w:val="both"/>
        <w:ind w:left="1300" w:firstLine="652"/>
        <w:spacing w:after="0" w:line="282" w:lineRule="auto"/>
        <w:tabs>
          <w:tab w:leader="none" w:pos="2593" w:val="left"/>
        </w:tabs>
        <w:numPr>
          <w:ilvl w:val="1"/>
          <w:numId w:val="15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party’s obligations under this Section 8.06(c) shall survive the resignation or replacement of the Administrative Agent or any transfer of rights or obligations by, or the replacement of, a Lender, the termination of the Commitments or the repayment, satisfaction or discharge of all Obligations under any Loan Document.</w:t>
      </w:r>
    </w:p>
    <w:p>
      <w:pPr>
        <w:spacing w:after="0" w:line="174" w:lineRule="exact"/>
        <w:rPr>
          <w:rFonts w:ascii="Times New Roman" w:cs="Times New Roman" w:eastAsia="Times New Roman" w:hAnsi="Times New Roman"/>
          <w:sz w:val="20"/>
          <w:szCs w:val="20"/>
          <w:color w:val="010000"/>
        </w:rPr>
      </w:pPr>
    </w:p>
    <w:p>
      <w:pPr>
        <w:jc w:val="both"/>
        <w:ind w:firstLine="1304"/>
        <w:spacing w:after="0" w:line="270" w:lineRule="auto"/>
        <w:tabs>
          <w:tab w:leader="none" w:pos="1832" w:val="left"/>
        </w:tabs>
        <w:numPr>
          <w:ilvl w:val="0"/>
          <w:numId w:val="15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Lenders acknowledge that there may be a constant flow of information (including information which may be subject to confidentiality obligations in favor of the Loan Parties) between the Loan Parties and their Affiliates, on the one hand, and JPMorgan Chase Bank, N.A. and J.P. Morgan SE and their respective Affiliates, on the other hand. Without limiting the foregoing, the Loan Parties or their Affiliates may provide information, including updates to previously provided information to JPMorgan Chase Bank, N.A. and J.P. Morgan SE and/or their respective Affiliates acting in different capacities, including as Lender, lead bank, arranger or potential securities investor, independent of such entities’ role as administrative agent hereunder. The Lenders acknowledge that neither JPMorgan Chase Bank, N.A. and J.P. Morgan SE nor their respective Affiliates shall be under any obligation to provide any of the foregoing information to them. Notwithstanding anything to the contrary set forth herein or in any other Loan Document, except for notices, reports and other documents expressly required to be furnished to the Lenders by the Administrative Agent herein, the Administrative Agent shall not have any duty or responsibility to provide, and shall not be liable for the failure to provide, any Lender with any credit or other information concerning the Loans, the Lenders, the business, prospects, operations, property, financial and other condition or creditworthiness of any of the Loan Parties or any of their respective Affiliates that is communicated to, obtained by, or in the possession of, the Administrative Agent or any of its Affiliates in any capacity, including any information obtained by the Administrative Agent in the course of communications among the Administrative Agent and any Loan Party, any Affiliate thereof or any other Person. Notwithstanding the foregoing, any such information may (but shall not be required to) be shared by the Administrative Agent with one or more Lenders, or any formal or informal committee or ad hoc group of such Lenders, including at the direction of a Loan Party.</w:t>
      </w:r>
    </w:p>
    <w:p>
      <w:pPr>
        <w:spacing w:after="0" w:line="180" w:lineRule="exact"/>
        <w:rPr>
          <w:sz w:val="20"/>
          <w:szCs w:val="20"/>
          <w:color w:val="auto"/>
        </w:rPr>
      </w:pPr>
    </w:p>
    <w:p>
      <w:pPr>
        <w:ind w:left="1300"/>
        <w:spacing w:after="0"/>
        <w:tabs>
          <w:tab w:leader="none" w:pos="2760" w:val="left"/>
        </w:tabs>
        <w:rPr>
          <w:sz w:val="20"/>
          <w:szCs w:val="20"/>
          <w:color w:val="auto"/>
        </w:rPr>
      </w:pPr>
      <w:r>
        <w:rPr>
          <w:rFonts w:ascii="Times New Roman" w:cs="Times New Roman" w:eastAsia="Times New Roman" w:hAnsi="Times New Roman"/>
          <w:sz w:val="20"/>
          <w:szCs w:val="20"/>
          <w:color w:val="010000"/>
        </w:rPr>
        <w:t>SECTION 8.07.</w:t>
      </w:r>
      <w:r>
        <w:rPr>
          <w:sz w:val="20"/>
          <w:szCs w:val="20"/>
          <w:color w:val="auto"/>
        </w:rPr>
        <w:tab/>
      </w:r>
      <w:r>
        <w:rPr>
          <w:rFonts w:ascii="Times New Roman" w:cs="Times New Roman" w:eastAsia="Times New Roman" w:hAnsi="Times New Roman"/>
          <w:sz w:val="19"/>
          <w:szCs w:val="19"/>
          <w:u w:val="single" w:color="auto"/>
          <w:color w:val="auto"/>
        </w:rPr>
        <w:t>Certain ERISA Matters</w:t>
      </w:r>
      <w:r>
        <w:rPr>
          <w:rFonts w:ascii="Times New Roman" w:cs="Times New Roman" w:eastAsia="Times New Roman" w:hAnsi="Times New Roman"/>
          <w:sz w:val="19"/>
          <w:szCs w:val="19"/>
          <w:color w:val="auto"/>
        </w:rPr>
        <w:t>.</w:t>
      </w:r>
    </w:p>
    <w:p>
      <w:pPr>
        <w:spacing w:after="0" w:line="28" w:lineRule="exact"/>
        <w:rPr>
          <w:sz w:val="20"/>
          <w:szCs w:val="20"/>
          <w:color w:val="auto"/>
        </w:rPr>
      </w:pPr>
    </w:p>
    <w:p>
      <w:pPr>
        <w:jc w:val="both"/>
        <w:ind w:firstLine="1304"/>
        <w:spacing w:after="0" w:line="276" w:lineRule="auto"/>
        <w:tabs>
          <w:tab w:leader="none" w:pos="1848" w:val="left"/>
        </w:tabs>
        <w:numPr>
          <w:ilvl w:val="0"/>
          <w:numId w:val="15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the Arrangers and their respective Affiliates, and not, for the avoidance of doubt, to or for the benefit of the Borrowers, that at least one of the following is and will be true:</w:t>
      </w:r>
    </w:p>
    <w:p>
      <w:pPr>
        <w:spacing w:after="0" w:line="168" w:lineRule="exact"/>
        <w:rPr>
          <w:rFonts w:ascii="Times New Roman" w:cs="Times New Roman" w:eastAsia="Times New Roman" w:hAnsi="Times New Roman"/>
          <w:sz w:val="20"/>
          <w:szCs w:val="20"/>
          <w:color w:val="010000"/>
        </w:rPr>
      </w:pPr>
    </w:p>
    <w:p>
      <w:pPr>
        <w:ind w:left="660" w:firstLine="1292"/>
        <w:spacing w:after="0" w:line="297" w:lineRule="auto"/>
        <w:tabs>
          <w:tab w:leader="none" w:pos="2435" w:val="left"/>
        </w:tabs>
        <w:numPr>
          <w:ilvl w:val="1"/>
          <w:numId w:val="15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such Lender is not using “plan assets” (within the meaning of the Plan Asset Regulations) of one or more Benefit Plans in connection with the Loans, the Letters of Credit or the Commitments,</w:t>
      </w:r>
    </w:p>
    <w:p>
      <w:pPr>
        <w:spacing w:after="0" w:line="159" w:lineRule="exact"/>
        <w:rPr>
          <w:rFonts w:ascii="Times New Roman" w:cs="Times New Roman" w:eastAsia="Times New Roman" w:hAnsi="Times New Roman"/>
          <w:sz w:val="20"/>
          <w:szCs w:val="20"/>
          <w:color w:val="010000"/>
        </w:rPr>
      </w:pPr>
    </w:p>
    <w:p>
      <w:pPr>
        <w:jc w:val="both"/>
        <w:ind w:left="660" w:firstLine="1292"/>
        <w:spacing w:after="0" w:line="282" w:lineRule="auto"/>
        <w:tabs>
          <w:tab w:leader="none" w:pos="2463" w:val="left"/>
        </w:tabs>
        <w:numPr>
          <w:ilvl w:val="1"/>
          <w:numId w:val="15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transaction exemption set forth in one or more PTEs, such as PTE 84-14 (a class exemption for certain transactions determined by independent qualified professional asset managers), PTE 95-60 (a class exemption for certain transactions involving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116</w:t>
      </w:r>
    </w:p>
    <w:p>
      <w:pPr>
        <w:sectPr>
          <w:pgSz w:w="11900" w:h="16838" w:orient="portrait"/>
          <w:cols w:equalWidth="0" w:num="1">
            <w:col w:w="11240"/>
          </w:cols>
          <w:pgMar w:left="320" w:top="1426" w:right="339" w:bottom="1440" w:gutter="0" w:footer="0" w:header="0"/>
        </w:sectPr>
      </w:pPr>
    </w:p>
    <w:bookmarkStart w:id="125" w:name="page126"/>
    <w:bookmarkEnd w:id="125"/>
    <w:p>
      <w:pPr>
        <w:jc w:val="both"/>
        <w:ind w:left="660"/>
        <w:spacing w:after="0" w:line="275" w:lineRule="auto"/>
        <w:rPr>
          <w:sz w:val="20"/>
          <w:szCs w:val="20"/>
          <w:color w:val="auto"/>
        </w:rPr>
      </w:pPr>
      <w:r>
        <w:rPr>
          <w:rFonts w:ascii="Times New Roman" w:cs="Times New Roman" w:eastAsia="Times New Roman" w:hAnsi="Times New Roman"/>
          <w:sz w:val="20"/>
          <w:szCs w:val="20"/>
          <w:color w:val="auto"/>
        </w:rPr>
        <w:t>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81" w:lineRule="exact"/>
        <w:rPr>
          <w:sz w:val="20"/>
          <w:szCs w:val="20"/>
          <w:color w:val="auto"/>
        </w:rPr>
      </w:pPr>
    </w:p>
    <w:p>
      <w:pPr>
        <w:jc w:val="both"/>
        <w:ind w:left="660" w:firstLine="1292"/>
        <w:spacing w:after="0" w:line="272" w:lineRule="auto"/>
        <w:tabs>
          <w:tab w:leader="none" w:pos="2531" w:val="left"/>
        </w:tabs>
        <w:numPr>
          <w:ilvl w:val="2"/>
          <w:numId w:val="15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w:t>
      </w:r>
    </w:p>
    <w:p>
      <w:pPr>
        <w:spacing w:after="0" w:line="1" w:lineRule="exact"/>
        <w:rPr>
          <w:rFonts w:ascii="Times New Roman" w:cs="Times New Roman" w:eastAsia="Times New Roman" w:hAnsi="Times New Roman"/>
          <w:sz w:val="20"/>
          <w:szCs w:val="20"/>
          <w:color w:val="010000"/>
        </w:rPr>
      </w:pPr>
    </w:p>
    <w:p>
      <w:pPr>
        <w:jc w:val="both"/>
        <w:ind w:left="660" w:hanging="4"/>
        <w:spacing w:after="0" w:line="277" w:lineRule="auto"/>
        <w:tabs>
          <w:tab w:leader="none" w:pos="985"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80" w:lineRule="exact"/>
        <w:rPr>
          <w:rFonts w:ascii="Times New Roman" w:cs="Times New Roman" w:eastAsia="Times New Roman" w:hAnsi="Times New Roman"/>
          <w:sz w:val="20"/>
          <w:szCs w:val="20"/>
          <w:color w:val="auto"/>
        </w:rPr>
      </w:pPr>
    </w:p>
    <w:p>
      <w:pPr>
        <w:ind w:left="660" w:firstLine="1292"/>
        <w:spacing w:after="0" w:line="297" w:lineRule="auto"/>
        <w:tabs>
          <w:tab w:leader="none" w:pos="2534" w:val="left"/>
        </w:tabs>
        <w:numPr>
          <w:ilvl w:val="2"/>
          <w:numId w:val="15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such other representation, warranty and covenant as may be agreed in writing between the Administrative Agent, in its sole discretion, and such Lender.</w:t>
      </w:r>
    </w:p>
    <w:p>
      <w:pPr>
        <w:spacing w:after="0" w:line="159" w:lineRule="exact"/>
        <w:rPr>
          <w:rFonts w:ascii="Times New Roman" w:cs="Times New Roman" w:eastAsia="Times New Roman" w:hAnsi="Times New Roman"/>
          <w:sz w:val="20"/>
          <w:szCs w:val="20"/>
          <w:color w:val="010000"/>
        </w:rPr>
      </w:pPr>
    </w:p>
    <w:p>
      <w:pPr>
        <w:jc w:val="both"/>
        <w:ind w:firstLine="1304"/>
        <w:spacing w:after="0" w:line="288" w:lineRule="auto"/>
        <w:tabs>
          <w:tab w:leader="none" w:pos="1724" w:val="left"/>
        </w:tabs>
        <w:numPr>
          <w:ilvl w:val="1"/>
          <w:numId w:val="15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In addition, unless sub-clause (i) in the immediately preceding clause (a) is true with respect to a Lender or such Lender has provided another representation, warranty and covenant as provided in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the Arrangers and any of their respective Affiliates, and not, for the avoidance of doubt, to or for the benefit of the Borrowers or any other Loan Party, that none of the Administrative Agent, or the Arrangers, any Co-Syndication Agent, any Co-Documentation Agent or any of their respective Affiliates is a fiduciary with respect to the assets of such Lender (including in connection with the reservation or exercise of any rights by the Administrative Agent under this Agreement, any Loan Document or any documents related hereto or thereto).</w:t>
      </w:r>
    </w:p>
    <w:p>
      <w:pPr>
        <w:spacing w:after="0" w:line="157" w:lineRule="exact"/>
        <w:rPr>
          <w:rFonts w:ascii="Times New Roman" w:cs="Times New Roman" w:eastAsia="Times New Roman" w:hAnsi="Times New Roman"/>
          <w:sz w:val="19"/>
          <w:szCs w:val="19"/>
          <w:color w:val="010000"/>
        </w:rPr>
      </w:pPr>
    </w:p>
    <w:p>
      <w:pPr>
        <w:jc w:val="both"/>
        <w:ind w:firstLine="1304"/>
        <w:spacing w:after="0" w:line="272" w:lineRule="auto"/>
        <w:tabs>
          <w:tab w:leader="none" w:pos="1754" w:val="left"/>
        </w:tabs>
        <w:numPr>
          <w:ilvl w:val="1"/>
          <w:numId w:val="15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Administrative Agent and each Arranger, each Co-Syndication Agent and each Co-Documentation Agent hereby informs the Lenders that each such Person is not undertaking to provide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Letters of Credit, the Commitments, this Agreement and any other Loan Documents, (ii) may recognize a gain if it extended the Loans, the Letters of Credit or the Commitments for an amount less than the amount being paid for an interest in the Loans, the Letters of Credit or the Commitments by such Lender or (iii) may receive fees or other payments in connection with the transactions contemplated hereby, the Loan Documents or otherwise, including structuring fees, commitment fees, arrangement fees, facility fees, commitment fees, upfront fees, underwriting fees, ticking fees, agency fees, administrative agent fees, utilization fees, minimum usage fees, letter of credit fees, fronting fees, deal-away or alternate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117</w:t>
      </w:r>
    </w:p>
    <w:p>
      <w:pPr>
        <w:sectPr>
          <w:pgSz w:w="11900" w:h="16838" w:orient="portrait"/>
          <w:cols w:equalWidth="0" w:num="1">
            <w:col w:w="11240"/>
          </w:cols>
          <w:pgMar w:left="320" w:top="1426" w:right="339" w:bottom="1440" w:gutter="0" w:footer="0" w:header="0"/>
        </w:sectPr>
      </w:pPr>
    </w:p>
    <w:bookmarkStart w:id="126" w:name="page127"/>
    <w:bookmarkEnd w:id="126"/>
    <w:p>
      <w:pPr>
        <w:jc w:val="both"/>
        <w:spacing w:after="0" w:line="297" w:lineRule="auto"/>
        <w:rPr>
          <w:sz w:val="20"/>
          <w:szCs w:val="20"/>
          <w:color w:val="auto"/>
        </w:rPr>
      </w:pPr>
      <w:r>
        <w:rPr>
          <w:rFonts w:ascii="Times New Roman" w:cs="Times New Roman" w:eastAsia="Times New Roman" w:hAnsi="Times New Roman"/>
          <w:sz w:val="20"/>
          <w:szCs w:val="20"/>
          <w:color w:val="auto"/>
        </w:rPr>
        <w:t>transaction fees, amendment fees, processing fees, term out premiums, banker’s acceptance fees, breakage or other early termination fees or fees similar to the foregoing.</w:t>
      </w:r>
    </w:p>
    <w:p>
      <w:pPr>
        <w:spacing w:after="0" w:line="146"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20"/>
          <w:szCs w:val="20"/>
          <w:color w:val="010000"/>
        </w:rPr>
        <w:t xml:space="preserve">SECTION 8.08. </w:t>
      </w:r>
      <w:r>
        <w:rPr>
          <w:rFonts w:ascii="Times New Roman" w:cs="Times New Roman" w:eastAsia="Times New Roman" w:hAnsi="Times New Roman"/>
          <w:sz w:val="20"/>
          <w:szCs w:val="20"/>
          <w:u w:val="single" w:color="auto"/>
          <w:color w:val="000000"/>
        </w:rPr>
        <w:t>Borrower Communications</w:t>
      </w:r>
      <w:r>
        <w:rPr>
          <w:rFonts w:ascii="Times New Roman" w:cs="Times New Roman" w:eastAsia="Times New Roman" w:hAnsi="Times New Roman"/>
          <w:sz w:val="20"/>
          <w:szCs w:val="20"/>
          <w:color w:val="000000"/>
        </w:rPr>
        <w:t>. The Administrative Agent, the Lenders and the Issuing Banks agree that the</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Borrowers may, but shall not be obligated to, make any Borrower Communications to the Administrative Agent through an electronic platform chosen by the Administrative Agent to be its electronic transmission system (the “</w:t>
      </w:r>
      <w:r>
        <w:rPr>
          <w:rFonts w:ascii="Times New Roman" w:cs="Times New Roman" w:eastAsia="Times New Roman" w:hAnsi="Times New Roman"/>
          <w:sz w:val="20"/>
          <w:szCs w:val="20"/>
          <w:u w:val="single" w:color="auto"/>
          <w:color w:val="000000"/>
        </w:rPr>
        <w:t>Approved Borrower Portal</w:t>
      </w:r>
      <w:r>
        <w:rPr>
          <w:rFonts w:ascii="Times New Roman" w:cs="Times New Roman" w:eastAsia="Times New Roman" w:hAnsi="Times New Roman"/>
          <w:sz w:val="20"/>
          <w:szCs w:val="20"/>
          <w:color w:val="000000"/>
        </w:rPr>
        <w:t>”).</w:t>
      </w:r>
    </w:p>
    <w:p>
      <w:pPr>
        <w:spacing w:after="0" w:line="1" w:lineRule="exact"/>
        <w:rPr>
          <w:sz w:val="20"/>
          <w:szCs w:val="20"/>
          <w:color w:val="auto"/>
        </w:rPr>
      </w:pPr>
    </w:p>
    <w:p>
      <w:pPr>
        <w:jc w:val="both"/>
        <w:ind w:left="660" w:firstLine="644"/>
        <w:spacing w:after="0" w:line="271" w:lineRule="auto"/>
        <w:tabs>
          <w:tab w:leader="none" w:pos="1833" w:val="left"/>
        </w:tabs>
        <w:numPr>
          <w:ilvl w:val="0"/>
          <w:numId w:val="16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Although the Approved Borrower Portal and its primary web portal are secured with generally-applicable security procedures and policies implemented or modified by the Administrative Agent from time to time (including, as of the Restatement Effective Date, a user ID/password authorization system), each of the Lenders, each of the Issuing Banks and each of the Borrowers acknowledges and agrees that the distribution of material through an electronic medium is not necessarily secure, that the Administrative Agent is not responsible for approving or vetting the representatives or contacts of any Borrower that are added to the Approved Borrower Portal, and that there may be confidentiality and other risks associated with such distribution. Each of the Lenders, each of the Issuing Banks and each of the Borrowers hereby approves distribution of Borrower Communications through the Approved Borrower Portal and understands and assumes the risks of such distribution.</w:t>
      </w:r>
    </w:p>
    <w:p>
      <w:pPr>
        <w:spacing w:after="0" w:line="161" w:lineRule="exact"/>
        <w:rPr>
          <w:rFonts w:ascii="Times New Roman" w:cs="Times New Roman" w:eastAsia="Times New Roman" w:hAnsi="Times New Roman"/>
          <w:sz w:val="20"/>
          <w:szCs w:val="20"/>
          <w:color w:val="010000"/>
        </w:rPr>
      </w:pPr>
    </w:p>
    <w:p>
      <w:pPr>
        <w:jc w:val="both"/>
        <w:ind w:left="660" w:firstLine="644"/>
        <w:spacing w:after="0" w:line="250" w:lineRule="auto"/>
        <w:tabs>
          <w:tab w:leader="none" w:pos="1804" w:val="left"/>
        </w:tabs>
        <w:numPr>
          <w:ilvl w:val="0"/>
          <w:numId w:val="16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APPROVED BORROWER PORTAL IS PROVIDED “AS IS” AND “AS AVAILABLE”. THE APPLICABLE PARTIES DO NOT WARRANT THE ACCURACY OR COMPLETENESS OF THE BORROWER COMMUNICATIONS, OR THE ADEQUACY OF THE APPROVED BORROWER PORTAL AND EXPRESSLY DISCLAIM LIABILITY FOR ERRORS OR OMISSIONS IN THE APPROVED BORROWER PORTAL AND THE BORROWER COMMUNICATIONS. NO WARRANTY OF ANY KIND, EXPRESS, IMPLIED OR STATUTORY, INCLUDING ANY WARRANTY OF MERCHANTABILITY, FITNESS FOR A PARTICULAR PURPOSE, NON-INFRINGEMENT OF THIRD PARTY RIGHTS OR FREEDOM FROM VIRUSES OR OTHER CODE DEFECTS, IS MADE BY THE APPLICABLE PARTIES IN CONNECTION WITH THE BORROWER COMMUNICATIONS OR THE APPROVED BORROWER PORTAL. IN NO EVENT SHALL THE APPLICABLE PARTIES HAVE ANY LIABILITY TO ANY LOAN PARTY, ANY LENDER, ANY ISSUING BANK OR ANY OTHER PERSON OR ENTITY FOR DAMAGES OF ANY KIND, INCLUDING DIRECT OR INDIRECT, SPECIAL, INCIDENTAL OR CONSEQUENTIAL DAMAGES, LOSSES OR EXPENSES (WHETHER IN TORT, CONTRACT OR OTHERWISE) ARISING OUT OF THE BORROWER’S TRANSMISSION OF BORROWER COMMUNICATIONS THROUGH THE INTERNET OR THE APPROVED BORROWER PORTAL.</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Borrower Communications</w:t>
      </w:r>
      <w:r>
        <w:rPr>
          <w:rFonts w:ascii="Times New Roman" w:cs="Times New Roman" w:eastAsia="Times New Roman" w:hAnsi="Times New Roman"/>
          <w:sz w:val="20"/>
          <w:szCs w:val="20"/>
          <w:color w:val="auto"/>
        </w:rPr>
        <w:t>” means, collectively, any Borrowing Request, Interest Election Request, notice of prepayment, notice requesting the issuance, amendment or extension of a Letter of Credit or other notice, demand, communication, information, document or other material provided by or on behalf of any Loan Party pursuant to any Loan Document or the transactions contemplated therein which is distributed by any Borrower to the Administrative Agent through an Approved Borrower Portal.</w:t>
      </w:r>
    </w:p>
    <w:p>
      <w:pPr>
        <w:spacing w:after="0" w:line="133" w:lineRule="exact"/>
        <w:rPr>
          <w:sz w:val="20"/>
          <w:szCs w:val="20"/>
          <w:color w:val="auto"/>
        </w:rPr>
      </w:pPr>
    </w:p>
    <w:p>
      <w:pPr>
        <w:jc w:val="both"/>
        <w:ind w:left="660" w:firstLine="644"/>
        <w:spacing w:after="0" w:line="230" w:lineRule="auto"/>
        <w:tabs>
          <w:tab w:leader="none" w:pos="1766" w:val="left"/>
        </w:tabs>
        <w:numPr>
          <w:ilvl w:val="0"/>
          <w:numId w:val="16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of the Lenders, each of the Issuing Banks and each of the Borrowers agrees that the Administrative Agent may, but (except as may be required by applicable law) shall not be obligated to, store the Borrower Communications on the Approved Borrower Portal in accordance with the Administrative Agent’s generally applicable document retention procedures and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118</w:t>
      </w:r>
    </w:p>
    <w:p>
      <w:pPr>
        <w:sectPr>
          <w:pgSz w:w="11900" w:h="16838" w:orient="portrait"/>
          <w:cols w:equalWidth="0" w:num="1">
            <w:col w:w="11240"/>
          </w:cols>
          <w:pgMar w:left="320" w:top="1426" w:right="339" w:bottom="1440" w:gutter="0" w:footer="0" w:header="0"/>
        </w:sectPr>
      </w:pPr>
    </w:p>
    <w:bookmarkStart w:id="127" w:name="page128"/>
    <w:bookmarkEnd w:id="127"/>
    <w:p>
      <w:pPr>
        <w:ind w:left="660" w:firstLine="644"/>
        <w:spacing w:after="0"/>
        <w:tabs>
          <w:tab w:leader="none" w:pos="1790" w:val="left"/>
        </w:tabs>
        <w:numPr>
          <w:ilvl w:val="0"/>
          <w:numId w:val="16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Nothing herein shall prejudice the right of any Borrower to give any notice or other communication pursuant to any Loan Document in any other manner specified in such Loan Document.</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010000"/>
        </w:rPr>
        <w:t>ARTICLE IX</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Miscellaneous</w:t>
      </w:r>
    </w:p>
    <w:p>
      <w:pPr>
        <w:spacing w:after="0" w:line="175" w:lineRule="exact"/>
        <w:rPr>
          <w:sz w:val="20"/>
          <w:szCs w:val="20"/>
          <w:color w:val="auto"/>
        </w:rPr>
      </w:pPr>
    </w:p>
    <w:p>
      <w:pPr>
        <w:jc w:val="both"/>
        <w:ind w:firstLine="1296"/>
        <w:spacing w:after="0" w:line="214" w:lineRule="auto"/>
        <w:rPr>
          <w:sz w:val="20"/>
          <w:szCs w:val="20"/>
          <w:color w:val="auto"/>
        </w:rPr>
      </w:pPr>
      <w:r>
        <w:rPr>
          <w:rFonts w:ascii="Times New Roman" w:cs="Times New Roman" w:eastAsia="Times New Roman" w:hAnsi="Times New Roman"/>
          <w:sz w:val="20"/>
          <w:szCs w:val="20"/>
          <w:color w:val="010000"/>
        </w:rPr>
        <w:t xml:space="preserve">SECTION 9.01. </w:t>
      </w:r>
      <w:r>
        <w:rPr>
          <w:rFonts w:ascii="Times New Roman" w:cs="Times New Roman" w:eastAsia="Times New Roman" w:hAnsi="Times New Roman"/>
          <w:sz w:val="20"/>
          <w:szCs w:val="20"/>
          <w:u w:val="single" w:color="auto"/>
          <w:color w:val="000000"/>
        </w:rPr>
        <w:t>Notices</w:t>
      </w:r>
      <w:r>
        <w:rPr>
          <w:rFonts w:ascii="Times New Roman" w:cs="Times New Roman" w:eastAsia="Times New Roman" w:hAnsi="Times New Roman"/>
          <w:sz w:val="20"/>
          <w:szCs w:val="20"/>
          <w:color w:val="000000"/>
        </w:rPr>
        <w:t>. Except in the case of notices and other communications expressly permitted to be given by</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telephone (and subject to paragraph (b) below), all notices and other communications provided for herein shall be in writing and shall be delivered by hand or overnight courier service, mailed by certified or registered mail or sent by telecopy or email, as follows:</w:t>
      </w:r>
    </w:p>
    <w:p>
      <w:pPr>
        <w:spacing w:after="0" w:line="1" w:lineRule="exact"/>
        <w:rPr>
          <w:sz w:val="20"/>
          <w:szCs w:val="20"/>
          <w:color w:val="auto"/>
        </w:rPr>
      </w:pPr>
    </w:p>
    <w:p>
      <w:pPr>
        <w:jc w:val="both"/>
        <w:ind w:left="1300" w:firstLine="652"/>
        <w:spacing w:after="0" w:line="214" w:lineRule="auto"/>
        <w:tabs>
          <w:tab w:leader="none" w:pos="2333" w:val="left"/>
        </w:tabs>
        <w:numPr>
          <w:ilvl w:val="0"/>
          <w:numId w:val="16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if to any Borrower, to it c/o the Company, 1100 Cassatt Road, Berwyn, Pennsylvania 19312, Attention of Kevin Coleman, Vice President, Investor Relations and Treasurer (Telecopy No. 215-323-9350; Telephone No. 610-889-5247), with a copy (in the case of a notice of an actual or potential Default, Event of Default, non-compliance with this Agreement or any other similar matter) to (which copy shall not constitute notice): Morgan, Lewis &amp; Bockius LLP, 2222 Market Street, Philadelphia, Pennsylvania 19103, Attention of Andrew Budreika, (Telecopy No. (215) 963-5493; Telephone No. (215) 963-5493, Email: andrew.budreika@morganlewis.com);</w:t>
      </w:r>
    </w:p>
    <w:p>
      <w:pPr>
        <w:spacing w:after="0" w:line="151" w:lineRule="exact"/>
        <w:rPr>
          <w:rFonts w:ascii="Times New Roman" w:cs="Times New Roman" w:eastAsia="Times New Roman" w:hAnsi="Times New Roman"/>
          <w:sz w:val="20"/>
          <w:szCs w:val="20"/>
          <w:color w:val="010000"/>
        </w:rPr>
      </w:pPr>
    </w:p>
    <w:p>
      <w:pPr>
        <w:ind w:left="1300" w:right="20" w:firstLine="652"/>
        <w:spacing w:after="0"/>
        <w:tabs>
          <w:tab w:leader="none" w:pos="2428" w:val="left"/>
        </w:tabs>
        <w:numPr>
          <w:ilvl w:val="0"/>
          <w:numId w:val="16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if to the Administrative Agent from any Borrower, to the address or addresses, telecopy and email separately provided by the Administrative Agent to the Company;</w:t>
      </w:r>
    </w:p>
    <w:p>
      <w:pPr>
        <w:spacing w:after="0" w:line="161" w:lineRule="exact"/>
        <w:rPr>
          <w:rFonts w:ascii="Times New Roman" w:cs="Times New Roman" w:eastAsia="Times New Roman" w:hAnsi="Times New Roman"/>
          <w:sz w:val="20"/>
          <w:szCs w:val="20"/>
          <w:color w:val="010000"/>
        </w:rPr>
      </w:pPr>
    </w:p>
    <w:p>
      <w:pPr>
        <w:ind w:left="1300" w:right="20" w:firstLine="652"/>
        <w:spacing w:after="0" w:line="233" w:lineRule="auto"/>
        <w:tabs>
          <w:tab w:leader="none" w:pos="2442" w:val="left"/>
        </w:tabs>
        <w:numPr>
          <w:ilvl w:val="0"/>
          <w:numId w:val="16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if to the Administrative Agent from the Lenders, to it at JPMorgan Chase Bank, N.A. and J.P. Morgan SE, 131 South Dearborn Street, Floor 04, Chicago, Illinois, 60603-5506, Attention: Loan and Agency Servicing;</w:t>
      </w:r>
    </w:p>
    <w:p>
      <w:pPr>
        <w:spacing w:after="0" w:line="160" w:lineRule="exact"/>
        <w:rPr>
          <w:rFonts w:ascii="Times New Roman" w:cs="Times New Roman" w:eastAsia="Times New Roman" w:hAnsi="Times New Roman"/>
          <w:sz w:val="20"/>
          <w:szCs w:val="20"/>
          <w:color w:val="010000"/>
        </w:rPr>
      </w:pPr>
    </w:p>
    <w:p>
      <w:pPr>
        <w:ind w:left="1300" w:firstLine="652"/>
        <w:spacing w:after="0" w:line="233" w:lineRule="auto"/>
        <w:tabs>
          <w:tab w:leader="none" w:pos="2458" w:val="left"/>
        </w:tabs>
        <w:numPr>
          <w:ilvl w:val="0"/>
          <w:numId w:val="16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if to an Issuing Bank, to it at the address, telecopy and email separately provided by such Issuing Bank to the Company for such purpose; and</w:t>
      </w:r>
    </w:p>
    <w:p>
      <w:pPr>
        <w:spacing w:after="0" w:line="160" w:lineRule="exact"/>
        <w:rPr>
          <w:rFonts w:ascii="Times New Roman" w:cs="Times New Roman" w:eastAsia="Times New Roman" w:hAnsi="Times New Roman"/>
          <w:sz w:val="20"/>
          <w:szCs w:val="20"/>
          <w:color w:val="010000"/>
        </w:rPr>
      </w:pPr>
    </w:p>
    <w:p>
      <w:pPr>
        <w:ind w:left="2380" w:hanging="428"/>
        <w:spacing w:after="0"/>
        <w:tabs>
          <w:tab w:leader="none" w:pos="2380" w:val="left"/>
        </w:tabs>
        <w:numPr>
          <w:ilvl w:val="0"/>
          <w:numId w:val="16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if to any other Lender, to it at its address, telecopy and email set forth in its Administrative Questionnaire.</w:t>
      </w:r>
    </w:p>
    <w:p>
      <w:pPr>
        <w:spacing w:after="0" w:line="189"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20"/>
          <w:szCs w:val="20"/>
          <w:color w:val="auto"/>
        </w:rPr>
        <w:t>Notices sent by hand or overnight courier service, or mailed by certified or registered mail, shall be deemed to have been given when received; notices sent by facsimile shall be deemed to have been given when sent (except that, if not given during normal business hours for</w:t>
      </w:r>
    </w:p>
    <w:p>
      <w:pPr>
        <w:spacing w:after="0" w:line="212" w:lineRule="auto"/>
        <w:rPr>
          <w:sz w:val="20"/>
          <w:szCs w:val="20"/>
          <w:color w:val="auto"/>
        </w:rPr>
      </w:pPr>
      <w:r>
        <w:rPr>
          <w:rFonts w:ascii="Times New Roman" w:cs="Times New Roman" w:eastAsia="Times New Roman" w:hAnsi="Times New Roman"/>
          <w:sz w:val="20"/>
          <w:szCs w:val="20"/>
          <w:color w:val="auto"/>
        </w:rPr>
        <w:t>the recipient, shall be deemed to have been given at the opening of business on the next business day for the recipient). Notices delivered</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through Approved Electronic Platforms or Approved Borrower Portals, to the extent provided in paragraph (b) below, shall be effective as provided in said paragraph (b).</w:t>
      </w:r>
    </w:p>
    <w:p>
      <w:pPr>
        <w:spacing w:after="0" w:line="121" w:lineRule="exact"/>
        <w:rPr>
          <w:sz w:val="20"/>
          <w:szCs w:val="20"/>
          <w:color w:val="auto"/>
        </w:rPr>
      </w:pPr>
    </w:p>
    <w:p>
      <w:pPr>
        <w:jc w:val="both"/>
        <w:ind w:left="660" w:firstLine="644"/>
        <w:spacing w:after="0" w:line="215" w:lineRule="auto"/>
        <w:tabs>
          <w:tab w:leader="none" w:pos="1804" w:val="left"/>
        </w:tabs>
        <w:numPr>
          <w:ilvl w:val="0"/>
          <w:numId w:val="16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Notices and other communications to any Loan Party, the Lenders, the Administrative Agent and the Issuing Banks hereunder may be delivered or furnished by using Approved Electronic Platforms or Approved Borrower Portals (as applicable), in each case, pursuant to procedures approved by the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foregoing shall not apply to notices pursuant to Article II unless otherwise agreed by the Administrative Agent and the applicable Lender. The Administrative Agent or the Company may, in its discretion, agree to accept notices and other communications to it hereunder by electronic communications pursuant to procedures approved by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approval of such procedures may be limited to particular notices or communications.</w:t>
      </w:r>
    </w:p>
    <w:p>
      <w:pPr>
        <w:spacing w:after="0" w:line="150" w:lineRule="exact"/>
        <w:rPr>
          <w:rFonts w:ascii="Times New Roman" w:cs="Times New Roman" w:eastAsia="Times New Roman" w:hAnsi="Times New Roman"/>
          <w:sz w:val="20"/>
          <w:szCs w:val="20"/>
          <w:color w:val="010000"/>
        </w:rPr>
      </w:pPr>
    </w:p>
    <w:p>
      <w:pPr>
        <w:jc w:val="both"/>
        <w:ind w:left="660" w:firstLine="644"/>
        <w:spacing w:after="0" w:line="217" w:lineRule="auto"/>
        <w:tabs>
          <w:tab w:leader="none" w:pos="1766" w:val="left"/>
        </w:tabs>
        <w:numPr>
          <w:ilvl w:val="0"/>
          <w:numId w:val="16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119</w:t>
      </w:r>
    </w:p>
    <w:p>
      <w:pPr>
        <w:sectPr>
          <w:pgSz w:w="11900" w:h="16838" w:orient="portrait"/>
          <w:cols w:equalWidth="0" w:num="1">
            <w:col w:w="11240"/>
          </w:cols>
          <w:pgMar w:left="320" w:top="1399" w:right="339" w:bottom="1440" w:gutter="0" w:footer="0" w:header="0"/>
        </w:sectPr>
      </w:pPr>
    </w:p>
    <w:bookmarkStart w:id="128" w:name="page129"/>
    <w:bookmarkEnd w:id="128"/>
    <w:p>
      <w:pPr>
        <w:ind w:left="660"/>
        <w:spacing w:after="0"/>
        <w:rPr>
          <w:sz w:val="20"/>
          <w:szCs w:val="20"/>
          <w:color w:val="auto"/>
        </w:rPr>
      </w:pPr>
      <w:r>
        <w:rPr>
          <w:rFonts w:ascii="Times New Roman" w:cs="Times New Roman" w:eastAsia="Times New Roman" w:hAnsi="Times New Roman"/>
          <w:sz w:val="20"/>
          <w:szCs w:val="20"/>
          <w:color w:val="auto"/>
        </w:rPr>
        <w:t xml:space="preserve">clause (i), of notification that such notice or communication is available and identifying the website address therefor;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w:t>
      </w:r>
    </w:p>
    <w:p>
      <w:pPr>
        <w:ind w:left="660"/>
        <w:spacing w:after="0" w:line="215" w:lineRule="auto"/>
        <w:rPr>
          <w:sz w:val="20"/>
          <w:szCs w:val="20"/>
          <w:color w:val="auto"/>
        </w:rPr>
      </w:pPr>
      <w:r>
        <w:rPr>
          <w:rFonts w:ascii="Times New Roman" w:cs="Times New Roman" w:eastAsia="Times New Roman" w:hAnsi="Times New Roman"/>
          <w:sz w:val="19"/>
          <w:szCs w:val="19"/>
          <w:color w:val="auto"/>
        </w:rPr>
        <w:t>for both clauses (i) and (ii) above, if such notice, email or other communication is not sent during the normal business hours of the recipient, such notice or communication shall be deemed to have been sent at the opening of business on the next business day for the</w:t>
      </w:r>
    </w:p>
    <w:p>
      <w:pPr>
        <w:ind w:left="660"/>
        <w:spacing w:after="0"/>
        <w:rPr>
          <w:sz w:val="20"/>
          <w:szCs w:val="20"/>
          <w:color w:val="auto"/>
        </w:rPr>
      </w:pPr>
      <w:r>
        <w:rPr>
          <w:rFonts w:ascii="Times New Roman" w:cs="Times New Roman" w:eastAsia="Times New Roman" w:hAnsi="Times New Roman"/>
          <w:sz w:val="20"/>
          <w:szCs w:val="20"/>
          <w:color w:val="auto"/>
        </w:rPr>
        <w:t>recipient.</w:t>
      </w:r>
    </w:p>
    <w:p>
      <w:pPr>
        <w:spacing w:after="0" w:line="140" w:lineRule="exact"/>
        <w:rPr>
          <w:sz w:val="20"/>
          <w:szCs w:val="20"/>
          <w:color w:val="auto"/>
        </w:rPr>
      </w:pPr>
    </w:p>
    <w:p>
      <w:pPr>
        <w:ind w:left="660" w:firstLine="644"/>
        <w:spacing w:after="0"/>
        <w:tabs>
          <w:tab w:leader="none" w:pos="1736" w:val="left"/>
        </w:tabs>
        <w:numPr>
          <w:ilvl w:val="0"/>
          <w:numId w:val="16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party hereto may change its address or telecopy number for notices and other communications hereunder by notice to the other parties hereto.</w:t>
      </w:r>
    </w:p>
    <w:p>
      <w:pPr>
        <w:spacing w:after="0" w:line="134" w:lineRule="exact"/>
        <w:rPr>
          <w:sz w:val="20"/>
          <w:szCs w:val="20"/>
          <w:color w:val="auto"/>
        </w:rPr>
      </w:pPr>
    </w:p>
    <w:p>
      <w:pPr>
        <w:ind w:firstLine="1296"/>
        <w:spacing w:after="0" w:line="234" w:lineRule="auto"/>
        <w:rPr>
          <w:sz w:val="20"/>
          <w:szCs w:val="20"/>
          <w:color w:val="auto"/>
        </w:rPr>
      </w:pPr>
      <w:r>
        <w:rPr>
          <w:rFonts w:ascii="Times New Roman" w:cs="Times New Roman" w:eastAsia="Times New Roman" w:hAnsi="Times New Roman"/>
          <w:sz w:val="19"/>
          <w:szCs w:val="19"/>
          <w:color w:val="010000"/>
        </w:rPr>
        <w:t xml:space="preserve">SECTION 9.02. </w:t>
      </w:r>
      <w:r>
        <w:rPr>
          <w:rFonts w:ascii="Times New Roman" w:cs="Times New Roman" w:eastAsia="Times New Roman" w:hAnsi="Times New Roman"/>
          <w:sz w:val="19"/>
          <w:szCs w:val="19"/>
          <w:u w:val="single" w:color="auto"/>
          <w:color w:val="000000"/>
        </w:rPr>
        <w:t>Waivers; Amendments</w:t>
      </w:r>
      <w:r>
        <w:rPr>
          <w:rFonts w:ascii="Times New Roman" w:cs="Times New Roman" w:eastAsia="Times New Roman" w:hAnsi="Times New Roman"/>
          <w:sz w:val="19"/>
          <w:szCs w:val="19"/>
          <w:color w:val="000000"/>
        </w:rPr>
        <w:t>. No failure or delay by the Administrative Agent, any Issuing Bank or any Lender</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in exercising any right or power hereunder or under any other Loan Document shall operate as a waiver thereof, nor shall any single or partial</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exercise of any such right or power, or any abandonment or discontinuance of steps to enforce such a right or power, preclude any other or further exercise thereof or the exercise of any other right or power. The rights and remedies of the Administrative Agent, the Issuing Banks</w:t>
      </w:r>
    </w:p>
    <w:p>
      <w:pPr>
        <w:spacing w:after="0" w:line="211" w:lineRule="auto"/>
        <w:rPr>
          <w:sz w:val="20"/>
          <w:szCs w:val="20"/>
          <w:color w:val="auto"/>
        </w:rPr>
      </w:pPr>
      <w:r>
        <w:rPr>
          <w:rFonts w:ascii="Times New Roman" w:cs="Times New Roman" w:eastAsia="Times New Roman" w:hAnsi="Times New Roman"/>
          <w:sz w:val="20"/>
          <w:szCs w:val="20"/>
          <w:color w:val="auto"/>
        </w:rPr>
        <w:t>and the Lenders hereunder and under the other Loan Documents are cumulative and are not exclusive of any rights or remedies that they</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would otherwise have. No waiver of any provision of this Agreement or consent to any departure by any Borrower therefrom shall in any event be effective unless the same shall be permitted by paragraph (b) of this Section, and then such waiver or consent shall be effective only</w:t>
      </w:r>
    </w:p>
    <w:p>
      <w:pPr>
        <w:spacing w:after="0" w:line="211" w:lineRule="auto"/>
        <w:rPr>
          <w:sz w:val="20"/>
          <w:szCs w:val="20"/>
          <w:color w:val="auto"/>
        </w:rPr>
      </w:pPr>
      <w:r>
        <w:rPr>
          <w:rFonts w:ascii="Times New Roman" w:cs="Times New Roman" w:eastAsia="Times New Roman" w:hAnsi="Times New Roman"/>
          <w:sz w:val="20"/>
          <w:szCs w:val="20"/>
          <w:color w:val="auto"/>
        </w:rPr>
        <w:t>in the specific instance and for the purpose for which given. Without limiting the generality of the foregoing, the making of a Loan or</w:t>
      </w:r>
    </w:p>
    <w:p>
      <w:pPr>
        <w:ind w:right="20"/>
        <w:spacing w:after="0" w:line="211" w:lineRule="auto"/>
        <w:rPr>
          <w:sz w:val="20"/>
          <w:szCs w:val="20"/>
          <w:color w:val="auto"/>
        </w:rPr>
      </w:pPr>
      <w:r>
        <w:rPr>
          <w:rFonts w:ascii="Times New Roman" w:cs="Times New Roman" w:eastAsia="Times New Roman" w:hAnsi="Times New Roman"/>
          <w:sz w:val="20"/>
          <w:szCs w:val="20"/>
          <w:color w:val="auto"/>
        </w:rPr>
        <w:t>issuance of a Letter of Credit shall not be construed as a waiver of any Default, regardless of whether the Administrative Agent, any Lender or any Issuing Bank may have had notice or knowledge of such Default at the time.</w:t>
      </w:r>
    </w:p>
    <w:p>
      <w:pPr>
        <w:spacing w:after="0" w:line="1" w:lineRule="exact"/>
        <w:rPr>
          <w:sz w:val="20"/>
          <w:szCs w:val="20"/>
          <w:color w:val="auto"/>
        </w:rPr>
      </w:pPr>
    </w:p>
    <w:p>
      <w:pPr>
        <w:jc w:val="both"/>
        <w:ind w:left="660" w:firstLine="644"/>
        <w:spacing w:after="0" w:line="260" w:lineRule="auto"/>
        <w:tabs>
          <w:tab w:leader="none" w:pos="1779" w:val="left"/>
        </w:tabs>
        <w:numPr>
          <w:ilvl w:val="1"/>
          <w:numId w:val="16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Except as provided in Section 2.21 with respect to an Incremental Term Loan Amendment or as provided in Section 2.14(b) and Section 2.14(c), neither this Agreement nor any provision hereof may be waived, amended or modified except pursuant to an agreement or agreements in writing entered into by the Borrowers and the Required Lenders or by the Borrowers and the Administrative Agent with the consent of the Required Lenders; provided that no such agreement shall (i) increase or extend the Commitment of any Lender without the written consent of such Lender, (ii) reduce the principal amount of any Loan or LC Disbursement or reduce the rate of interest thereon, or reduce any fees or other amounts payable hereunder, without the written consent of each Lender directly affected thereby (except that any amendment or modification of the financial covenants in this Agreement (or defined terms used in the financial covenants in this Agreement) shall not constitute a reduction in the rate of interest or fees or other amounts for purposes of this clause (ii)), (iii) postpone the scheduled date of payment of the principal amount of any Loan or LC Disbursement, or any interest thereon, or any fees or other amounts payable hereunder, or reduce the amount of, waive or excuse any such payment, or postpone the scheduled date of expiration of any Commitment, without the written consent of each Lender directly affected thereby, (iv) change Section 2.09(c) or Section 2.19(b) or (d) in a manner that would alter the ratable reduction of Commitments or the pro rata sharing of payments required thereby, without the written consent of each Lender,</w:t>
      </w:r>
    </w:p>
    <w:p>
      <w:pPr>
        <w:spacing w:after="0" w:line="7" w:lineRule="exact"/>
        <w:rPr>
          <w:rFonts w:ascii="Times New Roman" w:cs="Times New Roman" w:eastAsia="Times New Roman" w:hAnsi="Times New Roman"/>
          <w:sz w:val="19"/>
          <w:szCs w:val="19"/>
          <w:color w:val="010000"/>
        </w:rPr>
      </w:pPr>
    </w:p>
    <w:p>
      <w:pPr>
        <w:jc w:val="both"/>
        <w:ind w:left="660" w:hanging="4"/>
        <w:spacing w:after="0" w:line="248" w:lineRule="auto"/>
        <w:tabs>
          <w:tab w:leader="none" w:pos="957"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change the payment waterfall provisions of Section 2.25(b) without the written consent of each Lender, (vi) change any of the provisions of this Section or the definition of “Required Lenders” or any other provision hereof specifying the number or percentage of Lenders required to waive, amend or modify any rights hereunder or make any determination or grant any consent hereunder, without the written consent of each Lender (it being understood that, solely with the consent of the parties prescribed by Section 2.21 to be parties to an Incremental Term Loan Amendment, Incremental Term Loans may be included in the determination of Required Lenders on substantially the same basis as the Commitments and the Revolving Loans are included on the Restatement Effective Date) or (vii) release the Company from its obligations under </w:t>
      </w:r>
      <w:r>
        <w:rPr>
          <w:rFonts w:ascii="Times New Roman" w:cs="Times New Roman" w:eastAsia="Times New Roman" w:hAnsi="Times New Roman"/>
          <w:sz w:val="20"/>
          <w:szCs w:val="20"/>
          <w:u w:val="single" w:color="auto"/>
          <w:color w:val="auto"/>
        </w:rPr>
        <w:t>Article X</w:t>
      </w:r>
      <w:r>
        <w:rPr>
          <w:rFonts w:ascii="Times New Roman" w:cs="Times New Roman" w:eastAsia="Times New Roman" w:hAnsi="Times New Roman"/>
          <w:sz w:val="20"/>
          <w:szCs w:val="20"/>
          <w:color w:val="auto"/>
        </w:rPr>
        <w:t xml:space="preserve"> without the written consent of each Lender; provided further that no such agreement shall amend, modify or otherwise affect the rights or duties of the Administrative Agent or any Issuing Bank hereunder without the prior written consent of the Administrative Agent or such Issuing Bank, as the case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120</w:t>
      </w:r>
    </w:p>
    <w:p>
      <w:pPr>
        <w:sectPr>
          <w:pgSz w:w="11900" w:h="16838" w:orient="portrait"/>
          <w:cols w:equalWidth="0" w:num="1">
            <w:col w:w="11240"/>
          </w:cols>
          <w:pgMar w:left="320" w:top="1394" w:right="339" w:bottom="1440" w:gutter="0" w:footer="0" w:header="0"/>
        </w:sectPr>
      </w:pPr>
    </w:p>
    <w:bookmarkStart w:id="129" w:name="page130"/>
    <w:bookmarkEnd w:id="129"/>
    <w:p>
      <w:pPr>
        <w:jc w:val="both"/>
        <w:ind w:left="4"/>
        <w:spacing w:after="0" w:line="252" w:lineRule="auto"/>
        <w:rPr>
          <w:sz w:val="20"/>
          <w:szCs w:val="20"/>
          <w:color w:val="auto"/>
        </w:rPr>
      </w:pPr>
      <w:r>
        <w:rPr>
          <w:rFonts w:ascii="Times New Roman" w:cs="Times New Roman" w:eastAsia="Times New Roman" w:hAnsi="Times New Roman"/>
          <w:sz w:val="20"/>
          <w:szCs w:val="20"/>
          <w:color w:val="auto"/>
        </w:rPr>
        <w:t xml:space="preserve">may be (it being understood that any change to Section 2.25 shall require the consent of the Administrative Agent and each Issuing Bank);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further that no such agreement shall amend or modify the provisions of Section 2.06 or any letter of credit application and any bilateral agreement between the Company and any Issuing Bank regarding such Issuing Bank’s Letter of Credit Commitment or the respective rights and obligations between the Company and such Issuing Bank in connection with the issuance of Letters of Credit without the prior written consent of the Administrative Agent and such Issuing Bank, respectively. Notwithstanding the foregoing, no consent with respect to any amendment, waiver or other modification of this Agreement shall be required of any Defaulting Lender, except with respect to any amendment, waiver or other modification referred to in clause (i), (ii) or (iii) of the first proviso of this paragraph and then only in the event such Defaulting Lender shall be directly affected by such amendment, waiver or other modification.</w:t>
      </w:r>
    </w:p>
    <w:p>
      <w:pPr>
        <w:spacing w:after="0" w:line="162" w:lineRule="exact"/>
        <w:rPr>
          <w:sz w:val="20"/>
          <w:szCs w:val="20"/>
          <w:color w:val="auto"/>
        </w:rPr>
      </w:pPr>
    </w:p>
    <w:p>
      <w:pPr>
        <w:jc w:val="both"/>
        <w:ind w:left="4" w:firstLine="644"/>
        <w:spacing w:after="0" w:line="253" w:lineRule="auto"/>
        <w:tabs>
          <w:tab w:leader="none" w:pos="1188" w:val="left"/>
        </w:tabs>
        <w:numPr>
          <w:ilvl w:val="0"/>
          <w:numId w:val="16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Notwithstanding the foregoing, this Agreement and any other Loan Document may be amended (or amended and restated) with the written consent of the Required Lenders, the Administrative Agent and the Borrowers to each relevant Loan Document (x) to add one or more credit facilities (in addition to the Incremental Term Loans pursuant to an Incremental Term Loan Amendment) to this Agreement and to permit extensions of credit from time to time outstanding thereunder and the accrued interest and fees in respect thereof to share ratably in the benefits of this Agreement and the other Loan Documents with the Revolving Loans, the Incremental Term Loans and the accrued interest and fees in respect thereof and (y) to include appropriately the Lenders holding such credit facilities in any determination of the Required Lenders and Lenders.</w:t>
      </w:r>
    </w:p>
    <w:p>
      <w:pPr>
        <w:spacing w:after="0" w:line="165" w:lineRule="exact"/>
        <w:rPr>
          <w:rFonts w:ascii="Times New Roman" w:cs="Times New Roman" w:eastAsia="Times New Roman" w:hAnsi="Times New Roman"/>
          <w:sz w:val="20"/>
          <w:szCs w:val="20"/>
          <w:color w:val="010000"/>
        </w:rPr>
      </w:pPr>
    </w:p>
    <w:p>
      <w:pPr>
        <w:jc w:val="both"/>
        <w:ind w:left="4" w:firstLine="644"/>
        <w:spacing w:after="0" w:line="249" w:lineRule="auto"/>
        <w:tabs>
          <w:tab w:leader="none" w:pos="1137" w:val="left"/>
        </w:tabs>
        <w:numPr>
          <w:ilvl w:val="0"/>
          <w:numId w:val="16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If, in connection with any proposed amendment, waiver or consent requiring the consent of “each Lender” or “each Lender directly affected thereby,” the consent of the Required Lenders is obtained, but the consent of other necessary Lenders is not obtained (any such Lender whose consent is necessary but not obtained being referred to herein as a “</w:t>
      </w:r>
      <w:r>
        <w:rPr>
          <w:rFonts w:ascii="Times New Roman" w:cs="Times New Roman" w:eastAsia="Times New Roman" w:hAnsi="Times New Roman"/>
          <w:sz w:val="20"/>
          <w:szCs w:val="20"/>
          <w:u w:val="single" w:color="auto"/>
          <w:color w:val="auto"/>
        </w:rPr>
        <w:t>Non-Consenting Lender</w:t>
      </w:r>
      <w:r>
        <w:rPr>
          <w:rFonts w:ascii="Times New Roman" w:cs="Times New Roman" w:eastAsia="Times New Roman" w:hAnsi="Times New Roman"/>
          <w:sz w:val="20"/>
          <w:szCs w:val="20"/>
          <w:color w:val="auto"/>
        </w:rPr>
        <w:t>”), then the Company may elect to replace a Non-Consenting Lender as a Lender party to this Agreement, provided that, concurrently with such replacement, (i) another bank or other entity which is reasonably satisfactory to the Company and the Administrative Agent shall agree, as of such date, to purchase for cash the Loans and other Obligations due to the Non-Consenting Lender pursuant to an Assignment and Assumption and to become a Lender for all purposes under this Agreement and to assume all obligations of the Non-Consenting Lender to be terminated as of such date and to comply with the requirements of clause (b) of Section 9.04, (ii) each Borrower shall pay to such Non-Consenting Lender in same day funds on the day of such replacement (1) all interest, fees and other amounts then accrued but unpaid to such Non-Consenting Lender by such Borrower hereunder to and including the date of</w:t>
      </w:r>
    </w:p>
    <w:p>
      <w:pPr>
        <w:spacing w:after="0" w:line="5"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termination, including without limitation payments due to such Non-Consenting Lender under Sections 2.15, 2.17 and 2.18, and</w:t>
      </w:r>
    </w:p>
    <w:p>
      <w:pPr>
        <w:spacing w:after="0" w:line="6" w:lineRule="exact"/>
        <w:rPr>
          <w:sz w:val="20"/>
          <w:szCs w:val="20"/>
          <w:color w:val="auto"/>
        </w:rPr>
      </w:pPr>
    </w:p>
    <w:p>
      <w:pPr>
        <w:jc w:val="both"/>
        <w:ind w:left="4" w:hanging="4"/>
        <w:spacing w:after="0" w:line="250" w:lineRule="auto"/>
        <w:tabs>
          <w:tab w:leader="none" w:pos="314"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amount, if any, equal to the payment which would have been due to such Lender on the day of such replacement under Section 2.16 had the Loans of such Non-Consenting Lender been prepaid on such date rather than sold to the replacement Lender and (iii) such Non-Consenting Lender shall have received the outstanding principal amount of its Loans and participations in LC Disbursements. Each party hereto agrees that (a) an assignment required pursuant to this paragraph may be effected pursuant to an Assignment and Assumption executed by the Company, the Administrative Agent and the assignee (or, to the extent applicable, an agreement incorporating an Assignment and Assumption by reference pursuant to an Approved Electronic Platform as to which the Administrative Agent and such parties are participants), and (b) the Lender required to make such assignment need not be a party thereto in order for such assignment to be effective and shall be deemed to have consented to and be bound by the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824"/>
        <w:spacing w:after="0"/>
        <w:rPr>
          <w:sz w:val="20"/>
          <w:szCs w:val="20"/>
          <w:color w:val="auto"/>
        </w:rPr>
      </w:pPr>
      <w:r>
        <w:rPr>
          <w:rFonts w:ascii="Times New Roman" w:cs="Times New Roman" w:eastAsia="Times New Roman" w:hAnsi="Times New Roman"/>
          <w:sz w:val="20"/>
          <w:szCs w:val="20"/>
          <w:color w:val="auto"/>
        </w:rPr>
        <w:t>121</w:t>
      </w:r>
    </w:p>
    <w:p>
      <w:pPr>
        <w:sectPr>
          <w:pgSz w:w="11900" w:h="16838" w:orient="portrait"/>
          <w:cols w:equalWidth="0" w:num="1">
            <w:col w:w="10584"/>
          </w:cols>
          <w:pgMar w:left="976" w:top="1413" w:right="339" w:bottom="1440" w:gutter="0" w:footer="0" w:header="0"/>
        </w:sectPr>
      </w:pPr>
    </w:p>
    <w:bookmarkStart w:id="130" w:name="page131"/>
    <w:bookmarkEnd w:id="130"/>
    <w:p>
      <w:pPr>
        <w:jc w:val="both"/>
        <w:ind w:left="660" w:right="20"/>
        <w:spacing w:after="0" w:line="261" w:lineRule="auto"/>
        <w:rPr>
          <w:sz w:val="20"/>
          <w:szCs w:val="20"/>
          <w:color w:val="auto"/>
        </w:rPr>
      </w:pPr>
      <w:r>
        <w:rPr>
          <w:rFonts w:ascii="Times New Roman" w:cs="Times New Roman" w:eastAsia="Times New Roman" w:hAnsi="Times New Roman"/>
          <w:sz w:val="20"/>
          <w:szCs w:val="20"/>
          <w:color w:val="auto"/>
        </w:rPr>
        <w:t xml:space="preserve">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following the effectiveness of any such assignment, the other parties to such assignment agree to execute and deliver such documents necessary to evidence such assignment as reasonably requested by the applicable Lender, provided that any such documents shall be without recourse to or warranty by the parties thereto.</w:t>
      </w:r>
    </w:p>
    <w:p>
      <w:pPr>
        <w:spacing w:after="0" w:line="154" w:lineRule="exact"/>
        <w:rPr>
          <w:sz w:val="20"/>
          <w:szCs w:val="20"/>
          <w:color w:val="auto"/>
        </w:rPr>
      </w:pPr>
    </w:p>
    <w:p>
      <w:pPr>
        <w:jc w:val="both"/>
        <w:ind w:left="660" w:firstLine="644"/>
        <w:spacing w:after="0" w:line="253" w:lineRule="auto"/>
        <w:tabs>
          <w:tab w:leader="none" w:pos="1871" w:val="left"/>
        </w:tabs>
        <w:numPr>
          <w:ilvl w:val="0"/>
          <w:numId w:val="17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Notwithstanding anything herein to the contrary, as to any amendment or amendment and restatement otherwise approved in accordance with this Section, it shall not be necessary to obtain the consent or approval of any Lender that, upon giving effect to such amendment or amendment and restatement, would have no Commitment or outstanding Loans so long as such Lender receives payment in full of the principal of and interest accrued on each Loan made by, and all other amounts owing to, such Lender or accrued for the account of such Lender under this Agreement and the other Loan Documents at the time such amendment, amendment and restatement or other modification becomes effective.</w:t>
      </w:r>
    </w:p>
    <w:p>
      <w:pPr>
        <w:spacing w:after="0" w:line="178" w:lineRule="exact"/>
        <w:rPr>
          <w:rFonts w:ascii="Times New Roman" w:cs="Times New Roman" w:eastAsia="Times New Roman" w:hAnsi="Times New Roman"/>
          <w:sz w:val="20"/>
          <w:szCs w:val="20"/>
          <w:color w:val="010000"/>
        </w:rPr>
      </w:pPr>
    </w:p>
    <w:p>
      <w:pPr>
        <w:jc w:val="both"/>
        <w:ind w:left="660" w:firstLine="644"/>
        <w:spacing w:after="0" w:line="261" w:lineRule="auto"/>
        <w:tabs>
          <w:tab w:leader="none" w:pos="1725" w:val="left"/>
        </w:tabs>
        <w:numPr>
          <w:ilvl w:val="0"/>
          <w:numId w:val="17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Notwithstanding anything to the contrary herein the Administrative Agent may, with the consent of the Borrowers only, amend, modify or supplement this Agreement or any of the other Loan Documents to cure any ambiguity, omission, mistake, defect or inconsistency.</w:t>
      </w:r>
    </w:p>
    <w:p>
      <w:pPr>
        <w:spacing w:after="0" w:line="154"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0"/>
          <w:szCs w:val="20"/>
          <w:color w:val="010000"/>
        </w:rPr>
        <w:t xml:space="preserve">SECTION 9.03. </w:t>
      </w:r>
      <w:r>
        <w:rPr>
          <w:rFonts w:ascii="Times New Roman" w:cs="Times New Roman" w:eastAsia="Times New Roman" w:hAnsi="Times New Roman"/>
          <w:sz w:val="20"/>
          <w:szCs w:val="20"/>
          <w:u w:val="single" w:color="auto"/>
          <w:color w:val="000000"/>
        </w:rPr>
        <w:t>Expenses; Indemnity; Damage Waiver</w:t>
      </w:r>
      <w:r>
        <w:rPr>
          <w:rFonts w:ascii="Times New Roman" w:cs="Times New Roman" w:eastAsia="Times New Roman" w:hAnsi="Times New Roman"/>
          <w:sz w:val="20"/>
          <w:szCs w:val="20"/>
          <w:color w:val="000000"/>
        </w:rPr>
        <w:t>. The Company shall pay (i) all reasonable and documented out-of-pocket expenses incurred by the Administrative Agent and its Affiliates, including the reasonable and documented fees, charges and disbursements of one primary counsel for the Administrative Agent and of one counsel in each relevant jurisdiction, in connection with the syndication and distribution (including, without limitation, via the internet or through a service such as Intralinks) of the credit facilities provided for herein, the preparation and administration of this Agreement and the other Loan Documents or any amendments, modifications or waivers of the provisions hereof or thereof (whether or not the transactions contemplated hereby or thereby shall be consummated), (ii) all reasonable and documented out-of-pocket expenses incurred by any Issuing Bank in connection with the issuance, amendment, renewal or extension of any Letter of Credit or any demand for payment thereunder and (iii) if an Event of Default occurs, all reasonable out-of-pocket expenses incurred by the Administrative Agent, any Issuing Bank or any Lender, including the reasonable fees, charges and disbursements of any counsel for the Administrative Agent, any Issuing Bank or any Lender, in connection with such Event of Default and the enforcement, collection or protection of its rights in connection with this Agreement and any other Loan Document, including its rights under this Section, or in connection with the Loans made or Letters of Credit issued hereunder, including all such out-of-pocket expenses incurred during any workout, restructuring or negotiations in respect of such Loans or Letters of Credit.</w:t>
      </w:r>
    </w:p>
    <w:p>
      <w:pPr>
        <w:spacing w:after="0" w:line="5" w:lineRule="exact"/>
        <w:rPr>
          <w:sz w:val="20"/>
          <w:szCs w:val="20"/>
          <w:color w:val="auto"/>
        </w:rPr>
      </w:pPr>
    </w:p>
    <w:p>
      <w:pPr>
        <w:jc w:val="both"/>
        <w:ind w:left="660" w:firstLine="644"/>
        <w:spacing w:after="0" w:line="261" w:lineRule="auto"/>
        <w:tabs>
          <w:tab w:leader="none" w:pos="1739" w:val="left"/>
        </w:tabs>
        <w:numPr>
          <w:ilvl w:val="1"/>
          <w:numId w:val="17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Company shall indemnify the Administrative Agent, each Arranger, each Issuing Bank and each Lender, and each Related Party of any of the foregoing Persons (each such Person being called an “Indemnitee”) against, and hold each Indemnitee harmless from, any and all losses, claims, damages, liabilities and related expenses, including the fees, charges and disbursements of any counsel for any Indemnitee, incurred by or asserted against any Indemnitee arising out of, in connection with, or as a result of</w:t>
      </w:r>
    </w:p>
    <w:p>
      <w:pPr>
        <w:spacing w:after="0" w:line="1" w:lineRule="exact"/>
        <w:rPr>
          <w:rFonts w:ascii="Times New Roman" w:cs="Times New Roman" w:eastAsia="Times New Roman" w:hAnsi="Times New Roman"/>
          <w:sz w:val="19"/>
          <w:szCs w:val="19"/>
          <w:color w:val="010000"/>
        </w:rPr>
      </w:pPr>
    </w:p>
    <w:p>
      <w:pPr>
        <w:ind w:left="900" w:hanging="244"/>
        <w:spacing w:after="0"/>
        <w:tabs>
          <w:tab w:leader="none" w:pos="900"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execution or delivery of any Loan Document or any agreement or instrument contemplated thereby, the performance by the</w:t>
      </w:r>
    </w:p>
    <w:p>
      <w:pPr>
        <w:spacing w:after="0" w:line="6" w:lineRule="exact"/>
        <w:rPr>
          <w:sz w:val="20"/>
          <w:szCs w:val="20"/>
          <w:color w:val="auto"/>
        </w:rPr>
      </w:pPr>
    </w:p>
    <w:p>
      <w:pPr>
        <w:jc w:val="both"/>
        <w:ind w:left="660"/>
        <w:spacing w:after="0" w:line="249" w:lineRule="auto"/>
        <w:rPr>
          <w:sz w:val="20"/>
          <w:szCs w:val="20"/>
          <w:color w:val="auto"/>
        </w:rPr>
      </w:pPr>
      <w:r>
        <w:rPr>
          <w:rFonts w:ascii="Times New Roman" w:cs="Times New Roman" w:eastAsia="Times New Roman" w:hAnsi="Times New Roman"/>
          <w:sz w:val="20"/>
          <w:szCs w:val="20"/>
          <w:color w:val="auto"/>
        </w:rPr>
        <w:t>parties hereto of their respective obligations thereunder or the consummation of the Transactions or any other transactions contemplated hereby, (ii) any Loan or Letter of Credit or the use of the proceeds therefrom (including any refusal by any Issuing Bank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the Company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122</w:t>
      </w:r>
    </w:p>
    <w:p>
      <w:pPr>
        <w:sectPr>
          <w:pgSz w:w="11900" w:h="16838" w:orient="portrait"/>
          <w:cols w:equalWidth="0" w:num="1">
            <w:col w:w="11240"/>
          </w:cols>
          <w:pgMar w:left="320" w:top="1413" w:right="339" w:bottom="1440" w:gutter="0" w:footer="0" w:header="0"/>
        </w:sectPr>
      </w:pPr>
    </w:p>
    <w:bookmarkStart w:id="131" w:name="page132"/>
    <w:bookmarkEnd w:id="131"/>
    <w:p>
      <w:pPr>
        <w:jc w:val="both"/>
        <w:ind w:left="660"/>
        <w:spacing w:after="0" w:line="252" w:lineRule="auto"/>
        <w:rPr>
          <w:sz w:val="20"/>
          <w:szCs w:val="20"/>
          <w:color w:val="auto"/>
        </w:rPr>
      </w:pPr>
      <w:r>
        <w:rPr>
          <w:rFonts w:ascii="Times New Roman" w:cs="Times New Roman" w:eastAsia="Times New Roman" w:hAnsi="Times New Roman"/>
          <w:sz w:val="20"/>
          <w:szCs w:val="20"/>
          <w:color w:val="auto"/>
        </w:rPr>
        <w:t>any of its Subsidiaries, or any Environmental Liability related in any way to the Company or any of its Subsidiaries, or (iv) any actual or prospective claim, litigation, investigation, arbitration or proceeding relating to any of the foregoing, whether or not such claim, litigation, investigation, arbitration or proceeding is brought by the Company or any other Loan Party or its or their respective equity holders, Affiliates, creditors or any other third Person and whether based on contract, tort or any other theory and regardless of whether any Indemnitee is a party thereto; provided that such indemnity shall not, as to any Indemnitee, be available to the extent that such losses, claims, damages, liabilities or related expenses are determined by a court of competent jurisdiction by final and nonappealable judgment to have resulted from the gross negligence or willful misconduct of such Indemnitee. This Section 9.03(b) shall not apply with respect to Taxes or UK Taxes other than any Taxes or UK Taxes that represent losses or damages arising from any non-Tax or non-UK Tax claim.</w:t>
      </w:r>
    </w:p>
    <w:p>
      <w:pPr>
        <w:spacing w:after="0" w:line="149" w:lineRule="exact"/>
        <w:rPr>
          <w:sz w:val="20"/>
          <w:szCs w:val="20"/>
          <w:color w:val="auto"/>
        </w:rPr>
      </w:pPr>
    </w:p>
    <w:p>
      <w:pPr>
        <w:jc w:val="both"/>
        <w:ind w:left="660" w:firstLine="644"/>
        <w:spacing w:after="0" w:line="219" w:lineRule="auto"/>
        <w:tabs>
          <w:tab w:leader="none" w:pos="1750" w:val="left"/>
        </w:tabs>
        <w:numPr>
          <w:ilvl w:val="0"/>
          <w:numId w:val="17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Lender severally agrees to pay any amount required to be paid by the Company under paragraph (a) or (b) of this Section 9.03 to the Administrative Agent, any Issuing Bank, and each Related Party of any of the foregoing Persons (each, an “</w:t>
      </w:r>
      <w:r>
        <w:rPr>
          <w:rFonts w:ascii="Times New Roman" w:cs="Times New Roman" w:eastAsia="Times New Roman" w:hAnsi="Times New Roman"/>
          <w:sz w:val="20"/>
          <w:szCs w:val="20"/>
          <w:u w:val="single" w:color="auto"/>
          <w:color w:val="auto"/>
        </w:rPr>
        <w:t>Agent-Related Person</w:t>
      </w:r>
      <w:r>
        <w:rPr>
          <w:rFonts w:ascii="Times New Roman" w:cs="Times New Roman" w:eastAsia="Times New Roman" w:hAnsi="Times New Roman"/>
          <w:sz w:val="20"/>
          <w:szCs w:val="20"/>
          <w:color w:val="auto"/>
        </w:rPr>
        <w:t xml:space="preserve">”) (to the extent not reimbursed by the Company and without limiting the obligation of the Company to do so), ratably according to their respective Applicable Percentage in effect on the date on which such payment is sought under this Section (or, if such payment is sought after the date upon which the Commitments shall have terminated and the Loans shall have been paid in full, ratably in accordance with such Applicable Percentage immediately prior to such date), and agrees to indemnify and hold each Agent-Related Person harmless from and against any and all Liabilities and related expenses, including the fees, charges and disbursements of any kind whatsoever that may at any time (whether before or after the payment of the Loans) be imposed on, incurred by or asserted against such Agent-Related Person in any way relating to or arising out of the Commitments, this Agreement, any of the other Loan Documents or any documents contemplated by or referred to herein or therein or the transactions contemplated hereby or thereby or any action taken or omitted by such Agent-Related Person under or in connection with any of the foregoing;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unreimbursed expense or Liability or related expense, as the case may be, was incurred by or asserted against such Agent-Related Person in its capacity as such;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no Lender shall be liable for the payment of any portion of such Liabilities, costs, expenses or disbursements that are found by a final and nonappealable decision of a court of competent jurisdiction to have resulted primarily from such Agent-Related Person’s gross negligence or willful misconduct. The agreements in this Section shall survive the termination of this Agreement and the payment of the Loans and all other amounts payable hereunder.</w:t>
      </w:r>
    </w:p>
    <w:p>
      <w:pPr>
        <w:spacing w:after="0" w:line="158" w:lineRule="exact"/>
        <w:rPr>
          <w:rFonts w:ascii="Times New Roman" w:cs="Times New Roman" w:eastAsia="Times New Roman" w:hAnsi="Times New Roman"/>
          <w:sz w:val="20"/>
          <w:szCs w:val="20"/>
          <w:color w:val="010000"/>
        </w:rPr>
      </w:pPr>
    </w:p>
    <w:p>
      <w:pPr>
        <w:jc w:val="both"/>
        <w:ind w:left="660" w:firstLine="644"/>
        <w:spacing w:after="0" w:line="225" w:lineRule="auto"/>
        <w:tabs>
          <w:tab w:leader="none" w:pos="1820" w:val="left"/>
        </w:tabs>
        <w:numPr>
          <w:ilvl w:val="0"/>
          <w:numId w:val="17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To the extent permitted by applicable law, no Borrower shall assert, and each Borrower hereby waives, any claim against any Lender-Related Person (i) for any damages arising from the use by others of information or other materials obtained through telecommunications, electronic or other information transmission systems (including the Internet, any Approved Electronic Platform and any Approved Borrower Portal), or (ii)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any Loan or Letter of Credit or the use of the proceeds thereof.</w:t>
      </w:r>
    </w:p>
    <w:p>
      <w:pPr>
        <w:spacing w:after="0" w:line="151" w:lineRule="exact"/>
        <w:rPr>
          <w:rFonts w:ascii="Times New Roman" w:cs="Times New Roman" w:eastAsia="Times New Roman" w:hAnsi="Times New Roman"/>
          <w:sz w:val="20"/>
          <w:szCs w:val="20"/>
          <w:color w:val="010000"/>
        </w:rPr>
      </w:pPr>
    </w:p>
    <w:p>
      <w:pPr>
        <w:ind w:left="1740" w:hanging="436"/>
        <w:spacing w:after="0"/>
        <w:tabs>
          <w:tab w:leader="none" w:pos="1740" w:val="left"/>
        </w:tabs>
        <w:numPr>
          <w:ilvl w:val="0"/>
          <w:numId w:val="17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All amounts due under this Section shall be payable not later than fifteen (15) days after written demand therefor.</w:t>
      </w:r>
    </w:p>
    <w:p>
      <w:pPr>
        <w:spacing w:after="0" w:line="18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010000"/>
        </w:rPr>
        <w:t xml:space="preserve">SECTION 9.04. </w:t>
      </w:r>
      <w:r>
        <w:rPr>
          <w:rFonts w:ascii="Times New Roman" w:cs="Times New Roman" w:eastAsia="Times New Roman" w:hAnsi="Times New Roman"/>
          <w:sz w:val="20"/>
          <w:szCs w:val="20"/>
          <w:u w:val="single" w:color="auto"/>
          <w:color w:val="000000"/>
        </w:rPr>
        <w:t>Successors and Assigns</w:t>
      </w:r>
      <w:r>
        <w:rPr>
          <w:rFonts w:ascii="Times New Roman" w:cs="Times New Roman" w:eastAsia="Times New Roman" w:hAnsi="Times New Roman"/>
          <w:sz w:val="20"/>
          <w:szCs w:val="20"/>
          <w:color w:val="000000"/>
        </w:rPr>
        <w:t>. The provisions of this Agreement shall be binding upon and inure to the benefit</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of the parties hereto and their respective successors and assigns permitted hereby (including any Affiliate of the relevant Issuing Bank that issues any Letter of Credit), except that (i) no Borrower may assign or otherwise transfer any of its rights or obligations hereunder</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123</w:t>
      </w:r>
    </w:p>
    <w:p>
      <w:pPr>
        <w:sectPr>
          <w:pgSz w:w="11900" w:h="16838" w:orient="portrait"/>
          <w:cols w:equalWidth="0" w:num="1">
            <w:col w:w="11240"/>
          </w:cols>
          <w:pgMar w:left="320" w:top="1413" w:right="339" w:bottom="1440" w:gutter="0" w:footer="0" w:header="0"/>
        </w:sectPr>
      </w:pPr>
    </w:p>
    <w:bookmarkStart w:id="132" w:name="page133"/>
    <w:bookmarkEnd w:id="132"/>
    <w:p>
      <w:pPr>
        <w:jc w:val="both"/>
        <w:spacing w:after="0" w:line="250" w:lineRule="auto"/>
        <w:rPr>
          <w:sz w:val="20"/>
          <w:szCs w:val="20"/>
          <w:color w:val="auto"/>
        </w:rPr>
      </w:pPr>
      <w:r>
        <w:rPr>
          <w:rFonts w:ascii="Times New Roman" w:cs="Times New Roman" w:eastAsia="Times New Roman" w:hAnsi="Times New Roman"/>
          <w:sz w:val="20"/>
          <w:szCs w:val="20"/>
          <w:color w:val="auto"/>
        </w:rPr>
        <w:t>without the prior written consent of each Lender (and any attempted assignment or transfer by any Borrower without such consent shall be null and void) and (ii)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(including any Affiliate of the relevant Issuing Bank that issues any Letter of Credit), Participants (to the extent provided in paragraph (c) of this Section) and, to the extent expressly contemplated hereby, the Related Parties of each of the Administrative Agent, the Issuing Banks and the Lenders) any legal or equitable right, remedy or claim under or by reason of this Agreement.</w:t>
      </w:r>
    </w:p>
    <w:p>
      <w:pPr>
        <w:spacing w:after="0" w:line="6" w:lineRule="exact"/>
        <w:rPr>
          <w:sz w:val="20"/>
          <w:szCs w:val="20"/>
          <w:color w:val="auto"/>
        </w:rPr>
      </w:pPr>
    </w:p>
    <w:p>
      <w:pPr>
        <w:jc w:val="both"/>
        <w:ind w:left="660" w:firstLine="644"/>
        <w:spacing w:after="0" w:line="251" w:lineRule="auto"/>
        <w:tabs>
          <w:tab w:leader="none" w:pos="1752" w:val="left"/>
        </w:tabs>
        <w:numPr>
          <w:ilvl w:val="0"/>
          <w:numId w:val="17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 Subject to the conditions set forth in paragraph (b)(ii) below, any Lender may assign to one or more Persons (other than an Ineligible Institution) all or a portion of its rights and obligations under this Agreement (including all or a portion of its Commitments, participations in Letters of Credit and the Loans at the time owing to it) with the prior written consent (such consent not to be unreasonably withheld, conditioned or delayed) of:</w:t>
      </w:r>
    </w:p>
    <w:p>
      <w:pPr>
        <w:spacing w:after="0" w:line="163" w:lineRule="exact"/>
        <w:rPr>
          <w:rFonts w:ascii="Times New Roman" w:cs="Times New Roman" w:eastAsia="Times New Roman" w:hAnsi="Times New Roman"/>
          <w:sz w:val="20"/>
          <w:szCs w:val="20"/>
          <w:color w:val="010000"/>
        </w:rPr>
      </w:pPr>
    </w:p>
    <w:p>
      <w:pPr>
        <w:jc w:val="both"/>
        <w:ind w:left="1960" w:firstLine="640"/>
        <w:spacing w:after="0" w:line="267" w:lineRule="auto"/>
        <w:tabs>
          <w:tab w:leader="none" w:pos="3107" w:val="left"/>
        </w:tabs>
        <w:numPr>
          <w:ilvl w:val="2"/>
          <w:numId w:val="17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the Company (provided that the Company shall be deemed to have consented to any such assignment unless it shall object thereto by written notice to the Administrative Agent within five (5) Business Days after having received notice thereof);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that no consent of the Company shall be required for an assignment to a Lender, an Affiliate of a Lender, an Approved Fund or, if an Event of Default under clause (a), (b), (h), (i), (j), (k) or</w:t>
      </w:r>
    </w:p>
    <w:p>
      <w:pPr>
        <w:spacing w:after="0" w:line="1" w:lineRule="exact"/>
        <w:rPr>
          <w:rFonts w:ascii="Times New Roman" w:cs="Times New Roman" w:eastAsia="Times New Roman" w:hAnsi="Times New Roman"/>
          <w:sz w:val="19"/>
          <w:szCs w:val="19"/>
          <w:color w:val="010000"/>
        </w:rPr>
      </w:pPr>
    </w:p>
    <w:p>
      <w:pPr>
        <w:ind w:left="2180" w:hanging="228"/>
        <w:spacing w:after="0"/>
        <w:tabs>
          <w:tab w:leader="none" w:pos="2180" w:val="left"/>
        </w:tabs>
        <w:numPr>
          <w:ilvl w:val="1"/>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of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 xml:space="preserve"> has occurred and is continuing, any other assignee;</w:t>
      </w:r>
    </w:p>
    <w:p>
      <w:pPr>
        <w:spacing w:after="0" w:line="186" w:lineRule="exact"/>
        <w:rPr>
          <w:rFonts w:ascii="Times New Roman" w:cs="Times New Roman" w:eastAsia="Times New Roman" w:hAnsi="Times New Roman"/>
          <w:sz w:val="20"/>
          <w:szCs w:val="20"/>
          <w:color w:val="auto"/>
        </w:rPr>
      </w:pPr>
    </w:p>
    <w:p>
      <w:pPr>
        <w:ind w:left="3060" w:hanging="460"/>
        <w:spacing w:after="0"/>
        <w:tabs>
          <w:tab w:leader="none" w:pos="3060" w:val="left"/>
        </w:tabs>
        <w:numPr>
          <w:ilvl w:val="2"/>
          <w:numId w:val="17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Administrative Agent; and</w:t>
      </w:r>
    </w:p>
    <w:p>
      <w:pPr>
        <w:spacing w:after="0" w:line="202" w:lineRule="exact"/>
        <w:rPr>
          <w:rFonts w:ascii="Times New Roman" w:cs="Times New Roman" w:eastAsia="Times New Roman" w:hAnsi="Times New Roman"/>
          <w:sz w:val="20"/>
          <w:szCs w:val="20"/>
          <w:color w:val="010000"/>
        </w:rPr>
      </w:pPr>
    </w:p>
    <w:p>
      <w:pPr>
        <w:jc w:val="both"/>
        <w:ind w:left="1960" w:firstLine="640"/>
        <w:spacing w:after="0" w:line="261" w:lineRule="auto"/>
        <w:tabs>
          <w:tab w:leader="none" w:pos="3137" w:val="left"/>
        </w:tabs>
        <w:numPr>
          <w:ilvl w:val="2"/>
          <w:numId w:val="17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the Issuing Banks;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consent of an Issuing Bank shall be required if (x) an Event of Default occurs with respect to any Borrower under Sections 7.01(h) or 7.01(i) and (y) such Issuing Bank has no outstanding Letters of Credit at that time.</w:t>
      </w:r>
    </w:p>
    <w:p>
      <w:pPr>
        <w:spacing w:after="0" w:line="168" w:lineRule="exact"/>
        <w:rPr>
          <w:sz w:val="20"/>
          <w:szCs w:val="20"/>
          <w:color w:val="auto"/>
        </w:rPr>
      </w:pPr>
    </w:p>
    <w:p>
      <w:pPr>
        <w:ind w:left="2400" w:hanging="448"/>
        <w:spacing w:after="0"/>
        <w:tabs>
          <w:tab w:leader="none" w:pos="2400" w:val="left"/>
        </w:tabs>
        <w:numPr>
          <w:ilvl w:val="0"/>
          <w:numId w:val="17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Assignments shall be subject to the following additional conditions:</w:t>
      </w:r>
    </w:p>
    <w:p>
      <w:pPr>
        <w:spacing w:after="0" w:line="215" w:lineRule="exact"/>
        <w:rPr>
          <w:rFonts w:ascii="Times New Roman" w:cs="Times New Roman" w:eastAsia="Times New Roman" w:hAnsi="Times New Roman"/>
          <w:sz w:val="20"/>
          <w:szCs w:val="20"/>
          <w:color w:val="010000"/>
        </w:rPr>
      </w:pPr>
    </w:p>
    <w:p>
      <w:pPr>
        <w:jc w:val="both"/>
        <w:ind w:left="1960" w:firstLine="640"/>
        <w:spacing w:after="0" w:line="264" w:lineRule="auto"/>
        <w:tabs>
          <w:tab w:leader="none" w:pos="3094" w:val="left"/>
        </w:tabs>
        <w:numPr>
          <w:ilvl w:val="1"/>
          <w:numId w:val="17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except in the case of an assignment to a Lender or an Affiliate of a Lender or an Approved Fund or an assignment of the entire remaining amount of the assigning Lender’s Commitment or Loans of any Class, the amount of the Commitment or Loans of the assigning Lender subject to each such assignment (determined as of the date the Assignment and Assumption with respect to such assignment is delivered to the Administrative Agent) shall not be less than $5,000,000 unless each of the Company and the Administrative Agent otherwise consent,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such consent of the Company shall be required if an Event of Default under clause (a), (b), (h), (i), (j), (k) or</w:t>
      </w:r>
    </w:p>
    <w:p>
      <w:pPr>
        <w:spacing w:after="0" w:line="4" w:lineRule="exact"/>
        <w:rPr>
          <w:rFonts w:ascii="Times New Roman" w:cs="Times New Roman" w:eastAsia="Times New Roman" w:hAnsi="Times New Roman"/>
          <w:sz w:val="19"/>
          <w:szCs w:val="19"/>
          <w:color w:val="010000"/>
        </w:rPr>
      </w:pPr>
    </w:p>
    <w:p>
      <w:pPr>
        <w:ind w:left="2180" w:hanging="228"/>
        <w:spacing w:after="0"/>
        <w:tabs>
          <w:tab w:leader="none" w:pos="2180" w:val="left"/>
        </w:tabs>
        <w:numPr>
          <w:ilvl w:val="0"/>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of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 xml:space="preserve"> has occurred and is continuing;</w:t>
      </w:r>
    </w:p>
    <w:p>
      <w:pPr>
        <w:spacing w:after="0" w:line="186" w:lineRule="exact"/>
        <w:rPr>
          <w:rFonts w:ascii="Times New Roman" w:cs="Times New Roman" w:eastAsia="Times New Roman" w:hAnsi="Times New Roman"/>
          <w:sz w:val="20"/>
          <w:szCs w:val="20"/>
          <w:color w:val="auto"/>
        </w:rPr>
      </w:pPr>
    </w:p>
    <w:p>
      <w:pPr>
        <w:jc w:val="both"/>
        <w:ind w:left="1960" w:firstLine="640"/>
        <w:spacing w:after="0" w:line="258" w:lineRule="auto"/>
        <w:tabs>
          <w:tab w:leader="none" w:pos="3151" w:val="left"/>
        </w:tabs>
        <w:numPr>
          <w:ilvl w:val="1"/>
          <w:numId w:val="17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partial assignment shall be made as an assignment of a proportionate part of all the assigning Lender’s rights and obligations under this Agreement, provided that this clause shall not be construed to prohibit the assignment of a proportionate part of all the assigning Lender’s rights and obligations in respect of one Class of Commitments or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124</w:t>
      </w:r>
    </w:p>
    <w:p>
      <w:pPr>
        <w:sectPr>
          <w:pgSz w:w="11900" w:h="16838" w:orient="portrait"/>
          <w:cols w:equalWidth="0" w:num="1">
            <w:col w:w="11240"/>
          </w:cols>
          <w:pgMar w:left="320" w:top="1413" w:right="339" w:bottom="1440" w:gutter="0" w:footer="0" w:header="0"/>
        </w:sectPr>
      </w:pPr>
    </w:p>
    <w:bookmarkStart w:id="133" w:name="page134"/>
    <w:bookmarkEnd w:id="133"/>
    <w:p>
      <w:pPr>
        <w:jc w:val="both"/>
        <w:ind w:left="1960" w:firstLine="640"/>
        <w:spacing w:after="0" w:line="270" w:lineRule="auto"/>
        <w:tabs>
          <w:tab w:leader="none" w:pos="3070" w:val="left"/>
        </w:tabs>
        <w:numPr>
          <w:ilvl w:val="0"/>
          <w:numId w:val="17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parties to each assignment shall execute and deliver to the Administrative Agent (x) an Assignment and Assumption or (y) to the extent applicable, an agreement incorporating an Assignment and Assumption by reference pursuant to an Approved Electronic Platform as to which the Administrative Agent and the parties to the Assignment and Assumption are participants, together with a processing and recordation fee of $3,500, such fee to be paid by either the assigning Lender or the assignee Lender or shared between such Lenders; and</w:t>
      </w:r>
    </w:p>
    <w:p>
      <w:pPr>
        <w:spacing w:after="0" w:line="161" w:lineRule="exact"/>
        <w:rPr>
          <w:rFonts w:ascii="Times New Roman" w:cs="Times New Roman" w:eastAsia="Times New Roman" w:hAnsi="Times New Roman"/>
          <w:sz w:val="19"/>
          <w:szCs w:val="19"/>
          <w:color w:val="010000"/>
        </w:rPr>
      </w:pPr>
    </w:p>
    <w:p>
      <w:pPr>
        <w:jc w:val="both"/>
        <w:ind w:left="1960" w:firstLine="640"/>
        <w:spacing w:after="0" w:line="253" w:lineRule="auto"/>
        <w:tabs>
          <w:tab w:leader="none" w:pos="3134" w:val="left"/>
        </w:tabs>
        <w:numPr>
          <w:ilvl w:val="0"/>
          <w:numId w:val="17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assignee, if it shall not be a Lender, shall deliver to the Administrative Agent an Administrative Questionnaire in which the assignee designates one or more credit contacts to whom all syndicate-level information (which may contain material non-public information about the Company and its Affiliates and their Related Parties or their respective securities) will be made available and who may receive such information in accordance with the assignee’s compliance procedures and applicable laws, including federal and state securities laws.</w:t>
      </w:r>
    </w:p>
    <w:p>
      <w:pPr>
        <w:spacing w:after="0" w:line="16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For the purposes of this Section 9.04(b), the terms “Approved Fund” and “Ineligible Institution” have the following</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meanings:</w:t>
      </w:r>
    </w:p>
    <w:p>
      <w:pPr>
        <w:spacing w:after="0" w:line="187"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Approved Fund</w:t>
      </w:r>
      <w:r>
        <w:rPr>
          <w:rFonts w:ascii="Times New Roman" w:cs="Times New Roman" w:eastAsia="Times New Roman" w:hAnsi="Times New Roman"/>
          <w:sz w:val="19"/>
          <w:szCs w:val="19"/>
          <w:color w:val="auto"/>
        </w:rPr>
        <w:t>” means any Person (other than a natural person) that is engaged in making, purchasing, holding or investing in bank loans and similar extensions of credit in the ordinary course of its business and that is administered or managed by (a) a Lender,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 an Affiliate of a Lender or (c) an entity or an Affiliate of an entity that administers or manages a Lender.</w:t>
      </w:r>
    </w:p>
    <w:p>
      <w:pPr>
        <w:spacing w:after="0" w:line="194"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Ineligible Institution</w:t>
      </w:r>
      <w:r>
        <w:rPr>
          <w:rFonts w:ascii="Times New Roman" w:cs="Times New Roman" w:eastAsia="Times New Roman" w:hAnsi="Times New Roman"/>
          <w:sz w:val="20"/>
          <w:szCs w:val="20"/>
          <w:color w:val="auto"/>
        </w:rPr>
        <w:t>” means (a) a natural person, (b) a Defaulting Lender or its Lender Parent, (c) the Company, any of its Subsidiaries or any of its Affiliates, or (d) a company, investment vehicle or trust for, or owned and operated for the primary benefit of, a natural person or relative(s) thereof.</w:t>
      </w:r>
    </w:p>
    <w:p>
      <w:pPr>
        <w:spacing w:after="0" w:line="154" w:lineRule="exact"/>
        <w:rPr>
          <w:sz w:val="20"/>
          <w:szCs w:val="20"/>
          <w:color w:val="auto"/>
        </w:rPr>
      </w:pPr>
    </w:p>
    <w:p>
      <w:pPr>
        <w:jc w:val="both"/>
        <w:ind w:left="1300" w:firstLine="652"/>
        <w:spacing w:after="0" w:line="250" w:lineRule="auto"/>
        <w:tabs>
          <w:tab w:leader="none" w:pos="2496" w:val="left"/>
        </w:tabs>
        <w:numPr>
          <w:ilvl w:val="0"/>
          <w:numId w:val="17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Subject to acceptance and recording thereof pursuant to paragraph (b)(iv)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2.15, 2.16, 2.17, 2.18 and 9.03). Any assignment or transfer by a Lender of rights or obligations under this Agreement that does not comply with this Section 9.04 shall be treated for purposes of this Agreement as a sale by such Lender of a participation in such rights and obligations in accordance with paragraph (c) of this Section.</w:t>
      </w:r>
    </w:p>
    <w:p>
      <w:pPr>
        <w:spacing w:after="0" w:line="196" w:lineRule="exact"/>
        <w:rPr>
          <w:rFonts w:ascii="Times New Roman" w:cs="Times New Roman" w:eastAsia="Times New Roman" w:hAnsi="Times New Roman"/>
          <w:sz w:val="20"/>
          <w:szCs w:val="20"/>
          <w:color w:val="010000"/>
        </w:rPr>
      </w:pPr>
    </w:p>
    <w:p>
      <w:pPr>
        <w:jc w:val="both"/>
        <w:ind w:left="1300" w:firstLine="652"/>
        <w:spacing w:after="0" w:line="258" w:lineRule="auto"/>
        <w:tabs>
          <w:tab w:leader="none" w:pos="2431" w:val="left"/>
        </w:tabs>
        <w:numPr>
          <w:ilvl w:val="0"/>
          <w:numId w:val="17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Administrative Agent, acting for this purpose as a non-fiduciary agent of each Borrower, shall maintain at one of its offices in the United States a copy of each Assignment and Assumption delivered to it and a register for the recordation of the names and addresses of the Lenders, and the Commitment of, and principal amount (and stated interest) of the Loans and LC Disbursements owing to, each Lender pursuant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125</w:t>
      </w:r>
    </w:p>
    <w:p>
      <w:pPr>
        <w:sectPr>
          <w:pgSz w:w="11900" w:h="16838" w:orient="portrait"/>
          <w:cols w:equalWidth="0" w:num="1">
            <w:col w:w="11240"/>
          </w:cols>
          <w:pgMar w:left="320" w:top="1413" w:right="339" w:bottom="1440" w:gutter="0" w:footer="0" w:header="0"/>
        </w:sectPr>
      </w:pPr>
    </w:p>
    <w:bookmarkStart w:id="134" w:name="page135"/>
    <w:bookmarkEnd w:id="134"/>
    <w:p>
      <w:pPr>
        <w:jc w:val="both"/>
        <w:ind w:left="644"/>
        <w:spacing w:after="0" w:line="253" w:lineRule="auto"/>
        <w:rPr>
          <w:sz w:val="20"/>
          <w:szCs w:val="20"/>
          <w:color w:val="auto"/>
        </w:rPr>
      </w:pPr>
      <w:r>
        <w:rPr>
          <w:rFonts w:ascii="Times New Roman" w:cs="Times New Roman" w:eastAsia="Times New Roman" w:hAnsi="Times New Roman"/>
          <w:sz w:val="20"/>
          <w:szCs w:val="20"/>
          <w:color w:val="auto"/>
        </w:rPr>
        <w:t>terms hereof from time to time (the “</w:t>
      </w: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The entries in the Register shall be conclusive, and the Borrowers, the Administrative Agent, the Issuing Banks and the Lenders shall treat each Person whose name is recorded in the Register pursuant to the terms hereof as a Lender hereunder for all purposes of this Agreement, notwithstanding notice to the contrary. The Register shall be available for inspection by the Company, any Issuing Bank and any Lender, at any reasonable time and from time to time upon reasonable prior notice.</w:t>
      </w:r>
    </w:p>
    <w:p>
      <w:pPr>
        <w:spacing w:after="0" w:line="192" w:lineRule="exact"/>
        <w:rPr>
          <w:sz w:val="20"/>
          <w:szCs w:val="20"/>
          <w:color w:val="auto"/>
        </w:rPr>
      </w:pPr>
    </w:p>
    <w:p>
      <w:pPr>
        <w:jc w:val="both"/>
        <w:ind w:left="644" w:firstLine="652"/>
        <w:spacing w:after="0" w:line="251" w:lineRule="auto"/>
        <w:tabs>
          <w:tab w:leader="none" w:pos="1734" w:val="left"/>
        </w:tabs>
        <w:numPr>
          <w:ilvl w:val="2"/>
          <w:numId w:val="18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Upon its receipt of (x) a duly completed Assignment and Assumption executed by an assigning Lender and an assignee or (y) to the extent applicable, an agreement incorporating an Assignment and Assumption by reference pursuant to an Approved Electronic Platform as to which the Administrative Agent and the parties to the Assignment and Assumption are participants, the assignee’s completed Administrative Questionnaire (unless the assignee shall already be a Lender hereunder), the processing and recordation fee referred to in paragraph (b) of this Section and any written consent to such assignment required by paragraph (b) of this Section, the Administrative Agent shall accept such Assignment and Assumption and record the information contained therein in the Register;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either the assigning Lender or the assignee shall have failed to make any payment required to be made by it pursuant to Section 2.06(d) or (e), 2.07(b), 2.19(e) or 9.03(c), the Administrative Agent shall have no obligation to accept such Assignment and Assumption and record the information therein in the Register unless and until such payment shall have been made in full, together with all accrued interest thereon. No assignment shall be effective for purposes of this Agreement unless it has been recorded in the Register as provided in this paragraph.</w:t>
      </w:r>
    </w:p>
    <w:p>
      <w:pPr>
        <w:spacing w:after="0" w:line="178" w:lineRule="exact"/>
        <w:rPr>
          <w:rFonts w:ascii="Times New Roman" w:cs="Times New Roman" w:eastAsia="Times New Roman" w:hAnsi="Times New Roman"/>
          <w:sz w:val="20"/>
          <w:szCs w:val="20"/>
          <w:color w:val="010000"/>
        </w:rPr>
      </w:pPr>
    </w:p>
    <w:p>
      <w:pPr>
        <w:jc w:val="both"/>
        <w:ind w:left="4" w:firstLine="644"/>
        <w:spacing w:after="0" w:line="262" w:lineRule="auto"/>
        <w:tabs>
          <w:tab w:leader="none" w:pos="1134" w:val="left"/>
        </w:tabs>
        <w:numPr>
          <w:ilvl w:val="1"/>
          <w:numId w:val="18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Any Lender may, without the consent of, or notice to, any Borrower, the Administrative Agent or the Issuing Banks, sell participations to one or more banks or other entities (a “</w:t>
      </w:r>
      <w:r>
        <w:rPr>
          <w:rFonts w:ascii="Times New Roman" w:cs="Times New Roman" w:eastAsia="Times New Roman" w:hAnsi="Times New Roman"/>
          <w:sz w:val="19"/>
          <w:szCs w:val="19"/>
          <w:u w:val="single" w:color="auto"/>
          <w:color w:val="auto"/>
        </w:rPr>
        <w:t>Participant</w:t>
      </w:r>
      <w:r>
        <w:rPr>
          <w:rFonts w:ascii="Times New Roman" w:cs="Times New Roman" w:eastAsia="Times New Roman" w:hAnsi="Times New Roman"/>
          <w:sz w:val="19"/>
          <w:szCs w:val="19"/>
          <w:color w:val="auto"/>
        </w:rPr>
        <w:t xml:space="preserve">”), other than an Ineligible Institution, in all or a portion of such Lender’s rights and/or obligations under this Agreement (including all or a portion of its Commitment and/or the Loans owing to it);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 such Lender’s obligations under this Agreement shall remain unchanged; (B) such Lender shall remain solely responsible to the other parties hereto for the performance of such obligations; and (C) the Borrowers, the Administrative Agent, the Issuing Banks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provided that such agreement or instrument may provide that such Lender will not, without the consent of the Participant, agree to any amendment, modification or waiver described in the first proviso to Section 9.02(b) that affects such Participant. Each Borrower agrees that each Participant shall be entitled to the benefits of Sections 2.15, 2.16, 2.17 and 2.18 (subject to the requirements and limitations therein, including the requirements under Section 2.17(f) (it being understood that the documentation required under Section 2.17(f) shall be delivered to the participating Lender)) to the same extent as if it were a Lender and had acquired its interest by assignment pursuant to paragraph (b) of this Section; provided that such Participant</w:t>
      </w:r>
    </w:p>
    <w:p>
      <w:pPr>
        <w:spacing w:after="0" w:line="3" w:lineRule="exact"/>
        <w:rPr>
          <w:rFonts w:ascii="Times New Roman" w:cs="Times New Roman" w:eastAsia="Times New Roman" w:hAnsi="Times New Roman"/>
          <w:sz w:val="19"/>
          <w:szCs w:val="19"/>
          <w:color w:val="010000"/>
        </w:rPr>
      </w:pPr>
    </w:p>
    <w:p>
      <w:pPr>
        <w:ind w:left="324" w:hanging="324"/>
        <w:spacing w:after="0"/>
        <w:tabs>
          <w:tab w:leader="none" w:pos="324"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agrees to be subject to the provisions of Sections 2.19 and 2.20 as if it were an assignee under paragraph (b) of this Section; and</w:t>
      </w:r>
    </w:p>
    <w:p>
      <w:pPr>
        <w:spacing w:after="0" w:line="6" w:lineRule="exact"/>
        <w:rPr>
          <w:rFonts w:ascii="Times New Roman" w:cs="Times New Roman" w:eastAsia="Times New Roman" w:hAnsi="Times New Roman"/>
          <w:sz w:val="20"/>
          <w:szCs w:val="20"/>
          <w:color w:val="auto"/>
        </w:rPr>
      </w:pPr>
    </w:p>
    <w:p>
      <w:pPr>
        <w:jc w:val="both"/>
        <w:ind w:left="4" w:hanging="4"/>
        <w:spacing w:after="0" w:line="253" w:lineRule="auto"/>
        <w:tabs>
          <w:tab w:leader="none" w:pos="328"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not be entitled to receive any greater payment under Sections 2.15, 2.17 or 2.18, with respect to any participation, than its participating Lender would have been entitled to receive, except to the extent such entitlement to receive a greater payment results from a Change in Law that occurs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824"/>
        <w:spacing w:after="0"/>
        <w:rPr>
          <w:sz w:val="20"/>
          <w:szCs w:val="20"/>
          <w:color w:val="auto"/>
        </w:rPr>
      </w:pPr>
      <w:r>
        <w:rPr>
          <w:rFonts w:ascii="Times New Roman" w:cs="Times New Roman" w:eastAsia="Times New Roman" w:hAnsi="Times New Roman"/>
          <w:sz w:val="20"/>
          <w:szCs w:val="20"/>
          <w:color w:val="auto"/>
        </w:rPr>
        <w:t>126</w:t>
      </w:r>
    </w:p>
    <w:p>
      <w:pPr>
        <w:sectPr>
          <w:pgSz w:w="11900" w:h="16838" w:orient="portrait"/>
          <w:cols w:equalWidth="0" w:num="1">
            <w:col w:w="10584"/>
          </w:cols>
          <w:pgMar w:left="976" w:top="1413" w:right="339" w:bottom="1440" w:gutter="0" w:footer="0" w:header="0"/>
        </w:sectPr>
      </w:pPr>
    </w:p>
    <w:bookmarkStart w:id="135" w:name="page136"/>
    <w:bookmarkEnd w:id="135"/>
    <w:p>
      <w:pPr>
        <w:jc w:val="both"/>
        <w:ind w:left="660"/>
        <w:spacing w:after="0" w:line="249" w:lineRule="auto"/>
        <w:rPr>
          <w:sz w:val="20"/>
          <w:szCs w:val="20"/>
          <w:color w:val="auto"/>
        </w:rPr>
      </w:pPr>
      <w:r>
        <w:rPr>
          <w:rFonts w:ascii="Times New Roman" w:cs="Times New Roman" w:eastAsia="Times New Roman" w:hAnsi="Times New Roman"/>
          <w:sz w:val="20"/>
          <w:szCs w:val="20"/>
          <w:color w:val="auto"/>
        </w:rPr>
        <w:t>after the Participant acquired the applicable participation. Each Lender that sells a participation agrees, at the Company’s request and expense, to use reasonable efforts to cooperate with the Company to effectuate the provisions of Section 2.20(b) with respect to any Participant. To the extent permitted by law, each Participant also shall be entitled to the benefits of Section 9.08 as though it were a Lender, provided such Participant agrees to be subject to Section 2.19(d) as though it were a Lender. Each Lender that sells a participation shall, acting solely for this purpose as a non-fiduciary agent of the Borrowers, maintain a register on which it enters the name and address of each Participant and the principal amounts (and stated interest) of each Participant’s interest in the Loans or other obligations under the Loan Documents (the “</w:t>
      </w:r>
      <w:r>
        <w:rPr>
          <w:rFonts w:ascii="Times New Roman" w:cs="Times New Roman" w:eastAsia="Times New Roman" w:hAnsi="Times New Roman"/>
          <w:sz w:val="20"/>
          <w:szCs w:val="20"/>
          <w:u w:val="single" w:color="auto"/>
          <w:color w:val="auto"/>
        </w:rPr>
        <w:t>Participant Register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Lender shall have any obligation to disclose all or any portion of the Participant Register to any Person (including the identity of any Participant or any information relating to a Participant’s interest in any Commitments, Loans, Letters of Credit or its other obligations under any Loan Document) except to the extent that such disclosure is necessary to establish that such Commitment, Loan, Letter of Credit or other obligation is in registered form under Treasury Regulations Section 5f.103-1(c) and Proposed Treasury Regulations Section 1.163-5(b) (or any amended or successor version).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87" w:lineRule="exact"/>
        <w:rPr>
          <w:sz w:val="20"/>
          <w:szCs w:val="20"/>
          <w:color w:val="auto"/>
        </w:rPr>
      </w:pPr>
    </w:p>
    <w:p>
      <w:pPr>
        <w:jc w:val="both"/>
        <w:ind w:left="660" w:firstLine="644"/>
        <w:spacing w:after="0" w:line="253" w:lineRule="auto"/>
        <w:tabs>
          <w:tab w:leader="none" w:pos="1739" w:val="left"/>
        </w:tabs>
        <w:numPr>
          <w:ilvl w:val="0"/>
          <w:numId w:val="18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Any Lender may at any time pledge or assign a security interest in all or any portion of its rights under this Agreement to secure obligations of such Lender, including without limitation any pledge or assignment to secure obligations to a Federal Reserve Bank, and this Section shall not apply to any such pledge or assignment of a security interest;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such pledge or assignment of a security interest shall release a Lender from any of its obligations hereunder or substitute any such pledgee or assignee for such Lender as a party hereto.</w:t>
      </w:r>
    </w:p>
    <w:p>
      <w:pPr>
        <w:spacing w:after="0" w:line="165"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9"/>
          <w:szCs w:val="19"/>
          <w:color w:val="010000"/>
        </w:rPr>
        <w:t xml:space="preserve">SECTION 9.05. </w:t>
      </w:r>
      <w:r>
        <w:rPr>
          <w:rFonts w:ascii="Times New Roman" w:cs="Times New Roman" w:eastAsia="Times New Roman" w:hAnsi="Times New Roman"/>
          <w:sz w:val="19"/>
          <w:szCs w:val="19"/>
          <w:u w:val="single" w:color="auto"/>
          <w:color w:val="000000"/>
        </w:rPr>
        <w:t>Survival</w:t>
      </w:r>
      <w:r>
        <w:rPr>
          <w:rFonts w:ascii="Times New Roman" w:cs="Times New Roman" w:eastAsia="Times New Roman" w:hAnsi="Times New Roman"/>
          <w:sz w:val="19"/>
          <w:szCs w:val="19"/>
          <w:color w:val="000000"/>
        </w:rPr>
        <w:t>. All covenants, agreements, representations and warranties made by the Loan Parties in the Loan</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 xml:space="preserve">Documents and in the certificates or other instruments delivered in connection with or pursuant to this Agreement or any other Loan Document shall be considered to have been relied upon by the other parties hereto and shall survive the execution and delivery of the Loan Documents and the making of any Loans and issuance of any Letters of Credit, regardless of any investigation made by any such other party or on its behalf and notwithstanding that the Administrative Agent, any Issuing Bank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or any other Loan Document is outstanding and unpaid or any Letter of Credit is outstanding and so long as the Commitments have not expired or terminated. The provisions of Sections 2.15, 2.16, 2.17, 2.18 and 9.03 and </w:t>
      </w:r>
      <w:r>
        <w:rPr>
          <w:rFonts w:ascii="Times New Roman" w:cs="Times New Roman" w:eastAsia="Times New Roman" w:hAnsi="Times New Roman"/>
          <w:sz w:val="19"/>
          <w:szCs w:val="19"/>
          <w:u w:val="single" w:color="auto"/>
          <w:color w:val="000000"/>
        </w:rPr>
        <w:t>Article VIII</w:t>
      </w:r>
      <w:r>
        <w:rPr>
          <w:rFonts w:ascii="Times New Roman" w:cs="Times New Roman" w:eastAsia="Times New Roman" w:hAnsi="Times New Roman"/>
          <w:sz w:val="19"/>
          <w:szCs w:val="19"/>
          <w:color w:val="000000"/>
        </w:rPr>
        <w:t xml:space="preserve"> shall survive and remain in full force and effect regardless of the consummation of the transactions contemplated hereby, the repayment of the Loans, the expiration or termination of the Letters of Credit and the Commitments or the termination of this Agreement or any other Loan Document or any provision hereof or thereof.</w:t>
      </w:r>
    </w:p>
    <w:p>
      <w:pPr>
        <w:spacing w:after="0" w:line="4" w:lineRule="exact"/>
        <w:rPr>
          <w:sz w:val="20"/>
          <w:szCs w:val="20"/>
          <w:color w:val="auto"/>
        </w:rPr>
      </w:pPr>
    </w:p>
    <w:p>
      <w:pPr>
        <w:jc w:val="both"/>
        <w:ind w:firstLine="1296"/>
        <w:spacing w:after="0" w:line="229" w:lineRule="auto"/>
        <w:rPr>
          <w:sz w:val="20"/>
          <w:szCs w:val="20"/>
          <w:color w:val="auto"/>
        </w:rPr>
      </w:pPr>
      <w:r>
        <w:rPr>
          <w:rFonts w:ascii="Times New Roman" w:cs="Times New Roman" w:eastAsia="Times New Roman" w:hAnsi="Times New Roman"/>
          <w:sz w:val="19"/>
          <w:szCs w:val="19"/>
          <w:color w:val="010000"/>
        </w:rPr>
        <w:t xml:space="preserve">SECTION 9.06. </w:t>
      </w:r>
      <w:r>
        <w:rPr>
          <w:rFonts w:ascii="Times New Roman" w:cs="Times New Roman" w:eastAsia="Times New Roman" w:hAnsi="Times New Roman"/>
          <w:sz w:val="19"/>
          <w:szCs w:val="19"/>
          <w:u w:val="single" w:color="auto"/>
          <w:color w:val="000000"/>
        </w:rPr>
        <w:t>Counterparts; Integration; Effectiveness; Electronic Execution</w:t>
      </w:r>
      <w:r>
        <w:rPr>
          <w:rFonts w:ascii="Times New Roman" w:cs="Times New Roman" w:eastAsia="Times New Roman" w:hAnsi="Times New Roman"/>
          <w:sz w:val="19"/>
          <w:szCs w:val="19"/>
          <w:color w:val="000000"/>
        </w:rPr>
        <w:t>. This Agreement may be executed in</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counterparts (and by different parties hereto on different counterparts), each of which shall constitute an original, but all of which when taken</w:t>
      </w:r>
    </w:p>
    <w:p>
      <w:pPr>
        <w:spacing w:after="0" w:line="2"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20"/>
          <w:szCs w:val="20"/>
          <w:color w:val="auto"/>
        </w:rPr>
        <w:t>together shall constitute a single contract. This Agreement, the other Loan Documents and any separate letter agreements with respect to (i) fees payable to the Administrative Agent and (ii) the reduction of the Letter of Credit Commitment of any Issuing Bank constitute the entire contract among the parties relating to the subject matter hereof and</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127</w:t>
      </w:r>
    </w:p>
    <w:p>
      <w:pPr>
        <w:sectPr>
          <w:pgSz w:w="11900" w:h="16838" w:orient="portrait"/>
          <w:cols w:equalWidth="0" w:num="1">
            <w:col w:w="11240"/>
          </w:cols>
          <w:pgMar w:left="320" w:top="1413" w:right="339" w:bottom="1440" w:gutter="0" w:footer="0" w:header="0"/>
        </w:sectPr>
      </w:pPr>
    </w:p>
    <w:bookmarkStart w:id="136" w:name="page137"/>
    <w:bookmarkEnd w:id="136"/>
    <w:p>
      <w:pPr>
        <w:jc w:val="both"/>
        <w:spacing w:after="0" w:line="229" w:lineRule="auto"/>
        <w:rPr>
          <w:sz w:val="20"/>
          <w:szCs w:val="20"/>
          <w:color w:val="auto"/>
        </w:rPr>
      </w:pPr>
      <w:r>
        <w:rPr>
          <w:rFonts w:ascii="Times New Roman" w:cs="Times New Roman" w:eastAsia="Times New Roman" w:hAnsi="Times New Roman"/>
          <w:sz w:val="20"/>
          <w:szCs w:val="20"/>
          <w:color w:val="auto"/>
        </w:rPr>
        <w:t>supersede any and all previous agreements and understandings, oral or written, relating to the subject matter hereof. Except as provided in Section 4.01, this Agreement shall become effective when it shall have been executed by the Administrative Agent and when the</w:t>
      </w:r>
    </w:p>
    <w:p>
      <w:pPr>
        <w:spacing w:after="0" w:line="2"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9"/>
          <w:szCs w:val="19"/>
          <w:color w:val="auto"/>
        </w:rPr>
        <w:t>Administrative Agent shall have received counterparts hereof which, when taken together, bear the signatures of each of the other parties hereto, and thereafter shall be binding upon and inure to the benefit of the parties hereto and their respective successors and assigns. Delivery</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20"/>
          <w:szCs w:val="20"/>
          <w:color w:val="auto"/>
        </w:rPr>
        <w:t>of an executed counterpart of a signature page of (x) this Agreement, (y) any other Loan Document and/or (z) any document, amendment, approval, consent, information, notice (including, for the avoidance of doubt, any notice delivered pursuant to Section 9.01), certificate, request, statement, disclosure or authorization related to this Agreement, any other Loan Document and/or the transactions contemplated</w:t>
      </w:r>
    </w:p>
    <w:p>
      <w:pPr>
        <w:jc w:val="both"/>
        <w:spacing w:after="0" w:line="218" w:lineRule="auto"/>
        <w:rPr>
          <w:sz w:val="20"/>
          <w:szCs w:val="20"/>
          <w:color w:val="auto"/>
        </w:rPr>
      </w:pPr>
      <w:r>
        <w:rPr>
          <w:rFonts w:ascii="Times New Roman" w:cs="Times New Roman" w:eastAsia="Times New Roman" w:hAnsi="Times New Roman"/>
          <w:sz w:val="20"/>
          <w:szCs w:val="20"/>
          <w:color w:val="auto"/>
        </w:rPr>
        <w:t>hereby and/or thereby (each an “</w:t>
      </w:r>
      <w:r>
        <w:rPr>
          <w:rFonts w:ascii="Times New Roman" w:cs="Times New Roman" w:eastAsia="Times New Roman" w:hAnsi="Times New Roman"/>
          <w:sz w:val="20"/>
          <w:szCs w:val="20"/>
          <w:u w:val="single" w:color="auto"/>
          <w:color w:val="auto"/>
        </w:rPr>
        <w:t>Ancillary Document</w:t>
      </w:r>
      <w:r>
        <w:rPr>
          <w:rFonts w:ascii="Times New Roman" w:cs="Times New Roman" w:eastAsia="Times New Roman" w:hAnsi="Times New Roman"/>
          <w:sz w:val="20"/>
          <w:szCs w:val="20"/>
          <w:color w:val="auto"/>
        </w:rPr>
        <w:t>”) that is an Electronic Signature transmitted by telecopy, emailed pdf, or any other electronic means that reproduces an image of an actual executed signature page shall be effective as delivery of a manually executed</w:t>
      </w:r>
    </w:p>
    <w:p>
      <w:pPr>
        <w:spacing w:after="0" w:line="1"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9"/>
          <w:szCs w:val="19"/>
          <w:color w:val="auto"/>
        </w:rPr>
        <w:t>counterpart of this Agreement, such other Loan Document or such Ancillary Document, as applicable. The words “execution,” “signed,” “signature,” “delivery,” and words of like import in or relating to this Agreement, any other Loan Document and/or any Ancillary Document shall be deemed to include Electronic Signatures, deliveries or the keeping of records in any electronic form (including deliveries by</w:t>
      </w:r>
    </w:p>
    <w:p>
      <w:pPr>
        <w:spacing w:after="0" w:line="1"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20"/>
          <w:szCs w:val="20"/>
          <w:color w:val="auto"/>
        </w:rPr>
        <w:t>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provided that nothing herein shall require the Administrative Agent to accept Electronic</w:t>
      </w:r>
    </w:p>
    <w:p>
      <w:pPr>
        <w:jc w:val="both"/>
        <w:spacing w:after="0" w:line="229" w:lineRule="auto"/>
        <w:rPr>
          <w:sz w:val="20"/>
          <w:szCs w:val="20"/>
          <w:color w:val="auto"/>
        </w:rPr>
      </w:pPr>
      <w:r>
        <w:rPr>
          <w:rFonts w:ascii="Times New Roman" w:cs="Times New Roman" w:eastAsia="Times New Roman" w:hAnsi="Times New Roman"/>
          <w:sz w:val="19"/>
          <w:szCs w:val="19"/>
          <w:color w:val="auto"/>
        </w:rPr>
        <w:t>Signatures in any form or format without its prior written consent and pursuant to procedures approved by it; provided, further, without limiting the foregoing, (i) to the extent the Administrative Agent has agreed to accept any Electronic Signature, the Administrative Agent and</w:t>
      </w:r>
    </w:p>
    <w:p>
      <w:pPr>
        <w:spacing w:after="0" w:line="2"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9"/>
          <w:szCs w:val="19"/>
          <w:color w:val="auto"/>
        </w:rPr>
        <w:t>each of the Lenders shall be entitled to rely on such Electronic Signature purportedly given by or on behalf of the Borrowers without further verification thereof and without any obligation to review the appearance or form of any such Electronic Signature and (ii) upon the request of the Administrative Agent or any Lender, any Electronic Signature shall be promptly followed by a manually executed counterpart. Without</w:t>
      </w:r>
    </w:p>
    <w:p>
      <w:pPr>
        <w:spacing w:after="0" w:line="1" w:lineRule="exact"/>
        <w:rPr>
          <w:sz w:val="20"/>
          <w:szCs w:val="20"/>
          <w:color w:val="auto"/>
        </w:rPr>
      </w:pPr>
    </w:p>
    <w:p>
      <w:pPr>
        <w:jc w:val="both"/>
        <w:ind w:right="20"/>
        <w:spacing w:after="0" w:line="229" w:lineRule="auto"/>
        <w:rPr>
          <w:sz w:val="20"/>
          <w:szCs w:val="20"/>
          <w:color w:val="auto"/>
        </w:rPr>
      </w:pPr>
      <w:r>
        <w:rPr>
          <w:rFonts w:ascii="Times New Roman" w:cs="Times New Roman" w:eastAsia="Times New Roman" w:hAnsi="Times New Roman"/>
          <w:sz w:val="19"/>
          <w:szCs w:val="19"/>
          <w:color w:val="auto"/>
        </w:rPr>
        <w:t>limiting the generality of the foregoing, each Borrower hereby (i) agrees that, for all purposes, including without limitation, in connection with any workout, restructuring, enforcement of remedies, bankruptcy proceedings or litigation among the Administrative Agent, the Lenders</w:t>
      </w:r>
    </w:p>
    <w:p>
      <w:pPr>
        <w:spacing w:after="0" w:line="2"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9"/>
          <w:szCs w:val="19"/>
          <w:color w:val="auto"/>
        </w:rPr>
        <w:t>and the Borrowers, Electronic Signatures transmitted by telecopy, emailed pdf, or any other electronic means that reproduces an image of an actual executed signature page and/or any electronic images of this Agreement, any other Loan Document and/or any Ancillary Document shall have the same legal effect, validity and enforceability as any paper original, (ii) agrees that the Administrative Agent and each of the</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20"/>
          <w:szCs w:val="20"/>
          <w:color w:val="auto"/>
        </w:rPr>
        <w:t>Lenders may, at its option, create one or more copies of this Agreement, any other Loan Document and/or any Ancillary Document in the form of an imaged electronic record in any format, which shall be deemed created in the ordinary course of such Person’s business, and</w:t>
      </w:r>
    </w:p>
    <w:p>
      <w:pPr>
        <w:spacing w:after="0" w:line="1"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9"/>
          <w:szCs w:val="19"/>
          <w:color w:val="auto"/>
        </w:rPr>
        <w:t>destroy the original paper document (and all such electronic records shall be considered an original for all purposes and shall have the same legal effect, validity and enforceability as a paper record), (iii) waives any argument, defense or right to contest the legal effect, validity or enforceability of this Agreement, any other Loan Document and/or any Ancillary Document based solely on the lack of paper original copies</w:t>
      </w:r>
    </w:p>
    <w:p>
      <w:pPr>
        <w:spacing w:after="0" w:line="1"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9"/>
          <w:szCs w:val="19"/>
          <w:color w:val="auto"/>
        </w:rPr>
        <w:t>of this Agreement, such other Loan Document and/or such Ancillary Document, respectively, including with respect to any signature pages thereto and (iv) waives any claim against any Lender-Related Person for any Liabilities arising solely from the Administrative Agent’s and/or</w:t>
      </w:r>
    </w:p>
    <w:p>
      <w:pPr>
        <w:spacing w:after="0" w:line="2"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0"/>
          <w:szCs w:val="20"/>
          <w:color w:val="auto"/>
        </w:rPr>
        <w:t>any Lender’s reliance on or use of Electronic Signatures and/or transmissions by telecopy, emailed pdf, or any other electronic means that reproduces an image of an actual executed signature page, including any Liabilities arising as a result of the failure of any Borrower to use any available security measures in connection with the execution, delivery or transmission of any Electronic Signature.</w:t>
      </w:r>
    </w:p>
    <w:p>
      <w:pPr>
        <w:spacing w:after="0" w:line="2"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0"/>
          <w:szCs w:val="20"/>
          <w:color w:val="010000"/>
        </w:rPr>
        <w:t xml:space="preserve">SECTION 9.07. </w:t>
      </w:r>
      <w:r>
        <w:rPr>
          <w:rFonts w:ascii="Times New Roman" w:cs="Times New Roman" w:eastAsia="Times New Roman" w:hAnsi="Times New Roman"/>
          <w:sz w:val="20"/>
          <w:szCs w:val="20"/>
          <w:u w:val="single" w:color="auto"/>
          <w:color w:val="000000"/>
        </w:rPr>
        <w:t>Severability</w:t>
      </w:r>
      <w:r>
        <w:rPr>
          <w:rFonts w:ascii="Times New Roman" w:cs="Times New Roman" w:eastAsia="Times New Roman" w:hAnsi="Times New Roman"/>
          <w:sz w:val="20"/>
          <w:szCs w:val="20"/>
          <w:color w:val="000000"/>
        </w:rPr>
        <w:t>. Any provision of any Loan Document held to be invalid, illegal or unenforceable in any</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jurisdiction shall, as to such jurisdiction, be ineffective to the extent of such invalidity, illegality or unenforceability without affecting the validity, legality and enforceability of the remaining provisions thereof; and the invalidity of a particular provision in a particular jurisdiction shall not invalidate such provision in any other jurisdiction.</w:t>
      </w:r>
    </w:p>
    <w:p>
      <w:pPr>
        <w:spacing w:after="0" w:line="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010000"/>
        </w:rPr>
        <w:t xml:space="preserve">SECTION 9.08. </w:t>
      </w:r>
      <w:r>
        <w:rPr>
          <w:rFonts w:ascii="Times New Roman" w:cs="Times New Roman" w:eastAsia="Times New Roman" w:hAnsi="Times New Roman"/>
          <w:sz w:val="20"/>
          <w:szCs w:val="20"/>
          <w:u w:val="single" w:color="auto"/>
          <w:color w:val="000000"/>
        </w:rPr>
        <w:t>Right of Setoff</w:t>
      </w:r>
      <w:r>
        <w:rPr>
          <w:rFonts w:ascii="Times New Roman" w:cs="Times New Roman" w:eastAsia="Times New Roman" w:hAnsi="Times New Roman"/>
          <w:sz w:val="20"/>
          <w:szCs w:val="20"/>
          <w:color w:val="000000"/>
        </w:rPr>
        <w:t>. If an Event of Default shall have occurred and be continuing, each Lender, each Issuing</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Bank, and each of their respective Affiliates is hereby authorized at any time and from time to time, to the fullest extent permitted by law, to setoff and apply any and all</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128</w:t>
      </w:r>
    </w:p>
    <w:p>
      <w:pPr>
        <w:sectPr>
          <w:pgSz w:w="11900" w:h="16838" w:orient="portrait"/>
          <w:cols w:equalWidth="0" w:num="1">
            <w:col w:w="11240"/>
          </w:cols>
          <w:pgMar w:left="320" w:top="1399" w:right="339" w:bottom="1440" w:gutter="0" w:footer="0" w:header="0"/>
        </w:sectPr>
      </w:pPr>
    </w:p>
    <w:bookmarkStart w:id="137" w:name="page138"/>
    <w:bookmarkEnd w:id="137"/>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deposits (general or special, time or demand, provisional or final) at any time held, and other obligations at any time owing, by such Lender, such Issuing Bank or any such Affiliate, to or for the credit or the account of any Borrower against any and all of the obligations of the Borrowers now or hereafter existing under this Agreement or any other Loan Document to such Lender or such Issuing Bank or their respective Affiliates, irrespective of whether or not such Lender, such Issuing Bank or Affiliate shall have made any demand under this Agreement or any other Loan Document and although such obligations of the Borrowers may be contingent or unmatured or are owed to a branch office or Affiliate of such Lender or such Issuing Bank different from the branch office or Affiliate holding such deposit or obligated on such indebtedness;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event that any Defaulting Lender shall exercise any such right of setoff, (x) all amounts so setoff shall be paid over immediately to the Administrative Agent for further application in accordance with the provisions of Section 2.25 and, pending such payment, shall be segregated by such Defaulting Lender from its other funds and deemed held in trust for the benefit of the Administrative Agent, the Issuing Banks, and the Lenders, and (y) the Defaulting Lender shall provide promptly to the Administrative Agent a statement describing in reasonable detail the Obligations owing to such Defaulting Lender as to which it exercised such right of setoff. The rights of each Lender, each Issuing Bank and their respective Affiliates under this Section are in addition to other rights and remedies (including other rights of setoff) that such Lender, such Issuing Bank or their respective Affiliates may have. Each Lender and each Issuing Bank agrees to notify the Company and the Administrative Agent promptly after any such setoff and application;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failure to give such notice shall not affect the validity of such setoff and application.</w:t>
      </w:r>
    </w:p>
    <w:p>
      <w:pPr>
        <w:jc w:val="both"/>
        <w:ind w:firstLine="1296"/>
        <w:spacing w:after="0" w:line="250" w:lineRule="auto"/>
        <w:rPr>
          <w:sz w:val="20"/>
          <w:szCs w:val="20"/>
          <w:color w:val="auto"/>
        </w:rPr>
      </w:pPr>
      <w:r>
        <w:rPr>
          <w:rFonts w:ascii="Times New Roman" w:cs="Times New Roman" w:eastAsia="Times New Roman" w:hAnsi="Times New Roman"/>
          <w:sz w:val="20"/>
          <w:szCs w:val="20"/>
          <w:color w:val="010000"/>
        </w:rPr>
        <w:t xml:space="preserve">SECTION 9.09. </w:t>
      </w:r>
      <w:r>
        <w:rPr>
          <w:rFonts w:ascii="Times New Roman" w:cs="Times New Roman" w:eastAsia="Times New Roman" w:hAnsi="Times New Roman"/>
          <w:sz w:val="20"/>
          <w:szCs w:val="20"/>
          <w:u w:val="single" w:color="auto"/>
          <w:color w:val="000000"/>
        </w:rPr>
        <w:t>Governing Law; Jurisdiction; Consent to Service of Process</w:t>
      </w:r>
      <w:r>
        <w:rPr>
          <w:rFonts w:ascii="Times New Roman" w:cs="Times New Roman" w:eastAsia="Times New Roman" w:hAnsi="Times New Roman"/>
          <w:sz w:val="20"/>
          <w:szCs w:val="20"/>
          <w:color w:val="000000"/>
        </w:rPr>
        <w:t>. This Agreement shall be construed in</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accordance with and governed by the law of the State of New York.</w:t>
      </w:r>
    </w:p>
    <w:p>
      <w:pPr>
        <w:jc w:val="both"/>
        <w:ind w:left="660" w:firstLine="644"/>
        <w:spacing w:after="0" w:line="248" w:lineRule="auto"/>
        <w:tabs>
          <w:tab w:leader="none" w:pos="1739" w:val="left"/>
        </w:tabs>
        <w:numPr>
          <w:ilvl w:val="0"/>
          <w:numId w:val="18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of the Lenders and the Administrative Agent hereby irrevocably and unconditionally agrees that, notwithstanding the governing law provisions of any applicable Loan Document, any claims brought against the Administrative Agent or any of its Related Parties by any holder of Obligations relating to this Agreement, any other Loan Document or the consummation or administration of the transactions contemplated hereby or thereby shall be construed in accordance with and governed by the law of the State of New York.</w:t>
      </w:r>
    </w:p>
    <w:p>
      <w:pPr>
        <w:spacing w:after="0" w:line="180" w:lineRule="exact"/>
        <w:rPr>
          <w:rFonts w:ascii="Times New Roman" w:cs="Times New Roman" w:eastAsia="Times New Roman" w:hAnsi="Times New Roman"/>
          <w:sz w:val="20"/>
          <w:szCs w:val="20"/>
          <w:color w:val="010000"/>
        </w:rPr>
      </w:pPr>
    </w:p>
    <w:p>
      <w:pPr>
        <w:jc w:val="both"/>
        <w:ind w:left="660" w:firstLine="644"/>
        <w:spacing w:after="0" w:line="249" w:lineRule="auto"/>
        <w:tabs>
          <w:tab w:leader="none" w:pos="1777" w:val="left"/>
        </w:tabs>
        <w:numPr>
          <w:ilvl w:val="0"/>
          <w:numId w:val="18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of the parties hereto hereby irrevocably and unconditionally submits, for itself and its property, to the exclusive jurisdiction of the United States District Court for the Southern District of New York sitting in the Borough of Manhattan (or if such court lacks subject matter jurisdiction, the Supreme Court of the State of New York sitting in the Borough of Manhattan), and any appellate court from any thereof, in any action or proceeding arising out of or relating to this Agreement or any other Loan Document or the transactions relating hereto or thereto, or for recognition or enforcement of any judgment, and each of the parties hereto hereby irrevocably and unconditionally agrees that all claims in respect of any such action or proceeding may (and any such claims, cross-claims or third party claims brought against the Administrative Agent or any of its Related Parties may only) be heard and determined in such Federal (to the extent permitted by law) or New York State court. Each of the parties hereto agrees that a final judgment in any such action or proceeding shall be conclusive and may be enforced in other jurisdictions by suit on the judgment or in any other manner provided by law. Nothing in this Agreement or in any other Loan Document shall (i) affect any right that the Administrative Agent, any Issuing Bank or any Lender may otherwise have to bring any action or proceeding relating to this Agreement or any other Loan Document against any Loan Party or its properties in the courts of any jurisdiction, (ii) waive any statutory, regulatory, common law, or other rule, doctrine, legal restriction, provision or the like providing for the treatment of bank branches, bank agencies, or other bank offices as if they were separate juridical entities for certain purposes, including Uniform Commercial Code Sections 4-106, 4-A-105(1)(b), and 5-116(b), UCP 600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129</w:t>
      </w:r>
    </w:p>
    <w:p>
      <w:pPr>
        <w:sectPr>
          <w:pgSz w:w="11900" w:h="16838" w:orient="portrait"/>
          <w:cols w:equalWidth="0" w:num="1">
            <w:col w:w="11240"/>
          </w:cols>
          <w:pgMar w:left="320" w:top="1413" w:right="339" w:bottom="1440" w:gutter="0" w:footer="0" w:header="0"/>
        </w:sectPr>
      </w:pPr>
    </w:p>
    <w:bookmarkStart w:id="138" w:name="page139"/>
    <w:bookmarkEnd w:id="138"/>
    <w:p>
      <w:pPr>
        <w:jc w:val="both"/>
        <w:ind w:left="660"/>
        <w:spacing w:after="0" w:line="276" w:lineRule="auto"/>
        <w:rPr>
          <w:sz w:val="20"/>
          <w:szCs w:val="20"/>
          <w:color w:val="auto"/>
        </w:rPr>
      </w:pPr>
      <w:r>
        <w:rPr>
          <w:rFonts w:ascii="Times New Roman" w:cs="Times New Roman" w:eastAsia="Times New Roman" w:hAnsi="Times New Roman"/>
          <w:sz w:val="19"/>
          <w:szCs w:val="19"/>
          <w:color w:val="auto"/>
        </w:rPr>
        <w:t>Article 3 and ISP98 Rule 2.02, and URDG 758 Article 3(a), or (iii) affect which courts have or do not have personal jurisdiction over the issuing bank or beneficiary of any Letter of Credit or any advising bank, nominated bank or assignee of proceeds thereunder or proper venue with respect to any litigation arising out of or relating to such Letter of Credit with, or affecting the rights of, any Person not a party to this Agreement, whether or not such Letter of Credit contains its own jurisdiction submission clause.</w:t>
      </w:r>
    </w:p>
    <w:p>
      <w:pPr>
        <w:spacing w:after="0" w:line="143" w:lineRule="exact"/>
        <w:rPr>
          <w:sz w:val="20"/>
          <w:szCs w:val="20"/>
          <w:color w:val="auto"/>
        </w:rPr>
      </w:pPr>
    </w:p>
    <w:p>
      <w:pPr>
        <w:jc w:val="both"/>
        <w:ind w:left="660" w:firstLine="644"/>
        <w:spacing w:after="0" w:line="253" w:lineRule="auto"/>
        <w:tabs>
          <w:tab w:leader="none" w:pos="1847" w:val="left"/>
        </w:tabs>
        <w:numPr>
          <w:ilvl w:val="0"/>
          <w:numId w:val="18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of the parties hereto hereby irrevocably and unconditionally waives, to the fullest extent it may legally and effectively do so, any objection which it may now or hereafter have to the laying of venue of any suit, action or proceeding arising out of or relating to this Agreement or any other Loan Document in any court referred to in paragraph (c) of this Section. Each of the parties hereto hereby irrevocably waives, to the fullest extent permitted by law, the defense of an inconvenient forum to the maintenance of such action or proceeding in any such court.</w:t>
      </w:r>
    </w:p>
    <w:p>
      <w:pPr>
        <w:spacing w:after="0" w:line="178" w:lineRule="exact"/>
        <w:rPr>
          <w:rFonts w:ascii="Times New Roman" w:cs="Times New Roman" w:eastAsia="Times New Roman" w:hAnsi="Times New Roman"/>
          <w:sz w:val="20"/>
          <w:szCs w:val="20"/>
          <w:color w:val="010000"/>
        </w:rPr>
      </w:pPr>
    </w:p>
    <w:p>
      <w:pPr>
        <w:jc w:val="both"/>
        <w:ind w:left="660" w:firstLine="644"/>
        <w:spacing w:after="0" w:line="249" w:lineRule="auto"/>
        <w:tabs>
          <w:tab w:leader="none" w:pos="1898" w:val="left"/>
        </w:tabs>
        <w:numPr>
          <w:ilvl w:val="0"/>
          <w:numId w:val="18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Each party to this Agreement irrevocably consents to service of process in the manner provided for notices in Section 9.01. Each Foreign Subsidiary Borrower irrevocably designates and appoints the Company, as its authorized agent, to accept and acknowledge on its behalf, service of any and all process which may be served in any suit, action or proceeding of the nature referred to in Section 9.09(b) in any federal or New York State court sitting in New York City. The Company hereby represents, warrants and confirms that the Company has agreed to accept such appointment. Said designation and appointment shall be irrevocable by each such Foreign Subsidiary Borrower until all Loans, all reimbursement obligations, interest thereon and all other amounts payable by such Foreign Subsidiary Borrower hereunder and under the other Loan Documents shall have been paid in full in accordance with the provisions hereof and thereof and such Foreign Subsidiary Borrower shall have been terminated as a Borrower hereunder pursuant to Section 2.24. Each Foreign Subsidiary Borrower hereby consents to process being served in any suit, action or proceeding of the nature referred to in Section 9.09(b) in any federal or New York State court sitting in New York City by service of process upon the Company as provided in this Section 9.09(d);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to the extent lawful and possible, notice of said service upon such agent shall be mailed by registered or certified air mail, postage prepaid, return receipt requested, to the Company and (if applicable to) such Foreign Subsidiary Borrower at its address set forth in the Borrowing Subsidiary Agreement to which it is a party or to any other address of which such Foreign Subsidiary Borrower shall have given written notice to the Administrative Agent (with a copy thereof to the Company). Each Foreign Subsidiary Borrower irrevocably waives, to the fullest extent permitted by law, all claim of error by reason of any such service in such manner and agrees that such service shall be deemed in every respect effective service of process upon such Foreign Subsidiary Borrower in any such suit, action or proceeding and shall, to the fullest extent permitted by law, be taken and held to be valid and personal service upon and personal delivery to such Foreign Subsidiary Borrower. To the extent any Foreign Subsidiary Borrower has or hereafter may acquire any immunity from jurisdiction of any court or from any legal process (whether from service or notice, attachment prior to judgment, attachment in aid of execution of a judgment, execution or otherwise), each Foreign Subsidiary Borrower hereby irrevocably waives such immunity in respect of its obligations under the Loan Documents. Nothing in this Agreement or any other Loan Document will affect the right of any party to this Agreement to serve process in any other manner permitted by law.</w:t>
      </w:r>
    </w:p>
    <w:p>
      <w:pPr>
        <w:spacing w:after="0" w:line="169" w:lineRule="exact"/>
        <w:rPr>
          <w:sz w:val="20"/>
          <w:szCs w:val="20"/>
          <w:color w:val="auto"/>
        </w:rPr>
      </w:pPr>
    </w:p>
    <w:p>
      <w:pPr>
        <w:ind w:firstLine="1296"/>
        <w:spacing w:after="0" w:line="283" w:lineRule="auto"/>
        <w:rPr>
          <w:sz w:val="20"/>
          <w:szCs w:val="20"/>
          <w:color w:val="auto"/>
        </w:rPr>
      </w:pPr>
      <w:r>
        <w:rPr>
          <w:rFonts w:ascii="Times New Roman" w:cs="Times New Roman" w:eastAsia="Times New Roman" w:hAnsi="Times New Roman"/>
          <w:sz w:val="20"/>
          <w:szCs w:val="20"/>
          <w:color w:val="010000"/>
        </w:rPr>
        <w:t xml:space="preserve">SECTION 9.10. </w:t>
      </w:r>
      <w:r>
        <w:rPr>
          <w:rFonts w:ascii="Times New Roman" w:cs="Times New Roman" w:eastAsia="Times New Roman" w:hAnsi="Times New Roman"/>
          <w:sz w:val="20"/>
          <w:szCs w:val="20"/>
          <w:u w:val="single" w:color="auto"/>
          <w:color w:val="000000"/>
        </w:rPr>
        <w:t>WAIVER OF JURY TRIAL</w:t>
      </w:r>
      <w:r>
        <w:rPr>
          <w:rFonts w:ascii="Times New Roman" w:cs="Times New Roman" w:eastAsia="Times New Roman" w:hAnsi="Times New Roman"/>
          <w:sz w:val="20"/>
          <w:szCs w:val="20"/>
          <w:color w:val="000000"/>
        </w:rPr>
        <w:t>. EACH PARTY HERETO HEREBY WAIVES, TO THE FULLEST</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EXTENT PERMITTED BY APPLICABLE LAW, ANY RIGHT IT</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130</w:t>
      </w:r>
    </w:p>
    <w:p>
      <w:pPr>
        <w:sectPr>
          <w:pgSz w:w="11900" w:h="16838" w:orient="portrait"/>
          <w:cols w:equalWidth="0" w:num="1">
            <w:col w:w="11240"/>
          </w:cols>
          <w:pgMar w:left="320" w:top="1413" w:right="339" w:bottom="1440" w:gutter="0" w:footer="0" w:header="0"/>
        </w:sectPr>
      </w:pPr>
    </w:p>
    <w:bookmarkStart w:id="139" w:name="page140"/>
    <w:bookmarkEnd w:id="139"/>
    <w:p>
      <w:pPr>
        <w:jc w:val="both"/>
        <w:spacing w:after="0" w:line="264" w:lineRule="auto"/>
        <w:rPr>
          <w:sz w:val="20"/>
          <w:szCs w:val="20"/>
          <w:color w:val="auto"/>
        </w:rPr>
      </w:pPr>
      <w:r>
        <w:rPr>
          <w:rFonts w:ascii="Times New Roman" w:cs="Times New Roman" w:eastAsia="Times New Roman" w:hAnsi="Times New Roman"/>
          <w:sz w:val="19"/>
          <w:szCs w:val="19"/>
          <w:color w:val="auto"/>
        </w:rPr>
        <w:t>MAY HAVE TO A TRIAL BY JURY IN ANY LEGAL PROCEEDING DIRECTLY OR INDIRECTLY ARISING OUT OF OR RELATING TO THIS AGREEMENT, ANY OTHER LOAN DOCUMENT OR THE TRANSACTIONS CONTEMPLATED HEREBY OR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jc w:val="both"/>
        <w:ind w:firstLine="1296"/>
        <w:spacing w:after="0" w:line="246" w:lineRule="auto"/>
        <w:rPr>
          <w:sz w:val="20"/>
          <w:szCs w:val="20"/>
          <w:color w:val="auto"/>
        </w:rPr>
      </w:pPr>
      <w:r>
        <w:rPr>
          <w:rFonts w:ascii="Times New Roman" w:cs="Times New Roman" w:eastAsia="Times New Roman" w:hAnsi="Times New Roman"/>
          <w:sz w:val="20"/>
          <w:szCs w:val="20"/>
          <w:color w:val="010000"/>
        </w:rPr>
        <w:t xml:space="preserve">SECTION 9.11. </w:t>
      </w:r>
      <w:r>
        <w:rPr>
          <w:rFonts w:ascii="Times New Roman" w:cs="Times New Roman" w:eastAsia="Times New Roman" w:hAnsi="Times New Roman"/>
          <w:sz w:val="20"/>
          <w:szCs w:val="20"/>
          <w:u w:val="single" w:color="auto"/>
          <w:color w:val="000000"/>
        </w:rPr>
        <w:t>Headings</w:t>
      </w:r>
      <w:r>
        <w:rPr>
          <w:rFonts w:ascii="Times New Roman" w:cs="Times New Roman" w:eastAsia="Times New Roman" w:hAnsi="Times New Roman"/>
          <w:sz w:val="20"/>
          <w:szCs w:val="20"/>
          <w:color w:val="000000"/>
        </w:rPr>
        <w:t>. Article and Section headings and the Table of Contents used herein are for convenience of</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reference only, are not part of this Agreement and shall not affect the construction of, or be taken into consideration in interpreting, this Agreement.</w:t>
      </w:r>
    </w:p>
    <w:p>
      <w:pPr>
        <w:spacing w:after="0" w:line="2" w:lineRule="exact"/>
        <w:rPr>
          <w:sz w:val="20"/>
          <w:szCs w:val="20"/>
          <w:color w:val="auto"/>
        </w:rPr>
      </w:pPr>
    </w:p>
    <w:p>
      <w:pPr>
        <w:jc w:val="both"/>
        <w:ind w:firstLine="1296"/>
        <w:spacing w:after="0" w:line="260" w:lineRule="auto"/>
        <w:rPr>
          <w:sz w:val="20"/>
          <w:szCs w:val="20"/>
          <w:color w:val="auto"/>
        </w:rPr>
      </w:pPr>
      <w:r>
        <w:rPr>
          <w:rFonts w:ascii="Times New Roman" w:cs="Times New Roman" w:eastAsia="Times New Roman" w:hAnsi="Times New Roman"/>
          <w:sz w:val="19"/>
          <w:szCs w:val="19"/>
          <w:color w:val="010000"/>
        </w:rPr>
        <w:t xml:space="preserve">SECTION 9.12. </w:t>
      </w:r>
      <w:r>
        <w:rPr>
          <w:rFonts w:ascii="Times New Roman" w:cs="Times New Roman" w:eastAsia="Times New Roman" w:hAnsi="Times New Roman"/>
          <w:sz w:val="19"/>
          <w:szCs w:val="19"/>
          <w:u w:val="single" w:color="auto"/>
          <w:color w:val="000000"/>
        </w:rPr>
        <w:t>Confidentiality</w:t>
      </w:r>
      <w:r>
        <w:rPr>
          <w:rFonts w:ascii="Times New Roman" w:cs="Times New Roman" w:eastAsia="Times New Roman" w:hAnsi="Times New Roman"/>
          <w:sz w:val="19"/>
          <w:szCs w:val="19"/>
          <w:color w:val="000000"/>
        </w:rPr>
        <w:t>. Each of the Administrative Agent, the Issuing Banks and the Lenders agrees to maintain</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the confidentiality of the Information (as defined below), except that Information may be disclosed (a) to its Affiliates and its and their respective directors, officers, employees and agents, including accountants, legal counsel and other advisors who need the information in connection with the Transactions (it being understood that the Persons to whom such disclosure is made will be informed of the confidential nature of such Information and instructed to keep such Information confidential and not to use the Information for any purposes other than in connection with the Transactions), (b) to the extent requested by any regulatory authority (including any self-regulatory authority, such as the National Association of Insurance Commissioners), (c) to the extent required by applicable laws or regulations or by any subpoena or similar legal process, (d) to any other party to this Agreement, (e) in connection with the exercise of any remedies under this Agreement or any other Loan Document or any suit,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or obligations under this Agreement or (ii) any actual or prospective counterparty (or its advisors) to any swap, derivative or insurance transaction relating to any Borrower and its obligations,</w:t>
      </w:r>
    </w:p>
    <w:p>
      <w:pPr>
        <w:spacing w:after="0" w:line="8" w:lineRule="exact"/>
        <w:rPr>
          <w:sz w:val="20"/>
          <w:szCs w:val="20"/>
          <w:color w:val="auto"/>
        </w:rPr>
      </w:pPr>
    </w:p>
    <w:p>
      <w:pPr>
        <w:jc w:val="both"/>
        <w:ind w:firstLine="8"/>
        <w:spacing w:after="0" w:line="248" w:lineRule="auto"/>
        <w:tabs>
          <w:tab w:leader="none" w:pos="285" w:val="left"/>
        </w:tabs>
        <w:numPr>
          <w:ilvl w:val="0"/>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the consent of the Company or (h) to the extent such Information (i) becomes publicly available other than as a result of a breach of this Section or (ii) becomes available to the Administrative Agent, any Issuing Bank or any Lender on a nonconfidential basis from a source other than the Company. For the purposes of this Section, “</w:t>
      </w:r>
      <w:r>
        <w:rPr>
          <w:rFonts w:ascii="Times New Roman" w:cs="Times New Roman" w:eastAsia="Times New Roman" w:hAnsi="Times New Roman"/>
          <w:sz w:val="20"/>
          <w:szCs w:val="20"/>
          <w:u w:val="single" w:color="auto"/>
          <w:color w:val="auto"/>
        </w:rPr>
        <w:t>Information</w:t>
      </w:r>
      <w:r>
        <w:rPr>
          <w:rFonts w:ascii="Times New Roman" w:cs="Times New Roman" w:eastAsia="Times New Roman" w:hAnsi="Times New Roman"/>
          <w:sz w:val="20"/>
          <w:szCs w:val="20"/>
          <w:color w:val="auto"/>
        </w:rPr>
        <w:t>” means all information received from the Company relating to the Company or its business, other than any such information that is available to the Administrative Agent, any Issuing Bank or any Lender on a nonconfidential basis prior to disclosure by the Company and other than information pertaining to this Agreement routinely provided by arrangers to data service providers, including league table providers, that serve the lending industry.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jc w:val="both"/>
        <w:ind w:firstLine="648"/>
        <w:spacing w:after="0" w:line="24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EACH LENDER ACKNOWLEDGES THAT INFORMATION AS DEFINED IN THE IMMEDIATELY PRECEDING PARAGRAPH FURNISHED TO IT PURSUANT TO THIS AGREEMENT MAY INCLUDE MATERIAL NON-PUBLIC INFORMATION CONCERNING THE COMPANY, THE OTHER LOAN PARTIES AND THEIR RESPECTIVE RELATED PARTIES OR THEIR RESPECTIVE SECURITIES, AND CONFIRMS THAT IT HAS DEVELOPED COMPLIANCE PROCEDURES REGARDING THE USE OF MATERIAL NON-PUBLIC INFORMATION AND THAT IT WILL HANDLE SUCH MATERIAL NON-PUBLIC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131</w:t>
      </w:r>
    </w:p>
    <w:p>
      <w:pPr>
        <w:sectPr>
          <w:pgSz w:w="11900" w:h="16838" w:orient="portrait"/>
          <w:cols w:equalWidth="0" w:num="1">
            <w:col w:w="11240"/>
          </w:cols>
          <w:pgMar w:left="320" w:top="1413" w:right="339" w:bottom="1440" w:gutter="0" w:footer="0" w:header="0"/>
        </w:sectPr>
      </w:pPr>
    </w:p>
    <w:bookmarkStart w:id="140" w:name="page141"/>
    <w:bookmarkEnd w:id="140"/>
    <w:p>
      <w:pPr>
        <w:jc w:val="both"/>
        <w:spacing w:after="0" w:line="287" w:lineRule="auto"/>
        <w:rPr>
          <w:sz w:val="20"/>
          <w:szCs w:val="20"/>
          <w:color w:val="auto"/>
        </w:rPr>
      </w:pPr>
      <w:r>
        <w:rPr>
          <w:rFonts w:ascii="Times New Roman" w:cs="Times New Roman" w:eastAsia="Times New Roman" w:hAnsi="Times New Roman"/>
          <w:sz w:val="20"/>
          <w:szCs w:val="20"/>
          <w:b w:val="1"/>
          <w:bCs w:val="1"/>
          <w:color w:val="auto"/>
        </w:rPr>
        <w:t>INFORMATION IN ACCORDANCE WITH THOSE PROCEDURES AND APPLICABLE LAW, INCLUDING FEDERAL AND STATE SECURITIES LAWS.</w:t>
      </w:r>
    </w:p>
    <w:p>
      <w:pPr>
        <w:spacing w:after="0" w:line="11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b w:val="1"/>
          <w:bCs w:val="1"/>
          <w:color w:val="auto"/>
        </w:rPr>
        <w:t>ALL INFORMATION, INCLUDING REQUESTS FOR WAIVERS AND AMENDMENTS, FURNISHED BY THE COMPANY OR THE ADMINISTRATIVE AGENT PURSUANT TO, OR IN THE COURSE OF ADMINISTERING, THIS AGREEMENT WILL BE SYNDICATE-LEVEL INFORMATION, WHICH MAY CONTAIN MATERIAL NON-PUBLIC INFORMATION ABOUT THE COMPANY, THE OTHER LOAN PARTIES AND THEIR RELATED PARTIES OR THEIR RESPECTIVE SECURITIES. ACCORDINGLY, EACH LENDER REPRESENTS TO THE COMPANY AND THE ADMINISTRATIVE AGENT THAT IT HAS IDENTIFIED IN ITS ADMINISTRATIVE QUESTIONNAIRE A CREDIT CONTACT WHO MAY RECEIVE INFORMATION THAT MAY CONTAIN MATERIAL NON-PUBLIC INFORMATION IN ACCORDANCE WITH ITS COMPLIANCE PROCEDURES AND APPLICABLE LAW.</w:t>
      </w:r>
    </w:p>
    <w:p>
      <w:pPr>
        <w:spacing w:after="0" w:line="1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For the avoidance of doubt, nothing in this Section 9.12 shall prohibit any Person from voluntarily disclosing or providing any Information within the scope of this confidentiality provision to any governmental, regulatory or self-regulatory organization (any such entity, a “</w:t>
      </w:r>
      <w:r>
        <w:rPr>
          <w:rFonts w:ascii="Times New Roman" w:cs="Times New Roman" w:eastAsia="Times New Roman" w:hAnsi="Times New Roman"/>
          <w:sz w:val="20"/>
          <w:szCs w:val="20"/>
          <w:u w:val="single" w:color="auto"/>
          <w:color w:val="auto"/>
        </w:rPr>
        <w:t>Regulatory Authority</w:t>
      </w:r>
      <w:r>
        <w:rPr>
          <w:rFonts w:ascii="Times New Roman" w:cs="Times New Roman" w:eastAsia="Times New Roman" w:hAnsi="Times New Roman"/>
          <w:sz w:val="20"/>
          <w:szCs w:val="20"/>
          <w:color w:val="auto"/>
        </w:rPr>
        <w:t>”) to the extent that any such prohibition on disclosure set forth in this Section 9.12 shall be prohibited by the laws or regulations applicable to such Regulatory Authority.</w:t>
      </w:r>
    </w:p>
    <w:p>
      <w:pPr>
        <w:spacing w:after="0" w:line="390"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0"/>
          <w:szCs w:val="20"/>
          <w:color w:val="010000"/>
        </w:rPr>
        <w:t xml:space="preserve">SECTION 9.13. </w:t>
      </w:r>
      <w:r>
        <w:rPr>
          <w:rFonts w:ascii="Times New Roman" w:cs="Times New Roman" w:eastAsia="Times New Roman" w:hAnsi="Times New Roman"/>
          <w:sz w:val="20"/>
          <w:szCs w:val="20"/>
          <w:u w:val="single" w:color="auto"/>
          <w:color w:val="000000"/>
        </w:rPr>
        <w:t>USA PATRIOT Act</w:t>
      </w:r>
      <w:r>
        <w:rPr>
          <w:rFonts w:ascii="Times New Roman" w:cs="Times New Roman" w:eastAsia="Times New Roman" w:hAnsi="Times New Roman"/>
          <w:sz w:val="20"/>
          <w:szCs w:val="20"/>
          <w:color w:val="000000"/>
        </w:rPr>
        <w:t>. Each Lender that is subject to the requirements of the USA PATRIOT Act (Title III</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of Pub. L. 107-56 (signed into law October 26, 2001)) (the “</w:t>
      </w:r>
      <w:r>
        <w:rPr>
          <w:rFonts w:ascii="Times New Roman" w:cs="Times New Roman" w:eastAsia="Times New Roman" w:hAnsi="Times New Roman"/>
          <w:sz w:val="20"/>
          <w:szCs w:val="20"/>
          <w:u w:val="single" w:color="auto"/>
          <w:color w:val="000000"/>
        </w:rPr>
        <w:t>Patriot Act</w:t>
      </w:r>
      <w:r>
        <w:rPr>
          <w:rFonts w:ascii="Times New Roman" w:cs="Times New Roman" w:eastAsia="Times New Roman" w:hAnsi="Times New Roman"/>
          <w:sz w:val="20"/>
          <w:szCs w:val="20"/>
          <w:color w:val="000000"/>
        </w:rPr>
        <w:t>”) and the requirements of the Beneficial Ownership Regulation hereby notifies each Borrower and each other Loan Party that, pursuant to the requirements of the Patriot Act and the Beneficial Ownership Regulation, it is required to obtain, verify and record information that identifies the such Borrower or such Loan Party, which information includes the name, address and tax identification number of such Borrower and such Loan Party and other information that will allow such Lender to identify such Borrower and such Loan Party in accordance with the Patriot Act and the Beneficial Ownership Regulation and other applicable “know your customer” and anti-money laundering rules and regulations. Each Borrower acknowledges that, pursuant to the</w:t>
      </w:r>
    </w:p>
    <w:p>
      <w:pPr>
        <w:spacing w:after="0" w:line="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i w:val="1"/>
          <w:iCs w:val="1"/>
          <w:color w:val="auto"/>
        </w:rPr>
        <w:t xml:space="preserve">Proceeds of Crime (Money Laundering) and Terrorist Financing Act (Canada) </w:t>
      </w:r>
      <w:r>
        <w:rPr>
          <w:rFonts w:ascii="Times New Roman" w:cs="Times New Roman" w:eastAsia="Times New Roman" w:hAnsi="Times New Roman"/>
          <w:sz w:val="20"/>
          <w:szCs w:val="20"/>
          <w:color w:val="auto"/>
        </w:rPr>
        <w:t>and other applicable Canadian anti-money laundering, anti-terrorist financing, government sanction and “know your client” laws, the Lenders and the Administrative Agent may be required to obtain, verify and record information regarding such Borrower, its directors, authorized signing officers, direct or indirect shareholders or other Persons in Control of such Borrower, and the transactions contemplated hereby.</w:t>
      </w:r>
    </w:p>
    <w:p>
      <w:pPr>
        <w:ind w:left="1300"/>
        <w:spacing w:after="0"/>
        <w:tabs>
          <w:tab w:leader="none" w:pos="2760" w:val="left"/>
        </w:tabs>
        <w:rPr>
          <w:sz w:val="20"/>
          <w:szCs w:val="20"/>
          <w:color w:val="auto"/>
        </w:rPr>
      </w:pPr>
      <w:r>
        <w:rPr>
          <w:rFonts w:ascii="Times New Roman" w:cs="Times New Roman" w:eastAsia="Times New Roman" w:hAnsi="Times New Roman"/>
          <w:sz w:val="20"/>
          <w:szCs w:val="20"/>
          <w:color w:val="010000"/>
        </w:rPr>
        <w:t>SECTION 9.14.</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Intentionally Omitted</w:t>
      </w:r>
      <w:r>
        <w:rPr>
          <w:rFonts w:ascii="Times New Roman" w:cs="Times New Roman" w:eastAsia="Times New Roman" w:hAnsi="Times New Roman"/>
          <w:sz w:val="19"/>
          <w:szCs w:val="19"/>
          <w:color w:val="auto"/>
        </w:rPr>
        <w:t>].</w:t>
      </w:r>
    </w:p>
    <w:p>
      <w:pPr>
        <w:ind w:left="1300"/>
        <w:spacing w:after="0" w:line="226" w:lineRule="auto"/>
        <w:tabs>
          <w:tab w:leader="none" w:pos="2860" w:val="left"/>
        </w:tabs>
        <w:rPr>
          <w:sz w:val="20"/>
          <w:szCs w:val="20"/>
          <w:color w:val="auto"/>
        </w:rPr>
      </w:pPr>
      <w:r>
        <w:rPr>
          <w:rFonts w:ascii="Times New Roman" w:cs="Times New Roman" w:eastAsia="Times New Roman" w:hAnsi="Times New Roman"/>
          <w:sz w:val="20"/>
          <w:szCs w:val="20"/>
          <w:color w:val="010000"/>
        </w:rPr>
        <w:t>SECTION 9.15.</w:t>
      </w:r>
      <w:r>
        <w:rPr>
          <w:sz w:val="20"/>
          <w:szCs w:val="20"/>
          <w:color w:val="auto"/>
        </w:rPr>
        <w:tab/>
      </w:r>
      <w:r>
        <w:rPr>
          <w:rFonts w:ascii="Times New Roman" w:cs="Times New Roman" w:eastAsia="Times New Roman" w:hAnsi="Times New Roman"/>
          <w:sz w:val="20"/>
          <w:szCs w:val="20"/>
          <w:u w:val="single" w:color="auto"/>
          <w:color w:val="auto"/>
        </w:rPr>
        <w:t>Interest Rate Limitation</w:t>
      </w:r>
      <w:r>
        <w:rPr>
          <w:rFonts w:ascii="Times New Roman" w:cs="Times New Roman" w:eastAsia="Times New Roman" w:hAnsi="Times New Roman"/>
          <w:sz w:val="20"/>
          <w:szCs w:val="20"/>
          <w:color w:val="auto"/>
        </w:rPr>
        <w:t>. Notwithstanding anything herein to the contrary, if at any time the interest rate</w:t>
      </w:r>
    </w:p>
    <w:p>
      <w:pPr>
        <w:jc w:val="both"/>
        <w:spacing w:after="0" w:line="218" w:lineRule="auto"/>
        <w:rPr>
          <w:sz w:val="20"/>
          <w:szCs w:val="20"/>
          <w:color w:val="auto"/>
        </w:rPr>
      </w:pPr>
      <w:r>
        <w:rPr>
          <w:rFonts w:ascii="Times New Roman" w:cs="Times New Roman" w:eastAsia="Times New Roman" w:hAnsi="Times New Roman"/>
          <w:sz w:val="20"/>
          <w:szCs w:val="20"/>
          <w:color w:val="auto"/>
        </w:rPr>
        <w:t>applicable to any Loan, together with all fees, charges and other amounts which are treated as interest on such Loan under applicable law (collectively the “</w:t>
      </w:r>
      <w:r>
        <w:rPr>
          <w:rFonts w:ascii="Times New Roman" w:cs="Times New Roman" w:eastAsia="Times New Roman" w:hAnsi="Times New Roman"/>
          <w:sz w:val="20"/>
          <w:szCs w:val="20"/>
          <w:u w:val="single" w:color="auto"/>
          <w:color w:val="auto"/>
        </w:rPr>
        <w:t>Charges</w:t>
      </w:r>
      <w:r>
        <w:rPr>
          <w:rFonts w:ascii="Times New Roman" w:cs="Times New Roman" w:eastAsia="Times New Roman" w:hAnsi="Times New Roman"/>
          <w:sz w:val="20"/>
          <w:szCs w:val="20"/>
          <w:color w:val="auto"/>
        </w:rPr>
        <w:t>”), shall exceed the maximum lawful rate (the “</w:t>
      </w:r>
      <w:r>
        <w:rPr>
          <w:rFonts w:ascii="Times New Roman" w:cs="Times New Roman" w:eastAsia="Times New Roman" w:hAnsi="Times New Roman"/>
          <w:sz w:val="20"/>
          <w:szCs w:val="20"/>
          <w:u w:val="single" w:color="auto"/>
          <w:color w:val="auto"/>
        </w:rPr>
        <w:t>Maximum Rate</w:t>
      </w:r>
      <w:r>
        <w:rPr>
          <w:rFonts w:ascii="Times New Roman" w:cs="Times New Roman" w:eastAsia="Times New Roman" w:hAnsi="Times New Roman"/>
          <w:sz w:val="20"/>
          <w:szCs w:val="20"/>
          <w:color w:val="auto"/>
        </w:rPr>
        <w:t>”) which may be contracted for, charged, taken,</w:t>
      </w:r>
    </w:p>
    <w:p>
      <w:pPr>
        <w:spacing w:after="0" w:line="1"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20"/>
          <w:szCs w:val="20"/>
          <w:color w:val="auto"/>
        </w:rPr>
        <w:t>received or reserved by the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shall be</w:t>
      </w:r>
    </w:p>
    <w:p>
      <w:pPr>
        <w:jc w:val="both"/>
        <w:spacing w:after="0" w:line="218" w:lineRule="auto"/>
        <w:rPr>
          <w:sz w:val="20"/>
          <w:szCs w:val="20"/>
          <w:color w:val="auto"/>
        </w:rPr>
      </w:pPr>
      <w:r>
        <w:rPr>
          <w:rFonts w:ascii="Times New Roman" w:cs="Times New Roman" w:eastAsia="Times New Roman" w:hAnsi="Times New Roman"/>
          <w:sz w:val="20"/>
          <w:szCs w:val="20"/>
          <w:color w:val="auto"/>
        </w:rPr>
        <w:t>cumulated and the interest and Charges payable to such Lender in respect of other Loans or periods shall be increased (but not above the Maximum Rate therefor) until such cumulated amount, together with interest thereon at the applicable Overnight Rate to the date of</w:t>
      </w:r>
    </w:p>
    <w:p>
      <w:pPr>
        <w:spacing w:after="0" w:line="226" w:lineRule="auto"/>
        <w:rPr>
          <w:sz w:val="20"/>
          <w:szCs w:val="20"/>
          <w:color w:val="auto"/>
        </w:rPr>
      </w:pPr>
      <w:r>
        <w:rPr>
          <w:rFonts w:ascii="Times New Roman" w:cs="Times New Roman" w:eastAsia="Times New Roman" w:hAnsi="Times New Roman"/>
          <w:sz w:val="20"/>
          <w:szCs w:val="20"/>
          <w:color w:val="auto"/>
        </w:rPr>
        <w:t>repayment, shall have been received by such Lender.</w:t>
      </w:r>
    </w:p>
    <w:p>
      <w:pPr>
        <w:ind w:left="1300"/>
        <w:spacing w:after="0"/>
        <w:tabs>
          <w:tab w:leader="none" w:pos="2760" w:val="left"/>
        </w:tabs>
        <w:rPr>
          <w:sz w:val="20"/>
          <w:szCs w:val="20"/>
          <w:color w:val="auto"/>
        </w:rPr>
      </w:pPr>
      <w:r>
        <w:rPr>
          <w:rFonts w:ascii="Times New Roman" w:cs="Times New Roman" w:eastAsia="Times New Roman" w:hAnsi="Times New Roman"/>
          <w:sz w:val="20"/>
          <w:szCs w:val="20"/>
          <w:color w:val="010000"/>
        </w:rPr>
        <w:t>SECTION 9.16.</w:t>
      </w:r>
      <w:r>
        <w:rPr>
          <w:sz w:val="20"/>
          <w:szCs w:val="20"/>
          <w:color w:val="auto"/>
        </w:rPr>
        <w:tab/>
      </w:r>
      <w:r>
        <w:rPr>
          <w:rFonts w:ascii="Times New Roman" w:cs="Times New Roman" w:eastAsia="Times New Roman" w:hAnsi="Times New Roman"/>
          <w:sz w:val="19"/>
          <w:szCs w:val="19"/>
          <w:u w:val="single" w:color="auto"/>
          <w:color w:val="auto"/>
        </w:rPr>
        <w:t>No Fiduciary Duty, etc</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132</w:t>
      </w:r>
    </w:p>
    <w:p>
      <w:pPr>
        <w:sectPr>
          <w:pgSz w:w="11900" w:h="16838" w:orient="portrait"/>
          <w:cols w:equalWidth="0" w:num="1">
            <w:col w:w="11240"/>
          </w:cols>
          <w:pgMar w:left="320" w:top="1409" w:right="339" w:bottom="1440" w:gutter="0" w:footer="0" w:header="0"/>
        </w:sectPr>
      </w:pPr>
    </w:p>
    <w:bookmarkStart w:id="141" w:name="page142"/>
    <w:bookmarkEnd w:id="141"/>
    <w:p>
      <w:pPr>
        <w:jc w:val="both"/>
        <w:ind w:left="660" w:firstLine="644"/>
        <w:spacing w:after="0" w:line="250" w:lineRule="auto"/>
        <w:tabs>
          <w:tab w:leader="none" w:pos="1766" w:val="left"/>
        </w:tabs>
        <w:numPr>
          <w:ilvl w:val="0"/>
          <w:numId w:val="18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Borrower acknowledges and agrees, and acknowledges its Subsidiaries’ understanding, that no Credit Party will have any obligations except those obligations expressly set forth herein and in the other Loan Documents and each Credit Party is acting solely in the capacity of an arm’s length contractual counterparty to such Borrower with respect to the Loan Documents and the transaction contemplated therein and not as a financial advisor or a fiduciary to, or an agent of, such Borrower or any other person. Each Borrower agrees that it will not assert any claim against any Credit Party based on an alleged breach of fiduciary duty by such Credit Party in connection with this Agreement and the transactions contemplated hereby. Additionally, each Borrower acknowledges and agrees that no Credit Party is advising such Borrower as to any legal, tax, investment, accounting, regulatory or any other matters in any jurisdiction. Each Borrower shall consult with its own advisors concerning such matters and shall be responsible for making its own independent investigation and appraisal of the transactions contemplated hereby, and the Credit Parties shall have no responsibility or liability to any Borrower with respect thereto.</w:t>
      </w:r>
    </w:p>
    <w:p>
      <w:pPr>
        <w:spacing w:after="0" w:line="182" w:lineRule="exact"/>
        <w:rPr>
          <w:rFonts w:ascii="Times New Roman" w:cs="Times New Roman" w:eastAsia="Times New Roman" w:hAnsi="Times New Roman"/>
          <w:sz w:val="20"/>
          <w:szCs w:val="20"/>
          <w:color w:val="010000"/>
        </w:rPr>
      </w:pPr>
    </w:p>
    <w:p>
      <w:pPr>
        <w:jc w:val="both"/>
        <w:ind w:left="660" w:firstLine="644"/>
        <w:spacing w:after="0" w:line="250" w:lineRule="auto"/>
        <w:tabs>
          <w:tab w:leader="none" w:pos="1790" w:val="left"/>
        </w:tabs>
        <w:numPr>
          <w:ilvl w:val="0"/>
          <w:numId w:val="18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Borrower further acknowledges and agrees, and acknowledges its Subsidiaries’ understanding, that each Credit Party, together with its Affiliates, in addition to providing or participating in commercial lending facilities such as that provided hereunder, is a full service securities or banking firm engaged in securities trading and brokerage activities as well as providing investment banking and other financial services. In the ordinary course of business, any Credit Party may provide investment banking and other financial services to, and/or acquire, hold or sell, for its own accounts and the accounts of customers, equity, debt and other securities and financial instruments (including bank loans and other obligations) of, such Borrower, its Subsidiaries and other companies with which such Borrower or any of its Subsidiaries may have commercial or other relationships. With respect to any securities and/or financial instruments so held by any Credit Party or any of its customers, all rights in respect of such securities and financial instruments, including any voting rights, will be exercised by the holder of the rights, in its sole discretion.</w:t>
      </w:r>
    </w:p>
    <w:p>
      <w:pPr>
        <w:spacing w:after="0" w:line="179" w:lineRule="exact"/>
        <w:rPr>
          <w:rFonts w:ascii="Times New Roman" w:cs="Times New Roman" w:eastAsia="Times New Roman" w:hAnsi="Times New Roman"/>
          <w:sz w:val="20"/>
          <w:szCs w:val="20"/>
          <w:color w:val="010000"/>
        </w:rPr>
      </w:pPr>
    </w:p>
    <w:p>
      <w:pPr>
        <w:jc w:val="both"/>
        <w:ind w:left="660" w:firstLine="644"/>
        <w:spacing w:after="0" w:line="250" w:lineRule="auto"/>
        <w:tabs>
          <w:tab w:leader="none" w:pos="1833" w:val="left"/>
        </w:tabs>
        <w:numPr>
          <w:ilvl w:val="0"/>
          <w:numId w:val="18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 addition, each Borrower acknowledges and agrees, and acknowledges its Subsidiaries’ understanding, that each Credit Party and its Affiliates may be providing debt financing, equity capital or other services (including financial advisory services) to other companies in respect of which such Borrower or any of its Subsidiaries may have conflicting interests regarding the transactions described herein and otherwise. No Credit Party will use confidential information obtained from such Borrower by virtue of the transactions contemplated by the Loan Documents or its other relationships with such Borrower in connection with the performance by such Credit Party of services for other companies, and no Credit Party will furnish any such information to other companies. Each Borrower also acknowledges that no Credit Party has any obligation to use in connection with the transactions contemplated by the Loan Documents, or to furnish to such Borrower or any of its Subsidiaries, confidential information obtained from other companies.</w:t>
      </w:r>
    </w:p>
    <w:p>
      <w:pPr>
        <w:spacing w:after="0" w:line="179" w:lineRule="exact"/>
        <w:rPr>
          <w:sz w:val="20"/>
          <w:szCs w:val="20"/>
          <w:color w:val="auto"/>
        </w:rPr>
      </w:pPr>
    </w:p>
    <w:p>
      <w:pPr>
        <w:jc w:val="both"/>
        <w:ind w:right="20" w:firstLine="1296"/>
        <w:spacing w:after="0" w:line="251" w:lineRule="auto"/>
        <w:rPr>
          <w:sz w:val="20"/>
          <w:szCs w:val="20"/>
          <w:color w:val="auto"/>
        </w:rPr>
      </w:pPr>
      <w:r>
        <w:rPr>
          <w:rFonts w:ascii="Times New Roman" w:cs="Times New Roman" w:eastAsia="Times New Roman" w:hAnsi="Times New Roman"/>
          <w:sz w:val="20"/>
          <w:szCs w:val="20"/>
          <w:color w:val="010000"/>
        </w:rPr>
        <w:t xml:space="preserve">SECTION 9.17. </w:t>
      </w:r>
      <w:r>
        <w:rPr>
          <w:rFonts w:ascii="Times New Roman" w:cs="Times New Roman" w:eastAsia="Times New Roman" w:hAnsi="Times New Roman"/>
          <w:sz w:val="20"/>
          <w:szCs w:val="20"/>
          <w:u w:val="single" w:color="auto"/>
          <w:color w:val="000000"/>
        </w:rPr>
        <w:t>Several Liability</w:t>
      </w:r>
      <w:r>
        <w:rPr>
          <w:rFonts w:ascii="Times New Roman" w:cs="Times New Roman" w:eastAsia="Times New Roman" w:hAnsi="Times New Roman"/>
          <w:sz w:val="20"/>
          <w:szCs w:val="20"/>
          <w:color w:val="000000"/>
        </w:rPr>
        <w:t>. Notwithstanding anything to the contrary herein or in any other Loan Document, the</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Obligations of each Foreign Subsidiary Borrower are several and not joint and no Foreign Subsidiary Borrower shall be responsible for any other Borrower’s failure to pay its Obligations hereunder.</w:t>
      </w:r>
    </w:p>
    <w:p>
      <w:pPr>
        <w:spacing w:after="0" w:line="2" w:lineRule="exact"/>
        <w:rPr>
          <w:sz w:val="20"/>
          <w:szCs w:val="20"/>
          <w:color w:val="auto"/>
        </w:rPr>
      </w:pPr>
    </w:p>
    <w:p>
      <w:pPr>
        <w:jc w:val="both"/>
        <w:ind w:firstLine="1296"/>
        <w:spacing w:after="0" w:line="237" w:lineRule="auto"/>
        <w:rPr>
          <w:sz w:val="20"/>
          <w:szCs w:val="20"/>
          <w:color w:val="auto"/>
        </w:rPr>
      </w:pPr>
      <w:r>
        <w:rPr>
          <w:rFonts w:ascii="Times New Roman" w:cs="Times New Roman" w:eastAsia="Times New Roman" w:hAnsi="Times New Roman"/>
          <w:sz w:val="20"/>
          <w:szCs w:val="20"/>
          <w:color w:val="010000"/>
        </w:rPr>
        <w:t xml:space="preserve">SECTION 9.18. </w:t>
      </w:r>
      <w:r>
        <w:rPr>
          <w:rFonts w:ascii="Times New Roman" w:cs="Times New Roman" w:eastAsia="Times New Roman" w:hAnsi="Times New Roman"/>
          <w:sz w:val="20"/>
          <w:szCs w:val="20"/>
          <w:u w:val="single" w:color="auto"/>
          <w:color w:val="000000"/>
        </w:rPr>
        <w:t>Acknowledgement and Consent to Bail-In of Affected Financial Institutions</w:t>
      </w:r>
      <w:r>
        <w:rPr>
          <w:rFonts w:ascii="Times New Roman" w:cs="Times New Roman" w:eastAsia="Times New Roman" w:hAnsi="Times New Roman"/>
          <w:sz w:val="20"/>
          <w:szCs w:val="20"/>
          <w:color w:val="000000"/>
        </w:rPr>
        <w:t>. Notwithstanding anything to</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the contrary in any Loan Document or in any other agreement, arrangement or understanding among any such parties, each party hereto acknowledges that any liability of any Affected Financial Institution arising under any Loan Document may be subject to the Write-</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133</w:t>
      </w:r>
    </w:p>
    <w:p>
      <w:pPr>
        <w:sectPr>
          <w:pgSz w:w="11900" w:h="16838" w:orient="portrait"/>
          <w:cols w:equalWidth="0" w:num="1">
            <w:col w:w="11240"/>
          </w:cols>
          <w:pgMar w:left="320" w:top="1413" w:right="339" w:bottom="1440" w:gutter="0" w:footer="0" w:header="0"/>
        </w:sectPr>
      </w:pPr>
    </w:p>
    <w:bookmarkStart w:id="142" w:name="page143"/>
    <w:bookmarkEnd w:id="142"/>
    <w:p>
      <w:pPr>
        <w:spacing w:after="0" w:line="236" w:lineRule="auto"/>
        <w:rPr>
          <w:sz w:val="20"/>
          <w:szCs w:val="20"/>
          <w:color w:val="auto"/>
        </w:rPr>
      </w:pPr>
      <w:r>
        <w:rPr>
          <w:rFonts w:ascii="Times New Roman" w:cs="Times New Roman" w:eastAsia="Times New Roman" w:hAnsi="Times New Roman"/>
          <w:sz w:val="20"/>
          <w:szCs w:val="20"/>
          <w:color w:val="auto"/>
        </w:rPr>
        <w:t>Down and Conversion Powers of the applicable Resolution Authority and agrees and consents to, and acknowledges and agrees to be bound by:</w:t>
      </w:r>
    </w:p>
    <w:p>
      <w:pPr>
        <w:spacing w:after="0" w:line="2" w:lineRule="exact"/>
        <w:rPr>
          <w:sz w:val="20"/>
          <w:szCs w:val="20"/>
          <w:color w:val="auto"/>
        </w:rPr>
      </w:pPr>
    </w:p>
    <w:p>
      <w:pPr>
        <w:ind w:firstLine="1304"/>
        <w:spacing w:after="0" w:line="236" w:lineRule="auto"/>
        <w:tabs>
          <w:tab w:leader="none" w:pos="1862" w:val="left"/>
        </w:tabs>
        <w:numPr>
          <w:ilvl w:val="0"/>
          <w:numId w:val="18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60" w:lineRule="exact"/>
        <w:rPr>
          <w:rFonts w:ascii="Times New Roman" w:cs="Times New Roman" w:eastAsia="Times New Roman" w:hAnsi="Times New Roman"/>
          <w:sz w:val="20"/>
          <w:szCs w:val="20"/>
          <w:color w:val="010000"/>
        </w:rPr>
      </w:pPr>
    </w:p>
    <w:p>
      <w:pPr>
        <w:ind w:left="1740" w:hanging="436"/>
        <w:spacing w:after="0"/>
        <w:tabs>
          <w:tab w:leader="none" w:pos="1740" w:val="left"/>
        </w:tabs>
        <w:numPr>
          <w:ilvl w:val="0"/>
          <w:numId w:val="18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effects of any Bail-In Action on any such liability, including, if applicable:</w:t>
      </w:r>
    </w:p>
    <w:p>
      <w:pPr>
        <w:spacing w:after="0" w:line="188" w:lineRule="exact"/>
        <w:rPr>
          <w:rFonts w:ascii="Times New Roman" w:cs="Times New Roman" w:eastAsia="Times New Roman" w:hAnsi="Times New Roman"/>
          <w:sz w:val="20"/>
          <w:szCs w:val="20"/>
          <w:color w:val="010000"/>
        </w:rPr>
      </w:pPr>
    </w:p>
    <w:p>
      <w:pPr>
        <w:ind w:left="2340" w:hanging="388"/>
        <w:spacing w:after="0"/>
        <w:tabs>
          <w:tab w:leader="none" w:pos="2340" w:val="left"/>
        </w:tabs>
        <w:numPr>
          <w:ilvl w:val="1"/>
          <w:numId w:val="18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 reduction in full or in part or cancellation of any such liability;</w:t>
      </w:r>
    </w:p>
    <w:p>
      <w:pPr>
        <w:spacing w:after="0" w:line="202" w:lineRule="exact"/>
        <w:rPr>
          <w:rFonts w:ascii="Times New Roman" w:cs="Times New Roman" w:eastAsia="Times New Roman" w:hAnsi="Times New Roman"/>
          <w:sz w:val="20"/>
          <w:szCs w:val="20"/>
          <w:color w:val="010000"/>
        </w:rPr>
      </w:pPr>
    </w:p>
    <w:p>
      <w:pPr>
        <w:jc w:val="both"/>
        <w:ind w:left="660" w:firstLine="1292"/>
        <w:spacing w:after="0" w:line="236" w:lineRule="auto"/>
        <w:tabs>
          <w:tab w:leader="none" w:pos="2395" w:val="left"/>
        </w:tabs>
        <w:numPr>
          <w:ilvl w:val="1"/>
          <w:numId w:val="18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88" w:lineRule="exact"/>
        <w:rPr>
          <w:rFonts w:ascii="Times New Roman" w:cs="Times New Roman" w:eastAsia="Times New Roman" w:hAnsi="Times New Roman"/>
          <w:sz w:val="20"/>
          <w:szCs w:val="20"/>
          <w:color w:val="010000"/>
        </w:rPr>
      </w:pPr>
    </w:p>
    <w:p>
      <w:pPr>
        <w:ind w:left="660" w:firstLine="1292"/>
        <w:spacing w:after="0" w:line="255" w:lineRule="auto"/>
        <w:tabs>
          <w:tab w:leader="none" w:pos="2477" w:val="left"/>
        </w:tabs>
        <w:numPr>
          <w:ilvl w:val="1"/>
          <w:numId w:val="18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variation of the terms of such liability in connection with the exercise of the Write-Down and Conversion Powers of the applicable Resolution Authority.</w:t>
      </w:r>
    </w:p>
    <w:p>
      <w:pPr>
        <w:spacing w:after="0" w:line="159" w:lineRule="exact"/>
        <w:rPr>
          <w:sz w:val="20"/>
          <w:szCs w:val="20"/>
          <w:color w:val="auto"/>
        </w:rPr>
      </w:pPr>
    </w:p>
    <w:p>
      <w:pPr>
        <w:jc w:val="both"/>
        <w:ind w:firstLine="1296"/>
        <w:spacing w:after="0" w:line="230" w:lineRule="auto"/>
        <w:rPr>
          <w:sz w:val="20"/>
          <w:szCs w:val="20"/>
          <w:color w:val="auto"/>
        </w:rPr>
      </w:pPr>
      <w:r>
        <w:rPr>
          <w:rFonts w:ascii="Times New Roman" w:cs="Times New Roman" w:eastAsia="Times New Roman" w:hAnsi="Times New Roman"/>
          <w:sz w:val="20"/>
          <w:szCs w:val="20"/>
          <w:color w:val="010000"/>
        </w:rPr>
        <w:t xml:space="preserve">SECTION 9.19. </w:t>
      </w:r>
      <w:r>
        <w:rPr>
          <w:rFonts w:ascii="Times New Roman" w:cs="Times New Roman" w:eastAsia="Times New Roman" w:hAnsi="Times New Roman"/>
          <w:sz w:val="20"/>
          <w:szCs w:val="20"/>
          <w:u w:val="single" w:color="auto"/>
          <w:color w:val="000000"/>
        </w:rPr>
        <w:t>Acknowledgement Regarding Any Supported QFCs</w:t>
      </w:r>
      <w:r>
        <w:rPr>
          <w:rFonts w:ascii="Times New Roman" w:cs="Times New Roman" w:eastAsia="Times New Roman" w:hAnsi="Times New Roman"/>
          <w:sz w:val="20"/>
          <w:szCs w:val="20"/>
          <w:color w:val="000000"/>
        </w:rPr>
        <w:t>. To the extent that the Loan Documents provide</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support, through a guarantee or otherwise, for Swap Agreements or any other agreement or instrument that is a QFC (such support “</w:t>
      </w:r>
      <w:r>
        <w:rPr>
          <w:rFonts w:ascii="Times New Roman" w:cs="Times New Roman" w:eastAsia="Times New Roman" w:hAnsi="Times New Roman"/>
          <w:sz w:val="20"/>
          <w:szCs w:val="20"/>
          <w:u w:val="single" w:color="auto"/>
          <w:color w:val="000000"/>
        </w:rPr>
        <w:t>QFC</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0000"/>
        </w:rPr>
        <w:t>Credit Support</w:t>
      </w:r>
      <w:r>
        <w:rPr>
          <w:rFonts w:ascii="Times New Roman" w:cs="Times New Roman" w:eastAsia="Times New Roman" w:hAnsi="Times New Roman"/>
          <w:sz w:val="20"/>
          <w:szCs w:val="20"/>
          <w:color w:val="000000"/>
        </w:rPr>
        <w:t>” and each such QFC a “</w:t>
      </w:r>
      <w:r>
        <w:rPr>
          <w:rFonts w:ascii="Times New Roman" w:cs="Times New Roman" w:eastAsia="Times New Roman" w:hAnsi="Times New Roman"/>
          <w:sz w:val="20"/>
          <w:szCs w:val="20"/>
          <w:u w:val="single" w:color="auto"/>
          <w:color w:val="000000"/>
        </w:rPr>
        <w:t>Supported QFC</w:t>
      </w:r>
      <w:r>
        <w:rPr>
          <w:rFonts w:ascii="Times New Roman" w:cs="Times New Roman" w:eastAsia="Times New Roman" w:hAnsi="Times New Roman"/>
          <w:sz w:val="20"/>
          <w:szCs w:val="20"/>
          <w:color w:val="000000"/>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20"/>
          <w:szCs w:val="20"/>
          <w:u w:val="single" w:color="auto"/>
          <w:color w:val="000000"/>
        </w:rPr>
        <w:t>U.S. Special Resolution Regimes</w:t>
      </w:r>
      <w:r>
        <w:rPr>
          <w:rFonts w:ascii="Times New Roman" w:cs="Times New Roman" w:eastAsia="Times New Roman" w:hAnsi="Times New Roman"/>
          <w:sz w:val="20"/>
          <w:szCs w:val="20"/>
          <w:color w:val="000000"/>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jc w:val="both"/>
        <w:ind w:firstLine="429"/>
        <w:spacing w:after="0" w:line="228" w:lineRule="auto"/>
        <w:rPr>
          <w:sz w:val="20"/>
          <w:szCs w:val="20"/>
          <w:color w:val="auto"/>
        </w:rPr>
      </w:pPr>
      <w:r>
        <w:rPr>
          <w:rFonts w:ascii="Times New Roman" w:cs="Times New Roman" w:eastAsia="Times New Roman" w:hAnsi="Times New Roman"/>
          <w:sz w:val="20"/>
          <w:szCs w:val="20"/>
          <w:color w:val="auto"/>
        </w:rPr>
        <w:t>In the event a Covered Entity that is party to a Supported QFC (each, a “</w:t>
      </w:r>
      <w:r>
        <w:rPr>
          <w:rFonts w:ascii="Times New Roman" w:cs="Times New Roman" w:eastAsia="Times New Roman" w:hAnsi="Times New Roman"/>
          <w:sz w:val="20"/>
          <w:szCs w:val="20"/>
          <w:u w:val="single" w:color="auto"/>
          <w:color w:val="auto"/>
        </w:rPr>
        <w:t>Covered Party</w:t>
      </w:r>
      <w:r>
        <w:rPr>
          <w:rFonts w:ascii="Times New Roman" w:cs="Times New Roman" w:eastAsia="Times New Roman" w:hAnsi="Times New Roman"/>
          <w:sz w:val="20"/>
          <w:szCs w:val="20"/>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010000"/>
        </w:rPr>
        <w:t>ARTICLE X</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Company Guarantee</w:t>
      </w:r>
    </w:p>
    <w:p>
      <w:pPr>
        <w:spacing w:after="0" w:line="229" w:lineRule="exact"/>
        <w:rPr>
          <w:sz w:val="20"/>
          <w:szCs w:val="20"/>
          <w:color w:val="auto"/>
        </w:rPr>
      </w:pPr>
    </w:p>
    <w:p>
      <w:pPr>
        <w:jc w:val="both"/>
        <w:ind w:right="20" w:firstLine="1296"/>
        <w:spacing w:after="0" w:line="261" w:lineRule="auto"/>
        <w:rPr>
          <w:sz w:val="20"/>
          <w:szCs w:val="20"/>
          <w:color w:val="auto"/>
        </w:rPr>
      </w:pPr>
      <w:r>
        <w:rPr>
          <w:rFonts w:ascii="Times New Roman" w:cs="Times New Roman" w:eastAsia="Times New Roman" w:hAnsi="Times New Roman"/>
          <w:sz w:val="20"/>
          <w:szCs w:val="20"/>
          <w:color w:val="auto"/>
        </w:rPr>
        <w:t>In order to induce the Lenders to extend credit to the other Borrowers hereunder, the Company hereby irrevocably and unconditionally guarantees, as a primary obligor and not merely as a surety, the payment when and as due of the Obligations of such other Borrowers. The Company further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134</w:t>
      </w:r>
    </w:p>
    <w:p>
      <w:pPr>
        <w:sectPr>
          <w:pgSz w:w="11900" w:h="16838" w:orient="portrait"/>
          <w:cols w:equalWidth="0" w:num="1">
            <w:col w:w="11240"/>
          </w:cols>
          <w:pgMar w:left="320" w:top="1413" w:right="339" w:bottom="1440" w:gutter="0" w:footer="0" w:header="0"/>
        </w:sectPr>
      </w:pPr>
    </w:p>
    <w:bookmarkStart w:id="143" w:name="page144"/>
    <w:bookmarkEnd w:id="143"/>
    <w:p>
      <w:pPr>
        <w:jc w:val="both"/>
        <w:spacing w:after="0" w:line="261" w:lineRule="auto"/>
        <w:rPr>
          <w:sz w:val="20"/>
          <w:szCs w:val="20"/>
          <w:color w:val="auto"/>
        </w:rPr>
      </w:pPr>
      <w:r>
        <w:rPr>
          <w:rFonts w:ascii="Times New Roman" w:cs="Times New Roman" w:eastAsia="Times New Roman" w:hAnsi="Times New Roman"/>
          <w:sz w:val="20"/>
          <w:szCs w:val="20"/>
          <w:color w:val="auto"/>
        </w:rPr>
        <w:t>agrees that the due and punctual payment of such Obligations may be extended or renewed, in whole or in part, without notice to or further assent from it, and that it will remain bound upon its guarantee hereunder notwithstanding any such extension or renewal of any such Obligation.</w:t>
      </w:r>
    </w:p>
    <w:p>
      <w:pPr>
        <w:spacing w:after="0" w:line="154"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9"/>
          <w:szCs w:val="19"/>
          <w:color w:val="auto"/>
        </w:rPr>
        <w:t>The Company waives presentment to, demand of payment from and protest to any other Borrower of any of the Obligations, and also waives notice of acceptance of its obligations and notice of protest for nonpayment. The obligations of the Company hereunder shall not be affected by (a) the failure of the Administrative Agent, any Issuing Bank or any Lender to assert any claim or demand or to enforce any right or remedy against any other Borrower under the provisions of this Agreement, any other Loan Document or otherwise; (b) any extension or renewal of any of the Obligations; (c) any rescission, waiver, amendment or modification of, or release from, any of the terms or provisions of this Agreement, or any other Loan Document or agreement; (d) any default, failure or delay, willful or otherwise, in the performance of any of the Obligations; (e) the failure of the Administrative Agent to take any steps to perfect and maintain any security interest in, or to preserve any rights to, any security or collateral for the Obligations, if any; (f) any change in the corporate, partnership or other existence, structure or ownership of any other Borrower or any other guarantor of any of the Obligations; (g) the enforceability or validity of the Obligations or any part thereof or the genuineness, enforceability or validity of any agreement relating thereto or with respect to any collateral securing the Obligations or any part thereof, or any other invalidity or unenforceability relating to or against any other Borrower or any other guarantor of any of the Obligations, for any reason related to this Agreement, any Swap Agreement, any other Loan Document, or any provision of applicable law, decree, order or regulation of any jurisdiction purporting to prohibit the payment by such other Borrower or any other guarantor of the Obligations, of any of the Obligations or otherwise affecting any term of any of the Obligations; or</w:t>
      </w:r>
    </w:p>
    <w:p>
      <w:pPr>
        <w:spacing w:after="0" w:line="11" w:lineRule="exact"/>
        <w:rPr>
          <w:sz w:val="20"/>
          <w:szCs w:val="20"/>
          <w:color w:val="auto"/>
        </w:rPr>
      </w:pPr>
    </w:p>
    <w:p>
      <w:pPr>
        <w:jc w:val="both"/>
        <w:ind w:firstLine="8"/>
        <w:spacing w:after="0" w:line="253" w:lineRule="auto"/>
        <w:tabs>
          <w:tab w:leader="none" w:pos="287" w:val="left"/>
        </w:tabs>
        <w:numPr>
          <w:ilvl w:val="0"/>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act, omission or delay to do any other act which may or might in any manner or to any extent vary the risk of the Company or otherwise operate as a discharge of a guarantor as a matter of law or equity or which would impair or eliminate any right of the Company to subrogation.</w:t>
      </w:r>
    </w:p>
    <w:p>
      <w:pPr>
        <w:spacing w:after="0" w:line="162"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0"/>
          <w:szCs w:val="20"/>
          <w:color w:val="auto"/>
        </w:rPr>
        <w:t>The Company further agrees that its agreement hereunder constitutes a guarantee of payment when due (whether or not any bankruptcy or similar proceeding shall have stayed the accrual or collection of any of the Obligations or operated as a discharge thereof) and not merely of collection, and waives any right to require that any resort be had by the Administrative Agent, any Issuing Bank or any Lender to any balance of any deposit account or credit on the books of the Administrative Agent, any Issuing Bank or any Lender in favor of any other Borrower or any other Person.</w:t>
      </w:r>
    </w:p>
    <w:p>
      <w:pPr>
        <w:spacing w:after="0" w:line="15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The obligations of the Company hereunder shall not be subject to any reduction, limitation, impairment or termination for any reason, and shall not be subject to any defense or set-off, counterclaim, recoupment or termination whatsoever, by reason of the invalidity, illegality or unenforceability of any of the Obligations, any impossibility in the performance of any of the Obligations or otherwise.</w:t>
      </w:r>
    </w:p>
    <w:p>
      <w:pPr>
        <w:spacing w:after="0" w:line="15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The Company further agrees that its obligations hereunder shall constitute a continuing and irrevocable guarantee of all Obligations now or hereafter existing and shall continue to be effective or be reinstated, as the case may be, if at any time payment, or any part thereof, of any Obligation (including a payment effected through exercise of a right of setoff) is rescinded, or is or must otherwise be restored or returned by the Administrative Agent, any Issuing Bank or any Lender upon the insolvency, bankruptcy or reorganization of any other Borrower or otherwise (including pursuant to any settlement entered into by a holder of Obligations in its discretion).</w:t>
      </w:r>
    </w:p>
    <w:p>
      <w:pPr>
        <w:spacing w:after="0" w:line="165"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In furtherance of the foregoing and not in limitation of any other right which the Administrative Agent, any Issuing Bank or any Lender may have at law or in equity against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135</w:t>
      </w:r>
    </w:p>
    <w:p>
      <w:pPr>
        <w:sectPr>
          <w:pgSz w:w="11900" w:h="16838" w:orient="portrait"/>
          <w:cols w:equalWidth="0" w:num="1">
            <w:col w:w="11240"/>
          </w:cols>
          <w:pgMar w:left="320" w:top="1413" w:right="339" w:bottom="1440" w:gutter="0" w:footer="0" w:header="0"/>
        </w:sectPr>
      </w:pPr>
    </w:p>
    <w:bookmarkStart w:id="144" w:name="page145"/>
    <w:bookmarkEnd w:id="144"/>
    <w:p>
      <w:pPr>
        <w:jc w:val="both"/>
        <w:spacing w:after="0" w:line="250" w:lineRule="auto"/>
        <w:rPr>
          <w:sz w:val="20"/>
          <w:szCs w:val="20"/>
          <w:color w:val="auto"/>
        </w:rPr>
      </w:pPr>
      <w:r>
        <w:rPr>
          <w:rFonts w:ascii="Times New Roman" w:cs="Times New Roman" w:eastAsia="Times New Roman" w:hAnsi="Times New Roman"/>
          <w:sz w:val="20"/>
          <w:szCs w:val="20"/>
          <w:color w:val="auto"/>
        </w:rPr>
        <w:t>by virtue hereof, upon the failure of any other Borrower to pay any Obligation when and as the same shall become due, whether at maturity, by acceleration, after notice of prepayment or otherwise, the Company hereby promises to and will, upon receipt of written demand by the Administrative Agent, any Issuing Bank or any Lender, forthwith pay, or cause to be paid, to the Administrative Agent, any Issuing Bank or any Lender in cash an amount equal to the unpaid principal amount of such Obligations then due, together with accrued and unpaid interest thereon. The Company further agrees that if payment in respect of any Obligation shall be due in a currency other than Dollars and/or at a place of payment other than New York, Chicago or any other Foreign Currency Payment Office and if, by reason of any Change in Law, disruption of currency or foreign exchange markets, war or civil disturbance or other event, payment of such Obligation in such currency or at such place of payment shall be impossible or, in the reasonable judgment of the Administrative Agent, any Issuing Bank or any Lender, disadvantageous to the Administrative Agent, any Issuing Bank or any Lender in any material respect, then, at the election of the Administrative Agent, the Company shall make payment of such Obligation in Dollars (based upon the Dollar Amount of such Obligation on the date of payment) and/or in New York, Chicago or such other Foreign Currency Payment Office as is designated by the Administrative Agent and, as a separate and independent obligation, shall indemnify the Administrative Agent, any Issuing Bank and any Lender against any losses or reasonable out-of-pocket expenses that it shall sustain as a result of such alternative payment.</w:t>
      </w:r>
    </w:p>
    <w:p>
      <w:pPr>
        <w:spacing w:after="0" w:line="16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Upon payment by the Company of any sums as provided above, all rights of the Company against any other Borrower arising as a result thereof by way of right of subrogation or otherwise shall in all respects be subordinated and junior in right of payment to the prior indefeasible payment in full in cash of all the Obligations owed by such other Borrower to the Administrative Agent, the Issuing Banks and the Lenders.</w:t>
      </w:r>
    </w:p>
    <w:p>
      <w:pPr>
        <w:spacing w:after="0" w:line="15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Nothing shall discharge or satisfy the liability of the Company hereunder except the full performance and payment of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Obligations.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136</w:t>
      </w:r>
    </w:p>
    <w:p>
      <w:pPr>
        <w:sectPr>
          <w:pgSz w:w="11900" w:h="16838" w:orient="portrait"/>
          <w:cols w:equalWidth="0" w:num="1">
            <w:col w:w="11240"/>
          </w:cols>
          <w:pgMar w:left="320" w:top="1413" w:right="339" w:bottom="1440" w:gutter="0" w:footer="0" w:header="0"/>
        </w:sectPr>
      </w:pPr>
    </w:p>
    <w:bookmarkStart w:id="145" w:name="page146"/>
    <w:bookmarkEnd w:id="145"/>
    <w:p>
      <w:pPr>
        <w:ind w:firstLine="1296"/>
        <w:spacing w:after="0" w:line="283" w:lineRule="auto"/>
        <w:rPr>
          <w:sz w:val="20"/>
          <w:szCs w:val="20"/>
          <w:color w:val="auto"/>
        </w:rPr>
      </w:pPr>
      <w:r>
        <w:rPr>
          <w:rFonts w:ascii="Times New Roman" w:cs="Times New Roman" w:eastAsia="Times New Roman" w:hAnsi="Times New Roman"/>
          <w:sz w:val="20"/>
          <w:szCs w:val="20"/>
          <w:color w:val="auto"/>
        </w:rPr>
        <w:t>IN WITNESS WHEREOF, the parties hereto have caused this Agreement to be duly executed and delivered by their respective authorized officers as of the day and year first above written.</w:t>
      </w:r>
    </w:p>
    <w:p>
      <w:pPr>
        <w:spacing w:after="0" w:line="13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AMETEK, INC.,</w:t>
      </w:r>
    </w:p>
    <w:p>
      <w:pPr>
        <w:spacing w:after="0" w:line="2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as the Company</w:t>
      </w:r>
    </w:p>
    <w:p>
      <w:pPr>
        <w:spacing w:after="0" w:line="200" w:lineRule="exact"/>
        <w:rPr>
          <w:sz w:val="20"/>
          <w:szCs w:val="20"/>
          <w:color w:val="auto"/>
        </w:rPr>
      </w:pPr>
    </w:p>
    <w:p>
      <w:pPr>
        <w:spacing w:after="0" w:line="22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 /s/ Dalip M. Puri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2651760</wp:posOffset>
            </wp:positionH>
            <wp:positionV relativeFrom="paragraph">
              <wp:posOffset>-10795</wp:posOffset>
            </wp:positionV>
            <wp:extent cx="109601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96010" cy="8255"/>
                    </a:xfrm>
                    <a:prstGeom prst="rect">
                      <a:avLst/>
                    </a:prstGeom>
                    <a:noFill/>
                  </pic:spPr>
                </pic:pic>
              </a:graphicData>
            </a:graphic>
          </wp:anchor>
        </w:drawing>
      </w:r>
    </w:p>
    <w:p>
      <w:pPr>
        <w:spacing w:after="0" w:line="8"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Name: Dalip M. Puri</w:t>
      </w:r>
    </w:p>
    <w:p>
      <w:pPr>
        <w:spacing w:after="0" w:line="6" w:lineRule="exact"/>
        <w:rPr>
          <w:sz w:val="20"/>
          <w:szCs w:val="20"/>
          <w:color w:val="auto"/>
        </w:rPr>
      </w:pPr>
    </w:p>
    <w:p>
      <w:pPr>
        <w:ind w:left="4100"/>
        <w:spacing w:after="0"/>
        <w:tabs>
          <w:tab w:leader="none" w:pos="4740" w:val="left"/>
        </w:tabs>
        <w:rPr>
          <w:sz w:val="20"/>
          <w:szCs w:val="20"/>
          <w:color w:val="auto"/>
        </w:rPr>
      </w:pPr>
      <w:r>
        <w:rPr>
          <w:rFonts w:ascii="Times New Roman" w:cs="Times New Roman" w:eastAsia="Times New Roman" w:hAnsi="Times New Roman"/>
          <w:sz w:val="20"/>
          <w:szCs w:val="20"/>
          <w:color w:val="auto"/>
        </w:rPr>
        <w:t>Title:</w:t>
        <w:tab/>
        <w:t>Executive Vice President and Chief</w:t>
      </w:r>
    </w:p>
    <w:p>
      <w:pPr>
        <w:spacing w:after="0" w:line="6"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0"/>
          <w:szCs w:val="20"/>
          <w:color w:val="auto"/>
        </w:rPr>
        <w:t>Financial Officer</w:t>
      </w:r>
    </w:p>
    <w:p>
      <w:pPr>
        <w:sectPr>
          <w:pgSz w:w="11900" w:h="16838" w:orient="portrait"/>
          <w:cols w:equalWidth="0" w:num="1">
            <w:col w:w="11240"/>
          </w:cols>
          <w:pgMar w:left="320" w:top="14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to Amended and Restated Credit Agreement</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AMETEK, Inc.</w:t>
      </w:r>
    </w:p>
    <w:p>
      <w:pPr>
        <w:sectPr>
          <w:pgSz w:w="11900" w:h="16838" w:orient="portrait"/>
          <w:cols w:equalWidth="0" w:num="1">
            <w:col w:w="11240"/>
          </w:cols>
          <w:pgMar w:left="320" w:top="1413" w:right="339" w:bottom="1440" w:gutter="0" w:footer="0" w:header="0"/>
          <w:type w:val="continuous"/>
        </w:sectPr>
      </w:pPr>
    </w:p>
    <w:bookmarkStart w:id="146" w:name="page147"/>
    <w:bookmarkEnd w:id="146"/>
    <w:p>
      <w:pPr>
        <w:ind w:left="2780"/>
        <w:spacing w:after="0"/>
        <w:rPr>
          <w:sz w:val="20"/>
          <w:szCs w:val="20"/>
          <w:color w:val="auto"/>
        </w:rPr>
      </w:pPr>
      <w:r>
        <w:rPr>
          <w:rFonts w:ascii="Times New Roman" w:cs="Times New Roman" w:eastAsia="Times New Roman" w:hAnsi="Times New Roman"/>
          <w:sz w:val="19"/>
          <w:szCs w:val="19"/>
          <w:color w:val="auto"/>
        </w:rPr>
        <w:t>AMETEK EUROPEAN HOLDINGS LIMITED,</w:t>
      </w:r>
    </w:p>
    <w:p>
      <w:pPr>
        <w:spacing w:after="0" w:line="4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as a Foreign Subsidiary Borrower</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/s/ Ben Wileman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1940560</wp:posOffset>
            </wp:positionH>
            <wp:positionV relativeFrom="paragraph">
              <wp:posOffset>-24765</wp:posOffset>
            </wp:positionV>
            <wp:extent cx="112204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22045" cy="8255"/>
                    </a:xfrm>
                    <a:prstGeom prst="rect">
                      <a:avLst/>
                    </a:prstGeom>
                    <a:noFill/>
                  </pic:spPr>
                </pic:pic>
              </a:graphicData>
            </a:graphic>
          </wp:anchor>
        </w:drawing>
      </w:r>
    </w:p>
    <w:p>
      <w:pPr>
        <w:ind w:left="2980"/>
        <w:spacing w:after="0"/>
        <w:rPr>
          <w:sz w:val="20"/>
          <w:szCs w:val="20"/>
          <w:color w:val="auto"/>
        </w:rPr>
      </w:pPr>
      <w:r>
        <w:rPr>
          <w:rFonts w:ascii="Times New Roman" w:cs="Times New Roman" w:eastAsia="Times New Roman" w:hAnsi="Times New Roman"/>
          <w:sz w:val="20"/>
          <w:szCs w:val="20"/>
          <w:color w:val="auto"/>
        </w:rPr>
        <w:t>Name: Ben Wileman</w:t>
      </w:r>
    </w:p>
    <w:p>
      <w:pPr>
        <w:spacing w:after="0" w:line="6" w:lineRule="exact"/>
        <w:rPr>
          <w:sz w:val="20"/>
          <w:szCs w:val="20"/>
          <w:color w:val="auto"/>
        </w:rPr>
      </w:pPr>
    </w:p>
    <w:p>
      <w:pPr>
        <w:ind w:left="2980"/>
        <w:spacing w:after="0"/>
        <w:tabs>
          <w:tab w:leader="none" w:pos="3620" w:val="left"/>
        </w:tabs>
        <w:rPr>
          <w:sz w:val="20"/>
          <w:szCs w:val="20"/>
          <w:color w:val="auto"/>
        </w:rPr>
      </w:pPr>
      <w:r>
        <w:rPr>
          <w:rFonts w:ascii="Times New Roman" w:cs="Times New Roman" w:eastAsia="Times New Roman" w:hAnsi="Times New Roman"/>
          <w:sz w:val="20"/>
          <w:szCs w:val="20"/>
          <w:color w:val="auto"/>
        </w:rPr>
        <w:t>Title:</w:t>
        <w:tab/>
        <w:t>Director</w:t>
      </w:r>
    </w:p>
    <w:p>
      <w:pPr>
        <w:sectPr>
          <w:pgSz w:w="11900" w:h="16838" w:orient="portrait"/>
          <w:cols w:equalWidth="0" w:num="1">
            <w:col w:w="9019"/>
          </w:cols>
          <w:pgMar w:left="1440" w:top="14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Amended and Restated Credit Agreement</w:t>
      </w:r>
    </w:p>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AMETEK, Inc.</w:t>
      </w:r>
    </w:p>
    <w:p>
      <w:pPr>
        <w:sectPr>
          <w:pgSz w:w="11900" w:h="16838" w:orient="portrait"/>
          <w:cols w:equalWidth="0" w:num="1">
            <w:col w:w="9019"/>
          </w:cols>
          <w:pgMar w:left="1440" w:top="1413" w:right="1440" w:bottom="1440" w:gutter="0" w:footer="0" w:header="0"/>
          <w:type w:val="continuous"/>
        </w:sectPr>
      </w:pPr>
    </w:p>
    <w:bookmarkStart w:id="147" w:name="page148"/>
    <w:bookmarkEnd w:id="147"/>
    <w:p>
      <w:pPr>
        <w:ind w:left="2780"/>
        <w:spacing w:after="0"/>
        <w:rPr>
          <w:sz w:val="20"/>
          <w:szCs w:val="20"/>
          <w:color w:val="auto"/>
        </w:rPr>
      </w:pPr>
      <w:r>
        <w:rPr>
          <w:rFonts w:ascii="Times New Roman" w:cs="Times New Roman" w:eastAsia="Times New Roman" w:hAnsi="Times New Roman"/>
          <w:sz w:val="20"/>
          <w:szCs w:val="20"/>
          <w:color w:val="auto"/>
        </w:rPr>
        <w:t>TUBES HOLDCO LIMITED,</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9"/>
          <w:szCs w:val="19"/>
          <w:color w:val="auto"/>
        </w:rPr>
        <w:t>as a Foreign Subsidiary Borrower</w:t>
      </w:r>
    </w:p>
    <w:p>
      <w:pPr>
        <w:spacing w:after="0" w:line="200" w:lineRule="exact"/>
        <w:rPr>
          <w:sz w:val="20"/>
          <w:szCs w:val="20"/>
          <w:color w:val="auto"/>
        </w:rPr>
      </w:pPr>
    </w:p>
    <w:p>
      <w:pPr>
        <w:spacing w:after="0" w:line="2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/s/ Ben Wileman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1940560</wp:posOffset>
            </wp:positionH>
            <wp:positionV relativeFrom="paragraph">
              <wp:posOffset>-10795</wp:posOffset>
            </wp:positionV>
            <wp:extent cx="112204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22045" cy="8255"/>
                    </a:xfrm>
                    <a:prstGeom prst="rect">
                      <a:avLst/>
                    </a:prstGeom>
                    <a:noFill/>
                  </pic:spPr>
                </pic:pic>
              </a:graphicData>
            </a:graphic>
          </wp:anchor>
        </w:drawing>
      </w:r>
    </w:p>
    <w:p>
      <w:pPr>
        <w:spacing w:after="0" w:line="8"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color w:val="auto"/>
        </w:rPr>
        <w:t>Name: Ben Wileman</w:t>
      </w:r>
    </w:p>
    <w:p>
      <w:pPr>
        <w:spacing w:after="0" w:line="6"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color w:val="auto"/>
        </w:rPr>
        <w:t>Title: Director</w:t>
      </w:r>
    </w:p>
    <w:p>
      <w:pPr>
        <w:sectPr>
          <w:pgSz w:w="11900" w:h="16838" w:orient="portrait"/>
          <w:cols w:equalWidth="0" w:num="1">
            <w:col w:w="9019"/>
          </w:cols>
          <w:pgMar w:left="1440" w:top="14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Amended and Restated Credit Agreement</w:t>
      </w:r>
    </w:p>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AMETEK, Inc.</w:t>
      </w:r>
    </w:p>
    <w:p>
      <w:pPr>
        <w:sectPr>
          <w:pgSz w:w="11900" w:h="16838" w:orient="portrait"/>
          <w:cols w:equalWidth="0" w:num="1">
            <w:col w:w="9019"/>
          </w:cols>
          <w:pgMar w:left="1440" w:top="1413" w:right="1440" w:bottom="1440" w:gutter="0" w:footer="0" w:header="0"/>
          <w:type w:val="continuous"/>
        </w:sectPr>
      </w:pPr>
    </w:p>
    <w:bookmarkStart w:id="148" w:name="page149"/>
    <w:bookmarkEnd w:id="148"/>
    <w:p>
      <w:pPr>
        <w:ind w:left="2780" w:right="879"/>
        <w:spacing w:after="0" w:line="283" w:lineRule="auto"/>
        <w:rPr>
          <w:sz w:val="20"/>
          <w:szCs w:val="20"/>
          <w:color w:val="auto"/>
        </w:rPr>
      </w:pPr>
      <w:r>
        <w:rPr>
          <w:rFonts w:ascii="Times New Roman" w:cs="Times New Roman" w:eastAsia="Times New Roman" w:hAnsi="Times New Roman"/>
          <w:sz w:val="20"/>
          <w:szCs w:val="20"/>
          <w:color w:val="auto"/>
        </w:rPr>
        <w:t>AMETEK AEROSPACE AND DEFENSE GROUP UK LIMITED, as a Foreign Subsidiary Borrower</w:t>
      </w:r>
    </w:p>
    <w:p>
      <w:pPr>
        <w:spacing w:after="0" w:line="36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/s/ Ben Wileman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1940560</wp:posOffset>
            </wp:positionH>
            <wp:positionV relativeFrom="paragraph">
              <wp:posOffset>-10795</wp:posOffset>
            </wp:positionV>
            <wp:extent cx="109029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90295" cy="8255"/>
                    </a:xfrm>
                    <a:prstGeom prst="rect">
                      <a:avLst/>
                    </a:prstGeom>
                    <a:noFill/>
                  </pic:spPr>
                </pic:pic>
              </a:graphicData>
            </a:graphic>
          </wp:anchor>
        </w:drawing>
      </w:r>
    </w:p>
    <w:p>
      <w:pPr>
        <w:spacing w:after="0" w:line="8"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color w:val="auto"/>
        </w:rPr>
        <w:t>Name: Ben Wileman</w:t>
      </w:r>
    </w:p>
    <w:p>
      <w:pPr>
        <w:spacing w:after="0" w:line="6" w:lineRule="exact"/>
        <w:rPr>
          <w:sz w:val="20"/>
          <w:szCs w:val="20"/>
          <w:color w:val="auto"/>
        </w:rPr>
      </w:pPr>
    </w:p>
    <w:p>
      <w:pPr>
        <w:ind w:left="2980"/>
        <w:spacing w:after="0"/>
        <w:tabs>
          <w:tab w:leader="none" w:pos="3620" w:val="left"/>
        </w:tabs>
        <w:rPr>
          <w:sz w:val="20"/>
          <w:szCs w:val="20"/>
          <w:color w:val="auto"/>
        </w:rPr>
      </w:pPr>
      <w:r>
        <w:rPr>
          <w:rFonts w:ascii="Times New Roman" w:cs="Times New Roman" w:eastAsia="Times New Roman" w:hAnsi="Times New Roman"/>
          <w:sz w:val="20"/>
          <w:szCs w:val="20"/>
          <w:color w:val="auto"/>
        </w:rPr>
        <w:t>Title:</w:t>
        <w:tab/>
        <w:t>Director</w:t>
      </w:r>
    </w:p>
    <w:p>
      <w:pPr>
        <w:sectPr>
          <w:pgSz w:w="11900" w:h="16838" w:orient="portrait"/>
          <w:cols w:equalWidth="0" w:num="1">
            <w:col w:w="9019"/>
          </w:cols>
          <w:pgMar w:left="1440" w:top="14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Amended and Restated Credit Agreement</w:t>
      </w:r>
    </w:p>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AMETEK, Inc.</w:t>
      </w:r>
    </w:p>
    <w:p>
      <w:pPr>
        <w:sectPr>
          <w:pgSz w:w="11900" w:h="16838" w:orient="portrait"/>
          <w:cols w:equalWidth="0" w:num="1">
            <w:col w:w="9019"/>
          </w:cols>
          <w:pgMar w:left="1440" w:top="1413" w:right="1440" w:bottom="1440" w:gutter="0" w:footer="0" w:header="0"/>
          <w:type w:val="continuous"/>
        </w:sectPr>
      </w:pPr>
    </w:p>
    <w:bookmarkStart w:id="149" w:name="page150"/>
    <w:bookmarkEnd w:id="149"/>
    <w:p>
      <w:pPr>
        <w:ind w:left="2780"/>
        <w:spacing w:after="0"/>
        <w:rPr>
          <w:sz w:val="20"/>
          <w:szCs w:val="20"/>
          <w:color w:val="auto"/>
        </w:rPr>
      </w:pPr>
      <w:r>
        <w:rPr>
          <w:rFonts w:ascii="Times New Roman" w:cs="Times New Roman" w:eastAsia="Times New Roman" w:hAnsi="Times New Roman"/>
          <w:sz w:val="19"/>
          <w:szCs w:val="19"/>
          <w:color w:val="auto"/>
        </w:rPr>
        <w:t>AMETEK INSTRUMENTS GROUP UK LIMITED,</w:t>
      </w:r>
    </w:p>
    <w:p>
      <w:pPr>
        <w:spacing w:after="0" w:line="4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as a Foreign Subsidiary Borrower</w:t>
      </w:r>
    </w:p>
    <w:p>
      <w:pPr>
        <w:spacing w:after="0" w:line="200" w:lineRule="exact"/>
        <w:rPr>
          <w:sz w:val="20"/>
          <w:szCs w:val="20"/>
          <w:color w:val="auto"/>
        </w:rPr>
      </w:pPr>
    </w:p>
    <w:p>
      <w:pPr>
        <w:spacing w:after="0" w:line="21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/s/ Ben Wileman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1940560</wp:posOffset>
            </wp:positionH>
            <wp:positionV relativeFrom="paragraph">
              <wp:posOffset>-10795</wp:posOffset>
            </wp:positionV>
            <wp:extent cx="112204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22045" cy="8255"/>
                    </a:xfrm>
                    <a:prstGeom prst="rect">
                      <a:avLst/>
                    </a:prstGeom>
                    <a:noFill/>
                  </pic:spPr>
                </pic:pic>
              </a:graphicData>
            </a:graphic>
          </wp:anchor>
        </w:drawing>
      </w:r>
    </w:p>
    <w:p>
      <w:pPr>
        <w:spacing w:after="0" w:line="8"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color w:val="auto"/>
        </w:rPr>
        <w:t>Name: Ben Wileman</w:t>
      </w:r>
    </w:p>
    <w:p>
      <w:pPr>
        <w:spacing w:after="0" w:line="6"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color w:val="auto"/>
        </w:rPr>
        <w:t>Title: Director</w:t>
      </w:r>
    </w:p>
    <w:p>
      <w:pPr>
        <w:sectPr>
          <w:pgSz w:w="11900" w:h="16838" w:orient="portrait"/>
          <w:cols w:equalWidth="0" w:num="1">
            <w:col w:w="9019"/>
          </w:cols>
          <w:pgMar w:left="1440" w:top="14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Amended and Restated Credit Agreement</w:t>
      </w:r>
    </w:p>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AMETEK, Inc.</w:t>
      </w:r>
    </w:p>
    <w:p>
      <w:pPr>
        <w:sectPr>
          <w:pgSz w:w="11900" w:h="16838" w:orient="portrait"/>
          <w:cols w:equalWidth="0" w:num="1">
            <w:col w:w="9019"/>
          </w:cols>
          <w:pgMar w:left="1440" w:top="1413" w:right="1440" w:bottom="1440" w:gutter="0" w:footer="0" w:header="0"/>
          <w:type w:val="continuous"/>
        </w:sectPr>
      </w:pPr>
    </w:p>
    <w:bookmarkStart w:id="150" w:name="page151"/>
    <w:bookmarkEnd w:id="150"/>
    <w:p>
      <w:pPr>
        <w:ind w:left="2780"/>
        <w:spacing w:after="0"/>
        <w:rPr>
          <w:sz w:val="20"/>
          <w:szCs w:val="20"/>
          <w:color w:val="auto"/>
        </w:rPr>
      </w:pPr>
      <w:r>
        <w:rPr>
          <w:rFonts w:ascii="Times New Roman" w:cs="Times New Roman" w:eastAsia="Times New Roman" w:hAnsi="Times New Roman"/>
          <w:sz w:val="20"/>
          <w:szCs w:val="20"/>
          <w:color w:val="auto"/>
        </w:rPr>
        <w:t>AMETEK CANADA LIMITED PARTNERSHIP,</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9"/>
          <w:szCs w:val="19"/>
          <w:color w:val="auto"/>
        </w:rPr>
        <w:t>by its general partner, AMETEK CANADA 3 ULC,</w:t>
      </w:r>
    </w:p>
    <w:p>
      <w:pPr>
        <w:spacing w:after="0" w:line="1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as a Foreign Subsidiary Borrower</w:t>
      </w:r>
    </w:p>
    <w:p>
      <w:pPr>
        <w:spacing w:after="0" w:line="200" w:lineRule="exact"/>
        <w:rPr>
          <w:sz w:val="20"/>
          <w:szCs w:val="20"/>
          <w:color w:val="auto"/>
        </w:rPr>
      </w:pPr>
    </w:p>
    <w:p>
      <w:pPr>
        <w:spacing w:after="0" w:line="22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/s/ Bernard G. Boulet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1940560</wp:posOffset>
            </wp:positionH>
            <wp:positionV relativeFrom="paragraph">
              <wp:posOffset>-10795</wp:posOffset>
            </wp:positionV>
            <wp:extent cx="13258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2"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color w:val="auto"/>
        </w:rPr>
        <w:t>Name: Bernard G. Boulet</w:t>
      </w:r>
    </w:p>
    <w:p>
      <w:pPr>
        <w:spacing w:after="0" w:line="6"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color w:val="auto"/>
        </w:rPr>
        <w:t>Title: Director</w:t>
      </w:r>
    </w:p>
    <w:p>
      <w:pPr>
        <w:sectPr>
          <w:pgSz w:w="11900" w:h="16838" w:orient="portrait"/>
          <w:cols w:equalWidth="0" w:num="1">
            <w:col w:w="9019"/>
          </w:cols>
          <w:pgMar w:left="1440" w:top="14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Amended and Restated Credit Agreement</w:t>
      </w:r>
    </w:p>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AMETEK, Inc.</w:t>
      </w:r>
    </w:p>
    <w:p>
      <w:pPr>
        <w:sectPr>
          <w:pgSz w:w="11900" w:h="16838" w:orient="portrait"/>
          <w:cols w:equalWidth="0" w:num="1">
            <w:col w:w="9019"/>
          </w:cols>
          <w:pgMar w:left="1440" w:top="1413" w:right="1440" w:bottom="1440" w:gutter="0" w:footer="0" w:header="0"/>
          <w:type w:val="continuous"/>
        </w:sectPr>
      </w:pPr>
    </w:p>
    <w:bookmarkStart w:id="151" w:name="page152"/>
    <w:bookmarkEnd w:id="151"/>
    <w:p>
      <w:pPr>
        <w:ind w:left="2780" w:right="1599"/>
        <w:spacing w:after="0" w:line="283" w:lineRule="auto"/>
        <w:rPr>
          <w:sz w:val="20"/>
          <w:szCs w:val="20"/>
          <w:color w:val="auto"/>
        </w:rPr>
      </w:pPr>
      <w:r>
        <w:rPr>
          <w:rFonts w:ascii="Times New Roman" w:cs="Times New Roman" w:eastAsia="Times New Roman" w:hAnsi="Times New Roman"/>
          <w:sz w:val="20"/>
          <w:szCs w:val="20"/>
          <w:color w:val="auto"/>
        </w:rPr>
        <w:t>AMETEK MATERIAL ANALYSIS HOLDINGS GMBH, as a Foreign Subsidiary Borrower</w:t>
      </w:r>
    </w:p>
    <w:p>
      <w:pPr>
        <w:spacing w:after="0" w:line="36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w:t>
      </w:r>
      <w:r>
        <w:rPr>
          <w:rFonts w:ascii="Times New Roman" w:cs="Times New Roman" w:eastAsia="Times New Roman" w:hAnsi="Times New Roman"/>
          <w:sz w:val="20"/>
          <w:szCs w:val="20"/>
          <w:color w:val="auto"/>
        </w:rPr>
        <w:t xml:space="preserve"> Wiebke Rumpf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2091055</wp:posOffset>
            </wp:positionH>
            <wp:positionV relativeFrom="paragraph">
              <wp:posOffset>-10795</wp:posOffset>
            </wp:positionV>
            <wp:extent cx="10172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17270" cy="8255"/>
                    </a:xfrm>
                    <a:prstGeom prst="rect">
                      <a:avLst/>
                    </a:prstGeom>
                    <a:noFill/>
                  </pic:spPr>
                </pic:pic>
              </a:graphicData>
            </a:graphic>
          </wp:anchor>
        </w:drawing>
      </w:r>
    </w:p>
    <w:p>
      <w:pPr>
        <w:spacing w:after="0" w:line="8"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color w:val="auto"/>
        </w:rPr>
        <w:t>Name: Wiebke Rumpf</w:t>
      </w:r>
    </w:p>
    <w:p>
      <w:pPr>
        <w:spacing w:after="0" w:line="6"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color w:val="auto"/>
        </w:rPr>
        <w:t>Title: Geschäftsführer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Amended and Restated Credit Agreement</w:t>
      </w:r>
    </w:p>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AMETEK, Inc.</w:t>
      </w:r>
    </w:p>
    <w:p>
      <w:pPr>
        <w:sectPr>
          <w:pgSz w:w="11900" w:h="16838" w:orient="portrait"/>
          <w:cols w:equalWidth="0" w:num="1">
            <w:col w:w="9019"/>
          </w:cols>
          <w:pgMar w:left="1440" w:top="1413" w:right="1440" w:bottom="1440" w:gutter="0" w:footer="0" w:header="0"/>
        </w:sectPr>
      </w:pPr>
    </w:p>
    <w:bookmarkStart w:id="152" w:name="page153"/>
    <w:bookmarkEnd w:id="152"/>
    <w:p>
      <w:pPr>
        <w:ind w:left="2780"/>
        <w:spacing w:after="0" w:line="283" w:lineRule="auto"/>
        <w:rPr>
          <w:sz w:val="20"/>
          <w:szCs w:val="20"/>
          <w:color w:val="auto"/>
        </w:rPr>
      </w:pPr>
      <w:r>
        <w:rPr>
          <w:rFonts w:ascii="Times New Roman" w:cs="Times New Roman" w:eastAsia="Times New Roman" w:hAnsi="Times New Roman"/>
          <w:sz w:val="20"/>
          <w:szCs w:val="20"/>
          <w:color w:val="auto"/>
        </w:rPr>
        <w:t>JPMORGAN CHASE BANK, N.A., individually as a Lender, as an Issuing Bank and as Administrative Agent</w:t>
      </w:r>
    </w:p>
    <w:p>
      <w:pPr>
        <w:spacing w:after="0" w:line="36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/s/ Oswin Joseph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1940560</wp:posOffset>
            </wp:positionH>
            <wp:positionV relativeFrom="paragraph">
              <wp:posOffset>-10795</wp:posOffset>
            </wp:positionV>
            <wp:extent cx="113411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34110" cy="8255"/>
                    </a:xfrm>
                    <a:prstGeom prst="rect">
                      <a:avLst/>
                    </a:prstGeom>
                    <a:noFill/>
                  </pic:spPr>
                </pic:pic>
              </a:graphicData>
            </a:graphic>
          </wp:anchor>
        </w:drawing>
      </w:r>
    </w:p>
    <w:p>
      <w:pPr>
        <w:spacing w:after="0" w:line="8"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color w:val="auto"/>
        </w:rPr>
        <w:t>Name: Oswin Joseph</w:t>
      </w:r>
    </w:p>
    <w:p>
      <w:pPr>
        <w:spacing w:after="0" w:line="6"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color w:val="auto"/>
        </w:rPr>
        <w:t>Title: Executive Director</w:t>
      </w:r>
    </w:p>
    <w:p>
      <w:pPr>
        <w:spacing w:after="0" w:line="200" w:lineRule="exact"/>
        <w:rPr>
          <w:sz w:val="20"/>
          <w:szCs w:val="20"/>
          <w:color w:val="auto"/>
        </w:rPr>
      </w:pPr>
    </w:p>
    <w:p>
      <w:pPr>
        <w:spacing w:after="0" w:line="22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Jurisdiction of tax residence: USA</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Treaty Passport scheme reference number:</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13/M/0268710/DTTP</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J.P. MORGAN SE, as Administrative Agent</w:t>
      </w:r>
    </w:p>
    <w:p>
      <w:pPr>
        <w:spacing w:after="0" w:line="200" w:lineRule="exact"/>
        <w:rPr>
          <w:sz w:val="20"/>
          <w:szCs w:val="20"/>
          <w:color w:val="auto"/>
        </w:rPr>
      </w:pPr>
    </w:p>
    <w:p>
      <w:pPr>
        <w:spacing w:after="0" w:line="23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/s/ Karolina Glinka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1940560</wp:posOffset>
            </wp:positionH>
            <wp:positionV relativeFrom="paragraph">
              <wp:posOffset>-10795</wp:posOffset>
            </wp:positionV>
            <wp:extent cx="12141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14120" cy="8255"/>
                    </a:xfrm>
                    <a:prstGeom prst="rect">
                      <a:avLst/>
                    </a:prstGeom>
                    <a:noFill/>
                  </pic:spPr>
                </pic:pic>
              </a:graphicData>
            </a:graphic>
          </wp:anchor>
        </w:drawing>
      </w:r>
    </w:p>
    <w:p>
      <w:pPr>
        <w:spacing w:after="0" w:line="8"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color w:val="auto"/>
        </w:rPr>
        <w:t>Name: Karolina Glinka</w:t>
      </w:r>
    </w:p>
    <w:p>
      <w:pPr>
        <w:spacing w:after="0" w:line="13"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color w:val="auto"/>
        </w:rPr>
        <w:t>Title: Vice President</w:t>
      </w:r>
    </w:p>
    <w:p>
      <w:pPr>
        <w:sectPr>
          <w:pgSz w:w="11900" w:h="16838" w:orient="portrait"/>
          <w:cols w:equalWidth="0" w:num="1">
            <w:col w:w="9780"/>
          </w:cols>
          <w:pgMar w:left="1440" w:top="1413" w:right="6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7"/>
          <w:szCs w:val="17"/>
          <w:color w:val="auto"/>
        </w:rPr>
        <w:t>Signature Page to Amended and Restated Credit Agreement</w:t>
      </w:r>
    </w:p>
    <w:p>
      <w:pPr>
        <w:spacing w:after="0" w:line="39"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color w:val="auto"/>
        </w:rPr>
        <w:t>AMETEK, Inc.</w:t>
      </w:r>
    </w:p>
    <w:p>
      <w:pPr>
        <w:sectPr>
          <w:pgSz w:w="11900" w:h="16838" w:orient="portrait"/>
          <w:cols w:equalWidth="0" w:num="1">
            <w:col w:w="9780"/>
          </w:cols>
          <w:pgMar w:left="1440" w:top="1413" w:right="679" w:bottom="1440" w:gutter="0" w:footer="0" w:header="0"/>
          <w:type w:val="continuous"/>
        </w:sectPr>
      </w:pPr>
    </w:p>
    <w:bookmarkStart w:id="153" w:name="page154"/>
    <w:bookmarkEnd w:id="153"/>
    <w:p>
      <w:pPr>
        <w:jc w:val="right"/>
        <w:ind w:right="39"/>
        <w:spacing w:after="0"/>
        <w:rPr>
          <w:sz w:val="20"/>
          <w:szCs w:val="20"/>
          <w:color w:val="auto"/>
        </w:rPr>
      </w:pPr>
      <w:r>
        <w:rPr>
          <w:rFonts w:ascii="Times New Roman" w:cs="Times New Roman" w:eastAsia="Times New Roman" w:hAnsi="Times New Roman"/>
          <w:sz w:val="20"/>
          <w:szCs w:val="20"/>
          <w:color w:val="auto"/>
        </w:rPr>
        <w:t>BANK OF AMERICA, N.A., individually as a Lender and as an Issuing Bank</w:t>
      </w:r>
    </w:p>
    <w:p>
      <w:pPr>
        <w:spacing w:after="0" w:line="200" w:lineRule="exact"/>
        <w:rPr>
          <w:sz w:val="20"/>
          <w:szCs w:val="20"/>
          <w:color w:val="auto"/>
        </w:rPr>
      </w:pPr>
    </w:p>
    <w:p>
      <w:pPr>
        <w:spacing w:after="0" w:line="24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 /s/ Kevin Dobosz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2651760</wp:posOffset>
            </wp:positionH>
            <wp:positionV relativeFrom="paragraph">
              <wp:posOffset>-10795</wp:posOffset>
            </wp:positionV>
            <wp:extent cx="112395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123950" cy="8255"/>
                    </a:xfrm>
                    <a:prstGeom prst="rect">
                      <a:avLst/>
                    </a:prstGeom>
                    <a:noFill/>
                  </pic:spPr>
                </pic:pic>
              </a:graphicData>
            </a:graphic>
          </wp:anchor>
        </w:drawing>
      </w:r>
    </w:p>
    <w:p>
      <w:pPr>
        <w:spacing w:after="0" w:line="2"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Name: Kevin Dobosz</w:t>
      </w:r>
    </w:p>
    <w:p>
      <w:pPr>
        <w:spacing w:after="0" w:line="6"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0"/>
          <w:szCs w:val="20"/>
          <w:color w:val="auto"/>
        </w:rPr>
        <w:t>Title: Senior Vice President</w:t>
      </w:r>
    </w:p>
    <w:p>
      <w:pPr>
        <w:spacing w:after="0" w:line="200" w:lineRule="exact"/>
        <w:rPr>
          <w:sz w:val="20"/>
          <w:szCs w:val="20"/>
          <w:color w:val="auto"/>
        </w:rPr>
      </w:pPr>
    </w:p>
    <w:p>
      <w:pPr>
        <w:spacing w:after="0" w:line="21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Jurisdiction of tax residence: United States</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Treaty Passport scheme reference number:</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13/B/7418/DTTP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Signature Page to Amended and Restated Credit Agreement</w:t>
      </w:r>
    </w:p>
    <w:p>
      <w:pPr>
        <w:spacing w:after="0" w:line="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AMETEK, Inc.</w:t>
      </w:r>
    </w:p>
    <w:p>
      <w:pPr>
        <w:sectPr>
          <w:pgSz w:w="11900" w:h="16838" w:orient="portrait"/>
          <w:cols w:equalWidth="0" w:num="1">
            <w:col w:w="10139"/>
          </w:cols>
          <w:pgMar w:left="320" w:top="1413" w:right="1440" w:bottom="1440" w:gutter="0" w:footer="0" w:header="0"/>
        </w:sectPr>
      </w:pPr>
    </w:p>
    <w:bookmarkStart w:id="154" w:name="page155"/>
    <w:bookmarkEnd w:id="154"/>
    <w:p>
      <w:pPr>
        <w:ind w:left="2780"/>
        <w:spacing w:after="0"/>
        <w:rPr>
          <w:sz w:val="20"/>
          <w:szCs w:val="20"/>
          <w:color w:val="auto"/>
        </w:rPr>
      </w:pPr>
      <w:r>
        <w:rPr>
          <w:rFonts w:ascii="Times New Roman" w:cs="Times New Roman" w:eastAsia="Times New Roman" w:hAnsi="Times New Roman"/>
          <w:sz w:val="19"/>
          <w:szCs w:val="19"/>
          <w:color w:val="auto"/>
        </w:rPr>
        <w:t>PNC BANK, NATIONAL ASSOCIATION, individually as a Lender and as an Issuing Bank</w:t>
      </w:r>
    </w:p>
    <w:p>
      <w:pPr>
        <w:spacing w:after="0" w:line="200" w:lineRule="exact"/>
        <w:rPr>
          <w:sz w:val="20"/>
          <w:szCs w:val="20"/>
          <w:color w:val="auto"/>
        </w:rPr>
      </w:pPr>
    </w:p>
    <w:p>
      <w:pPr>
        <w:spacing w:after="0" w:line="25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/s/ Matthew P. Gelles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1940560</wp:posOffset>
            </wp:positionH>
            <wp:positionV relativeFrom="paragraph">
              <wp:posOffset>-10795</wp:posOffset>
            </wp:positionV>
            <wp:extent cx="131889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18895" cy="8255"/>
                    </a:xfrm>
                    <a:prstGeom prst="rect">
                      <a:avLst/>
                    </a:prstGeom>
                    <a:noFill/>
                  </pic:spPr>
                </pic:pic>
              </a:graphicData>
            </a:graphic>
          </wp:anchor>
        </w:drawing>
      </w:r>
    </w:p>
    <w:p>
      <w:pPr>
        <w:spacing w:after="0" w:line="2"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color w:val="auto"/>
        </w:rPr>
        <w:t>Name: Matthew P. Gelles</w:t>
      </w:r>
    </w:p>
    <w:p>
      <w:pPr>
        <w:spacing w:after="0" w:line="6"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color w:val="auto"/>
        </w:rPr>
        <w:t>Title: Senior Vice President</w:t>
      </w:r>
    </w:p>
    <w:p>
      <w:pPr>
        <w:spacing w:after="0" w:line="200" w:lineRule="exact"/>
        <w:rPr>
          <w:sz w:val="20"/>
          <w:szCs w:val="20"/>
          <w:color w:val="auto"/>
        </w:rPr>
      </w:pPr>
    </w:p>
    <w:p>
      <w:pPr>
        <w:spacing w:after="0" w:line="21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Jurisdiction of tax residence: USA</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Treaty Passport scheme reference number:</w:t>
      </w:r>
    </w:p>
    <w:p>
      <w:pPr>
        <w:spacing w:after="0" w:line="1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13/P/63904/DTTP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Signature Page to Amended and Restated Credit Agreement</w:t>
      </w:r>
    </w:p>
    <w:p>
      <w:pPr>
        <w:spacing w:after="0" w:line="3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AMETEK, Inc.</w:t>
      </w:r>
    </w:p>
    <w:p>
      <w:pPr>
        <w:sectPr>
          <w:pgSz w:w="11900" w:h="16838" w:orient="portrait"/>
          <w:cols w:equalWidth="0" w:num="1">
            <w:col w:w="10100"/>
          </w:cols>
          <w:pgMar w:left="1440" w:top="1413" w:right="359" w:bottom="1440" w:gutter="0" w:footer="0" w:header="0"/>
        </w:sectPr>
      </w:pPr>
    </w:p>
    <w:bookmarkStart w:id="155" w:name="page156"/>
    <w:bookmarkEnd w:id="155"/>
    <w:p>
      <w:pPr>
        <w:jc w:val="right"/>
        <w:ind w:right="1059"/>
        <w:spacing w:after="0"/>
        <w:rPr>
          <w:sz w:val="20"/>
          <w:szCs w:val="20"/>
          <w:color w:val="auto"/>
        </w:rPr>
      </w:pPr>
      <w:r>
        <w:rPr>
          <w:rFonts w:ascii="Times New Roman" w:cs="Times New Roman" w:eastAsia="Times New Roman" w:hAnsi="Times New Roman"/>
          <w:sz w:val="20"/>
          <w:szCs w:val="20"/>
          <w:color w:val="auto"/>
        </w:rPr>
        <w:t>TRUIST BANK, individually as a Lender and as an Issuing Bank</w:t>
      </w:r>
    </w:p>
    <w:p>
      <w:pPr>
        <w:spacing w:after="0" w:line="200" w:lineRule="exact"/>
        <w:rPr>
          <w:sz w:val="20"/>
          <w:szCs w:val="20"/>
          <w:color w:val="auto"/>
        </w:rPr>
      </w:pPr>
    </w:p>
    <w:p>
      <w:pPr>
        <w:spacing w:after="0" w:line="24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 /s/ Lisa Garling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2651760</wp:posOffset>
            </wp:positionH>
            <wp:positionV relativeFrom="paragraph">
              <wp:posOffset>-10795</wp:posOffset>
            </wp:positionV>
            <wp:extent cx="103314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033145" cy="8255"/>
                    </a:xfrm>
                    <a:prstGeom prst="rect">
                      <a:avLst/>
                    </a:prstGeom>
                    <a:noFill/>
                  </pic:spPr>
                </pic:pic>
              </a:graphicData>
            </a:graphic>
          </wp:anchor>
        </w:drawing>
      </w:r>
    </w:p>
    <w:p>
      <w:pPr>
        <w:spacing w:after="0" w:line="2"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Name: Lisa Garling</w:t>
      </w:r>
    </w:p>
    <w:p>
      <w:pPr>
        <w:spacing w:after="0" w:line="6"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Title: Director</w:t>
      </w:r>
    </w:p>
    <w:p>
      <w:pPr>
        <w:spacing w:after="0" w:line="200" w:lineRule="exact"/>
        <w:rPr>
          <w:sz w:val="20"/>
          <w:szCs w:val="20"/>
          <w:color w:val="auto"/>
        </w:rPr>
      </w:pPr>
    </w:p>
    <w:p>
      <w:pPr>
        <w:spacing w:after="0" w:line="21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Jurisdiction of tax residence: USA</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Treaty Passport scheme reference number:</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13/T/357522/DTTP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Signature Page to Amended and Restated Credit Agreement</w:t>
      </w:r>
    </w:p>
    <w:p>
      <w:pPr>
        <w:spacing w:after="0" w:line="2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AMETEK, Inc.</w:t>
      </w:r>
    </w:p>
    <w:p>
      <w:pPr>
        <w:sectPr>
          <w:pgSz w:w="11900" w:h="16838" w:orient="portrait"/>
          <w:cols w:equalWidth="0" w:num="1">
            <w:col w:w="10139"/>
          </w:cols>
          <w:pgMar w:left="320" w:top="1413" w:right="1440" w:bottom="1440" w:gutter="0" w:footer="0" w:header="0"/>
        </w:sectPr>
      </w:pPr>
    </w:p>
    <w:bookmarkStart w:id="156" w:name="page157"/>
    <w:bookmarkEnd w:id="156"/>
    <w:p>
      <w:pPr>
        <w:ind w:left="2780"/>
        <w:spacing w:after="0" w:line="283" w:lineRule="auto"/>
        <w:rPr>
          <w:sz w:val="20"/>
          <w:szCs w:val="20"/>
          <w:color w:val="auto"/>
        </w:rPr>
      </w:pPr>
      <w:r>
        <w:rPr>
          <w:rFonts w:ascii="Times New Roman" w:cs="Times New Roman" w:eastAsia="Times New Roman" w:hAnsi="Times New Roman"/>
          <w:sz w:val="20"/>
          <w:szCs w:val="20"/>
          <w:color w:val="auto"/>
        </w:rPr>
        <w:t>WELLS FARGO BANK, NATIONAL ASSOCIATION, individually as a Lender and as an Issuing Bank</w:t>
      </w:r>
    </w:p>
    <w:p>
      <w:pPr>
        <w:spacing w:after="0" w:line="200" w:lineRule="exact"/>
        <w:rPr>
          <w:sz w:val="20"/>
          <w:szCs w:val="20"/>
          <w:color w:val="auto"/>
        </w:rPr>
      </w:pPr>
    </w:p>
    <w:p>
      <w:pPr>
        <w:spacing w:after="0" w:line="21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/s/ Ryan Tegeler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1940560</wp:posOffset>
            </wp:positionH>
            <wp:positionV relativeFrom="paragraph">
              <wp:posOffset>-10795</wp:posOffset>
            </wp:positionV>
            <wp:extent cx="10680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068070" cy="8255"/>
                    </a:xfrm>
                    <a:prstGeom prst="rect">
                      <a:avLst/>
                    </a:prstGeom>
                    <a:noFill/>
                  </pic:spPr>
                </pic:pic>
              </a:graphicData>
            </a:graphic>
          </wp:anchor>
        </w:drawing>
      </w:r>
    </w:p>
    <w:p>
      <w:pPr>
        <w:spacing w:after="0" w:line="8"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color w:val="auto"/>
        </w:rPr>
        <w:t>Name: Ryan Tegeler</w:t>
      </w:r>
    </w:p>
    <w:p>
      <w:pPr>
        <w:spacing w:after="0" w:line="6"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color w:val="auto"/>
        </w:rPr>
        <w:t>Title: Executive Director</w:t>
      </w:r>
    </w:p>
    <w:p>
      <w:pPr>
        <w:spacing w:after="0" w:line="200" w:lineRule="exact"/>
        <w:rPr>
          <w:sz w:val="20"/>
          <w:szCs w:val="20"/>
          <w:color w:val="auto"/>
        </w:rPr>
      </w:pPr>
    </w:p>
    <w:p>
      <w:pPr>
        <w:spacing w:after="0" w:line="22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Jurisdiction of tax residence: USA</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Treaty Passport scheme reference number:</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13/W/61173/DTTP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7"/>
          <w:szCs w:val="17"/>
          <w:color w:val="auto"/>
        </w:rPr>
        <w:t>Signature Page to Amended and Restated Credit Agreement</w:t>
      </w:r>
    </w:p>
    <w:p>
      <w:pPr>
        <w:spacing w:after="0" w:line="3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AMETEK, Inc.</w:t>
      </w:r>
    </w:p>
    <w:p>
      <w:pPr>
        <w:sectPr>
          <w:pgSz w:w="11900" w:h="16838" w:orient="portrait"/>
          <w:cols w:equalWidth="0" w:num="1">
            <w:col w:w="10000"/>
          </w:cols>
          <w:pgMar w:left="1440" w:top="1413" w:right="459" w:bottom="1440" w:gutter="0" w:footer="0" w:header="0"/>
        </w:sectPr>
      </w:pPr>
    </w:p>
    <w:bookmarkStart w:id="157" w:name="page158"/>
    <w:bookmarkEnd w:id="157"/>
    <w:p>
      <w:pPr>
        <w:spacing w:after="0" w:line="21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9"/>
          <w:szCs w:val="19"/>
          <w:color w:val="auto"/>
        </w:rPr>
        <w:t>U.S. BANK NATIONAL ASSOCIATION, as a Lender</w:t>
      </w:r>
    </w:p>
    <w:p>
      <w:pPr>
        <w:spacing w:after="0" w:line="200" w:lineRule="exact"/>
        <w:rPr>
          <w:sz w:val="20"/>
          <w:szCs w:val="20"/>
          <w:color w:val="auto"/>
        </w:rPr>
      </w:pPr>
    </w:p>
    <w:p>
      <w:pPr>
        <w:spacing w:after="0" w:line="31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/s/ Kenneth R. Fieler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1940560</wp:posOffset>
            </wp:positionH>
            <wp:positionV relativeFrom="paragraph">
              <wp:posOffset>-10795</wp:posOffset>
            </wp:positionV>
            <wp:extent cx="132969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29690" cy="8255"/>
                    </a:xfrm>
                    <a:prstGeom prst="rect">
                      <a:avLst/>
                    </a:prstGeom>
                    <a:noFill/>
                  </pic:spPr>
                </pic:pic>
              </a:graphicData>
            </a:graphic>
          </wp:anchor>
        </w:drawing>
      </w:r>
    </w:p>
    <w:p>
      <w:pPr>
        <w:spacing w:after="0" w:line="2"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color w:val="auto"/>
        </w:rPr>
        <w:t>Name: Kenneth R. Fieler</w:t>
      </w:r>
    </w:p>
    <w:p>
      <w:pPr>
        <w:spacing w:after="0" w:line="6"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color w:val="auto"/>
        </w:rPr>
        <w:t>Title: Senior Vice President</w:t>
      </w:r>
    </w:p>
    <w:p>
      <w:pPr>
        <w:spacing w:after="0" w:line="200" w:lineRule="exact"/>
        <w:rPr>
          <w:sz w:val="20"/>
          <w:szCs w:val="20"/>
          <w:color w:val="auto"/>
        </w:rPr>
      </w:pPr>
    </w:p>
    <w:p>
      <w:pPr>
        <w:spacing w:after="0" w:line="21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Jurisdiction of tax residence:</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Treaty Passport scheme reference number:</w:t>
      </w:r>
    </w:p>
    <w:p>
      <w:pPr>
        <w:spacing w:after="0" w:line="1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13/U/62184/DTTP</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Amended and Restated Credit Agreement</w:t>
      </w:r>
    </w:p>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AMETEK, Inc.</w:t>
      </w:r>
    </w:p>
    <w:p>
      <w:pPr>
        <w:sectPr>
          <w:pgSz w:w="11900" w:h="16838" w:orient="portrait"/>
          <w:cols w:equalWidth="0" w:num="1">
            <w:col w:w="9019"/>
          </w:cols>
          <w:pgMar w:left="1440" w:top="1440" w:right="1440" w:bottom="1440" w:gutter="0" w:footer="0" w:header="0"/>
          <w:type w:val="continuous"/>
        </w:sectPr>
      </w:pPr>
    </w:p>
    <w:bookmarkStart w:id="158" w:name="page159"/>
    <w:bookmarkEnd w:id="158"/>
    <w:p>
      <w:pPr>
        <w:spacing w:after="0" w:line="200" w:lineRule="exact"/>
        <w:rPr>
          <w:sz w:val="20"/>
          <w:szCs w:val="20"/>
          <w:color w:val="auto"/>
        </w:rPr>
      </w:pPr>
    </w:p>
    <w:p>
      <w:pPr>
        <w:spacing w:after="0" w:line="25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9"/>
          <w:szCs w:val="19"/>
          <w:color w:val="auto"/>
        </w:rPr>
        <w:t>BNP PARIBAS, individually as a Lender and as an Issuing Bank</w:t>
      </w:r>
    </w:p>
    <w:p>
      <w:pPr>
        <w:spacing w:after="0" w:line="200" w:lineRule="exact"/>
        <w:rPr>
          <w:sz w:val="20"/>
          <w:szCs w:val="20"/>
          <w:color w:val="auto"/>
        </w:rPr>
      </w:pPr>
    </w:p>
    <w:p>
      <w:pPr>
        <w:spacing w:after="0" w:line="31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/s/ Benjamin Binetter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1940560</wp:posOffset>
            </wp:positionH>
            <wp:positionV relativeFrom="paragraph">
              <wp:posOffset>-10795</wp:posOffset>
            </wp:positionV>
            <wp:extent cx="13258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2"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color w:val="auto"/>
        </w:rPr>
        <w:t>Name: Benjamin Binetter</w:t>
      </w:r>
    </w:p>
    <w:p>
      <w:pPr>
        <w:spacing w:after="0" w:line="6"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color w:val="auto"/>
        </w:rPr>
        <w:t>Title: Managing Director</w:t>
      </w:r>
    </w:p>
    <w:p>
      <w:pPr>
        <w:spacing w:after="0" w:line="200" w:lineRule="exact"/>
        <w:rPr>
          <w:sz w:val="20"/>
          <w:szCs w:val="20"/>
          <w:color w:val="auto"/>
        </w:rPr>
      </w:pPr>
    </w:p>
    <w:p>
      <w:pPr>
        <w:spacing w:after="0" w:line="21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/s/ Valentin Detry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1940560</wp:posOffset>
            </wp:positionH>
            <wp:positionV relativeFrom="paragraph">
              <wp:posOffset>-10795</wp:posOffset>
            </wp:positionV>
            <wp:extent cx="11690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169035" cy="8255"/>
                    </a:xfrm>
                    <a:prstGeom prst="rect">
                      <a:avLst/>
                    </a:prstGeom>
                    <a:noFill/>
                  </pic:spPr>
                </pic:pic>
              </a:graphicData>
            </a:graphic>
          </wp:anchor>
        </w:drawing>
      </w:r>
    </w:p>
    <w:p>
      <w:pPr>
        <w:spacing w:after="0" w:line="8"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color w:val="auto"/>
        </w:rPr>
        <w:t>Name: Valentin Detry</w:t>
      </w:r>
    </w:p>
    <w:p>
      <w:pPr>
        <w:spacing w:after="0" w:line="13"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color w:val="auto"/>
        </w:rPr>
        <w:t>Title: Vice President</w:t>
      </w:r>
    </w:p>
    <w:p>
      <w:pPr>
        <w:spacing w:after="0" w:line="200" w:lineRule="exact"/>
        <w:rPr>
          <w:sz w:val="20"/>
          <w:szCs w:val="20"/>
          <w:color w:val="auto"/>
        </w:rPr>
      </w:pPr>
    </w:p>
    <w:p>
      <w:pPr>
        <w:spacing w:after="0" w:line="21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Jurisdiction of tax residence: France</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Treaty Passport scheme reference number:</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5/B/255139/DTTP</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Amended and Restated Credit Agreement</w:t>
      </w:r>
    </w:p>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AMETEK, Inc.</w:t>
      </w:r>
    </w:p>
    <w:p>
      <w:pPr>
        <w:sectPr>
          <w:pgSz w:w="11900" w:h="16838" w:orient="portrait"/>
          <w:cols w:equalWidth="0" w:num="1">
            <w:col w:w="9019"/>
          </w:cols>
          <w:pgMar w:left="1440" w:top="1440" w:right="1440" w:bottom="1440" w:gutter="0" w:footer="0" w:header="0"/>
          <w:type w:val="continuous"/>
        </w:sectPr>
      </w:pPr>
    </w:p>
    <w:bookmarkStart w:id="159" w:name="page160"/>
    <w:bookmarkEnd w:id="15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9"/>
          <w:szCs w:val="19"/>
          <w:color w:val="auto"/>
        </w:rPr>
        <w:t>NATIONAL WESTMINSTER BANK PLC, as a Lender</w:t>
      </w:r>
    </w:p>
    <w:p>
      <w:pPr>
        <w:spacing w:after="0" w:line="200" w:lineRule="exact"/>
        <w:rPr>
          <w:sz w:val="20"/>
          <w:szCs w:val="20"/>
          <w:color w:val="auto"/>
        </w:rPr>
      </w:pPr>
    </w:p>
    <w:p>
      <w:pPr>
        <w:spacing w:after="0" w:line="31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/s/ Jonathan Eady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1940560</wp:posOffset>
            </wp:positionH>
            <wp:positionV relativeFrom="paragraph">
              <wp:posOffset>-10795</wp:posOffset>
            </wp:positionV>
            <wp:extent cx="113728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137285" cy="8255"/>
                    </a:xfrm>
                    <a:prstGeom prst="rect">
                      <a:avLst/>
                    </a:prstGeom>
                    <a:noFill/>
                  </pic:spPr>
                </pic:pic>
              </a:graphicData>
            </a:graphic>
          </wp:anchor>
        </w:drawing>
      </w:r>
    </w:p>
    <w:p>
      <w:pPr>
        <w:spacing w:after="0" w:line="2"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color w:val="auto"/>
        </w:rPr>
        <w:t>Name: Jonathan Eady</w:t>
      </w:r>
    </w:p>
    <w:p>
      <w:pPr>
        <w:spacing w:after="0" w:line="6"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color w:val="auto"/>
        </w:rPr>
        <w:t>Title: Director</w:t>
      </w:r>
    </w:p>
    <w:p>
      <w:pPr>
        <w:spacing w:after="0" w:line="200" w:lineRule="exact"/>
        <w:rPr>
          <w:sz w:val="20"/>
          <w:szCs w:val="20"/>
          <w:color w:val="auto"/>
        </w:rPr>
      </w:pPr>
    </w:p>
    <w:p>
      <w:pPr>
        <w:spacing w:after="0" w:line="21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Jurisdiction of tax residence: United Kingdom</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Treaty Passport scheme reference number: N/A</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Amended and Restated Credit Agreement</w:t>
      </w:r>
    </w:p>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AMETEK, Inc.</w:t>
      </w:r>
    </w:p>
    <w:p>
      <w:pPr>
        <w:sectPr>
          <w:pgSz w:w="11900" w:h="16838" w:orient="portrait"/>
          <w:cols w:equalWidth="0" w:num="1">
            <w:col w:w="9019"/>
          </w:cols>
          <w:pgMar w:left="1440" w:top="1440" w:right="1440" w:bottom="1440" w:gutter="0" w:footer="0" w:header="0"/>
          <w:type w:val="continuous"/>
        </w:sectPr>
      </w:pPr>
    </w:p>
    <w:bookmarkStart w:id="160" w:name="page161"/>
    <w:bookmarkEnd w:id="16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9"/>
          <w:szCs w:val="19"/>
          <w:color w:val="auto"/>
        </w:rPr>
        <w:t>COMMERZBANK AG NEW YORK BRANCH, as a Lender</w:t>
      </w:r>
    </w:p>
    <w:p>
      <w:pPr>
        <w:spacing w:after="0" w:line="200" w:lineRule="exact"/>
        <w:rPr>
          <w:sz w:val="20"/>
          <w:szCs w:val="20"/>
          <w:color w:val="auto"/>
        </w:rPr>
      </w:pPr>
    </w:p>
    <w:p>
      <w:pPr>
        <w:spacing w:after="0" w:line="31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/s/ Christine MacInnes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1940560</wp:posOffset>
            </wp:positionH>
            <wp:positionV relativeFrom="paragraph">
              <wp:posOffset>-10795</wp:posOffset>
            </wp:positionV>
            <wp:extent cx="142049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420495" cy="8255"/>
                    </a:xfrm>
                    <a:prstGeom prst="rect">
                      <a:avLst/>
                    </a:prstGeom>
                    <a:noFill/>
                  </pic:spPr>
                </pic:pic>
              </a:graphicData>
            </a:graphic>
          </wp:anchor>
        </w:drawing>
      </w:r>
    </w:p>
    <w:p>
      <w:pPr>
        <w:spacing w:after="0" w:line="2"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color w:val="auto"/>
        </w:rPr>
        <w:t>Name: Christine MacInnes</w:t>
      </w:r>
    </w:p>
    <w:p>
      <w:pPr>
        <w:spacing w:after="0" w:line="6"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color w:val="auto"/>
        </w:rPr>
        <w:t>Title: Director</w:t>
      </w:r>
    </w:p>
    <w:p>
      <w:pPr>
        <w:spacing w:after="0" w:line="200" w:lineRule="exact"/>
        <w:rPr>
          <w:sz w:val="20"/>
          <w:szCs w:val="20"/>
          <w:color w:val="auto"/>
        </w:rPr>
      </w:pPr>
    </w:p>
    <w:p>
      <w:pPr>
        <w:spacing w:after="0" w:line="21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/s/ Robert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1940560</wp:posOffset>
            </wp:positionH>
            <wp:positionV relativeFrom="paragraph">
              <wp:posOffset>-10795</wp:posOffset>
            </wp:positionV>
            <wp:extent cx="12249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24915" cy="8255"/>
                    </a:xfrm>
                    <a:prstGeom prst="rect">
                      <a:avLst/>
                    </a:prstGeom>
                    <a:noFill/>
                  </pic:spPr>
                </pic:pic>
              </a:graphicData>
            </a:graphic>
          </wp:anchor>
        </w:drawing>
      </w:r>
    </w:p>
    <w:p>
      <w:pPr>
        <w:spacing w:after="0" w:line="8"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color w:val="auto"/>
        </w:rPr>
        <w:t>Name: Robert Sullivan</w:t>
      </w:r>
    </w:p>
    <w:p>
      <w:pPr>
        <w:spacing w:after="0" w:line="13"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color w:val="auto"/>
        </w:rPr>
        <w:t>Title: Director</w:t>
      </w:r>
    </w:p>
    <w:p>
      <w:pPr>
        <w:spacing w:after="0" w:line="200" w:lineRule="exact"/>
        <w:rPr>
          <w:sz w:val="20"/>
          <w:szCs w:val="20"/>
          <w:color w:val="auto"/>
        </w:rPr>
      </w:pPr>
    </w:p>
    <w:p>
      <w:pPr>
        <w:spacing w:after="0" w:line="21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Jurisdiction of tax residence: Germany</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Treaty Passport scheme reference number:</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7/C/25382/DTTP</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Amended and Restated Credit Agreement</w:t>
      </w:r>
    </w:p>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AMETEK, Inc.</w:t>
      </w:r>
    </w:p>
    <w:p>
      <w:pPr>
        <w:sectPr>
          <w:pgSz w:w="11900" w:h="16838" w:orient="portrait"/>
          <w:cols w:equalWidth="0" w:num="1">
            <w:col w:w="9019"/>
          </w:cols>
          <w:pgMar w:left="1440" w:top="1440" w:right="1440" w:bottom="1440" w:gutter="0" w:footer="0" w:header="0"/>
          <w:type w:val="continuous"/>
        </w:sectPr>
      </w:pPr>
    </w:p>
    <w:bookmarkStart w:id="161" w:name="page162"/>
    <w:bookmarkEnd w:id="16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9"/>
          <w:szCs w:val="19"/>
          <w:color w:val="auto"/>
        </w:rPr>
        <w:t>THE BANK OF NOVA SCOTIA, individually as a Lender and as an Issuing Bank</w:t>
      </w:r>
    </w:p>
    <w:p>
      <w:pPr>
        <w:spacing w:after="0" w:line="200" w:lineRule="exact"/>
        <w:rPr>
          <w:sz w:val="20"/>
          <w:szCs w:val="20"/>
          <w:color w:val="auto"/>
        </w:rPr>
      </w:pPr>
    </w:p>
    <w:p>
      <w:pPr>
        <w:spacing w:after="0" w:line="31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/s/ Yvonne Bai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1940560</wp:posOffset>
            </wp:positionH>
            <wp:positionV relativeFrom="paragraph">
              <wp:posOffset>-10795</wp:posOffset>
            </wp:positionV>
            <wp:extent cx="99250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992505" cy="8890"/>
                    </a:xfrm>
                    <a:prstGeom prst="rect">
                      <a:avLst/>
                    </a:prstGeom>
                    <a:noFill/>
                  </pic:spPr>
                </pic:pic>
              </a:graphicData>
            </a:graphic>
          </wp:anchor>
        </w:drawing>
      </w:r>
    </w:p>
    <w:p>
      <w:pPr>
        <w:spacing w:after="0" w:line="2"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color w:val="auto"/>
        </w:rPr>
        <w:t>Name: Yvonne Bai</w:t>
      </w:r>
    </w:p>
    <w:p>
      <w:pPr>
        <w:spacing w:after="0" w:line="6"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color w:val="auto"/>
        </w:rPr>
        <w:t>Title: Director</w:t>
      </w:r>
    </w:p>
    <w:p>
      <w:pPr>
        <w:spacing w:after="0" w:line="200" w:lineRule="exact"/>
        <w:rPr>
          <w:sz w:val="20"/>
          <w:szCs w:val="20"/>
          <w:color w:val="auto"/>
        </w:rPr>
      </w:pPr>
    </w:p>
    <w:p>
      <w:pPr>
        <w:spacing w:after="0" w:line="21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Jurisdiction of tax residence: Canada</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Treaty Passport scheme reference number:</w:t>
      </w:r>
    </w:p>
    <w:p>
      <w:pPr>
        <w:spacing w:after="0" w:line="1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3/T/366714</w:t>
      </w:r>
    </w:p>
    <w:p>
      <w:pPr>
        <w:sectPr>
          <w:pgSz w:w="11900" w:h="16838" w:orient="portrait"/>
          <w:cols w:equalWidth="0" w:num="1">
            <w:col w:w="9320"/>
          </w:cols>
          <w:pgMar w:left="1440" w:top="1440" w:right="1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7"/>
          <w:szCs w:val="17"/>
          <w:color w:val="auto"/>
        </w:rPr>
        <w:t>Signature Page to Amended and Restated Credit Agreement</w:t>
      </w:r>
    </w:p>
    <w:p>
      <w:pPr>
        <w:spacing w:after="0" w:line="3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AMETEK, Inc.</w:t>
      </w:r>
    </w:p>
    <w:p>
      <w:pPr>
        <w:sectPr>
          <w:pgSz w:w="11900" w:h="16838" w:orient="portrait"/>
          <w:cols w:equalWidth="0" w:num="1">
            <w:col w:w="9320"/>
          </w:cols>
          <w:pgMar w:left="1440" w:top="1440" w:right="1139" w:bottom="1440" w:gutter="0" w:footer="0" w:header="0"/>
          <w:type w:val="continuous"/>
        </w:sectPr>
      </w:pPr>
    </w:p>
    <w:bookmarkStart w:id="162" w:name="page163"/>
    <w:bookmarkEnd w:id="16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9"/>
          <w:szCs w:val="19"/>
          <w:color w:val="auto"/>
        </w:rPr>
        <w:t>CITIZENS BANK, N.A., individually as a Lender and as an Issuing Bank</w:t>
      </w:r>
    </w:p>
    <w:p>
      <w:pPr>
        <w:spacing w:after="0" w:line="200" w:lineRule="exact"/>
        <w:rPr>
          <w:sz w:val="20"/>
          <w:szCs w:val="20"/>
          <w:color w:val="auto"/>
        </w:rPr>
      </w:pPr>
    </w:p>
    <w:p>
      <w:pPr>
        <w:spacing w:after="0" w:line="31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/s/ William J. O’Meara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1940560</wp:posOffset>
            </wp:positionH>
            <wp:positionV relativeFrom="paragraph">
              <wp:posOffset>-10795</wp:posOffset>
            </wp:positionV>
            <wp:extent cx="14046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404620" cy="8255"/>
                    </a:xfrm>
                    <a:prstGeom prst="rect">
                      <a:avLst/>
                    </a:prstGeom>
                    <a:noFill/>
                  </pic:spPr>
                </pic:pic>
              </a:graphicData>
            </a:graphic>
          </wp:anchor>
        </w:drawing>
      </w:r>
    </w:p>
    <w:p>
      <w:pPr>
        <w:spacing w:after="0" w:line="2"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color w:val="auto"/>
        </w:rPr>
        <w:t>Name: William J. O’Meara</w:t>
      </w:r>
    </w:p>
    <w:p>
      <w:pPr>
        <w:spacing w:after="0" w:line="6"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color w:val="auto"/>
        </w:rPr>
        <w:t>Title: Director</w:t>
      </w:r>
    </w:p>
    <w:p>
      <w:pPr>
        <w:spacing w:after="0" w:line="200" w:lineRule="exact"/>
        <w:rPr>
          <w:sz w:val="20"/>
          <w:szCs w:val="20"/>
          <w:color w:val="auto"/>
        </w:rPr>
      </w:pPr>
    </w:p>
    <w:p>
      <w:pPr>
        <w:spacing w:after="0" w:line="21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Jurisdiction of tax residence: USA</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Treaty Passport scheme reference number:</w:t>
      </w:r>
    </w:p>
    <w:p>
      <w:pPr>
        <w:spacing w:after="0" w:line="1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13/C/356159/DTTP</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Amended and Restated Credit Agreement</w:t>
      </w:r>
    </w:p>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AMETEK, Inc.</w:t>
      </w:r>
    </w:p>
    <w:p>
      <w:pPr>
        <w:sectPr>
          <w:pgSz w:w="11900" w:h="16838" w:orient="portrait"/>
          <w:cols w:equalWidth="0" w:num="1">
            <w:col w:w="9019"/>
          </w:cols>
          <w:pgMar w:left="1440" w:top="1440" w:right="1440" w:bottom="1440" w:gutter="0" w:footer="0" w:header="0"/>
          <w:type w:val="continuous"/>
        </w:sectPr>
      </w:pPr>
    </w:p>
    <w:bookmarkStart w:id="163" w:name="page164"/>
    <w:bookmarkEnd w:id="16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9"/>
          <w:szCs w:val="19"/>
          <w:color w:val="auto"/>
        </w:rPr>
        <w:t>ING BANK N.V. DUBLIN BRANCH, as a Lender</w:t>
      </w:r>
    </w:p>
    <w:p>
      <w:pPr>
        <w:spacing w:after="0" w:line="200" w:lineRule="exact"/>
        <w:rPr>
          <w:sz w:val="20"/>
          <w:szCs w:val="20"/>
          <w:color w:val="auto"/>
        </w:rPr>
      </w:pPr>
    </w:p>
    <w:p>
      <w:pPr>
        <w:spacing w:after="0" w:line="31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/s/ Robert O’Donoghue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1940560</wp:posOffset>
            </wp:positionH>
            <wp:positionV relativeFrom="paragraph">
              <wp:posOffset>-10795</wp:posOffset>
            </wp:positionV>
            <wp:extent cx="146240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462405" cy="8255"/>
                    </a:xfrm>
                    <a:prstGeom prst="rect">
                      <a:avLst/>
                    </a:prstGeom>
                    <a:noFill/>
                  </pic:spPr>
                </pic:pic>
              </a:graphicData>
            </a:graphic>
          </wp:anchor>
        </w:drawing>
      </w:r>
    </w:p>
    <w:p>
      <w:pPr>
        <w:spacing w:after="0" w:line="2"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color w:val="auto"/>
        </w:rPr>
        <w:t>Name: Robert O’Donoghue</w:t>
      </w:r>
    </w:p>
    <w:p>
      <w:pPr>
        <w:spacing w:after="0" w:line="6"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color w:val="auto"/>
        </w:rPr>
        <w:t>Title: Managing Director</w:t>
      </w:r>
    </w:p>
    <w:p>
      <w:pPr>
        <w:spacing w:after="0" w:line="200" w:lineRule="exact"/>
        <w:rPr>
          <w:sz w:val="20"/>
          <w:szCs w:val="20"/>
          <w:color w:val="auto"/>
        </w:rPr>
      </w:pPr>
    </w:p>
    <w:p>
      <w:pPr>
        <w:spacing w:after="0" w:line="21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/s/ Sean Hasset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1940560</wp:posOffset>
            </wp:positionH>
            <wp:positionV relativeFrom="paragraph">
              <wp:posOffset>-10795</wp:posOffset>
            </wp:positionV>
            <wp:extent cx="101219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012190" cy="8255"/>
                    </a:xfrm>
                    <a:prstGeom prst="rect">
                      <a:avLst/>
                    </a:prstGeom>
                    <a:noFill/>
                  </pic:spPr>
                </pic:pic>
              </a:graphicData>
            </a:graphic>
          </wp:anchor>
        </w:drawing>
      </w:r>
    </w:p>
    <w:p>
      <w:pPr>
        <w:spacing w:after="0" w:line="8"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color w:val="auto"/>
        </w:rPr>
        <w:t>Name: Sean Hasset</w:t>
      </w:r>
    </w:p>
    <w:p>
      <w:pPr>
        <w:spacing w:after="0" w:line="13"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color w:val="auto"/>
        </w:rPr>
        <w:t>Title: Director</w:t>
      </w:r>
    </w:p>
    <w:p>
      <w:pPr>
        <w:spacing w:after="0" w:line="200" w:lineRule="exact"/>
        <w:rPr>
          <w:sz w:val="20"/>
          <w:szCs w:val="20"/>
          <w:color w:val="auto"/>
        </w:rPr>
      </w:pPr>
    </w:p>
    <w:p>
      <w:pPr>
        <w:spacing w:after="0" w:line="21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Jurisdiction of tax residence: Netherlands</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Treaty Passport scheme reference number:</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1/I/70193/DTTP</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Amended and Restated Credit Agreement</w:t>
      </w:r>
    </w:p>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AMETEK, Inc.</w:t>
      </w:r>
    </w:p>
    <w:p>
      <w:pPr>
        <w:sectPr>
          <w:pgSz w:w="11900" w:h="16838" w:orient="portrait"/>
          <w:cols w:equalWidth="0" w:num="1">
            <w:col w:w="9019"/>
          </w:cols>
          <w:pgMar w:left="1440" w:top="1440" w:right="1440" w:bottom="1440" w:gutter="0" w:footer="0" w:header="0"/>
          <w:type w:val="continuous"/>
        </w:sectPr>
      </w:pPr>
    </w:p>
    <w:bookmarkStart w:id="164" w:name="page165"/>
    <w:bookmarkEnd w:id="16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9"/>
          <w:szCs w:val="19"/>
          <w:color w:val="auto"/>
        </w:rPr>
        <w:t>ING (IRELAND) DAC, an Affiliate of ING Bank N.V., Dublin Branch, as a Lender</w:t>
      </w:r>
    </w:p>
    <w:p>
      <w:pPr>
        <w:spacing w:after="0" w:line="200" w:lineRule="exact"/>
        <w:rPr>
          <w:sz w:val="20"/>
          <w:szCs w:val="20"/>
          <w:color w:val="auto"/>
        </w:rPr>
      </w:pPr>
    </w:p>
    <w:p>
      <w:pPr>
        <w:spacing w:after="0" w:line="31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/s/ Robert O’Donoghue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1940560</wp:posOffset>
            </wp:positionH>
            <wp:positionV relativeFrom="paragraph">
              <wp:posOffset>-10795</wp:posOffset>
            </wp:positionV>
            <wp:extent cx="146240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462405" cy="8890"/>
                    </a:xfrm>
                    <a:prstGeom prst="rect">
                      <a:avLst/>
                    </a:prstGeom>
                    <a:noFill/>
                  </pic:spPr>
                </pic:pic>
              </a:graphicData>
            </a:graphic>
          </wp:anchor>
        </w:drawing>
      </w:r>
    </w:p>
    <w:p>
      <w:pPr>
        <w:spacing w:after="0" w:line="2"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color w:val="auto"/>
        </w:rPr>
        <w:t>Name: Robert O’Donoghue</w:t>
      </w:r>
    </w:p>
    <w:p>
      <w:pPr>
        <w:spacing w:after="0" w:line="6"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color w:val="auto"/>
        </w:rPr>
        <w:t>Title: Managing Director</w:t>
      </w:r>
    </w:p>
    <w:p>
      <w:pPr>
        <w:spacing w:after="0" w:line="200" w:lineRule="exact"/>
        <w:rPr>
          <w:sz w:val="20"/>
          <w:szCs w:val="20"/>
          <w:color w:val="auto"/>
        </w:rPr>
      </w:pPr>
    </w:p>
    <w:p>
      <w:pPr>
        <w:spacing w:after="0" w:line="21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/s/ Sean Hasset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1940560</wp:posOffset>
            </wp:positionH>
            <wp:positionV relativeFrom="paragraph">
              <wp:posOffset>-10795</wp:posOffset>
            </wp:positionV>
            <wp:extent cx="101219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012190" cy="8890"/>
                    </a:xfrm>
                    <a:prstGeom prst="rect">
                      <a:avLst/>
                    </a:prstGeom>
                    <a:noFill/>
                  </pic:spPr>
                </pic:pic>
              </a:graphicData>
            </a:graphic>
          </wp:anchor>
        </w:drawing>
      </w:r>
    </w:p>
    <w:p>
      <w:pPr>
        <w:spacing w:after="0" w:line="8"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color w:val="auto"/>
        </w:rPr>
        <w:t>Name: Sean Hasset</w:t>
      </w:r>
    </w:p>
    <w:p>
      <w:pPr>
        <w:spacing w:after="0" w:line="13"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color w:val="auto"/>
        </w:rPr>
        <w:t>Title: Director</w:t>
      </w:r>
    </w:p>
    <w:p>
      <w:pPr>
        <w:spacing w:after="0" w:line="200" w:lineRule="exact"/>
        <w:rPr>
          <w:sz w:val="20"/>
          <w:szCs w:val="20"/>
          <w:color w:val="auto"/>
        </w:rPr>
      </w:pPr>
    </w:p>
    <w:p>
      <w:pPr>
        <w:spacing w:after="0" w:line="21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Jurisdiction of tax residence: Ireland</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Treaty Passport scheme reference number:</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12/1/371270/DTTP</w:t>
      </w:r>
    </w:p>
    <w:p>
      <w:pPr>
        <w:sectPr>
          <w:pgSz w:w="11900" w:h="16838" w:orient="portrait"/>
          <w:cols w:equalWidth="0" w:num="1">
            <w:col w:w="9420"/>
          </w:cols>
          <w:pgMar w:left="1440" w:top="1440"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7"/>
          <w:szCs w:val="17"/>
          <w:color w:val="auto"/>
        </w:rPr>
        <w:t>Signature Page to Amended and Restated Credit Agreement</w:t>
      </w:r>
    </w:p>
    <w:p>
      <w:pPr>
        <w:spacing w:after="0" w:line="39"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AMETEK, Inc.</w:t>
      </w:r>
    </w:p>
    <w:p>
      <w:pPr>
        <w:sectPr>
          <w:pgSz w:w="11900" w:h="16838" w:orient="portrait"/>
          <w:cols w:equalWidth="0" w:num="1">
            <w:col w:w="9420"/>
          </w:cols>
          <w:pgMar w:left="1440" w:top="1440" w:right="1039" w:bottom="1440" w:gutter="0" w:footer="0" w:header="0"/>
          <w:type w:val="continuous"/>
        </w:sectPr>
      </w:pPr>
    </w:p>
    <w:bookmarkStart w:id="165" w:name="page166"/>
    <w:bookmarkEnd w:id="16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9"/>
          <w:szCs w:val="19"/>
          <w:color w:val="auto"/>
        </w:rPr>
        <w:t>HSBC BANK USA, NATIONAL ASSOCIATION, as a Lender</w:t>
      </w:r>
    </w:p>
    <w:p>
      <w:pPr>
        <w:spacing w:after="0" w:line="200" w:lineRule="exact"/>
        <w:rPr>
          <w:sz w:val="20"/>
          <w:szCs w:val="20"/>
          <w:color w:val="auto"/>
        </w:rPr>
      </w:pPr>
    </w:p>
    <w:p>
      <w:pPr>
        <w:spacing w:after="0" w:line="31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/s/ Chris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1940560</wp:posOffset>
            </wp:positionH>
            <wp:positionV relativeFrom="paragraph">
              <wp:posOffset>-10795</wp:posOffset>
            </wp:positionV>
            <wp:extent cx="100520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005205" cy="8255"/>
                    </a:xfrm>
                    <a:prstGeom prst="rect">
                      <a:avLst/>
                    </a:prstGeom>
                    <a:noFill/>
                  </pic:spPr>
                </pic:pic>
              </a:graphicData>
            </a:graphic>
          </wp:anchor>
        </w:drawing>
      </w:r>
    </w:p>
    <w:p>
      <w:pPr>
        <w:spacing w:after="0" w:line="2"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color w:val="auto"/>
        </w:rPr>
        <w:t>Name: Chris Burns</w:t>
      </w:r>
    </w:p>
    <w:p>
      <w:pPr>
        <w:spacing w:after="0" w:line="6"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color w:val="auto"/>
        </w:rPr>
        <w:t>Title: Director</w:t>
      </w:r>
    </w:p>
    <w:p>
      <w:pPr>
        <w:spacing w:after="0" w:line="200" w:lineRule="exact"/>
        <w:rPr>
          <w:sz w:val="20"/>
          <w:szCs w:val="20"/>
          <w:color w:val="auto"/>
        </w:rPr>
      </w:pPr>
    </w:p>
    <w:p>
      <w:pPr>
        <w:spacing w:after="0" w:line="21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Jurisdiction of tax residence: USA</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Treaty Passport scheme reference number:</w:t>
      </w:r>
    </w:p>
    <w:p>
      <w:pPr>
        <w:spacing w:after="0" w:line="1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13/H/314375/DTTP</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Amended and Restated Credit Agreement</w:t>
      </w:r>
    </w:p>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AMETEK, Inc.</w:t>
      </w:r>
    </w:p>
    <w:p>
      <w:pPr>
        <w:sectPr>
          <w:pgSz w:w="11900" w:h="16838" w:orient="portrait"/>
          <w:cols w:equalWidth="0" w:num="1">
            <w:col w:w="9019"/>
          </w:cols>
          <w:pgMar w:left="1440" w:top="1440" w:right="1440" w:bottom="1440" w:gutter="0" w:footer="0" w:header="0"/>
          <w:type w:val="continuous"/>
        </w:sectPr>
      </w:pPr>
    </w:p>
    <w:bookmarkStart w:id="166" w:name="page167"/>
    <w:bookmarkEnd w:id="16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9"/>
          <w:szCs w:val="19"/>
          <w:color w:val="auto"/>
        </w:rPr>
        <w:t>STANDARD CHARTERED BANK, as a Lender</w:t>
      </w:r>
    </w:p>
    <w:p>
      <w:pPr>
        <w:spacing w:after="0" w:line="200" w:lineRule="exact"/>
        <w:rPr>
          <w:sz w:val="20"/>
          <w:szCs w:val="20"/>
          <w:color w:val="auto"/>
        </w:rPr>
      </w:pPr>
    </w:p>
    <w:p>
      <w:pPr>
        <w:spacing w:after="0" w:line="31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/s/ Luke Copley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1940560</wp:posOffset>
            </wp:positionH>
            <wp:positionV relativeFrom="paragraph">
              <wp:posOffset>-10795</wp:posOffset>
            </wp:positionV>
            <wp:extent cx="105410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054100" cy="8255"/>
                    </a:xfrm>
                    <a:prstGeom prst="rect">
                      <a:avLst/>
                    </a:prstGeom>
                    <a:noFill/>
                  </pic:spPr>
                </pic:pic>
              </a:graphicData>
            </a:graphic>
          </wp:anchor>
        </w:drawing>
      </w:r>
    </w:p>
    <w:p>
      <w:pPr>
        <w:spacing w:after="0" w:line="2"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color w:val="auto"/>
        </w:rPr>
        <w:t>Name: Luke Copley</w:t>
      </w:r>
    </w:p>
    <w:p>
      <w:pPr>
        <w:spacing w:after="0" w:line="6"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Amended and Restated Credit Agreement</w:t>
      </w:r>
    </w:p>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AMETEK, Inc.</w:t>
      </w:r>
    </w:p>
    <w:p>
      <w:pPr>
        <w:sectPr>
          <w:pgSz w:w="11900" w:h="16838" w:orient="portrait"/>
          <w:cols w:equalWidth="0" w:num="1">
            <w:col w:w="9019"/>
          </w:cols>
          <w:pgMar w:left="1440" w:top="1440" w:right="1440" w:bottom="1440" w:gutter="0" w:footer="0" w:header="0"/>
        </w:sectPr>
      </w:pPr>
    </w:p>
    <w:bookmarkStart w:id="167" w:name="page168"/>
    <w:bookmarkEnd w:id="167"/>
    <w:p>
      <w:pPr>
        <w:ind w:left="2780"/>
        <w:spacing w:after="0"/>
        <w:rPr>
          <w:sz w:val="20"/>
          <w:szCs w:val="20"/>
          <w:color w:val="auto"/>
        </w:rPr>
      </w:pPr>
      <w:r>
        <w:rPr>
          <w:rFonts w:ascii="Times New Roman" w:cs="Times New Roman" w:eastAsia="Times New Roman" w:hAnsi="Times New Roman"/>
          <w:sz w:val="19"/>
          <w:szCs w:val="19"/>
          <w:color w:val="auto"/>
        </w:rPr>
        <w:t>FIRST NATIONAL BANK OF PENNSYLVANIA, as a Lender</w:t>
      </w:r>
    </w:p>
    <w:p>
      <w:pPr>
        <w:spacing w:after="0" w:line="200" w:lineRule="exact"/>
        <w:rPr>
          <w:sz w:val="20"/>
          <w:szCs w:val="20"/>
          <w:color w:val="auto"/>
        </w:rPr>
      </w:pPr>
    </w:p>
    <w:p>
      <w:pPr>
        <w:spacing w:after="0" w:line="31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/s/ Brandon M. Wilt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1940560</wp:posOffset>
            </wp:positionH>
            <wp:positionV relativeFrom="paragraph">
              <wp:posOffset>-10795</wp:posOffset>
            </wp:positionV>
            <wp:extent cx="12585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58570" cy="8255"/>
                    </a:xfrm>
                    <a:prstGeom prst="rect">
                      <a:avLst/>
                    </a:prstGeom>
                    <a:noFill/>
                  </pic:spPr>
                </pic:pic>
              </a:graphicData>
            </a:graphic>
          </wp:anchor>
        </w:drawing>
      </w:r>
    </w:p>
    <w:p>
      <w:pPr>
        <w:spacing w:after="0" w:line="2"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color w:val="auto"/>
        </w:rPr>
        <w:t>Name: Brandon M. Wilt</w:t>
      </w:r>
    </w:p>
    <w:p>
      <w:pPr>
        <w:spacing w:after="0" w:line="6"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color w:val="auto"/>
        </w:rPr>
        <w:t>Title: Vice President</w:t>
      </w:r>
    </w:p>
    <w:p>
      <w:pPr>
        <w:spacing w:after="0" w:line="200" w:lineRule="exact"/>
        <w:rPr>
          <w:sz w:val="20"/>
          <w:szCs w:val="20"/>
          <w:color w:val="auto"/>
        </w:rPr>
      </w:pPr>
    </w:p>
    <w:p>
      <w:pPr>
        <w:spacing w:after="0" w:line="21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Jurisdiction of tax residence: USA</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Treaty Passport scheme reference number: 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Amended and Restated Credit Agreement</w:t>
      </w:r>
    </w:p>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AMETEK, Inc.</w:t>
      </w:r>
    </w:p>
    <w:p>
      <w:pPr>
        <w:sectPr>
          <w:pgSz w:w="11900" w:h="16838" w:orient="portrait"/>
          <w:cols w:equalWidth="0" w:num="1">
            <w:col w:w="9019"/>
          </w:cols>
          <w:pgMar w:left="1440" w:top="1413" w:right="1440" w:bottom="1440" w:gutter="0" w:footer="0" w:header="0"/>
        </w:sectPr>
      </w:pPr>
    </w:p>
    <w:bookmarkStart w:id="168" w:name="page169"/>
    <w:bookmarkEnd w:id="168"/>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Exhibit 10.2</w:t>
      </w:r>
    </w:p>
    <w:p>
      <w:pPr>
        <w:spacing w:after="0" w:line="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681990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4"/>
          <w:szCs w:val="14"/>
          <w:color w:val="auto"/>
        </w:rPr>
        <w:t>Delayed Draw Term Loan Deal CUSIP: 03110QAG8</w:t>
      </w:r>
    </w:p>
    <w:p>
      <w:pPr>
        <w:spacing w:after="0" w:line="27"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4"/>
          <w:szCs w:val="14"/>
          <w:color w:val="auto"/>
        </w:rPr>
        <w:t>Tranche A Facility CUSIP: 03110QAH6</w:t>
      </w:r>
    </w:p>
    <w:p>
      <w:pPr>
        <w:spacing w:after="0" w:line="15"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4"/>
          <w:szCs w:val="14"/>
          <w:color w:val="auto"/>
        </w:rPr>
        <w:t>Tranche B Facility CUSIP: 03110QAJ2</w:t>
      </w:r>
    </w:p>
    <w:p>
      <w:pPr>
        <w:spacing w:after="0" w:line="15"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4"/>
          <w:szCs w:val="14"/>
          <w:color w:val="auto"/>
        </w:rPr>
        <w:t>Tranche C Facility CUSIP: 03110QAK9</w:t>
      </w:r>
    </w:p>
    <w:p>
      <w:pPr>
        <w:spacing w:after="0" w:line="4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TERM LOAN CREDIT AGREEMENT</w:t>
      </w:r>
    </w:p>
    <w:p>
      <w:pPr>
        <w:spacing w:after="0" w:line="22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dated as of</w:t>
      </w:r>
    </w:p>
    <w:p>
      <w:pPr>
        <w:spacing w:after="0" w:line="21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June 9, 2026</w:t>
      </w:r>
    </w:p>
    <w:p>
      <w:pPr>
        <w:spacing w:after="0" w:line="25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among</w:t>
      </w:r>
    </w:p>
    <w:p>
      <w:pPr>
        <w:spacing w:after="0" w:line="2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AMETEK, INC.</w:t>
      </w:r>
    </w:p>
    <w:p>
      <w:pPr>
        <w:spacing w:after="0" w:line="20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The Lenders Party Hereto</w:t>
      </w:r>
    </w:p>
    <w:p>
      <w:pPr>
        <w:spacing w:after="0" w:line="24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BANK OF AMERICA, N.A.</w:t>
      </w:r>
    </w:p>
    <w:p>
      <w:pPr>
        <w:spacing w:after="0" w:line="2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as Administrative Agent</w:t>
      </w:r>
    </w:p>
    <w:p>
      <w:pPr>
        <w:spacing w:after="0" w:line="207"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0"/>
          <w:szCs w:val="20"/>
          <w:color w:val="auto"/>
        </w:rPr>
        <w:t>JPMORGAN CHASE BANK, N.A.,</w:t>
      </w:r>
    </w:p>
    <w:p>
      <w:pPr>
        <w:spacing w:after="0" w:line="28"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20"/>
          <w:szCs w:val="20"/>
          <w:color w:val="auto"/>
        </w:rPr>
        <w:t>PNC BANK, NATIONAL ASSOCIATION,</w:t>
      </w:r>
    </w:p>
    <w:p>
      <w:pPr>
        <w:spacing w:after="0" w:line="6"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0"/>
          <w:szCs w:val="20"/>
          <w:color w:val="auto"/>
        </w:rPr>
        <w:t>TRUIST BANK and</w:t>
      </w:r>
    </w:p>
    <w:p>
      <w:pPr>
        <w:spacing w:after="0" w:line="6"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20"/>
          <w:szCs w:val="20"/>
          <w:color w:val="auto"/>
        </w:rPr>
        <w:t>WELLS FARGO BANK, NATIONAL ASSOCIATION</w:t>
      </w:r>
    </w:p>
    <w:p>
      <w:pPr>
        <w:spacing w:after="0" w:line="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as Syndication Agents</w:t>
      </w:r>
    </w:p>
    <w:p>
      <w:pPr>
        <w:spacing w:after="0" w:line="23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and</w:t>
      </w:r>
    </w:p>
    <w:p>
      <w:pPr>
        <w:spacing w:after="0" w:line="24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U.S. BANK NATIONAL ASSOCIATION,</w:t>
      </w:r>
    </w:p>
    <w:p>
      <w:pPr>
        <w:spacing w:after="0" w:line="2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BNP PARIBAS,</w:t>
      </w:r>
    </w:p>
    <w:p>
      <w:pPr>
        <w:spacing w:after="0" w:line="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NATIONAL WESTMINSTER BANK PLC and</w:t>
      </w:r>
    </w:p>
    <w:p>
      <w:pPr>
        <w:spacing w:after="0" w:line="6"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color w:val="auto"/>
        </w:rPr>
        <w:t>COMMERZBANK AG, NEW YORK BRANCH</w:t>
      </w:r>
    </w:p>
    <w:p>
      <w:pPr>
        <w:spacing w:after="0" w:line="6"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0"/>
          <w:szCs w:val="20"/>
          <w:color w:val="auto"/>
        </w:rPr>
        <w:t>as Documentation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21590</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BOFA SECURITIES, INC.,</w:t>
      </w:r>
    </w:p>
    <w:p>
      <w:pPr>
        <w:spacing w:after="0" w:line="28"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0"/>
          <w:szCs w:val="20"/>
          <w:color w:val="auto"/>
        </w:rPr>
        <w:t>JPMORGAN CHASE BANK, N.A.,</w:t>
      </w:r>
    </w:p>
    <w:p>
      <w:pPr>
        <w:spacing w:after="0" w:line="6"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0"/>
          <w:szCs w:val="20"/>
          <w:color w:val="auto"/>
        </w:rPr>
        <w:t>PNC BANK CAPITAL MARKETS LLC,</w:t>
      </w:r>
    </w:p>
    <w:p>
      <w:pPr>
        <w:spacing w:after="0" w:line="6"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0"/>
          <w:szCs w:val="20"/>
          <w:color w:val="auto"/>
        </w:rPr>
        <w:t>TRUIST SECURITIES and</w:t>
      </w:r>
    </w:p>
    <w:p>
      <w:pPr>
        <w:spacing w:after="0" w:line="13"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0"/>
          <w:szCs w:val="20"/>
          <w:color w:val="auto"/>
        </w:rPr>
        <w:t>WELLS FARGO SECURITIES, LLC</w:t>
      </w:r>
    </w:p>
    <w:p>
      <w:pPr>
        <w:spacing w:after="0" w:line="6"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0"/>
          <w:szCs w:val="20"/>
          <w:color w:val="auto"/>
        </w:rPr>
        <w:t>as Joint Bookrunners and Joint Lead Arrangers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26035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169" w:name="page170"/>
    <w:bookmarkEnd w:id="169"/>
    <w:p>
      <w:pPr>
        <w:jc w:val="center"/>
        <w:ind w:right="20"/>
        <w:spacing w:after="0"/>
        <w:rPr>
          <w:sz w:val="20"/>
          <w:szCs w:val="20"/>
          <w:color w:val="auto"/>
        </w:rPr>
      </w:pPr>
      <w:r>
        <w:rPr>
          <w:rFonts w:ascii="Times New Roman" w:cs="Times New Roman" w:eastAsia="Times New Roman" w:hAnsi="Times New Roman"/>
          <w:sz w:val="20"/>
          <w:szCs w:val="20"/>
          <w:u w:val="single" w:color="auto"/>
          <w:color w:val="auto"/>
        </w:rPr>
        <w:t>Table Of Contents</w:t>
      </w:r>
    </w:p>
    <w:p>
      <w:pPr>
        <w:spacing w:after="0" w:line="2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SECTION 1.01.</w:t>
            </w:r>
          </w:p>
        </w:tc>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DEFINED TERMS</w:t>
            </w:r>
          </w:p>
        </w:tc>
        <w:tc>
          <w:tcPr>
            <w:tcW w:w="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SECTION 1.02.</w:t>
            </w:r>
          </w:p>
        </w:tc>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CLASSIFICATION OF LOANS AND BORROWINGS</w:t>
            </w:r>
          </w:p>
        </w:tc>
        <w:tc>
          <w:tcPr>
            <w:tcW w:w="4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88"/>
              </w:rPr>
              <w:t>31</w:t>
            </w:r>
          </w:p>
        </w:tc>
      </w:tr>
      <w:tr>
        <w:trPr>
          <w:trHeight w:val="229"/>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SECTION 1.03.</w:t>
            </w:r>
          </w:p>
        </w:tc>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TERMS GENERALLY</w:t>
            </w:r>
          </w:p>
        </w:tc>
        <w:tc>
          <w:tcPr>
            <w:tcW w:w="4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88"/>
              </w:rPr>
              <w:t>31</w:t>
            </w:r>
          </w:p>
        </w:tc>
      </w:tr>
      <w:tr>
        <w:trPr>
          <w:trHeight w:val="230"/>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SECTION 1.04.</w:t>
            </w:r>
          </w:p>
        </w:tc>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ACCOUNTING TERMS; GAAP</w:t>
            </w:r>
          </w:p>
        </w:tc>
        <w:tc>
          <w:tcPr>
            <w:tcW w:w="4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88"/>
              </w:rPr>
              <w:t>31</w:t>
            </w:r>
          </w:p>
        </w:tc>
      </w:tr>
      <w:tr>
        <w:trPr>
          <w:trHeight w:val="229"/>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SECTION 1.05.</w:t>
            </w:r>
          </w:p>
        </w:tc>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RATES; BENCHMARK NOTIFICATION</w:t>
            </w:r>
          </w:p>
        </w:tc>
        <w:tc>
          <w:tcPr>
            <w:tcW w:w="4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88"/>
              </w:rPr>
              <w:t>32</w:t>
            </w:r>
          </w:p>
        </w:tc>
      </w:tr>
      <w:tr>
        <w:trPr>
          <w:trHeight w:val="229"/>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SECTION 1.06.</w:t>
            </w:r>
          </w:p>
        </w:tc>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STATUS OF OBLIGATIONS</w:t>
            </w:r>
          </w:p>
        </w:tc>
        <w:tc>
          <w:tcPr>
            <w:tcW w:w="4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88"/>
              </w:rPr>
              <w:t>32</w:t>
            </w:r>
          </w:p>
        </w:tc>
      </w:tr>
      <w:tr>
        <w:trPr>
          <w:trHeight w:val="230"/>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SECTION 1.07.</w:t>
            </w:r>
          </w:p>
        </w:tc>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[INTENTIONALLY OMITTED]</w:t>
            </w:r>
          </w:p>
        </w:tc>
        <w:tc>
          <w:tcPr>
            <w:tcW w:w="4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88"/>
              </w:rPr>
              <w:t>33</w:t>
            </w:r>
          </w:p>
        </w:tc>
      </w:tr>
      <w:tr>
        <w:trPr>
          <w:trHeight w:val="229"/>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SECTION 1.08.</w:t>
            </w:r>
          </w:p>
        </w:tc>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DIVISIONS</w:t>
            </w:r>
          </w:p>
        </w:tc>
        <w:tc>
          <w:tcPr>
            <w:tcW w:w="4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88"/>
              </w:rPr>
              <w:t>33</w:t>
            </w:r>
          </w:p>
        </w:tc>
      </w:tr>
      <w:tr>
        <w:trPr>
          <w:trHeight w:val="230"/>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w w:val="99"/>
              </w:rPr>
              <w:t>ARTICLE II The Credits</w:t>
            </w:r>
          </w:p>
        </w:tc>
        <w:tc>
          <w:tcPr>
            <w:tcW w:w="6300" w:type="dxa"/>
            <w:vAlign w:val="bottom"/>
          </w:tcPr>
          <w:p>
            <w:pPr>
              <w:spacing w:after="0"/>
              <w:rPr>
                <w:sz w:val="19"/>
                <w:szCs w:val="19"/>
                <w:color w:val="auto"/>
              </w:rPr>
            </w:pPr>
          </w:p>
        </w:tc>
        <w:tc>
          <w:tcPr>
            <w:tcW w:w="4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88"/>
              </w:rPr>
              <w:t>33</w:t>
            </w:r>
          </w:p>
        </w:tc>
      </w:tr>
      <w:tr>
        <w:trPr>
          <w:trHeight w:val="229"/>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SECTION 2.01.</w:t>
            </w:r>
          </w:p>
        </w:tc>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LOANS</w:t>
            </w:r>
          </w:p>
        </w:tc>
        <w:tc>
          <w:tcPr>
            <w:tcW w:w="4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88"/>
              </w:rPr>
              <w:t>33</w:t>
            </w:r>
          </w:p>
        </w:tc>
      </w:tr>
      <w:tr>
        <w:trPr>
          <w:trHeight w:val="229"/>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SECTION 2.02.</w:t>
            </w:r>
          </w:p>
        </w:tc>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LOANS AND BORROWINGS</w:t>
            </w:r>
          </w:p>
        </w:tc>
        <w:tc>
          <w:tcPr>
            <w:tcW w:w="4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88"/>
              </w:rPr>
              <w:t>33</w:t>
            </w:r>
          </w:p>
        </w:tc>
      </w:tr>
      <w:tr>
        <w:trPr>
          <w:trHeight w:val="230"/>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SECTION 2.03.</w:t>
            </w:r>
          </w:p>
        </w:tc>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REQUESTS FOR BORROWINGS</w:t>
            </w:r>
          </w:p>
        </w:tc>
        <w:tc>
          <w:tcPr>
            <w:tcW w:w="4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88"/>
              </w:rPr>
              <w:t>34</w:t>
            </w:r>
          </w:p>
        </w:tc>
      </w:tr>
      <w:tr>
        <w:trPr>
          <w:trHeight w:val="229"/>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SECTION 2.04.</w:t>
            </w:r>
          </w:p>
        </w:tc>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[INTENTIONALLY OMITTED]</w:t>
            </w:r>
          </w:p>
        </w:tc>
        <w:tc>
          <w:tcPr>
            <w:tcW w:w="4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88"/>
              </w:rPr>
              <w:t>34</w:t>
            </w:r>
          </w:p>
        </w:tc>
      </w:tr>
      <w:tr>
        <w:trPr>
          <w:trHeight w:val="229"/>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SECTION 2.05.</w:t>
            </w:r>
          </w:p>
        </w:tc>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[INTENTIONALLY OMITTED]</w:t>
            </w:r>
          </w:p>
        </w:tc>
        <w:tc>
          <w:tcPr>
            <w:tcW w:w="4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88"/>
              </w:rPr>
              <w:t>34</w:t>
            </w:r>
          </w:p>
        </w:tc>
      </w:tr>
      <w:tr>
        <w:trPr>
          <w:trHeight w:val="230"/>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SECTION 2.06.</w:t>
            </w:r>
          </w:p>
        </w:tc>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[INTENTIONALLY OMITTED]</w:t>
            </w:r>
          </w:p>
        </w:tc>
        <w:tc>
          <w:tcPr>
            <w:tcW w:w="4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88"/>
              </w:rPr>
              <w:t>34</w:t>
            </w:r>
          </w:p>
        </w:tc>
      </w:tr>
      <w:tr>
        <w:trPr>
          <w:trHeight w:val="229"/>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SECTION 2.07.</w:t>
            </w:r>
          </w:p>
        </w:tc>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FUNDING OF BORROWINGS</w:t>
            </w:r>
          </w:p>
        </w:tc>
        <w:tc>
          <w:tcPr>
            <w:tcW w:w="4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88"/>
              </w:rPr>
              <w:t>34</w:t>
            </w:r>
          </w:p>
        </w:tc>
      </w:tr>
      <w:tr>
        <w:trPr>
          <w:trHeight w:val="230"/>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SECTION 2.08.</w:t>
            </w:r>
          </w:p>
        </w:tc>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INTEREST ELECTIONS</w:t>
            </w:r>
          </w:p>
        </w:tc>
        <w:tc>
          <w:tcPr>
            <w:tcW w:w="4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88"/>
              </w:rPr>
              <w:t>35</w:t>
            </w:r>
          </w:p>
        </w:tc>
      </w:tr>
      <w:tr>
        <w:trPr>
          <w:trHeight w:val="229"/>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SECTION 2.09.</w:t>
            </w:r>
          </w:p>
        </w:tc>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TERMINATION AND REDUCTION OF COMMITMENTS</w:t>
            </w:r>
          </w:p>
        </w:tc>
        <w:tc>
          <w:tcPr>
            <w:tcW w:w="4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88"/>
              </w:rPr>
              <w:t>36</w:t>
            </w:r>
          </w:p>
        </w:tc>
      </w:tr>
      <w:tr>
        <w:trPr>
          <w:trHeight w:val="229"/>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SECTION 2.10.</w:t>
            </w:r>
          </w:p>
        </w:tc>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LOANS; EVIDENCE OF DEBT</w:t>
            </w:r>
          </w:p>
        </w:tc>
        <w:tc>
          <w:tcPr>
            <w:tcW w:w="4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88"/>
              </w:rPr>
              <w:t>37</w:t>
            </w:r>
          </w:p>
        </w:tc>
      </w:tr>
      <w:tr>
        <w:trPr>
          <w:trHeight w:val="230"/>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SECTION 2.11.</w:t>
            </w:r>
          </w:p>
        </w:tc>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PREPAYMENT OF LOANS</w:t>
            </w:r>
          </w:p>
        </w:tc>
        <w:tc>
          <w:tcPr>
            <w:tcW w:w="4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88"/>
              </w:rPr>
              <w:t>37</w:t>
            </w:r>
          </w:p>
        </w:tc>
      </w:tr>
      <w:tr>
        <w:trPr>
          <w:trHeight w:val="229"/>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SECTION 2.12.</w:t>
            </w:r>
          </w:p>
        </w:tc>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FEES</w:t>
            </w:r>
          </w:p>
        </w:tc>
        <w:tc>
          <w:tcPr>
            <w:tcW w:w="4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88"/>
              </w:rPr>
              <w:t>38</w:t>
            </w:r>
          </w:p>
        </w:tc>
      </w:tr>
      <w:tr>
        <w:trPr>
          <w:trHeight w:val="230"/>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SECTION 2.13.</w:t>
            </w:r>
          </w:p>
        </w:tc>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INTEREST</w:t>
            </w:r>
          </w:p>
        </w:tc>
        <w:tc>
          <w:tcPr>
            <w:tcW w:w="4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88"/>
              </w:rPr>
              <w:t>39</w:t>
            </w:r>
          </w:p>
        </w:tc>
      </w:tr>
      <w:tr>
        <w:trPr>
          <w:trHeight w:val="230"/>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SECTION 2.14.</w:t>
            </w:r>
          </w:p>
        </w:tc>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ALTERNATE RATE OF INTEREST</w:t>
            </w:r>
          </w:p>
        </w:tc>
        <w:tc>
          <w:tcPr>
            <w:tcW w:w="4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88"/>
              </w:rPr>
              <w:t>39</w:t>
            </w:r>
          </w:p>
        </w:tc>
      </w:tr>
      <w:tr>
        <w:trPr>
          <w:trHeight w:val="229"/>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SECTION 2.15.</w:t>
            </w:r>
          </w:p>
        </w:tc>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INCREASED COSTS</w:t>
            </w:r>
          </w:p>
        </w:tc>
        <w:tc>
          <w:tcPr>
            <w:tcW w:w="4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88"/>
              </w:rPr>
              <w:t>42</w:t>
            </w:r>
          </w:p>
        </w:tc>
      </w:tr>
      <w:tr>
        <w:trPr>
          <w:trHeight w:val="230"/>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SECTION 2.16.</w:t>
            </w:r>
          </w:p>
        </w:tc>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BREAK FUNDING PAYMENTS</w:t>
            </w:r>
          </w:p>
        </w:tc>
        <w:tc>
          <w:tcPr>
            <w:tcW w:w="4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88"/>
              </w:rPr>
              <w:t>43</w:t>
            </w:r>
          </w:p>
        </w:tc>
      </w:tr>
      <w:tr>
        <w:trPr>
          <w:trHeight w:val="230"/>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SECTION 2.17.</w:t>
            </w:r>
          </w:p>
        </w:tc>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TAXES</w:t>
            </w:r>
          </w:p>
        </w:tc>
        <w:tc>
          <w:tcPr>
            <w:tcW w:w="4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88"/>
              </w:rPr>
              <w:t>43</w:t>
            </w:r>
          </w:p>
        </w:tc>
      </w:tr>
      <w:tr>
        <w:trPr>
          <w:trHeight w:val="230"/>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SECTION 2.18.</w:t>
            </w:r>
          </w:p>
        </w:tc>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[INTENTIONALLY OMITTED].</w:t>
            </w:r>
          </w:p>
        </w:tc>
        <w:tc>
          <w:tcPr>
            <w:tcW w:w="4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88"/>
              </w:rPr>
              <w:t>46</w:t>
            </w:r>
          </w:p>
        </w:tc>
      </w:tr>
      <w:tr>
        <w:trPr>
          <w:trHeight w:val="229"/>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SECTION 2.19.</w:t>
            </w:r>
          </w:p>
        </w:tc>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PAYMENTS GENERALLY; PRO RATA TREATMENT; SHARING OF SET-OFFS</w:t>
            </w:r>
          </w:p>
        </w:tc>
        <w:tc>
          <w:tcPr>
            <w:tcW w:w="4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88"/>
              </w:rPr>
              <w:t>46</w:t>
            </w:r>
          </w:p>
        </w:tc>
      </w:tr>
      <w:tr>
        <w:trPr>
          <w:trHeight w:val="230"/>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SECTION 2.20.</w:t>
            </w:r>
          </w:p>
        </w:tc>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MITIGATION OBLIGATIONS; REPLACEMENT OF LENDERS</w:t>
            </w:r>
          </w:p>
        </w:tc>
        <w:tc>
          <w:tcPr>
            <w:tcW w:w="4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88"/>
              </w:rPr>
              <w:t>48</w:t>
            </w:r>
          </w:p>
        </w:tc>
      </w:tr>
      <w:tr>
        <w:trPr>
          <w:trHeight w:val="230"/>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SECTION 2.21.</w:t>
            </w:r>
          </w:p>
        </w:tc>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[INTENTIONALLY OMITTED]</w:t>
            </w:r>
          </w:p>
        </w:tc>
        <w:tc>
          <w:tcPr>
            <w:tcW w:w="4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88"/>
              </w:rPr>
              <w:t>49</w:t>
            </w:r>
          </w:p>
        </w:tc>
      </w:tr>
      <w:tr>
        <w:trPr>
          <w:trHeight w:val="230"/>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SECTION 2.22.</w:t>
            </w:r>
          </w:p>
        </w:tc>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[INTENTIONALLY OMITTED]</w:t>
            </w:r>
          </w:p>
        </w:tc>
        <w:tc>
          <w:tcPr>
            <w:tcW w:w="4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88"/>
              </w:rPr>
              <w:t>49</w:t>
            </w:r>
          </w:p>
        </w:tc>
      </w:tr>
      <w:tr>
        <w:trPr>
          <w:trHeight w:val="229"/>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SECTION 2.23.</w:t>
            </w:r>
          </w:p>
        </w:tc>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JUDGMENT CURRENCY</w:t>
            </w:r>
          </w:p>
        </w:tc>
        <w:tc>
          <w:tcPr>
            <w:tcW w:w="4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88"/>
              </w:rPr>
              <w:t>49</w:t>
            </w:r>
          </w:p>
        </w:tc>
      </w:tr>
      <w:tr>
        <w:trPr>
          <w:trHeight w:val="230"/>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SECTION 2.24.</w:t>
            </w:r>
          </w:p>
        </w:tc>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[INTENTIONALLY OMITTED]</w:t>
            </w:r>
          </w:p>
        </w:tc>
        <w:tc>
          <w:tcPr>
            <w:tcW w:w="4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88"/>
              </w:rPr>
              <w:t>49</w:t>
            </w:r>
          </w:p>
        </w:tc>
      </w:tr>
      <w:tr>
        <w:trPr>
          <w:trHeight w:val="230"/>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SECTION 2.25.</w:t>
            </w:r>
          </w:p>
        </w:tc>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DEFAULTING LENDERS</w:t>
            </w:r>
          </w:p>
        </w:tc>
        <w:tc>
          <w:tcPr>
            <w:tcW w:w="4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88"/>
              </w:rPr>
              <w:t>49</w:t>
            </w:r>
          </w:p>
        </w:tc>
      </w:tr>
      <w:tr>
        <w:trPr>
          <w:trHeight w:val="230"/>
        </w:trPr>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III Representations and Warranties</w:t>
            </w:r>
          </w:p>
        </w:tc>
        <w:tc>
          <w:tcPr>
            <w:tcW w:w="4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88"/>
              </w:rPr>
              <w:t>50</w:t>
            </w:r>
          </w:p>
        </w:tc>
      </w:tr>
      <w:tr>
        <w:trPr>
          <w:trHeight w:val="229"/>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SECTION 3.01.</w:t>
            </w:r>
          </w:p>
        </w:tc>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ORGANIZATION; POWERS; SUBSIDIARIES</w:t>
            </w:r>
          </w:p>
        </w:tc>
        <w:tc>
          <w:tcPr>
            <w:tcW w:w="4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88"/>
              </w:rPr>
              <w:t>50</w:t>
            </w:r>
          </w:p>
        </w:tc>
      </w:tr>
      <w:tr>
        <w:trPr>
          <w:trHeight w:val="230"/>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SECTION 3.02.</w:t>
            </w:r>
          </w:p>
        </w:tc>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AUTHORIZATION; ENFORCEABILITY</w:t>
            </w:r>
          </w:p>
        </w:tc>
        <w:tc>
          <w:tcPr>
            <w:tcW w:w="4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88"/>
              </w:rPr>
              <w:t>51</w:t>
            </w:r>
          </w:p>
        </w:tc>
      </w:tr>
      <w:tr>
        <w:trPr>
          <w:trHeight w:val="230"/>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SECTION 3.03.</w:t>
            </w:r>
          </w:p>
        </w:tc>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GOVERNMENTAL APPROVALS; NO CONFLICTS</w:t>
            </w:r>
          </w:p>
        </w:tc>
        <w:tc>
          <w:tcPr>
            <w:tcW w:w="4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88"/>
              </w:rPr>
              <w:t>51</w:t>
            </w:r>
          </w:p>
        </w:tc>
      </w:tr>
      <w:tr>
        <w:trPr>
          <w:trHeight w:val="230"/>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SECTION 3.04.</w:t>
            </w:r>
          </w:p>
        </w:tc>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FINANCIAL CONDITION; NO MATERIAL ADVERSE CHANGE</w:t>
            </w:r>
          </w:p>
        </w:tc>
        <w:tc>
          <w:tcPr>
            <w:tcW w:w="4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88"/>
              </w:rPr>
              <w:t>51</w:t>
            </w:r>
          </w:p>
        </w:tc>
      </w:tr>
      <w:tr>
        <w:trPr>
          <w:trHeight w:val="229"/>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SECTION 3.05.</w:t>
            </w:r>
          </w:p>
        </w:tc>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PROPERTIES</w:t>
            </w:r>
          </w:p>
        </w:tc>
        <w:tc>
          <w:tcPr>
            <w:tcW w:w="4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88"/>
              </w:rPr>
              <w:t>51</w:t>
            </w:r>
          </w:p>
        </w:tc>
      </w:tr>
      <w:tr>
        <w:trPr>
          <w:trHeight w:val="230"/>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SECTION 3.06.</w:t>
            </w:r>
          </w:p>
        </w:tc>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LITIGATION, ENVIRONMENTAL AND LABOR MATTERS</w:t>
            </w:r>
          </w:p>
        </w:tc>
        <w:tc>
          <w:tcPr>
            <w:tcW w:w="4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88"/>
              </w:rPr>
              <w:t>51</w:t>
            </w:r>
          </w:p>
        </w:tc>
      </w:tr>
      <w:tr>
        <w:trPr>
          <w:trHeight w:val="230"/>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SECTION 3.07.</w:t>
            </w:r>
          </w:p>
        </w:tc>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COMPLIANCE WITH LAWS AND AGREEMENTS</w:t>
            </w:r>
          </w:p>
        </w:tc>
        <w:tc>
          <w:tcPr>
            <w:tcW w:w="4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88"/>
              </w:rPr>
              <w:t>52</w:t>
            </w:r>
          </w:p>
        </w:tc>
      </w:tr>
      <w:tr>
        <w:trPr>
          <w:trHeight w:val="234"/>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SECTION 3.08.</w:t>
            </w:r>
          </w:p>
        </w:tc>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INVESTMENT COMPANY STATUS</w:t>
            </w:r>
          </w:p>
        </w:tc>
        <w:tc>
          <w:tcPr>
            <w:tcW w:w="4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88"/>
              </w:rPr>
              <w:t>52</w:t>
            </w:r>
          </w:p>
        </w:tc>
      </w:tr>
    </w:tbl>
    <w:p>
      <w:pPr>
        <w:sectPr>
          <w:pgSz w:w="11900" w:h="16838" w:orient="portrait"/>
          <w:cols w:equalWidth="0" w:num="1">
            <w:col w:w="11220"/>
          </w:cols>
          <w:pgMar w:left="340" w:top="118" w:right="339" w:bottom="1440" w:gutter="0" w:footer="0" w:header="0"/>
        </w:sectPr>
      </w:pPr>
    </w:p>
    <w:bookmarkStart w:id="170" w:name="page171"/>
    <w:bookmarkEnd w:id="170"/>
    <w:p>
      <w:pPr>
        <w:jc w:val="center"/>
        <w:ind w:right="20"/>
        <w:spacing w:after="0"/>
        <w:rPr>
          <w:sz w:val="20"/>
          <w:szCs w:val="20"/>
          <w:color w:val="auto"/>
        </w:rPr>
      </w:pPr>
      <w:r>
        <w:rPr>
          <w:rFonts w:ascii="Times New Roman" w:cs="Times New Roman" w:eastAsia="Times New Roman" w:hAnsi="Times New Roman"/>
          <w:sz w:val="20"/>
          <w:szCs w:val="20"/>
          <w:color w:val="auto"/>
        </w:rPr>
        <w:t>Table Of Contents</w:t>
      </w:r>
    </w:p>
    <w:p>
      <w:pPr>
        <w:spacing w:after="0" w:line="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(continued)</w:t>
      </w:r>
    </w:p>
    <w:p>
      <w:pPr>
        <w:spacing w:after="0" w:line="20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SECTION 3.09.</w:t>
            </w: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TAXES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29"/>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SECTION 3.10.</w:t>
            </w: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ERISA; NON-U.S. PENSION PLANS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29"/>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SECTION 3.11.</w:t>
            </w: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DISCLOSURE</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30"/>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SECTION 3.12.</w:t>
            </w: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FEDERAL RESERVE REGULATIONS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29"/>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SECTION 3.13.</w:t>
            </w: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LIENS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30"/>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SECTION 3.14.</w:t>
            </w: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NO DEFAULT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29"/>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SECTION 3.15.</w:t>
            </w: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ANTI-CORRUPTION LAWS AND SANCTIONS AND EXPORT CONTROLS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29"/>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SECTION 3.16.</w:t>
            </w: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AFFECTED FINANCIAL INSTITUTIONS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30"/>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SECTION 3.17.</w:t>
            </w: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OUTBOUND INVESTMENT RULES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29"/>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SECTION 3.18.</w:t>
            </w: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SOLVENCY</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29"/>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SECTION 3.19.</w:t>
            </w: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USE OF PROCEEDS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30"/>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w w:val="98"/>
              </w:rPr>
              <w:t>ARTICLE IV Conditions</w:t>
            </w:r>
          </w:p>
        </w:tc>
        <w:tc>
          <w:tcPr>
            <w:tcW w:w="61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29"/>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SECTION 4.01.</w:t>
            </w: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EFFECTIVE DATE</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30"/>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SECTION 4.02.</w:t>
            </w: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CLOSING DATE</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29"/>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 Affirmative Covenants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29"/>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SECTION 5.01.</w:t>
            </w: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FINANCIAL STATEMENTS AND OTHER INFORMATION</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30"/>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SECTION 5.02.</w:t>
            </w: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NOTICES OF MATERIAL EVENTS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29"/>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SECTION 5.03.</w:t>
            </w: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EXISTENCE; CONDUCT OF BUSINESS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30"/>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SECTION 5.04.</w:t>
            </w: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PAYMENT OF OBLIGATIONS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29"/>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SECTION 5.05.</w:t>
            </w: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MAINTENANCE OF PROPERTIES; INSURANCE</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30"/>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SECTION 5.06.</w:t>
            </w: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BOOKS AND RECORDS; INSPECTION RIGHTS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29"/>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SECTION 5.07.</w:t>
            </w: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COMPLIANCE WITH LAWS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30"/>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SECTION 5.08.</w:t>
            </w: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USE OF PROCEEDS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3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 Negative Covenants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30"/>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SECTION 6.01.</w:t>
            </w: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INDEBTEDNESS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29"/>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SECTION 6.02.</w:t>
            </w: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LIENS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30"/>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SECTION 6.03.</w:t>
            </w: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FUNDAMENTAL CHANGES AND ASSET SALES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30"/>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SECTION 6.04.</w:t>
            </w: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SPECULATIVE SWAP AGREEMENTS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30"/>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SECTION 6.05.</w:t>
            </w: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TRANSACTIONS WITH AFFILIATES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29"/>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SECTION 6.06.</w:t>
            </w: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[INTENTIONALLY OMITTED]</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30"/>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SECTION 6.07.</w:t>
            </w: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FINANCIAL COVENANTS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30"/>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SECTION 6.08.</w:t>
            </w: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ANTI-CORRUPTION LAWS AND SANCTIONS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30"/>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SECTION 6.09.</w:t>
            </w: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UK PENSIONS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29"/>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SECTION 6.10.</w:t>
            </w: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OUTBOUND INVESTMENT RULES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3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 Events of Default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3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VIII The Administrative Agent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30"/>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SECTION 8.01.</w:t>
            </w: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AUTHORIZATION AND ACTION</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29"/>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SECTION 8.02.</w:t>
            </w: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ADMINISTRATIVE AGENT’S RELIANCE, INDEMNIFICATION, ETC</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30"/>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SECTION 8.03.</w:t>
            </w: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POSTING OF COMMUNICATIONS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30"/>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SECTION 8.04.</w:t>
            </w: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THE ADMINISTRATIVE AGENT INDIVIDUALLY</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30"/>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SECTION 8.05.</w:t>
            </w: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SUCCESSOR ADMINISTRATIVE AGENT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29"/>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SECTION 8.06.</w:t>
            </w: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ACKNOWLEDGEMENTS OF LENDERS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34"/>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SECTION 8.07.</w:t>
            </w: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CERTAIN ERISA MATTERS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20"/>
          </w:cols>
          <w:pgMar w:left="340" w:top="118" w:right="339" w:bottom="1440" w:gutter="0" w:footer="0" w:header="0"/>
        </w:sectPr>
      </w:pPr>
    </w:p>
    <w:bookmarkStart w:id="171" w:name="page172"/>
    <w:bookmarkEnd w:id="171"/>
    <w:p>
      <w:pPr>
        <w:jc w:val="center"/>
        <w:ind w:right="20"/>
        <w:spacing w:after="0"/>
        <w:rPr>
          <w:sz w:val="20"/>
          <w:szCs w:val="20"/>
          <w:color w:val="auto"/>
        </w:rPr>
      </w:pPr>
      <w:r>
        <w:rPr>
          <w:rFonts w:ascii="Times New Roman" w:cs="Times New Roman" w:eastAsia="Times New Roman" w:hAnsi="Times New Roman"/>
          <w:sz w:val="20"/>
          <w:szCs w:val="20"/>
          <w:color w:val="auto"/>
        </w:rPr>
        <w:t>Table Of Contents</w:t>
      </w:r>
    </w:p>
    <w:p>
      <w:pPr>
        <w:spacing w:after="0" w:line="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(continued)</w:t>
      </w:r>
    </w:p>
    <w:p>
      <w:pPr>
        <w:spacing w:after="0" w:line="20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IX Miscellaneous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78</w:t>
            </w:r>
          </w:p>
        </w:tc>
      </w:tr>
      <w:tr>
        <w:trPr>
          <w:trHeight w:val="229"/>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SECTION 9.01.</w:t>
            </w:r>
          </w:p>
        </w:tc>
        <w:tc>
          <w:tcPr>
            <w:tcW w:w="68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NOTICES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78</w:t>
            </w:r>
          </w:p>
        </w:tc>
      </w:tr>
      <w:tr>
        <w:trPr>
          <w:trHeight w:val="229"/>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SECTION 9.02.</w:t>
            </w:r>
          </w:p>
        </w:tc>
        <w:tc>
          <w:tcPr>
            <w:tcW w:w="68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WAIVERS; AMENDMENTS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79</w:t>
            </w:r>
          </w:p>
        </w:tc>
      </w:tr>
      <w:tr>
        <w:trPr>
          <w:trHeight w:val="230"/>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SECTION 9.03.</w:t>
            </w:r>
          </w:p>
        </w:tc>
        <w:tc>
          <w:tcPr>
            <w:tcW w:w="68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EXPENSES; INDEMNITY; DAMAGE WAIVER</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81</w:t>
            </w:r>
          </w:p>
        </w:tc>
      </w:tr>
      <w:tr>
        <w:trPr>
          <w:trHeight w:val="229"/>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SECTION 9.04.</w:t>
            </w:r>
          </w:p>
        </w:tc>
        <w:tc>
          <w:tcPr>
            <w:tcW w:w="68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SUCCESSORS AND ASSIGNS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83</w:t>
            </w:r>
          </w:p>
        </w:tc>
      </w:tr>
      <w:tr>
        <w:trPr>
          <w:trHeight w:val="230"/>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SECTION 9.05.</w:t>
            </w:r>
          </w:p>
        </w:tc>
        <w:tc>
          <w:tcPr>
            <w:tcW w:w="68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SURVIVAL</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86</w:t>
            </w:r>
          </w:p>
        </w:tc>
      </w:tr>
      <w:tr>
        <w:trPr>
          <w:trHeight w:val="229"/>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SECTION 9.06.</w:t>
            </w:r>
          </w:p>
        </w:tc>
        <w:tc>
          <w:tcPr>
            <w:tcW w:w="70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99"/>
              </w:rPr>
              <w:t>COUNTERPARTS; INTEGRATION; EFFECTIVENESS; ELECTRONIC EXECUTION 86</w:t>
            </w:r>
          </w:p>
        </w:tc>
      </w:tr>
      <w:tr>
        <w:trPr>
          <w:trHeight w:val="229"/>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SECTION 9.07.</w:t>
            </w:r>
          </w:p>
        </w:tc>
        <w:tc>
          <w:tcPr>
            <w:tcW w:w="68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SEVERABILITY</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87</w:t>
            </w:r>
          </w:p>
        </w:tc>
      </w:tr>
      <w:tr>
        <w:trPr>
          <w:trHeight w:val="230"/>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SECTION 9.08.</w:t>
            </w:r>
          </w:p>
        </w:tc>
        <w:tc>
          <w:tcPr>
            <w:tcW w:w="68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RIGHT OF SETOFF</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87</w:t>
            </w:r>
          </w:p>
        </w:tc>
      </w:tr>
      <w:tr>
        <w:trPr>
          <w:trHeight w:val="229"/>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SECTION 9.09.</w:t>
            </w:r>
          </w:p>
        </w:tc>
        <w:tc>
          <w:tcPr>
            <w:tcW w:w="68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GOVERNING LAW; JURISDICTION; CONSENT TO SERVICE OF PROCESS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88</w:t>
            </w:r>
          </w:p>
        </w:tc>
      </w:tr>
      <w:tr>
        <w:trPr>
          <w:trHeight w:val="230"/>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SECTION 9.10.</w:t>
            </w:r>
          </w:p>
        </w:tc>
        <w:tc>
          <w:tcPr>
            <w:tcW w:w="68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WAIVER OF JURY TRIAL</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89</w:t>
            </w:r>
          </w:p>
        </w:tc>
      </w:tr>
      <w:tr>
        <w:trPr>
          <w:trHeight w:val="229"/>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SECTION 9.11.</w:t>
            </w:r>
          </w:p>
        </w:tc>
        <w:tc>
          <w:tcPr>
            <w:tcW w:w="68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HEADINGS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89</w:t>
            </w:r>
          </w:p>
        </w:tc>
      </w:tr>
      <w:tr>
        <w:trPr>
          <w:trHeight w:val="229"/>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SECTION 9.12.</w:t>
            </w:r>
          </w:p>
        </w:tc>
        <w:tc>
          <w:tcPr>
            <w:tcW w:w="68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CONFIDENTIALITY</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89</w:t>
            </w:r>
          </w:p>
        </w:tc>
      </w:tr>
      <w:tr>
        <w:trPr>
          <w:trHeight w:val="230"/>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SECTION 9.13.</w:t>
            </w:r>
          </w:p>
        </w:tc>
        <w:tc>
          <w:tcPr>
            <w:tcW w:w="68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USA PATRIOT ACT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90</w:t>
            </w:r>
          </w:p>
        </w:tc>
      </w:tr>
      <w:tr>
        <w:trPr>
          <w:trHeight w:val="229"/>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SECTION 9.14.</w:t>
            </w:r>
          </w:p>
        </w:tc>
        <w:tc>
          <w:tcPr>
            <w:tcW w:w="68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[INTENTIONALLY OMITTED]</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90</w:t>
            </w:r>
          </w:p>
        </w:tc>
      </w:tr>
      <w:tr>
        <w:trPr>
          <w:trHeight w:val="229"/>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SECTION 9.15.</w:t>
            </w:r>
          </w:p>
        </w:tc>
        <w:tc>
          <w:tcPr>
            <w:tcW w:w="68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INTEREST RATE LIMITATION</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90</w:t>
            </w:r>
          </w:p>
        </w:tc>
      </w:tr>
      <w:tr>
        <w:trPr>
          <w:trHeight w:val="230"/>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SECTION 9.16.</w:t>
            </w:r>
          </w:p>
        </w:tc>
        <w:tc>
          <w:tcPr>
            <w:tcW w:w="68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NO FIDUCIARY DUTY, ETC</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91</w:t>
            </w:r>
          </w:p>
        </w:tc>
      </w:tr>
      <w:tr>
        <w:trPr>
          <w:trHeight w:val="229"/>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SECTION 9.17.</w:t>
            </w:r>
          </w:p>
        </w:tc>
        <w:tc>
          <w:tcPr>
            <w:tcW w:w="68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[INTENTIONALLY OMITTED]</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92</w:t>
            </w:r>
          </w:p>
        </w:tc>
      </w:tr>
      <w:tr>
        <w:trPr>
          <w:trHeight w:val="180"/>
        </w:trPr>
        <w:tc>
          <w:tcPr>
            <w:tcW w:w="1500" w:type="dxa"/>
            <w:vAlign w:val="bottom"/>
          </w:tcPr>
          <w:p>
            <w:pPr>
              <w:spacing w:after="0"/>
              <w:rPr>
                <w:sz w:val="15"/>
                <w:szCs w:val="15"/>
                <w:color w:val="auto"/>
              </w:rPr>
            </w:pPr>
          </w:p>
        </w:tc>
        <w:tc>
          <w:tcPr>
            <w:tcW w:w="6820" w:type="dxa"/>
            <w:vAlign w:val="bottom"/>
          </w:tcPr>
          <w:p>
            <w:pPr>
              <w:ind w:left="320"/>
              <w:spacing w:after="0" w:line="181" w:lineRule="exact"/>
              <w:rPr>
                <w:sz w:val="20"/>
                <w:szCs w:val="20"/>
                <w:color w:val="auto"/>
              </w:rPr>
            </w:pPr>
            <w:r>
              <w:rPr>
                <w:rFonts w:ascii="Times New Roman" w:cs="Times New Roman" w:eastAsia="Times New Roman" w:hAnsi="Times New Roman"/>
                <w:sz w:val="18"/>
                <w:szCs w:val="18"/>
                <w:color w:val="auto"/>
              </w:rPr>
              <w:t>ACKNOWLEDGEMENT AND CONSENT TO BAIL-IN OF AFFECTED FINANCIAL</w:t>
            </w:r>
          </w:p>
        </w:tc>
        <w:tc>
          <w:tcPr>
            <w:tcW w:w="200" w:type="dxa"/>
            <w:vAlign w:val="bottom"/>
          </w:tcPr>
          <w:p>
            <w:pPr>
              <w:spacing w:after="0"/>
              <w:rPr>
                <w:sz w:val="15"/>
                <w:szCs w:val="15"/>
                <w:color w:val="auto"/>
              </w:rPr>
            </w:pPr>
          </w:p>
        </w:tc>
      </w:tr>
      <w:tr>
        <w:trPr>
          <w:trHeight w:val="238"/>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SECTION 9.18.</w:t>
            </w:r>
          </w:p>
        </w:tc>
        <w:tc>
          <w:tcPr>
            <w:tcW w:w="68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INSTITUTIONS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92</w:t>
            </w:r>
          </w:p>
        </w:tc>
      </w:tr>
      <w:tr>
        <w:trPr>
          <w:trHeight w:val="234"/>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SECTION 9.19.</w:t>
            </w:r>
          </w:p>
        </w:tc>
        <w:tc>
          <w:tcPr>
            <w:tcW w:w="68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ACKNOWLEDGEMENT REGARDING ANY SUPPORTED QFCS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92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20"/>
          </w:cols>
          <w:pgMar w:left="340" w:top="118" w:right="339" w:bottom="1440" w:gutter="0" w:footer="0" w:header="0"/>
        </w:sectPr>
      </w:pPr>
    </w:p>
    <w:bookmarkStart w:id="172" w:name="page173"/>
    <w:bookmarkEnd w:id="172"/>
    <w:p>
      <w:pPr>
        <w:jc w:val="center"/>
        <w:spacing w:after="0"/>
        <w:rPr>
          <w:sz w:val="20"/>
          <w:szCs w:val="20"/>
          <w:color w:val="auto"/>
        </w:rPr>
      </w:pPr>
      <w:r>
        <w:rPr>
          <w:rFonts w:ascii="Times New Roman" w:cs="Times New Roman" w:eastAsia="Times New Roman" w:hAnsi="Times New Roman"/>
          <w:sz w:val="20"/>
          <w:szCs w:val="20"/>
          <w:color w:val="auto"/>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(continued)</w:t>
      </w:r>
    </w:p>
    <w:p>
      <w:pPr>
        <w:spacing w:after="0" w:line="20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1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SCHEDULES:</w:t>
            </w:r>
          </w:p>
        </w:tc>
        <w:tc>
          <w:tcPr>
            <w:tcW w:w="480" w:type="dxa"/>
            <w:vAlign w:val="bottom"/>
          </w:tcPr>
          <w:p>
            <w:pPr>
              <w:spacing w:after="0"/>
              <w:rPr>
                <w:sz w:val="22"/>
                <w:szCs w:val="22"/>
                <w:color w:val="auto"/>
              </w:rPr>
            </w:pPr>
          </w:p>
        </w:tc>
        <w:tc>
          <w:tcPr>
            <w:tcW w:w="6460" w:type="dxa"/>
            <w:vAlign w:val="bottom"/>
          </w:tcPr>
          <w:p>
            <w:pPr>
              <w:spacing w:after="0"/>
              <w:rPr>
                <w:sz w:val="22"/>
                <w:szCs w:val="22"/>
                <w:color w:val="auto"/>
              </w:rPr>
            </w:pPr>
          </w:p>
        </w:tc>
      </w:tr>
      <w:tr>
        <w:trPr>
          <w:trHeight w:val="501"/>
        </w:trPr>
        <w:tc>
          <w:tcPr>
            <w:tcW w:w="18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Schedule 2.01</w:t>
            </w:r>
          </w:p>
        </w:tc>
        <w:tc>
          <w:tcPr>
            <w:tcW w:w="4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646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Commitments</w:t>
            </w:r>
          </w:p>
        </w:tc>
      </w:tr>
      <w:tr>
        <w:trPr>
          <w:trHeight w:val="256"/>
        </w:trPr>
        <w:tc>
          <w:tcPr>
            <w:tcW w:w="18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Schedule 3.01</w:t>
            </w:r>
          </w:p>
        </w:tc>
        <w:tc>
          <w:tcPr>
            <w:tcW w:w="4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646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Subsidiaries</w:t>
            </w:r>
          </w:p>
        </w:tc>
      </w:tr>
      <w:tr>
        <w:trPr>
          <w:trHeight w:val="257"/>
        </w:trPr>
        <w:tc>
          <w:tcPr>
            <w:tcW w:w="18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Schedule 6.01</w:t>
            </w:r>
          </w:p>
        </w:tc>
        <w:tc>
          <w:tcPr>
            <w:tcW w:w="4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646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Existing Indebtedness</w:t>
            </w:r>
          </w:p>
        </w:tc>
      </w:tr>
      <w:tr>
        <w:trPr>
          <w:trHeight w:val="258"/>
        </w:trPr>
        <w:tc>
          <w:tcPr>
            <w:tcW w:w="18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Schedule 6.02</w:t>
            </w:r>
          </w:p>
        </w:tc>
        <w:tc>
          <w:tcPr>
            <w:tcW w:w="4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646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Existing Liens</w:t>
            </w:r>
          </w:p>
        </w:tc>
      </w:tr>
      <w:tr>
        <w:trPr>
          <w:trHeight w:val="567"/>
        </w:trPr>
        <w:tc>
          <w:tcPr>
            <w:tcW w:w="18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EXHIBITS:</w:t>
            </w:r>
          </w:p>
        </w:tc>
        <w:tc>
          <w:tcPr>
            <w:tcW w:w="480" w:type="dxa"/>
            <w:vAlign w:val="bottom"/>
          </w:tcPr>
          <w:p>
            <w:pPr>
              <w:spacing w:after="0"/>
              <w:rPr>
                <w:sz w:val="24"/>
                <w:szCs w:val="24"/>
                <w:color w:val="auto"/>
              </w:rPr>
            </w:pPr>
          </w:p>
        </w:tc>
        <w:tc>
          <w:tcPr>
            <w:tcW w:w="6460" w:type="dxa"/>
            <w:vAlign w:val="bottom"/>
          </w:tcPr>
          <w:p>
            <w:pPr>
              <w:spacing w:after="0"/>
              <w:rPr>
                <w:sz w:val="24"/>
                <w:szCs w:val="24"/>
                <w:color w:val="auto"/>
              </w:rPr>
            </w:pPr>
          </w:p>
        </w:tc>
      </w:tr>
      <w:tr>
        <w:trPr>
          <w:trHeight w:val="565"/>
        </w:trPr>
        <w:tc>
          <w:tcPr>
            <w:tcW w:w="18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Exhibit A</w:t>
            </w:r>
          </w:p>
        </w:tc>
        <w:tc>
          <w:tcPr>
            <w:tcW w:w="4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646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Form of Assignment and Assumption</w:t>
            </w:r>
          </w:p>
        </w:tc>
      </w:tr>
      <w:tr>
        <w:trPr>
          <w:trHeight w:val="256"/>
        </w:trPr>
        <w:tc>
          <w:tcPr>
            <w:tcW w:w="18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Exhibit B</w:t>
            </w:r>
          </w:p>
        </w:tc>
        <w:tc>
          <w:tcPr>
            <w:tcW w:w="4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646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Form of Opinion of Borrower’s U.S. Counsel</w:t>
            </w:r>
          </w:p>
        </w:tc>
      </w:tr>
      <w:tr>
        <w:trPr>
          <w:trHeight w:val="257"/>
        </w:trPr>
        <w:tc>
          <w:tcPr>
            <w:tcW w:w="18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Exhibit C</w:t>
            </w:r>
          </w:p>
        </w:tc>
        <w:tc>
          <w:tcPr>
            <w:tcW w:w="4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646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Intentionally Omitted</w:t>
            </w:r>
          </w:p>
        </w:tc>
      </w:tr>
      <w:tr>
        <w:trPr>
          <w:trHeight w:val="257"/>
        </w:trPr>
        <w:tc>
          <w:tcPr>
            <w:tcW w:w="18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Exhibit D</w:t>
            </w:r>
          </w:p>
        </w:tc>
        <w:tc>
          <w:tcPr>
            <w:tcW w:w="4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646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Intentionally Omitted</w:t>
            </w:r>
          </w:p>
        </w:tc>
      </w:tr>
      <w:tr>
        <w:trPr>
          <w:trHeight w:val="257"/>
        </w:trPr>
        <w:tc>
          <w:tcPr>
            <w:tcW w:w="18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Exhibit E</w:t>
            </w:r>
          </w:p>
        </w:tc>
        <w:tc>
          <w:tcPr>
            <w:tcW w:w="4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646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List of Closing Documents</w:t>
            </w:r>
          </w:p>
        </w:tc>
      </w:tr>
      <w:tr>
        <w:trPr>
          <w:trHeight w:val="257"/>
        </w:trPr>
        <w:tc>
          <w:tcPr>
            <w:tcW w:w="18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Exhibit F</w:t>
            </w:r>
          </w:p>
        </w:tc>
        <w:tc>
          <w:tcPr>
            <w:tcW w:w="4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646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Intentionally Omitted</w:t>
            </w:r>
          </w:p>
        </w:tc>
      </w:tr>
      <w:tr>
        <w:trPr>
          <w:trHeight w:val="256"/>
        </w:trPr>
        <w:tc>
          <w:tcPr>
            <w:tcW w:w="18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Exhibit G-1</w:t>
            </w:r>
          </w:p>
        </w:tc>
        <w:tc>
          <w:tcPr>
            <w:tcW w:w="4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646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Form of U.S. Tax Certificate (Foreign Lenders That Are Not Partnerships)</w:t>
            </w:r>
          </w:p>
        </w:tc>
      </w:tr>
      <w:tr>
        <w:trPr>
          <w:trHeight w:val="256"/>
        </w:trPr>
        <w:tc>
          <w:tcPr>
            <w:tcW w:w="18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Exhibit G-2</w:t>
            </w:r>
          </w:p>
        </w:tc>
        <w:tc>
          <w:tcPr>
            <w:tcW w:w="4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6460" w:type="dxa"/>
            <w:vAlign w:val="bottom"/>
          </w:tcPr>
          <w:p>
            <w:pPr>
              <w:ind w:left="280"/>
              <w:spacing w:after="0"/>
              <w:rPr>
                <w:sz w:val="20"/>
                <w:szCs w:val="20"/>
                <w:color w:val="auto"/>
              </w:rPr>
            </w:pPr>
            <w:r>
              <w:rPr>
                <w:rFonts w:ascii="Times New Roman" w:cs="Times New Roman" w:eastAsia="Times New Roman" w:hAnsi="Times New Roman"/>
                <w:sz w:val="20"/>
                <w:szCs w:val="20"/>
                <w:color w:val="auto"/>
                <w:w w:val="98"/>
              </w:rPr>
              <w:t>Form of U.S. Tax Certificate (Foreign Participants That Are Not Partnerships)</w:t>
            </w:r>
          </w:p>
        </w:tc>
      </w:tr>
      <w:tr>
        <w:trPr>
          <w:trHeight w:val="257"/>
        </w:trPr>
        <w:tc>
          <w:tcPr>
            <w:tcW w:w="18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Exhibit G-3</w:t>
            </w:r>
          </w:p>
        </w:tc>
        <w:tc>
          <w:tcPr>
            <w:tcW w:w="4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646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Form of U.S. Tax Certificate (Foreign Participants That Are Partnerships)</w:t>
            </w:r>
          </w:p>
        </w:tc>
      </w:tr>
      <w:tr>
        <w:trPr>
          <w:trHeight w:val="256"/>
        </w:trPr>
        <w:tc>
          <w:tcPr>
            <w:tcW w:w="18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Exhibit G-4</w:t>
            </w:r>
          </w:p>
        </w:tc>
        <w:tc>
          <w:tcPr>
            <w:tcW w:w="4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646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Form of U.S. Tax Certificate (Foreign Lenders That Are Partnerships)</w:t>
            </w:r>
          </w:p>
        </w:tc>
      </w:tr>
      <w:tr>
        <w:trPr>
          <w:trHeight w:val="257"/>
        </w:trPr>
        <w:tc>
          <w:tcPr>
            <w:tcW w:w="18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Exhibit H</w:t>
            </w:r>
          </w:p>
        </w:tc>
        <w:tc>
          <w:tcPr>
            <w:tcW w:w="4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646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Form of Note</w:t>
            </w:r>
          </w:p>
        </w:tc>
      </w:tr>
      <w:tr>
        <w:trPr>
          <w:trHeight w:val="258"/>
        </w:trPr>
        <w:tc>
          <w:tcPr>
            <w:tcW w:w="18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Exhibit I</w:t>
            </w:r>
          </w:p>
        </w:tc>
        <w:tc>
          <w:tcPr>
            <w:tcW w:w="4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646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Form of Solvency Certificate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18" w:right="339" w:bottom="1440" w:gutter="0" w:footer="0" w:header="0"/>
        </w:sectPr>
      </w:pPr>
    </w:p>
    <w:bookmarkStart w:id="173" w:name="page174"/>
    <w:bookmarkEnd w:id="173"/>
    <w:p>
      <w:pPr>
        <w:jc w:val="both"/>
        <w:ind w:right="20" w:firstLine="1296"/>
        <w:spacing w:after="0" w:line="255" w:lineRule="auto"/>
        <w:rPr>
          <w:sz w:val="20"/>
          <w:szCs w:val="20"/>
          <w:color w:val="auto"/>
        </w:rPr>
      </w:pPr>
      <w:r>
        <w:rPr>
          <w:rFonts w:ascii="Times New Roman" w:cs="Times New Roman" w:eastAsia="Times New Roman" w:hAnsi="Times New Roman"/>
          <w:sz w:val="20"/>
          <w:szCs w:val="20"/>
          <w:color w:val="auto"/>
        </w:rPr>
        <w:t>TERM LOAN CREDIT AGREEMENT (this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dated as of June 9, 2026, among AMETEK, INC., a Delaware corporation, the LENDERS from time to time party hereto and BANK OF AMERICA, N.A., as Administrative Agent.</w:t>
      </w:r>
    </w:p>
    <w:p>
      <w:pPr>
        <w:spacing w:after="0" w:line="132"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20"/>
          <w:szCs w:val="20"/>
          <w:color w:val="auto"/>
        </w:rPr>
        <w:t>WHEREAS, the Company intends to acquire, directly or indirectly, the Indicor Acquired Business in accordance with the terms of the Indicor Acquisition Agreement; and</w:t>
      </w:r>
    </w:p>
    <w:p>
      <w:pPr>
        <w:spacing w:after="0" w:line="119"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9"/>
          <w:szCs w:val="19"/>
          <w:color w:val="auto"/>
        </w:rPr>
        <w:t>WHEREAS, in connection with the Indicor Acquisition, the Company, the Lenders party hereto and the Administrative Agent have entered into this Agreement in order to provide for (i) a $1,625,000,000 three-year term loan credit facility, (ii) a $1,625,000,000 four-year term loan credit facility and (iii) a $750,000,000 five-year term loan credit facility, in each case, to be used on the Closing Date to fund a portion of the consideration for the Indicor Acquisition and to pay the costs and expenses incurred in connection therewith.</w:t>
      </w:r>
    </w:p>
    <w:p>
      <w:pPr>
        <w:spacing w:after="0" w:line="1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9"/>
          <w:szCs w:val="19"/>
          <w:color w:val="auto"/>
        </w:rPr>
        <w:t>NOW, THEREFORE, in consideration of the premises and the mutual covenants contained herein, the parties hereto agree as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follows:</w:t>
      </w:r>
    </w:p>
    <w:p>
      <w:pPr>
        <w:spacing w:after="0" w:line="153"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0"/>
          <w:szCs w:val="20"/>
          <w:color w:val="010000"/>
        </w:rPr>
        <w:t>ARTICLE I</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Definitions</w:t>
      </w:r>
    </w:p>
    <w:p>
      <w:pPr>
        <w:spacing w:after="0" w:line="202"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0"/>
          <w:szCs w:val="20"/>
          <w:color w:val="010000"/>
        </w:rPr>
        <w:t>Section 1.01.</w:t>
      </w:r>
      <w:r>
        <w:rPr>
          <w:sz w:val="20"/>
          <w:szCs w:val="20"/>
          <w:color w:val="auto"/>
        </w:rPr>
        <w:tab/>
      </w:r>
      <w:r>
        <w:rPr>
          <w:rFonts w:ascii="Times New Roman" w:cs="Times New Roman" w:eastAsia="Times New Roman" w:hAnsi="Times New Roman"/>
          <w:sz w:val="19"/>
          <w:szCs w:val="19"/>
          <w:u w:val="single" w:color="auto"/>
          <w:color w:val="auto"/>
        </w:rPr>
        <w:t>Defined Terms</w:t>
      </w:r>
      <w:r>
        <w:rPr>
          <w:rFonts w:ascii="Times New Roman" w:cs="Times New Roman" w:eastAsia="Times New Roman" w:hAnsi="Times New Roman"/>
          <w:sz w:val="19"/>
          <w:szCs w:val="19"/>
          <w:color w:val="auto"/>
        </w:rPr>
        <w:t>. As used in this Agreement, the following terms have the meanings specified below:</w:t>
      </w:r>
    </w:p>
    <w:p>
      <w:pPr>
        <w:spacing w:after="0" w:line="8"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ABR</w:t>
      </w:r>
      <w:r>
        <w:rPr>
          <w:rFonts w:ascii="Times New Roman" w:cs="Times New Roman" w:eastAsia="Times New Roman" w:hAnsi="Times New Roman"/>
          <w:sz w:val="20"/>
          <w:szCs w:val="20"/>
          <w:color w:val="auto"/>
        </w:rPr>
        <w:t>”, when used in reference to any Loan or Borrowing, refers to such Loan, or the Loans comprising such Borrowing, bearing interest at a rate determined by reference to the Alternate Base Rate. All ABR Loans shall be denominated in Dollars.</w:t>
      </w:r>
    </w:p>
    <w:p>
      <w:pPr>
        <w:spacing w:after="0" w:line="147" w:lineRule="exact"/>
        <w:rPr>
          <w:sz w:val="20"/>
          <w:szCs w:val="20"/>
          <w:color w:val="auto"/>
        </w:rPr>
      </w:pPr>
    </w:p>
    <w:p>
      <w:pPr>
        <w:jc w:val="both"/>
        <w:ind w:firstLine="1296"/>
        <w:spacing w:after="0" w:line="24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Acquisition Indebtedness</w:t>
      </w:r>
      <w:r>
        <w:rPr>
          <w:rFonts w:ascii="Times New Roman" w:cs="Times New Roman" w:eastAsia="Times New Roman" w:hAnsi="Times New Roman"/>
          <w:sz w:val="19"/>
          <w:szCs w:val="19"/>
          <w:color w:val="auto"/>
        </w:rPr>
        <w:t>” means any Indebtedness of the Company or any Subsidiary that has been incurred for the purpose of financing, in whole or in part, a Qualifying Material Acquisition and any related transactions (including for the purpose of refinancing or replacing all or a portion of any related bridge facilities or any pre-existing Indebtedness of the Persons or assets to be acquired); provided that either (a) the release of the proceeds thereof to the Company and the Subsidiaries is contingent upon the substantially simultaneous consummation of such Qualifying Material Acquisition and, pending such release, such proceeds are held in escrow (and, if the definitive agreement (or, in the case of a tender offer or similar transaction, the definitive offer document) for such Qualifying Material Acquisition is terminated prior to the consummation of such Qualifying Material Acquisition, or if such Qualifying Material Acquisition is otherwise not consummated by the date specified in the definitive documentation evidencing, governing the rights of the holders of or otherwise relating to such Indebtedness (subject to any extensions of such date agreed by the parties to such definitive documentation) then, in each case, such proceeds are, and pursuant to the terms of such definitive documentation are required to be, promptly applied to satisfy and discharge all obligations of the Company and the Subsidiaries in respect of such Indebtedness) or (b) such Indebtedness contains a “special mandatory redemption” provision (or a similar provision) if such Qualifying Material Acquisition is not consummated by the date specified in the definitive documentation evidencing, governing the rights of the holders of or otherwise relating to such Indebtedness (subject to any extensions of such date agreed by the parties to such definitive documentation) (and, if the definitive agreement (or, in the case of a tender offer or similar transaction, the definitive offer document) for such Qualifying Material Acquisition is terminated prior to the consummation of such Qualifying Material Acquisition or such Qualifying Material Acquisition is otherwise not consummated by the date so specified, such Indebtedness is, and pursuant to such “special mandatory redemption” (or similar) provision is required to be, redeemed or otherwise satisfied and discharged within 90 days of such termination or such specified date, as the case may be).</w:t>
      </w:r>
    </w:p>
    <w:p>
      <w:pPr>
        <w:spacing w:after="0" w:line="36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Adjusted Covenant Period</w:t>
      </w:r>
      <w:r>
        <w:rPr>
          <w:rFonts w:ascii="Times New Roman" w:cs="Times New Roman" w:eastAsia="Times New Roman" w:hAnsi="Times New Roman"/>
          <w:sz w:val="20"/>
          <w:szCs w:val="20"/>
          <w:color w:val="auto"/>
        </w:rPr>
        <w:t>” has the meaning assigned to such term in Section 6.07(a).</w:t>
      </w:r>
    </w:p>
    <w:p>
      <w:pPr>
        <w:sectPr>
          <w:pgSz w:w="11900" w:h="16838" w:orient="portrait"/>
          <w:cols w:equalWidth="0" w:num="1">
            <w:col w:w="11240"/>
          </w:cols>
          <w:pgMar w:left="320" w:top="1413" w:right="339" w:bottom="1440" w:gutter="0" w:footer="0" w:header="0"/>
        </w:sectPr>
      </w:pPr>
    </w:p>
    <w:bookmarkStart w:id="174" w:name="page175"/>
    <w:bookmarkEnd w:id="174"/>
    <w:p>
      <w:pPr>
        <w:jc w:val="both"/>
        <w:ind w:firstLine="1296"/>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Adjusted Term SOFR Rate</w:t>
      </w:r>
      <w:r>
        <w:rPr>
          <w:rFonts w:ascii="Times New Roman" w:cs="Times New Roman" w:eastAsia="Times New Roman" w:hAnsi="Times New Roman"/>
          <w:sz w:val="20"/>
          <w:szCs w:val="20"/>
          <w:color w:val="auto"/>
        </w:rPr>
        <w:t xml:space="preserve">” means, for any Interest Period, an interest rate per annum equal to Term SOFR for such Interest Period;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Adjusted Term SOFR Rate as so determined would be less than the Floor, such rate shall be deemed to be equal to the Floor for the purposes of this Agreement.</w:t>
      </w:r>
    </w:p>
    <w:p>
      <w:pPr>
        <w:spacing w:after="0" w:line="147"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 means Bank of America, N.A. (including its branches and affiliates), in its capacity as administrative agent for the Lenders hereunder.</w:t>
      </w:r>
    </w:p>
    <w:p>
      <w:pPr>
        <w:spacing w:after="0" w:line="11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Administrative Questionnaire</w:t>
      </w:r>
      <w:r>
        <w:rPr>
          <w:rFonts w:ascii="Times New Roman" w:cs="Times New Roman" w:eastAsia="Times New Roman" w:hAnsi="Times New Roman"/>
          <w:sz w:val="20"/>
          <w:szCs w:val="20"/>
          <w:color w:val="auto"/>
        </w:rPr>
        <w:t>” means an Administrative Questionnaire in a form supplied by the Administrative Agent to the Company or any Lender, as the context requires.</w:t>
      </w:r>
    </w:p>
    <w:p>
      <w:pPr>
        <w:spacing w:after="0" w:line="13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Affected Financial Institution</w:t>
      </w:r>
      <w:r>
        <w:rPr>
          <w:rFonts w:ascii="Times New Roman" w:cs="Times New Roman" w:eastAsia="Times New Roman" w:hAnsi="Times New Roman"/>
          <w:sz w:val="20"/>
          <w:szCs w:val="20"/>
          <w:color w:val="auto"/>
        </w:rPr>
        <w:t>” means (a) any EEA Financial Institution or (b) any UK Financial Institution.</w:t>
      </w:r>
    </w:p>
    <w:p>
      <w:pPr>
        <w:spacing w:after="0" w:line="162"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Affiliate</w:t>
      </w:r>
      <w:r>
        <w:rPr>
          <w:rFonts w:ascii="Times New Roman" w:cs="Times New Roman" w:eastAsia="Times New Roman" w:hAnsi="Times New Roman"/>
          <w:sz w:val="20"/>
          <w:szCs w:val="20"/>
          <w:color w:val="auto"/>
        </w:rPr>
        <w:t>” means, with respect to a specified Person, another Person that directly, or indirectly through one or more intermediaries, Controls or is Controlled by or is under common Control with the Person specified.</w:t>
      </w:r>
    </w:p>
    <w:p>
      <w:pPr>
        <w:spacing w:after="0" w:line="13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Agent-Related Person</w:t>
      </w:r>
      <w:r>
        <w:rPr>
          <w:rFonts w:ascii="Times New Roman" w:cs="Times New Roman" w:eastAsia="Times New Roman" w:hAnsi="Times New Roman"/>
          <w:sz w:val="20"/>
          <w:szCs w:val="20"/>
          <w:color w:val="auto"/>
        </w:rPr>
        <w:t>” has the meaning assigned to such term in Section 9.03(c).</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has the meaning assigned to such term in the introductory paragraph of this Agreement.</w:t>
      </w:r>
    </w:p>
    <w:p>
      <w:pPr>
        <w:spacing w:after="0" w:line="175" w:lineRule="exact"/>
        <w:rPr>
          <w:sz w:val="20"/>
          <w:szCs w:val="20"/>
          <w:color w:val="auto"/>
        </w:rPr>
      </w:pPr>
    </w:p>
    <w:p>
      <w:pPr>
        <w:jc w:val="both"/>
        <w:ind w:firstLine="1296"/>
        <w:spacing w:after="0" w:line="23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Alternate Base Rate</w:t>
      </w:r>
      <w:r>
        <w:rPr>
          <w:rFonts w:ascii="Times New Roman" w:cs="Times New Roman" w:eastAsia="Times New Roman" w:hAnsi="Times New Roman"/>
          <w:sz w:val="20"/>
          <w:szCs w:val="20"/>
          <w:color w:val="auto"/>
        </w:rPr>
        <w:t xml:space="preserve">” means for any day a fluctuating rate per annum equal to the highest of (a) the Federal Funds Effective Rate plus 1/2 of 1%, (b) the rate of interest in effect for such day as publicly announced from time to time by Bank of America as its “prime rate,” (c) the Adjusted Term SOFR Rate plus 1.00% and (d) 1.00%.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prime rate announced by Bank of America shall take effect at the opening of business on the day specified in the public announcement of such change. If the Alternate Base Rate is being used as an alternate rate of interest pursuant to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then the Alternate Base Rate shall be the greater of clauses (a), (b) and (d) above and shall be determined without reference to clause (c) above.</w:t>
      </w:r>
    </w:p>
    <w:p>
      <w:pPr>
        <w:spacing w:after="0" w:line="1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Ancillary Document</w:t>
      </w:r>
      <w:r>
        <w:rPr>
          <w:rFonts w:ascii="Times New Roman" w:cs="Times New Roman" w:eastAsia="Times New Roman" w:hAnsi="Times New Roman"/>
          <w:sz w:val="20"/>
          <w:szCs w:val="20"/>
          <w:color w:val="auto"/>
        </w:rPr>
        <w:t>” has the meaning assigned to such term in Section 9.06.</w:t>
      </w:r>
    </w:p>
    <w:p>
      <w:pPr>
        <w:spacing w:after="0" w:line="17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Anti-Corruption Laws</w:t>
      </w:r>
      <w:r>
        <w:rPr>
          <w:rFonts w:ascii="Times New Roman" w:cs="Times New Roman" w:eastAsia="Times New Roman" w:hAnsi="Times New Roman"/>
          <w:sz w:val="20"/>
          <w:szCs w:val="20"/>
          <w:color w:val="auto"/>
        </w:rPr>
        <w:t>” means all laws, rules, and regulations of any jurisdiction applicable to the Company or its Subsidiaries from time to time concerning or relating to bribery or corruption.</w:t>
      </w:r>
    </w:p>
    <w:p>
      <w:pPr>
        <w:spacing w:after="0" w:line="119" w:lineRule="exact"/>
        <w:rPr>
          <w:sz w:val="20"/>
          <w:szCs w:val="20"/>
          <w:color w:val="auto"/>
        </w:rPr>
      </w:pPr>
    </w:p>
    <w:p>
      <w:pPr>
        <w:jc w:val="both"/>
        <w:ind w:right="20" w:firstLine="1296"/>
        <w:spacing w:after="0" w:line="23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Anti-Money Laundering Laws</w:t>
      </w:r>
      <w:r>
        <w:rPr>
          <w:rFonts w:ascii="Times New Roman" w:cs="Times New Roman" w:eastAsia="Times New Roman" w:hAnsi="Times New Roman"/>
          <w:sz w:val="20"/>
          <w:szCs w:val="20"/>
          <w:color w:val="auto"/>
        </w:rPr>
        <w:t>” means any and all laws, statutes, regulations or obligatory government orders, decrees, ordinances or rules applicable to a Credit Party, its Subsidiaries or Affiliates related to terrorism financing or money laundering, including any applicable provision of the Patriot Act and The Currency and Foreign Transactions Reporting Act (also known as the “Bank Secrecy Act,” 31 U.S.C. §§ 5311-5330 and 12U.S.C. §§ 1818(s), 1820(b) and 1951-1959).</w:t>
      </w:r>
    </w:p>
    <w:p>
      <w:pPr>
        <w:spacing w:after="0" w:line="1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Parties</w:t>
      </w:r>
      <w:r>
        <w:rPr>
          <w:rFonts w:ascii="Times New Roman" w:cs="Times New Roman" w:eastAsia="Times New Roman" w:hAnsi="Times New Roman"/>
          <w:sz w:val="20"/>
          <w:szCs w:val="20"/>
          <w:color w:val="auto"/>
        </w:rPr>
        <w:t>” has the meaning assigned to such term in Section 8.03(c).</w:t>
      </w:r>
    </w:p>
    <w:p>
      <w:pPr>
        <w:spacing w:after="0" w:line="162"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Percentage</w:t>
      </w:r>
      <w:r>
        <w:rPr>
          <w:rFonts w:ascii="Times New Roman" w:cs="Times New Roman" w:eastAsia="Times New Roman" w:hAnsi="Times New Roman"/>
          <w:sz w:val="20"/>
          <w:szCs w:val="20"/>
          <w:color w:val="auto"/>
        </w:rPr>
        <w:t>” means, with respect to any Lender and with respect to the Loans (or, if applicable, any Tranche of Loans), a percentage equal to a fraction the numerator of which is such Lender’s outstanding principal amount of the Loans (or Tranche of Loans, if applicable) and the denominator of which is the aggregate outstanding principal amount of the Loans (or Tranche of Loans, if applicable) of all Lenders.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13" w:right="339" w:bottom="1440" w:gutter="0" w:footer="0" w:header="0"/>
        </w:sectPr>
      </w:pPr>
    </w:p>
    <w:bookmarkStart w:id="175" w:name="page176"/>
    <w:bookmarkEnd w:id="175"/>
    <w:p>
      <w:pPr>
        <w:jc w:val="both"/>
        <w:ind w:right="20" w:firstLine="1296"/>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Rate</w:t>
      </w:r>
      <w:r>
        <w:rPr>
          <w:rFonts w:ascii="Times New Roman" w:cs="Times New Roman" w:eastAsia="Times New Roman" w:hAnsi="Times New Roman"/>
          <w:sz w:val="20"/>
          <w:szCs w:val="20"/>
          <w:color w:val="auto"/>
        </w:rPr>
        <w:t>” means, for any day, with respect to any Term SOFR Loan or any ABR Loan or with respect to the commitment fees payable hereunder, as the case may be, the applicable rate per annum set forth below under the caption “Term SOFR Spread”, “ABR Spread” or “Commitment Fee Rate”, as the case may be, based upon the Pricing Level applicable on such date:</w:t>
      </w:r>
    </w:p>
    <w:p>
      <w:pPr>
        <w:spacing w:after="0" w:line="14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In the case of any Tranche A Loan hereunder:</w:t>
      </w:r>
    </w:p>
    <w:p>
      <w:pPr>
        <w:spacing w:after="0" w:line="191" w:lineRule="exact"/>
        <w:rPr>
          <w:sz w:val="20"/>
          <w:szCs w:val="20"/>
          <w:color w:val="auto"/>
        </w:rPr>
      </w:pPr>
    </w:p>
    <w:tbl>
      <w:tblPr>
        <w:tblLayout w:type="fixed"/>
        <w:tblInd w:w="10" w:type="dxa"/>
        <w:tblCellMar>
          <w:top w:w="0" w:type="dxa"/>
          <w:left w:w="0" w:type="dxa"/>
          <w:bottom w:w="0" w:type="dxa"/>
          <w:right w:w="0" w:type="dxa"/>
        </w:tblCellMar>
      </w:tblPr>
      <w:tr>
        <w:trPr>
          <w:trHeight w:val="276"/>
        </w:trPr>
        <w:tc>
          <w:tcPr>
            <w:tcW w:w="2660" w:type="dxa"/>
            <w:vAlign w:val="bottom"/>
            <w:tcBorders>
              <w:top w:val="single" w:sz="8" w:color="auto"/>
              <w:left w:val="single" w:sz="8" w:color="auto"/>
              <w:right w:val="single" w:sz="8" w:color="auto"/>
            </w:tcBorders>
          </w:tcPr>
          <w:p>
            <w:pPr>
              <w:spacing w:after="0"/>
              <w:rPr>
                <w:sz w:val="24"/>
                <w:szCs w:val="24"/>
                <w:color w:val="auto"/>
              </w:rPr>
            </w:pPr>
          </w:p>
        </w:tc>
        <w:tc>
          <w:tcPr>
            <w:tcW w:w="3080" w:type="dxa"/>
            <w:vAlign w:val="bottom"/>
            <w:tcBorders>
              <w:top w:val="single" w:sz="8" w:color="auto"/>
              <w:right w:val="single" w:sz="8" w:color="auto"/>
            </w:tcBorders>
          </w:tcPr>
          <w:p>
            <w:pPr>
              <w:ind w:left="740"/>
              <w:spacing w:after="0"/>
              <w:rPr>
                <w:sz w:val="20"/>
                <w:szCs w:val="20"/>
                <w:color w:val="auto"/>
              </w:rPr>
            </w:pPr>
            <w:r>
              <w:rPr>
                <w:rFonts w:ascii="Times New Roman" w:cs="Times New Roman" w:eastAsia="Times New Roman" w:hAnsi="Times New Roman"/>
                <w:sz w:val="20"/>
                <w:szCs w:val="20"/>
                <w:color w:val="auto"/>
              </w:rPr>
              <w:t>Term SOFR Spread</w:t>
            </w:r>
          </w:p>
        </w:tc>
        <w:tc>
          <w:tcPr>
            <w:tcW w:w="2000" w:type="dxa"/>
            <w:vAlign w:val="bottom"/>
            <w:tcBorders>
              <w:top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20"/>
                <w:szCs w:val="20"/>
                <w:color w:val="auto"/>
              </w:rPr>
              <w:t>ABR Spread</w:t>
            </w:r>
          </w:p>
        </w:tc>
        <w:tc>
          <w:tcPr>
            <w:tcW w:w="3520" w:type="dxa"/>
            <w:vAlign w:val="bottom"/>
            <w:tcBorders>
              <w:top w:val="single" w:sz="8" w:color="auto"/>
              <w:right w:val="single" w:sz="8" w:color="auto"/>
            </w:tcBorders>
          </w:tcPr>
          <w:p>
            <w:pPr>
              <w:ind w:left="840"/>
              <w:spacing w:after="0"/>
              <w:rPr>
                <w:sz w:val="20"/>
                <w:szCs w:val="20"/>
                <w:color w:val="auto"/>
              </w:rPr>
            </w:pPr>
            <w:r>
              <w:rPr>
                <w:rFonts w:ascii="Times New Roman" w:cs="Times New Roman" w:eastAsia="Times New Roman" w:hAnsi="Times New Roman"/>
                <w:sz w:val="20"/>
                <w:szCs w:val="20"/>
                <w:color w:val="auto"/>
              </w:rPr>
              <w:t>Commitment Fee Rate</w:t>
            </w:r>
          </w:p>
        </w:tc>
      </w:tr>
      <w:tr>
        <w:trPr>
          <w:trHeight w:val="251"/>
        </w:trPr>
        <w:tc>
          <w:tcPr>
            <w:tcW w:w="2660" w:type="dxa"/>
            <w:vAlign w:val="bottom"/>
            <w:tcBorders>
              <w:left w:val="single" w:sz="8" w:color="auto"/>
              <w:bottom w:val="single" w:sz="8" w:color="auto"/>
              <w:right w:val="single" w:sz="8" w:color="auto"/>
            </w:tcBorders>
          </w:tcPr>
          <w:p>
            <w:pPr>
              <w:spacing w:after="0"/>
              <w:rPr>
                <w:sz w:val="21"/>
                <w:szCs w:val="21"/>
                <w:color w:val="auto"/>
              </w:rPr>
            </w:pPr>
          </w:p>
        </w:tc>
        <w:tc>
          <w:tcPr>
            <w:tcW w:w="3080" w:type="dxa"/>
            <w:vAlign w:val="bottom"/>
            <w:tcBorders>
              <w:bottom w:val="single" w:sz="8" w:color="auto"/>
              <w:right w:val="single" w:sz="8" w:color="auto"/>
            </w:tcBorders>
          </w:tcPr>
          <w:p>
            <w:pPr>
              <w:spacing w:after="0"/>
              <w:rPr>
                <w:sz w:val="21"/>
                <w:szCs w:val="21"/>
                <w:color w:val="auto"/>
              </w:rPr>
            </w:pPr>
          </w:p>
        </w:tc>
        <w:tc>
          <w:tcPr>
            <w:tcW w:w="2000" w:type="dxa"/>
            <w:vAlign w:val="bottom"/>
            <w:tcBorders>
              <w:bottom w:val="single" w:sz="8" w:color="auto"/>
              <w:right w:val="single" w:sz="8" w:color="auto"/>
            </w:tcBorders>
          </w:tcPr>
          <w:p>
            <w:pPr>
              <w:spacing w:after="0"/>
              <w:rPr>
                <w:sz w:val="21"/>
                <w:szCs w:val="21"/>
                <w:color w:val="auto"/>
              </w:rPr>
            </w:pPr>
          </w:p>
        </w:tc>
        <w:tc>
          <w:tcPr>
            <w:tcW w:w="3520" w:type="dxa"/>
            <w:vAlign w:val="bottom"/>
            <w:tcBorders>
              <w:bottom w:val="single" w:sz="8" w:color="auto"/>
              <w:right w:val="single" w:sz="8" w:color="auto"/>
            </w:tcBorders>
          </w:tcPr>
          <w:p>
            <w:pPr>
              <w:spacing w:after="0"/>
              <w:rPr>
                <w:sz w:val="21"/>
                <w:szCs w:val="21"/>
                <w:color w:val="auto"/>
              </w:rPr>
            </w:pPr>
          </w:p>
        </w:tc>
      </w:tr>
      <w:tr>
        <w:trPr>
          <w:trHeight w:val="256"/>
        </w:trPr>
        <w:tc>
          <w:tcPr>
            <w:tcW w:w="26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Pricing Level I</w:t>
            </w:r>
          </w:p>
        </w:tc>
        <w:tc>
          <w:tcPr>
            <w:tcW w:w="3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0.875%</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0.00%</w:t>
            </w:r>
          </w:p>
        </w:tc>
        <w:tc>
          <w:tcPr>
            <w:tcW w:w="3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0.07%</w:t>
            </w:r>
          </w:p>
        </w:tc>
      </w:tr>
      <w:tr>
        <w:trPr>
          <w:trHeight w:val="251"/>
        </w:trPr>
        <w:tc>
          <w:tcPr>
            <w:tcW w:w="2660" w:type="dxa"/>
            <w:vAlign w:val="bottom"/>
            <w:tcBorders>
              <w:left w:val="single" w:sz="8" w:color="auto"/>
              <w:bottom w:val="single" w:sz="8" w:color="auto"/>
              <w:right w:val="single" w:sz="8" w:color="auto"/>
            </w:tcBorders>
          </w:tcPr>
          <w:p>
            <w:pPr>
              <w:spacing w:after="0"/>
              <w:rPr>
                <w:sz w:val="21"/>
                <w:szCs w:val="21"/>
                <w:color w:val="auto"/>
              </w:rPr>
            </w:pPr>
          </w:p>
        </w:tc>
        <w:tc>
          <w:tcPr>
            <w:tcW w:w="3080" w:type="dxa"/>
            <w:vAlign w:val="bottom"/>
            <w:tcBorders>
              <w:bottom w:val="single" w:sz="8" w:color="auto"/>
              <w:right w:val="single" w:sz="8" w:color="auto"/>
            </w:tcBorders>
          </w:tcPr>
          <w:p>
            <w:pPr>
              <w:spacing w:after="0"/>
              <w:rPr>
                <w:sz w:val="21"/>
                <w:szCs w:val="21"/>
                <w:color w:val="auto"/>
              </w:rPr>
            </w:pPr>
          </w:p>
        </w:tc>
        <w:tc>
          <w:tcPr>
            <w:tcW w:w="2000" w:type="dxa"/>
            <w:vAlign w:val="bottom"/>
            <w:tcBorders>
              <w:bottom w:val="single" w:sz="8" w:color="auto"/>
              <w:right w:val="single" w:sz="8" w:color="auto"/>
            </w:tcBorders>
          </w:tcPr>
          <w:p>
            <w:pPr>
              <w:spacing w:after="0"/>
              <w:rPr>
                <w:sz w:val="21"/>
                <w:szCs w:val="21"/>
                <w:color w:val="auto"/>
              </w:rPr>
            </w:pPr>
          </w:p>
        </w:tc>
        <w:tc>
          <w:tcPr>
            <w:tcW w:w="3520" w:type="dxa"/>
            <w:vAlign w:val="bottom"/>
            <w:tcBorders>
              <w:bottom w:val="single" w:sz="8" w:color="auto"/>
              <w:right w:val="single" w:sz="8" w:color="auto"/>
            </w:tcBorders>
          </w:tcPr>
          <w:p>
            <w:pPr>
              <w:spacing w:after="0"/>
              <w:rPr>
                <w:sz w:val="21"/>
                <w:szCs w:val="21"/>
                <w:color w:val="auto"/>
              </w:rPr>
            </w:pPr>
          </w:p>
        </w:tc>
      </w:tr>
      <w:tr>
        <w:trPr>
          <w:trHeight w:val="256"/>
        </w:trPr>
        <w:tc>
          <w:tcPr>
            <w:tcW w:w="26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Pricing Level II</w:t>
            </w:r>
          </w:p>
        </w:tc>
        <w:tc>
          <w:tcPr>
            <w:tcW w:w="3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6"/>
              </w:rPr>
              <w:t>1.00%</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0.00%</w:t>
            </w:r>
          </w:p>
        </w:tc>
        <w:tc>
          <w:tcPr>
            <w:tcW w:w="3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0.08%</w:t>
            </w:r>
          </w:p>
        </w:tc>
      </w:tr>
      <w:tr>
        <w:trPr>
          <w:trHeight w:val="251"/>
        </w:trPr>
        <w:tc>
          <w:tcPr>
            <w:tcW w:w="2660" w:type="dxa"/>
            <w:vAlign w:val="bottom"/>
            <w:tcBorders>
              <w:left w:val="single" w:sz="8" w:color="auto"/>
              <w:bottom w:val="single" w:sz="8" w:color="auto"/>
              <w:right w:val="single" w:sz="8" w:color="auto"/>
            </w:tcBorders>
          </w:tcPr>
          <w:p>
            <w:pPr>
              <w:spacing w:after="0"/>
              <w:rPr>
                <w:sz w:val="21"/>
                <w:szCs w:val="21"/>
                <w:color w:val="auto"/>
              </w:rPr>
            </w:pPr>
          </w:p>
        </w:tc>
        <w:tc>
          <w:tcPr>
            <w:tcW w:w="3080" w:type="dxa"/>
            <w:vAlign w:val="bottom"/>
            <w:tcBorders>
              <w:bottom w:val="single" w:sz="8" w:color="auto"/>
              <w:right w:val="single" w:sz="8" w:color="auto"/>
            </w:tcBorders>
          </w:tcPr>
          <w:p>
            <w:pPr>
              <w:spacing w:after="0"/>
              <w:rPr>
                <w:sz w:val="21"/>
                <w:szCs w:val="21"/>
                <w:color w:val="auto"/>
              </w:rPr>
            </w:pPr>
          </w:p>
        </w:tc>
        <w:tc>
          <w:tcPr>
            <w:tcW w:w="2000" w:type="dxa"/>
            <w:vAlign w:val="bottom"/>
            <w:tcBorders>
              <w:bottom w:val="single" w:sz="8" w:color="auto"/>
              <w:right w:val="single" w:sz="8" w:color="auto"/>
            </w:tcBorders>
          </w:tcPr>
          <w:p>
            <w:pPr>
              <w:spacing w:after="0"/>
              <w:rPr>
                <w:sz w:val="21"/>
                <w:szCs w:val="21"/>
                <w:color w:val="auto"/>
              </w:rPr>
            </w:pPr>
          </w:p>
        </w:tc>
        <w:tc>
          <w:tcPr>
            <w:tcW w:w="3520" w:type="dxa"/>
            <w:vAlign w:val="bottom"/>
            <w:tcBorders>
              <w:bottom w:val="single" w:sz="8" w:color="auto"/>
              <w:right w:val="single" w:sz="8" w:color="auto"/>
            </w:tcBorders>
          </w:tcPr>
          <w:p>
            <w:pPr>
              <w:spacing w:after="0"/>
              <w:rPr>
                <w:sz w:val="21"/>
                <w:szCs w:val="21"/>
                <w:color w:val="auto"/>
              </w:rPr>
            </w:pPr>
          </w:p>
        </w:tc>
      </w:tr>
      <w:tr>
        <w:trPr>
          <w:trHeight w:val="256"/>
        </w:trPr>
        <w:tc>
          <w:tcPr>
            <w:tcW w:w="26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Pricing Level III</w:t>
            </w:r>
          </w:p>
        </w:tc>
        <w:tc>
          <w:tcPr>
            <w:tcW w:w="3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1.125%</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0.125%</w:t>
            </w:r>
          </w:p>
        </w:tc>
        <w:tc>
          <w:tcPr>
            <w:tcW w:w="3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0.09%</w:t>
            </w:r>
          </w:p>
        </w:tc>
      </w:tr>
      <w:tr>
        <w:trPr>
          <w:trHeight w:val="250"/>
        </w:trPr>
        <w:tc>
          <w:tcPr>
            <w:tcW w:w="2660" w:type="dxa"/>
            <w:vAlign w:val="bottom"/>
            <w:tcBorders>
              <w:left w:val="single" w:sz="8" w:color="auto"/>
              <w:bottom w:val="single" w:sz="8" w:color="auto"/>
              <w:right w:val="single" w:sz="8" w:color="auto"/>
            </w:tcBorders>
          </w:tcPr>
          <w:p>
            <w:pPr>
              <w:spacing w:after="0"/>
              <w:rPr>
                <w:sz w:val="21"/>
                <w:szCs w:val="21"/>
                <w:color w:val="auto"/>
              </w:rPr>
            </w:pPr>
          </w:p>
        </w:tc>
        <w:tc>
          <w:tcPr>
            <w:tcW w:w="3080" w:type="dxa"/>
            <w:vAlign w:val="bottom"/>
            <w:tcBorders>
              <w:bottom w:val="single" w:sz="8" w:color="auto"/>
              <w:right w:val="single" w:sz="8" w:color="auto"/>
            </w:tcBorders>
          </w:tcPr>
          <w:p>
            <w:pPr>
              <w:spacing w:after="0"/>
              <w:rPr>
                <w:sz w:val="21"/>
                <w:szCs w:val="21"/>
                <w:color w:val="auto"/>
              </w:rPr>
            </w:pPr>
          </w:p>
        </w:tc>
        <w:tc>
          <w:tcPr>
            <w:tcW w:w="2000" w:type="dxa"/>
            <w:vAlign w:val="bottom"/>
            <w:tcBorders>
              <w:bottom w:val="single" w:sz="8" w:color="auto"/>
              <w:right w:val="single" w:sz="8" w:color="auto"/>
            </w:tcBorders>
          </w:tcPr>
          <w:p>
            <w:pPr>
              <w:spacing w:after="0"/>
              <w:rPr>
                <w:sz w:val="21"/>
                <w:szCs w:val="21"/>
                <w:color w:val="auto"/>
              </w:rPr>
            </w:pPr>
          </w:p>
        </w:tc>
        <w:tc>
          <w:tcPr>
            <w:tcW w:w="3520" w:type="dxa"/>
            <w:vAlign w:val="bottom"/>
            <w:tcBorders>
              <w:bottom w:val="single" w:sz="8" w:color="auto"/>
              <w:right w:val="single" w:sz="8" w:color="auto"/>
            </w:tcBorders>
          </w:tcPr>
          <w:p>
            <w:pPr>
              <w:spacing w:after="0"/>
              <w:rPr>
                <w:sz w:val="21"/>
                <w:szCs w:val="21"/>
                <w:color w:val="auto"/>
              </w:rPr>
            </w:pPr>
          </w:p>
        </w:tc>
      </w:tr>
      <w:tr>
        <w:trPr>
          <w:trHeight w:val="256"/>
        </w:trPr>
        <w:tc>
          <w:tcPr>
            <w:tcW w:w="26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Pricing Level IV</w:t>
            </w:r>
          </w:p>
        </w:tc>
        <w:tc>
          <w:tcPr>
            <w:tcW w:w="3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6"/>
              </w:rPr>
              <w:t>1.25%</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0.25%</w:t>
            </w:r>
          </w:p>
        </w:tc>
        <w:tc>
          <w:tcPr>
            <w:tcW w:w="3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0.125%</w:t>
            </w:r>
          </w:p>
        </w:tc>
      </w:tr>
      <w:tr>
        <w:trPr>
          <w:trHeight w:val="251"/>
        </w:trPr>
        <w:tc>
          <w:tcPr>
            <w:tcW w:w="2660" w:type="dxa"/>
            <w:vAlign w:val="bottom"/>
            <w:tcBorders>
              <w:left w:val="single" w:sz="8" w:color="auto"/>
              <w:bottom w:val="single" w:sz="8" w:color="auto"/>
              <w:right w:val="single" w:sz="8" w:color="auto"/>
            </w:tcBorders>
          </w:tcPr>
          <w:p>
            <w:pPr>
              <w:spacing w:after="0"/>
              <w:rPr>
                <w:sz w:val="21"/>
                <w:szCs w:val="21"/>
                <w:color w:val="auto"/>
              </w:rPr>
            </w:pPr>
          </w:p>
        </w:tc>
        <w:tc>
          <w:tcPr>
            <w:tcW w:w="3080" w:type="dxa"/>
            <w:vAlign w:val="bottom"/>
            <w:tcBorders>
              <w:bottom w:val="single" w:sz="8" w:color="auto"/>
              <w:right w:val="single" w:sz="8" w:color="auto"/>
            </w:tcBorders>
          </w:tcPr>
          <w:p>
            <w:pPr>
              <w:spacing w:after="0"/>
              <w:rPr>
                <w:sz w:val="21"/>
                <w:szCs w:val="21"/>
                <w:color w:val="auto"/>
              </w:rPr>
            </w:pPr>
          </w:p>
        </w:tc>
        <w:tc>
          <w:tcPr>
            <w:tcW w:w="2000" w:type="dxa"/>
            <w:vAlign w:val="bottom"/>
            <w:tcBorders>
              <w:bottom w:val="single" w:sz="8" w:color="auto"/>
              <w:right w:val="single" w:sz="8" w:color="auto"/>
            </w:tcBorders>
          </w:tcPr>
          <w:p>
            <w:pPr>
              <w:spacing w:after="0"/>
              <w:rPr>
                <w:sz w:val="21"/>
                <w:szCs w:val="21"/>
                <w:color w:val="auto"/>
              </w:rPr>
            </w:pPr>
          </w:p>
        </w:tc>
        <w:tc>
          <w:tcPr>
            <w:tcW w:w="3520" w:type="dxa"/>
            <w:vAlign w:val="bottom"/>
            <w:tcBorders>
              <w:bottom w:val="single" w:sz="8" w:color="auto"/>
              <w:right w:val="single" w:sz="8" w:color="auto"/>
            </w:tcBorders>
          </w:tcPr>
          <w:p>
            <w:pPr>
              <w:spacing w:after="0"/>
              <w:rPr>
                <w:sz w:val="21"/>
                <w:szCs w:val="21"/>
                <w:color w:val="auto"/>
              </w:rPr>
            </w:pPr>
          </w:p>
        </w:tc>
      </w:tr>
      <w:tr>
        <w:trPr>
          <w:trHeight w:val="256"/>
        </w:trPr>
        <w:tc>
          <w:tcPr>
            <w:tcW w:w="26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Pricing Level V</w:t>
            </w:r>
          </w:p>
        </w:tc>
        <w:tc>
          <w:tcPr>
            <w:tcW w:w="3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1.375%</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0.375%</w:t>
            </w:r>
          </w:p>
        </w:tc>
        <w:tc>
          <w:tcPr>
            <w:tcW w:w="3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0.15%</w:t>
            </w:r>
          </w:p>
        </w:tc>
      </w:tr>
      <w:tr>
        <w:trPr>
          <w:trHeight w:val="251"/>
        </w:trPr>
        <w:tc>
          <w:tcPr>
            <w:tcW w:w="2660" w:type="dxa"/>
            <w:vAlign w:val="bottom"/>
            <w:tcBorders>
              <w:left w:val="single" w:sz="8" w:color="auto"/>
              <w:bottom w:val="single" w:sz="8" w:color="auto"/>
              <w:right w:val="single" w:sz="8" w:color="auto"/>
            </w:tcBorders>
          </w:tcPr>
          <w:p>
            <w:pPr>
              <w:spacing w:after="0"/>
              <w:rPr>
                <w:sz w:val="21"/>
                <w:szCs w:val="21"/>
                <w:color w:val="auto"/>
              </w:rPr>
            </w:pPr>
          </w:p>
        </w:tc>
        <w:tc>
          <w:tcPr>
            <w:tcW w:w="3080" w:type="dxa"/>
            <w:vAlign w:val="bottom"/>
            <w:tcBorders>
              <w:bottom w:val="single" w:sz="8" w:color="auto"/>
              <w:right w:val="single" w:sz="8" w:color="auto"/>
            </w:tcBorders>
          </w:tcPr>
          <w:p>
            <w:pPr>
              <w:spacing w:after="0"/>
              <w:rPr>
                <w:sz w:val="21"/>
                <w:szCs w:val="21"/>
                <w:color w:val="auto"/>
              </w:rPr>
            </w:pPr>
          </w:p>
        </w:tc>
        <w:tc>
          <w:tcPr>
            <w:tcW w:w="2000" w:type="dxa"/>
            <w:vAlign w:val="bottom"/>
            <w:tcBorders>
              <w:bottom w:val="single" w:sz="8" w:color="auto"/>
              <w:right w:val="single" w:sz="8" w:color="auto"/>
            </w:tcBorders>
          </w:tcPr>
          <w:p>
            <w:pPr>
              <w:spacing w:after="0"/>
              <w:rPr>
                <w:sz w:val="21"/>
                <w:szCs w:val="21"/>
                <w:color w:val="auto"/>
              </w:rPr>
            </w:pPr>
          </w:p>
        </w:tc>
        <w:tc>
          <w:tcPr>
            <w:tcW w:w="3520" w:type="dxa"/>
            <w:vAlign w:val="bottom"/>
            <w:tcBorders>
              <w:bottom w:val="single" w:sz="8" w:color="auto"/>
              <w:right w:val="single" w:sz="8" w:color="auto"/>
            </w:tcBorders>
          </w:tcPr>
          <w:p>
            <w:pPr>
              <w:spacing w:after="0"/>
              <w:rPr>
                <w:sz w:val="21"/>
                <w:szCs w:val="21"/>
                <w:color w:val="auto"/>
              </w:rPr>
            </w:pPr>
          </w:p>
        </w:tc>
      </w:tr>
    </w:tbl>
    <w:p>
      <w:pPr>
        <w:spacing w:after="0" w:line="3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In the case of any Tranche B Loan hereunder:</w:t>
      </w:r>
    </w:p>
    <w:p>
      <w:pPr>
        <w:spacing w:after="0" w:line="259" w:lineRule="exact"/>
        <w:rPr>
          <w:sz w:val="20"/>
          <w:szCs w:val="20"/>
          <w:color w:val="auto"/>
        </w:rPr>
      </w:pPr>
    </w:p>
    <w:tbl>
      <w:tblPr>
        <w:tblLayout w:type="fixed"/>
        <w:tblInd w:w="10" w:type="dxa"/>
        <w:tblCellMar>
          <w:top w:w="0" w:type="dxa"/>
          <w:left w:w="0" w:type="dxa"/>
          <w:bottom w:w="0" w:type="dxa"/>
          <w:right w:w="0" w:type="dxa"/>
        </w:tblCellMar>
      </w:tblPr>
      <w:tr>
        <w:trPr>
          <w:trHeight w:val="276"/>
        </w:trPr>
        <w:tc>
          <w:tcPr>
            <w:tcW w:w="2660" w:type="dxa"/>
            <w:vAlign w:val="bottom"/>
            <w:tcBorders>
              <w:top w:val="single" w:sz="8" w:color="auto"/>
              <w:left w:val="single" w:sz="8" w:color="auto"/>
              <w:right w:val="single" w:sz="8" w:color="auto"/>
            </w:tcBorders>
          </w:tcPr>
          <w:p>
            <w:pPr>
              <w:spacing w:after="0"/>
              <w:rPr>
                <w:sz w:val="24"/>
                <w:szCs w:val="24"/>
                <w:color w:val="auto"/>
              </w:rPr>
            </w:pPr>
          </w:p>
        </w:tc>
        <w:tc>
          <w:tcPr>
            <w:tcW w:w="3080" w:type="dxa"/>
            <w:vAlign w:val="bottom"/>
            <w:tcBorders>
              <w:top w:val="single" w:sz="8" w:color="auto"/>
              <w:right w:val="single" w:sz="8" w:color="auto"/>
            </w:tcBorders>
          </w:tcPr>
          <w:p>
            <w:pPr>
              <w:ind w:left="740"/>
              <w:spacing w:after="0"/>
              <w:rPr>
                <w:sz w:val="20"/>
                <w:szCs w:val="20"/>
                <w:color w:val="auto"/>
              </w:rPr>
            </w:pPr>
            <w:r>
              <w:rPr>
                <w:rFonts w:ascii="Times New Roman" w:cs="Times New Roman" w:eastAsia="Times New Roman" w:hAnsi="Times New Roman"/>
                <w:sz w:val="20"/>
                <w:szCs w:val="20"/>
                <w:color w:val="auto"/>
              </w:rPr>
              <w:t>Term SOFR Spread</w:t>
            </w:r>
          </w:p>
        </w:tc>
        <w:tc>
          <w:tcPr>
            <w:tcW w:w="2000" w:type="dxa"/>
            <w:vAlign w:val="bottom"/>
            <w:tcBorders>
              <w:top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20"/>
                <w:szCs w:val="20"/>
                <w:color w:val="auto"/>
              </w:rPr>
              <w:t>ABR Spread</w:t>
            </w:r>
          </w:p>
        </w:tc>
        <w:tc>
          <w:tcPr>
            <w:tcW w:w="3520" w:type="dxa"/>
            <w:vAlign w:val="bottom"/>
            <w:tcBorders>
              <w:top w:val="single" w:sz="8" w:color="auto"/>
              <w:right w:val="single" w:sz="8" w:color="auto"/>
            </w:tcBorders>
          </w:tcPr>
          <w:p>
            <w:pPr>
              <w:ind w:left="840"/>
              <w:spacing w:after="0"/>
              <w:rPr>
                <w:sz w:val="20"/>
                <w:szCs w:val="20"/>
                <w:color w:val="auto"/>
              </w:rPr>
            </w:pPr>
            <w:r>
              <w:rPr>
                <w:rFonts w:ascii="Times New Roman" w:cs="Times New Roman" w:eastAsia="Times New Roman" w:hAnsi="Times New Roman"/>
                <w:sz w:val="20"/>
                <w:szCs w:val="20"/>
                <w:color w:val="auto"/>
              </w:rPr>
              <w:t>Commitment Fee Rate</w:t>
            </w:r>
          </w:p>
        </w:tc>
      </w:tr>
      <w:tr>
        <w:trPr>
          <w:trHeight w:val="250"/>
        </w:trPr>
        <w:tc>
          <w:tcPr>
            <w:tcW w:w="2660" w:type="dxa"/>
            <w:vAlign w:val="bottom"/>
            <w:tcBorders>
              <w:left w:val="single" w:sz="8" w:color="auto"/>
              <w:bottom w:val="single" w:sz="8" w:color="auto"/>
              <w:right w:val="single" w:sz="8" w:color="auto"/>
            </w:tcBorders>
          </w:tcPr>
          <w:p>
            <w:pPr>
              <w:spacing w:after="0"/>
              <w:rPr>
                <w:sz w:val="21"/>
                <w:szCs w:val="21"/>
                <w:color w:val="auto"/>
              </w:rPr>
            </w:pPr>
          </w:p>
        </w:tc>
        <w:tc>
          <w:tcPr>
            <w:tcW w:w="3080" w:type="dxa"/>
            <w:vAlign w:val="bottom"/>
            <w:tcBorders>
              <w:bottom w:val="single" w:sz="8" w:color="auto"/>
              <w:right w:val="single" w:sz="8" w:color="auto"/>
            </w:tcBorders>
          </w:tcPr>
          <w:p>
            <w:pPr>
              <w:spacing w:after="0"/>
              <w:rPr>
                <w:sz w:val="21"/>
                <w:szCs w:val="21"/>
                <w:color w:val="auto"/>
              </w:rPr>
            </w:pPr>
          </w:p>
        </w:tc>
        <w:tc>
          <w:tcPr>
            <w:tcW w:w="2000" w:type="dxa"/>
            <w:vAlign w:val="bottom"/>
            <w:tcBorders>
              <w:bottom w:val="single" w:sz="8" w:color="auto"/>
              <w:right w:val="single" w:sz="8" w:color="auto"/>
            </w:tcBorders>
          </w:tcPr>
          <w:p>
            <w:pPr>
              <w:spacing w:after="0"/>
              <w:rPr>
                <w:sz w:val="21"/>
                <w:szCs w:val="21"/>
                <w:color w:val="auto"/>
              </w:rPr>
            </w:pPr>
          </w:p>
        </w:tc>
        <w:tc>
          <w:tcPr>
            <w:tcW w:w="3520" w:type="dxa"/>
            <w:vAlign w:val="bottom"/>
            <w:tcBorders>
              <w:bottom w:val="single" w:sz="8" w:color="auto"/>
              <w:right w:val="single" w:sz="8" w:color="auto"/>
            </w:tcBorders>
          </w:tcPr>
          <w:p>
            <w:pPr>
              <w:spacing w:after="0"/>
              <w:rPr>
                <w:sz w:val="21"/>
                <w:szCs w:val="21"/>
                <w:color w:val="auto"/>
              </w:rPr>
            </w:pPr>
          </w:p>
        </w:tc>
      </w:tr>
      <w:tr>
        <w:trPr>
          <w:trHeight w:val="256"/>
        </w:trPr>
        <w:tc>
          <w:tcPr>
            <w:tcW w:w="26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Pricing Level I</w:t>
            </w:r>
          </w:p>
        </w:tc>
        <w:tc>
          <w:tcPr>
            <w:tcW w:w="3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6"/>
              </w:rPr>
              <w:t>1.00%</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0.00%</w:t>
            </w:r>
          </w:p>
        </w:tc>
        <w:tc>
          <w:tcPr>
            <w:tcW w:w="3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0.07%</w:t>
            </w:r>
          </w:p>
        </w:tc>
      </w:tr>
      <w:tr>
        <w:trPr>
          <w:trHeight w:val="250"/>
        </w:trPr>
        <w:tc>
          <w:tcPr>
            <w:tcW w:w="2660" w:type="dxa"/>
            <w:vAlign w:val="bottom"/>
            <w:tcBorders>
              <w:left w:val="single" w:sz="8" w:color="auto"/>
              <w:bottom w:val="single" w:sz="8" w:color="auto"/>
              <w:right w:val="single" w:sz="8" w:color="auto"/>
            </w:tcBorders>
          </w:tcPr>
          <w:p>
            <w:pPr>
              <w:spacing w:after="0"/>
              <w:rPr>
                <w:sz w:val="21"/>
                <w:szCs w:val="21"/>
                <w:color w:val="auto"/>
              </w:rPr>
            </w:pPr>
          </w:p>
        </w:tc>
        <w:tc>
          <w:tcPr>
            <w:tcW w:w="3080" w:type="dxa"/>
            <w:vAlign w:val="bottom"/>
            <w:tcBorders>
              <w:bottom w:val="single" w:sz="8" w:color="auto"/>
              <w:right w:val="single" w:sz="8" w:color="auto"/>
            </w:tcBorders>
          </w:tcPr>
          <w:p>
            <w:pPr>
              <w:spacing w:after="0"/>
              <w:rPr>
                <w:sz w:val="21"/>
                <w:szCs w:val="21"/>
                <w:color w:val="auto"/>
              </w:rPr>
            </w:pPr>
          </w:p>
        </w:tc>
        <w:tc>
          <w:tcPr>
            <w:tcW w:w="2000" w:type="dxa"/>
            <w:vAlign w:val="bottom"/>
            <w:tcBorders>
              <w:bottom w:val="single" w:sz="8" w:color="auto"/>
              <w:right w:val="single" w:sz="8" w:color="auto"/>
            </w:tcBorders>
          </w:tcPr>
          <w:p>
            <w:pPr>
              <w:spacing w:after="0"/>
              <w:rPr>
                <w:sz w:val="21"/>
                <w:szCs w:val="21"/>
                <w:color w:val="auto"/>
              </w:rPr>
            </w:pPr>
          </w:p>
        </w:tc>
        <w:tc>
          <w:tcPr>
            <w:tcW w:w="3520" w:type="dxa"/>
            <w:vAlign w:val="bottom"/>
            <w:tcBorders>
              <w:bottom w:val="single" w:sz="8" w:color="auto"/>
              <w:right w:val="single" w:sz="8" w:color="auto"/>
            </w:tcBorders>
          </w:tcPr>
          <w:p>
            <w:pPr>
              <w:spacing w:after="0"/>
              <w:rPr>
                <w:sz w:val="21"/>
                <w:szCs w:val="21"/>
                <w:color w:val="auto"/>
              </w:rPr>
            </w:pPr>
          </w:p>
        </w:tc>
      </w:tr>
      <w:tr>
        <w:trPr>
          <w:trHeight w:val="256"/>
        </w:trPr>
        <w:tc>
          <w:tcPr>
            <w:tcW w:w="26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Pricing Level II</w:t>
            </w:r>
          </w:p>
        </w:tc>
        <w:tc>
          <w:tcPr>
            <w:tcW w:w="3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1.125%</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0.125%</w:t>
            </w:r>
          </w:p>
        </w:tc>
        <w:tc>
          <w:tcPr>
            <w:tcW w:w="3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0.08%</w:t>
            </w:r>
          </w:p>
        </w:tc>
      </w:tr>
      <w:tr>
        <w:trPr>
          <w:trHeight w:val="250"/>
        </w:trPr>
        <w:tc>
          <w:tcPr>
            <w:tcW w:w="2660" w:type="dxa"/>
            <w:vAlign w:val="bottom"/>
            <w:tcBorders>
              <w:left w:val="single" w:sz="8" w:color="auto"/>
              <w:bottom w:val="single" w:sz="8" w:color="auto"/>
              <w:right w:val="single" w:sz="8" w:color="auto"/>
            </w:tcBorders>
          </w:tcPr>
          <w:p>
            <w:pPr>
              <w:spacing w:after="0"/>
              <w:rPr>
                <w:sz w:val="21"/>
                <w:szCs w:val="21"/>
                <w:color w:val="auto"/>
              </w:rPr>
            </w:pPr>
          </w:p>
        </w:tc>
        <w:tc>
          <w:tcPr>
            <w:tcW w:w="3080" w:type="dxa"/>
            <w:vAlign w:val="bottom"/>
            <w:tcBorders>
              <w:bottom w:val="single" w:sz="8" w:color="auto"/>
              <w:right w:val="single" w:sz="8" w:color="auto"/>
            </w:tcBorders>
          </w:tcPr>
          <w:p>
            <w:pPr>
              <w:spacing w:after="0"/>
              <w:rPr>
                <w:sz w:val="21"/>
                <w:szCs w:val="21"/>
                <w:color w:val="auto"/>
              </w:rPr>
            </w:pPr>
          </w:p>
        </w:tc>
        <w:tc>
          <w:tcPr>
            <w:tcW w:w="2000" w:type="dxa"/>
            <w:vAlign w:val="bottom"/>
            <w:tcBorders>
              <w:bottom w:val="single" w:sz="8" w:color="auto"/>
              <w:right w:val="single" w:sz="8" w:color="auto"/>
            </w:tcBorders>
          </w:tcPr>
          <w:p>
            <w:pPr>
              <w:spacing w:after="0"/>
              <w:rPr>
                <w:sz w:val="21"/>
                <w:szCs w:val="21"/>
                <w:color w:val="auto"/>
              </w:rPr>
            </w:pPr>
          </w:p>
        </w:tc>
        <w:tc>
          <w:tcPr>
            <w:tcW w:w="3520" w:type="dxa"/>
            <w:vAlign w:val="bottom"/>
            <w:tcBorders>
              <w:bottom w:val="single" w:sz="8" w:color="auto"/>
              <w:right w:val="single" w:sz="8" w:color="auto"/>
            </w:tcBorders>
          </w:tcPr>
          <w:p>
            <w:pPr>
              <w:spacing w:after="0"/>
              <w:rPr>
                <w:sz w:val="21"/>
                <w:szCs w:val="21"/>
                <w:color w:val="auto"/>
              </w:rPr>
            </w:pPr>
          </w:p>
        </w:tc>
      </w:tr>
      <w:tr>
        <w:trPr>
          <w:trHeight w:val="256"/>
        </w:trPr>
        <w:tc>
          <w:tcPr>
            <w:tcW w:w="26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Pricing Level III</w:t>
            </w:r>
          </w:p>
        </w:tc>
        <w:tc>
          <w:tcPr>
            <w:tcW w:w="3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6"/>
              </w:rPr>
              <w:t>1.25%</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0.25%</w:t>
            </w:r>
          </w:p>
        </w:tc>
        <w:tc>
          <w:tcPr>
            <w:tcW w:w="3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0.09%</w:t>
            </w:r>
          </w:p>
        </w:tc>
      </w:tr>
      <w:tr>
        <w:trPr>
          <w:trHeight w:val="250"/>
        </w:trPr>
        <w:tc>
          <w:tcPr>
            <w:tcW w:w="2660" w:type="dxa"/>
            <w:vAlign w:val="bottom"/>
            <w:tcBorders>
              <w:left w:val="single" w:sz="8" w:color="auto"/>
              <w:bottom w:val="single" w:sz="8" w:color="auto"/>
              <w:right w:val="single" w:sz="8" w:color="auto"/>
            </w:tcBorders>
          </w:tcPr>
          <w:p>
            <w:pPr>
              <w:spacing w:after="0"/>
              <w:rPr>
                <w:sz w:val="21"/>
                <w:szCs w:val="21"/>
                <w:color w:val="auto"/>
              </w:rPr>
            </w:pPr>
          </w:p>
        </w:tc>
        <w:tc>
          <w:tcPr>
            <w:tcW w:w="3080" w:type="dxa"/>
            <w:vAlign w:val="bottom"/>
            <w:tcBorders>
              <w:bottom w:val="single" w:sz="8" w:color="auto"/>
              <w:right w:val="single" w:sz="8" w:color="auto"/>
            </w:tcBorders>
          </w:tcPr>
          <w:p>
            <w:pPr>
              <w:spacing w:after="0"/>
              <w:rPr>
                <w:sz w:val="21"/>
                <w:szCs w:val="21"/>
                <w:color w:val="auto"/>
              </w:rPr>
            </w:pPr>
          </w:p>
        </w:tc>
        <w:tc>
          <w:tcPr>
            <w:tcW w:w="2000" w:type="dxa"/>
            <w:vAlign w:val="bottom"/>
            <w:tcBorders>
              <w:bottom w:val="single" w:sz="8" w:color="auto"/>
              <w:right w:val="single" w:sz="8" w:color="auto"/>
            </w:tcBorders>
          </w:tcPr>
          <w:p>
            <w:pPr>
              <w:spacing w:after="0"/>
              <w:rPr>
                <w:sz w:val="21"/>
                <w:szCs w:val="21"/>
                <w:color w:val="auto"/>
              </w:rPr>
            </w:pPr>
          </w:p>
        </w:tc>
        <w:tc>
          <w:tcPr>
            <w:tcW w:w="3520" w:type="dxa"/>
            <w:vAlign w:val="bottom"/>
            <w:tcBorders>
              <w:bottom w:val="single" w:sz="8" w:color="auto"/>
              <w:right w:val="single" w:sz="8" w:color="auto"/>
            </w:tcBorders>
          </w:tcPr>
          <w:p>
            <w:pPr>
              <w:spacing w:after="0"/>
              <w:rPr>
                <w:sz w:val="21"/>
                <w:szCs w:val="21"/>
                <w:color w:val="auto"/>
              </w:rPr>
            </w:pPr>
          </w:p>
        </w:tc>
      </w:tr>
      <w:tr>
        <w:trPr>
          <w:trHeight w:val="256"/>
        </w:trPr>
        <w:tc>
          <w:tcPr>
            <w:tcW w:w="26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Pricing Level IV</w:t>
            </w:r>
          </w:p>
        </w:tc>
        <w:tc>
          <w:tcPr>
            <w:tcW w:w="3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1.375%</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0.375%</w:t>
            </w:r>
          </w:p>
        </w:tc>
        <w:tc>
          <w:tcPr>
            <w:tcW w:w="3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0.125%</w:t>
            </w:r>
          </w:p>
        </w:tc>
      </w:tr>
      <w:tr>
        <w:trPr>
          <w:trHeight w:val="250"/>
        </w:trPr>
        <w:tc>
          <w:tcPr>
            <w:tcW w:w="2660" w:type="dxa"/>
            <w:vAlign w:val="bottom"/>
            <w:tcBorders>
              <w:left w:val="single" w:sz="8" w:color="auto"/>
              <w:bottom w:val="single" w:sz="8" w:color="auto"/>
              <w:right w:val="single" w:sz="8" w:color="auto"/>
            </w:tcBorders>
          </w:tcPr>
          <w:p>
            <w:pPr>
              <w:spacing w:after="0"/>
              <w:rPr>
                <w:sz w:val="21"/>
                <w:szCs w:val="21"/>
                <w:color w:val="auto"/>
              </w:rPr>
            </w:pPr>
          </w:p>
        </w:tc>
        <w:tc>
          <w:tcPr>
            <w:tcW w:w="3080" w:type="dxa"/>
            <w:vAlign w:val="bottom"/>
            <w:tcBorders>
              <w:bottom w:val="single" w:sz="8" w:color="auto"/>
              <w:right w:val="single" w:sz="8" w:color="auto"/>
            </w:tcBorders>
          </w:tcPr>
          <w:p>
            <w:pPr>
              <w:spacing w:after="0"/>
              <w:rPr>
                <w:sz w:val="21"/>
                <w:szCs w:val="21"/>
                <w:color w:val="auto"/>
              </w:rPr>
            </w:pPr>
          </w:p>
        </w:tc>
        <w:tc>
          <w:tcPr>
            <w:tcW w:w="2000" w:type="dxa"/>
            <w:vAlign w:val="bottom"/>
            <w:tcBorders>
              <w:bottom w:val="single" w:sz="8" w:color="auto"/>
              <w:right w:val="single" w:sz="8" w:color="auto"/>
            </w:tcBorders>
          </w:tcPr>
          <w:p>
            <w:pPr>
              <w:spacing w:after="0"/>
              <w:rPr>
                <w:sz w:val="21"/>
                <w:szCs w:val="21"/>
                <w:color w:val="auto"/>
              </w:rPr>
            </w:pPr>
          </w:p>
        </w:tc>
        <w:tc>
          <w:tcPr>
            <w:tcW w:w="3520" w:type="dxa"/>
            <w:vAlign w:val="bottom"/>
            <w:tcBorders>
              <w:bottom w:val="single" w:sz="8" w:color="auto"/>
              <w:right w:val="single" w:sz="8" w:color="auto"/>
            </w:tcBorders>
          </w:tcPr>
          <w:p>
            <w:pPr>
              <w:spacing w:after="0"/>
              <w:rPr>
                <w:sz w:val="21"/>
                <w:szCs w:val="21"/>
                <w:color w:val="auto"/>
              </w:rPr>
            </w:pPr>
          </w:p>
        </w:tc>
      </w:tr>
      <w:tr>
        <w:trPr>
          <w:trHeight w:val="256"/>
        </w:trPr>
        <w:tc>
          <w:tcPr>
            <w:tcW w:w="26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Pricing Level V</w:t>
            </w:r>
          </w:p>
        </w:tc>
        <w:tc>
          <w:tcPr>
            <w:tcW w:w="3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6"/>
              </w:rPr>
              <w:t>1.50%</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0.50%</w:t>
            </w:r>
          </w:p>
        </w:tc>
        <w:tc>
          <w:tcPr>
            <w:tcW w:w="3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0.15%</w:t>
            </w:r>
          </w:p>
        </w:tc>
      </w:tr>
      <w:tr>
        <w:trPr>
          <w:trHeight w:val="250"/>
        </w:trPr>
        <w:tc>
          <w:tcPr>
            <w:tcW w:w="2660" w:type="dxa"/>
            <w:vAlign w:val="bottom"/>
            <w:tcBorders>
              <w:left w:val="single" w:sz="8" w:color="auto"/>
              <w:bottom w:val="single" w:sz="8" w:color="auto"/>
              <w:right w:val="single" w:sz="8" w:color="auto"/>
            </w:tcBorders>
          </w:tcPr>
          <w:p>
            <w:pPr>
              <w:spacing w:after="0"/>
              <w:rPr>
                <w:sz w:val="21"/>
                <w:szCs w:val="21"/>
                <w:color w:val="auto"/>
              </w:rPr>
            </w:pPr>
          </w:p>
        </w:tc>
        <w:tc>
          <w:tcPr>
            <w:tcW w:w="3080" w:type="dxa"/>
            <w:vAlign w:val="bottom"/>
            <w:tcBorders>
              <w:bottom w:val="single" w:sz="8" w:color="auto"/>
              <w:right w:val="single" w:sz="8" w:color="auto"/>
            </w:tcBorders>
          </w:tcPr>
          <w:p>
            <w:pPr>
              <w:spacing w:after="0"/>
              <w:rPr>
                <w:sz w:val="21"/>
                <w:szCs w:val="21"/>
                <w:color w:val="auto"/>
              </w:rPr>
            </w:pPr>
          </w:p>
        </w:tc>
        <w:tc>
          <w:tcPr>
            <w:tcW w:w="2000" w:type="dxa"/>
            <w:vAlign w:val="bottom"/>
            <w:tcBorders>
              <w:bottom w:val="single" w:sz="8" w:color="auto"/>
              <w:right w:val="single" w:sz="8" w:color="auto"/>
            </w:tcBorders>
          </w:tcPr>
          <w:p>
            <w:pPr>
              <w:spacing w:after="0"/>
              <w:rPr>
                <w:sz w:val="21"/>
                <w:szCs w:val="21"/>
                <w:color w:val="auto"/>
              </w:rPr>
            </w:pPr>
          </w:p>
        </w:tc>
        <w:tc>
          <w:tcPr>
            <w:tcW w:w="3520" w:type="dxa"/>
            <w:vAlign w:val="bottom"/>
            <w:tcBorders>
              <w:bottom w:val="single" w:sz="8" w:color="auto"/>
              <w:right w:val="single" w:sz="8" w:color="auto"/>
            </w:tcBorders>
          </w:tcPr>
          <w:p>
            <w:pPr>
              <w:spacing w:after="0"/>
              <w:rPr>
                <w:sz w:val="21"/>
                <w:szCs w:val="21"/>
                <w:color w:val="auto"/>
              </w:rPr>
            </w:pPr>
          </w:p>
        </w:tc>
      </w:tr>
    </w:tbl>
    <w:p>
      <w:pPr>
        <w:spacing w:after="0" w:line="3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In the case of any Tranche C Loan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60"/>
          </w:cols>
          <w:pgMar w:left="320" w:top="1413" w:right="319" w:bottom="1440" w:gutter="0" w:footer="0" w:header="0"/>
        </w:sectPr>
      </w:pPr>
    </w:p>
    <w:bookmarkStart w:id="176" w:name="page177"/>
    <w:bookmarkEnd w:id="176"/>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76"/>
        </w:trPr>
        <w:tc>
          <w:tcPr>
            <w:tcW w:w="2660" w:type="dxa"/>
            <w:vAlign w:val="bottom"/>
            <w:tcBorders>
              <w:top w:val="single" w:sz="8" w:color="auto"/>
              <w:left w:val="single" w:sz="8" w:color="auto"/>
              <w:right w:val="single" w:sz="8" w:color="auto"/>
            </w:tcBorders>
          </w:tcPr>
          <w:p>
            <w:pPr>
              <w:spacing w:after="0"/>
              <w:rPr>
                <w:sz w:val="24"/>
                <w:szCs w:val="24"/>
                <w:color w:val="auto"/>
              </w:rPr>
            </w:pPr>
          </w:p>
        </w:tc>
        <w:tc>
          <w:tcPr>
            <w:tcW w:w="3080" w:type="dxa"/>
            <w:vAlign w:val="bottom"/>
            <w:tcBorders>
              <w:top w:val="single" w:sz="8" w:color="auto"/>
              <w:right w:val="single" w:sz="8" w:color="auto"/>
            </w:tcBorders>
          </w:tcPr>
          <w:p>
            <w:pPr>
              <w:ind w:left="740"/>
              <w:spacing w:after="0"/>
              <w:rPr>
                <w:sz w:val="20"/>
                <w:szCs w:val="20"/>
                <w:color w:val="auto"/>
              </w:rPr>
            </w:pPr>
            <w:r>
              <w:rPr>
                <w:rFonts w:ascii="Times New Roman" w:cs="Times New Roman" w:eastAsia="Times New Roman" w:hAnsi="Times New Roman"/>
                <w:sz w:val="20"/>
                <w:szCs w:val="20"/>
                <w:color w:val="auto"/>
              </w:rPr>
              <w:t>Term SOFR Spread</w:t>
            </w:r>
          </w:p>
        </w:tc>
        <w:tc>
          <w:tcPr>
            <w:tcW w:w="2000" w:type="dxa"/>
            <w:vAlign w:val="bottom"/>
            <w:tcBorders>
              <w:top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20"/>
                <w:szCs w:val="20"/>
                <w:color w:val="auto"/>
              </w:rPr>
              <w:t>ABR Spread</w:t>
            </w:r>
          </w:p>
        </w:tc>
        <w:tc>
          <w:tcPr>
            <w:tcW w:w="3520" w:type="dxa"/>
            <w:vAlign w:val="bottom"/>
            <w:tcBorders>
              <w:top w:val="single" w:sz="8" w:color="auto"/>
              <w:right w:val="single" w:sz="8" w:color="auto"/>
            </w:tcBorders>
          </w:tcPr>
          <w:p>
            <w:pPr>
              <w:ind w:left="840"/>
              <w:spacing w:after="0"/>
              <w:rPr>
                <w:sz w:val="20"/>
                <w:szCs w:val="20"/>
                <w:color w:val="auto"/>
              </w:rPr>
            </w:pPr>
            <w:r>
              <w:rPr>
                <w:rFonts w:ascii="Times New Roman" w:cs="Times New Roman" w:eastAsia="Times New Roman" w:hAnsi="Times New Roman"/>
                <w:sz w:val="20"/>
                <w:szCs w:val="20"/>
                <w:color w:val="auto"/>
              </w:rPr>
              <w:t>Commitment Fee Rate</w:t>
            </w:r>
          </w:p>
        </w:tc>
      </w:tr>
      <w:tr>
        <w:trPr>
          <w:trHeight w:val="251"/>
        </w:trPr>
        <w:tc>
          <w:tcPr>
            <w:tcW w:w="2660" w:type="dxa"/>
            <w:vAlign w:val="bottom"/>
            <w:tcBorders>
              <w:left w:val="single" w:sz="8" w:color="auto"/>
              <w:bottom w:val="single" w:sz="8" w:color="auto"/>
              <w:right w:val="single" w:sz="8" w:color="auto"/>
            </w:tcBorders>
          </w:tcPr>
          <w:p>
            <w:pPr>
              <w:spacing w:after="0"/>
              <w:rPr>
                <w:sz w:val="21"/>
                <w:szCs w:val="21"/>
                <w:color w:val="auto"/>
              </w:rPr>
            </w:pPr>
          </w:p>
        </w:tc>
        <w:tc>
          <w:tcPr>
            <w:tcW w:w="3080" w:type="dxa"/>
            <w:vAlign w:val="bottom"/>
            <w:tcBorders>
              <w:bottom w:val="single" w:sz="8" w:color="auto"/>
              <w:right w:val="single" w:sz="8" w:color="auto"/>
            </w:tcBorders>
          </w:tcPr>
          <w:p>
            <w:pPr>
              <w:spacing w:after="0"/>
              <w:rPr>
                <w:sz w:val="21"/>
                <w:szCs w:val="21"/>
                <w:color w:val="auto"/>
              </w:rPr>
            </w:pPr>
          </w:p>
        </w:tc>
        <w:tc>
          <w:tcPr>
            <w:tcW w:w="2000" w:type="dxa"/>
            <w:vAlign w:val="bottom"/>
            <w:tcBorders>
              <w:bottom w:val="single" w:sz="8" w:color="auto"/>
              <w:right w:val="single" w:sz="8" w:color="auto"/>
            </w:tcBorders>
          </w:tcPr>
          <w:p>
            <w:pPr>
              <w:spacing w:after="0"/>
              <w:rPr>
                <w:sz w:val="21"/>
                <w:szCs w:val="21"/>
                <w:color w:val="auto"/>
              </w:rPr>
            </w:pPr>
          </w:p>
        </w:tc>
        <w:tc>
          <w:tcPr>
            <w:tcW w:w="3520" w:type="dxa"/>
            <w:vAlign w:val="bottom"/>
            <w:tcBorders>
              <w:bottom w:val="single" w:sz="8" w:color="auto"/>
              <w:right w:val="single" w:sz="8" w:color="auto"/>
            </w:tcBorders>
          </w:tcPr>
          <w:p>
            <w:pPr>
              <w:spacing w:after="0"/>
              <w:rPr>
                <w:sz w:val="21"/>
                <w:szCs w:val="21"/>
                <w:color w:val="auto"/>
              </w:rPr>
            </w:pPr>
          </w:p>
        </w:tc>
      </w:tr>
      <w:tr>
        <w:trPr>
          <w:trHeight w:val="256"/>
        </w:trPr>
        <w:tc>
          <w:tcPr>
            <w:tcW w:w="26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Pricing Level I</w:t>
            </w:r>
          </w:p>
        </w:tc>
        <w:tc>
          <w:tcPr>
            <w:tcW w:w="3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6"/>
              </w:rPr>
              <w:t>1.25%</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0.25%</w:t>
            </w:r>
          </w:p>
        </w:tc>
        <w:tc>
          <w:tcPr>
            <w:tcW w:w="3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0.07%</w:t>
            </w:r>
          </w:p>
        </w:tc>
      </w:tr>
      <w:tr>
        <w:trPr>
          <w:trHeight w:val="251"/>
        </w:trPr>
        <w:tc>
          <w:tcPr>
            <w:tcW w:w="2660" w:type="dxa"/>
            <w:vAlign w:val="bottom"/>
            <w:tcBorders>
              <w:left w:val="single" w:sz="8" w:color="auto"/>
              <w:bottom w:val="single" w:sz="8" w:color="auto"/>
              <w:right w:val="single" w:sz="8" w:color="auto"/>
            </w:tcBorders>
          </w:tcPr>
          <w:p>
            <w:pPr>
              <w:spacing w:after="0"/>
              <w:rPr>
                <w:sz w:val="21"/>
                <w:szCs w:val="21"/>
                <w:color w:val="auto"/>
              </w:rPr>
            </w:pPr>
          </w:p>
        </w:tc>
        <w:tc>
          <w:tcPr>
            <w:tcW w:w="3080" w:type="dxa"/>
            <w:vAlign w:val="bottom"/>
            <w:tcBorders>
              <w:bottom w:val="single" w:sz="8" w:color="auto"/>
              <w:right w:val="single" w:sz="8" w:color="auto"/>
            </w:tcBorders>
          </w:tcPr>
          <w:p>
            <w:pPr>
              <w:spacing w:after="0"/>
              <w:rPr>
                <w:sz w:val="21"/>
                <w:szCs w:val="21"/>
                <w:color w:val="auto"/>
              </w:rPr>
            </w:pPr>
          </w:p>
        </w:tc>
        <w:tc>
          <w:tcPr>
            <w:tcW w:w="2000" w:type="dxa"/>
            <w:vAlign w:val="bottom"/>
            <w:tcBorders>
              <w:bottom w:val="single" w:sz="8" w:color="auto"/>
              <w:right w:val="single" w:sz="8" w:color="auto"/>
            </w:tcBorders>
          </w:tcPr>
          <w:p>
            <w:pPr>
              <w:spacing w:after="0"/>
              <w:rPr>
                <w:sz w:val="21"/>
                <w:szCs w:val="21"/>
                <w:color w:val="auto"/>
              </w:rPr>
            </w:pPr>
          </w:p>
        </w:tc>
        <w:tc>
          <w:tcPr>
            <w:tcW w:w="3520" w:type="dxa"/>
            <w:vAlign w:val="bottom"/>
            <w:tcBorders>
              <w:bottom w:val="single" w:sz="8" w:color="auto"/>
              <w:right w:val="single" w:sz="8" w:color="auto"/>
            </w:tcBorders>
          </w:tcPr>
          <w:p>
            <w:pPr>
              <w:spacing w:after="0"/>
              <w:rPr>
                <w:sz w:val="21"/>
                <w:szCs w:val="21"/>
                <w:color w:val="auto"/>
              </w:rPr>
            </w:pPr>
          </w:p>
        </w:tc>
      </w:tr>
      <w:tr>
        <w:trPr>
          <w:trHeight w:val="256"/>
        </w:trPr>
        <w:tc>
          <w:tcPr>
            <w:tcW w:w="26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Pricing Level II</w:t>
            </w:r>
          </w:p>
        </w:tc>
        <w:tc>
          <w:tcPr>
            <w:tcW w:w="3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1.375%</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0.375%</w:t>
            </w:r>
          </w:p>
        </w:tc>
        <w:tc>
          <w:tcPr>
            <w:tcW w:w="3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0.08%</w:t>
            </w:r>
          </w:p>
        </w:tc>
      </w:tr>
      <w:tr>
        <w:trPr>
          <w:trHeight w:val="250"/>
        </w:trPr>
        <w:tc>
          <w:tcPr>
            <w:tcW w:w="2660" w:type="dxa"/>
            <w:vAlign w:val="bottom"/>
            <w:tcBorders>
              <w:left w:val="single" w:sz="8" w:color="auto"/>
              <w:bottom w:val="single" w:sz="8" w:color="auto"/>
              <w:right w:val="single" w:sz="8" w:color="auto"/>
            </w:tcBorders>
          </w:tcPr>
          <w:p>
            <w:pPr>
              <w:spacing w:after="0"/>
              <w:rPr>
                <w:sz w:val="21"/>
                <w:szCs w:val="21"/>
                <w:color w:val="auto"/>
              </w:rPr>
            </w:pPr>
          </w:p>
        </w:tc>
        <w:tc>
          <w:tcPr>
            <w:tcW w:w="3080" w:type="dxa"/>
            <w:vAlign w:val="bottom"/>
            <w:tcBorders>
              <w:bottom w:val="single" w:sz="8" w:color="auto"/>
              <w:right w:val="single" w:sz="8" w:color="auto"/>
            </w:tcBorders>
          </w:tcPr>
          <w:p>
            <w:pPr>
              <w:spacing w:after="0"/>
              <w:rPr>
                <w:sz w:val="21"/>
                <w:szCs w:val="21"/>
                <w:color w:val="auto"/>
              </w:rPr>
            </w:pPr>
          </w:p>
        </w:tc>
        <w:tc>
          <w:tcPr>
            <w:tcW w:w="2000" w:type="dxa"/>
            <w:vAlign w:val="bottom"/>
            <w:tcBorders>
              <w:bottom w:val="single" w:sz="8" w:color="auto"/>
              <w:right w:val="single" w:sz="8" w:color="auto"/>
            </w:tcBorders>
          </w:tcPr>
          <w:p>
            <w:pPr>
              <w:spacing w:after="0"/>
              <w:rPr>
                <w:sz w:val="21"/>
                <w:szCs w:val="21"/>
                <w:color w:val="auto"/>
              </w:rPr>
            </w:pPr>
          </w:p>
        </w:tc>
        <w:tc>
          <w:tcPr>
            <w:tcW w:w="3520" w:type="dxa"/>
            <w:vAlign w:val="bottom"/>
            <w:tcBorders>
              <w:bottom w:val="single" w:sz="8" w:color="auto"/>
              <w:right w:val="single" w:sz="8" w:color="auto"/>
            </w:tcBorders>
          </w:tcPr>
          <w:p>
            <w:pPr>
              <w:spacing w:after="0"/>
              <w:rPr>
                <w:sz w:val="21"/>
                <w:szCs w:val="21"/>
                <w:color w:val="auto"/>
              </w:rPr>
            </w:pPr>
          </w:p>
        </w:tc>
      </w:tr>
      <w:tr>
        <w:trPr>
          <w:trHeight w:val="256"/>
        </w:trPr>
        <w:tc>
          <w:tcPr>
            <w:tcW w:w="26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Pricing Level III</w:t>
            </w:r>
          </w:p>
        </w:tc>
        <w:tc>
          <w:tcPr>
            <w:tcW w:w="3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6"/>
              </w:rPr>
              <w:t>1.50%</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0.50%</w:t>
            </w:r>
          </w:p>
        </w:tc>
        <w:tc>
          <w:tcPr>
            <w:tcW w:w="3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0.09%</w:t>
            </w:r>
          </w:p>
        </w:tc>
      </w:tr>
      <w:tr>
        <w:trPr>
          <w:trHeight w:val="250"/>
        </w:trPr>
        <w:tc>
          <w:tcPr>
            <w:tcW w:w="2660" w:type="dxa"/>
            <w:vAlign w:val="bottom"/>
            <w:tcBorders>
              <w:left w:val="single" w:sz="8" w:color="auto"/>
              <w:bottom w:val="single" w:sz="8" w:color="auto"/>
              <w:right w:val="single" w:sz="8" w:color="auto"/>
            </w:tcBorders>
          </w:tcPr>
          <w:p>
            <w:pPr>
              <w:spacing w:after="0"/>
              <w:rPr>
                <w:sz w:val="21"/>
                <w:szCs w:val="21"/>
                <w:color w:val="auto"/>
              </w:rPr>
            </w:pPr>
          </w:p>
        </w:tc>
        <w:tc>
          <w:tcPr>
            <w:tcW w:w="3080" w:type="dxa"/>
            <w:vAlign w:val="bottom"/>
            <w:tcBorders>
              <w:bottom w:val="single" w:sz="8" w:color="auto"/>
              <w:right w:val="single" w:sz="8" w:color="auto"/>
            </w:tcBorders>
          </w:tcPr>
          <w:p>
            <w:pPr>
              <w:spacing w:after="0"/>
              <w:rPr>
                <w:sz w:val="21"/>
                <w:szCs w:val="21"/>
                <w:color w:val="auto"/>
              </w:rPr>
            </w:pPr>
          </w:p>
        </w:tc>
        <w:tc>
          <w:tcPr>
            <w:tcW w:w="2000" w:type="dxa"/>
            <w:vAlign w:val="bottom"/>
            <w:tcBorders>
              <w:bottom w:val="single" w:sz="8" w:color="auto"/>
              <w:right w:val="single" w:sz="8" w:color="auto"/>
            </w:tcBorders>
          </w:tcPr>
          <w:p>
            <w:pPr>
              <w:spacing w:after="0"/>
              <w:rPr>
                <w:sz w:val="21"/>
                <w:szCs w:val="21"/>
                <w:color w:val="auto"/>
              </w:rPr>
            </w:pPr>
          </w:p>
        </w:tc>
        <w:tc>
          <w:tcPr>
            <w:tcW w:w="3520" w:type="dxa"/>
            <w:vAlign w:val="bottom"/>
            <w:tcBorders>
              <w:bottom w:val="single" w:sz="8" w:color="auto"/>
              <w:right w:val="single" w:sz="8" w:color="auto"/>
            </w:tcBorders>
          </w:tcPr>
          <w:p>
            <w:pPr>
              <w:spacing w:after="0"/>
              <w:rPr>
                <w:sz w:val="21"/>
                <w:szCs w:val="21"/>
                <w:color w:val="auto"/>
              </w:rPr>
            </w:pPr>
          </w:p>
        </w:tc>
      </w:tr>
      <w:tr>
        <w:trPr>
          <w:trHeight w:val="256"/>
        </w:trPr>
        <w:tc>
          <w:tcPr>
            <w:tcW w:w="26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Pricing Level IV</w:t>
            </w:r>
          </w:p>
        </w:tc>
        <w:tc>
          <w:tcPr>
            <w:tcW w:w="3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1.625%</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0.625%</w:t>
            </w:r>
          </w:p>
        </w:tc>
        <w:tc>
          <w:tcPr>
            <w:tcW w:w="3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0.125%</w:t>
            </w:r>
          </w:p>
        </w:tc>
      </w:tr>
      <w:tr>
        <w:trPr>
          <w:trHeight w:val="251"/>
        </w:trPr>
        <w:tc>
          <w:tcPr>
            <w:tcW w:w="2660" w:type="dxa"/>
            <w:vAlign w:val="bottom"/>
            <w:tcBorders>
              <w:left w:val="single" w:sz="8" w:color="auto"/>
              <w:bottom w:val="single" w:sz="8" w:color="auto"/>
              <w:right w:val="single" w:sz="8" w:color="auto"/>
            </w:tcBorders>
          </w:tcPr>
          <w:p>
            <w:pPr>
              <w:spacing w:after="0"/>
              <w:rPr>
                <w:sz w:val="21"/>
                <w:szCs w:val="21"/>
                <w:color w:val="auto"/>
              </w:rPr>
            </w:pPr>
          </w:p>
        </w:tc>
        <w:tc>
          <w:tcPr>
            <w:tcW w:w="3080" w:type="dxa"/>
            <w:vAlign w:val="bottom"/>
            <w:tcBorders>
              <w:bottom w:val="single" w:sz="8" w:color="auto"/>
              <w:right w:val="single" w:sz="8" w:color="auto"/>
            </w:tcBorders>
          </w:tcPr>
          <w:p>
            <w:pPr>
              <w:spacing w:after="0"/>
              <w:rPr>
                <w:sz w:val="21"/>
                <w:szCs w:val="21"/>
                <w:color w:val="auto"/>
              </w:rPr>
            </w:pPr>
          </w:p>
        </w:tc>
        <w:tc>
          <w:tcPr>
            <w:tcW w:w="2000" w:type="dxa"/>
            <w:vAlign w:val="bottom"/>
            <w:tcBorders>
              <w:bottom w:val="single" w:sz="8" w:color="auto"/>
              <w:right w:val="single" w:sz="8" w:color="auto"/>
            </w:tcBorders>
          </w:tcPr>
          <w:p>
            <w:pPr>
              <w:spacing w:after="0"/>
              <w:rPr>
                <w:sz w:val="21"/>
                <w:szCs w:val="21"/>
                <w:color w:val="auto"/>
              </w:rPr>
            </w:pPr>
          </w:p>
        </w:tc>
        <w:tc>
          <w:tcPr>
            <w:tcW w:w="3520" w:type="dxa"/>
            <w:vAlign w:val="bottom"/>
            <w:tcBorders>
              <w:bottom w:val="single" w:sz="8" w:color="auto"/>
              <w:right w:val="single" w:sz="8" w:color="auto"/>
            </w:tcBorders>
          </w:tcPr>
          <w:p>
            <w:pPr>
              <w:spacing w:after="0"/>
              <w:rPr>
                <w:sz w:val="21"/>
                <w:szCs w:val="21"/>
                <w:color w:val="auto"/>
              </w:rPr>
            </w:pPr>
          </w:p>
        </w:tc>
      </w:tr>
      <w:tr>
        <w:trPr>
          <w:trHeight w:val="256"/>
        </w:trPr>
        <w:tc>
          <w:tcPr>
            <w:tcW w:w="26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Pricing Level V</w:t>
            </w:r>
          </w:p>
        </w:tc>
        <w:tc>
          <w:tcPr>
            <w:tcW w:w="3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6"/>
              </w:rPr>
              <w:t>1.75%</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0.75%</w:t>
            </w:r>
          </w:p>
        </w:tc>
        <w:tc>
          <w:tcPr>
            <w:tcW w:w="3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0.15%</w:t>
            </w:r>
          </w:p>
        </w:tc>
      </w:tr>
      <w:tr>
        <w:trPr>
          <w:trHeight w:val="251"/>
        </w:trPr>
        <w:tc>
          <w:tcPr>
            <w:tcW w:w="2660" w:type="dxa"/>
            <w:vAlign w:val="bottom"/>
            <w:tcBorders>
              <w:left w:val="single" w:sz="8" w:color="auto"/>
              <w:bottom w:val="single" w:sz="8" w:color="auto"/>
              <w:right w:val="single" w:sz="8" w:color="auto"/>
            </w:tcBorders>
          </w:tcPr>
          <w:p>
            <w:pPr>
              <w:spacing w:after="0"/>
              <w:rPr>
                <w:sz w:val="21"/>
                <w:szCs w:val="21"/>
                <w:color w:val="auto"/>
              </w:rPr>
            </w:pPr>
          </w:p>
        </w:tc>
        <w:tc>
          <w:tcPr>
            <w:tcW w:w="3080" w:type="dxa"/>
            <w:vAlign w:val="bottom"/>
            <w:tcBorders>
              <w:bottom w:val="single" w:sz="8" w:color="auto"/>
              <w:right w:val="single" w:sz="8" w:color="auto"/>
            </w:tcBorders>
          </w:tcPr>
          <w:p>
            <w:pPr>
              <w:spacing w:after="0"/>
              <w:rPr>
                <w:sz w:val="21"/>
                <w:szCs w:val="21"/>
                <w:color w:val="auto"/>
              </w:rPr>
            </w:pPr>
          </w:p>
        </w:tc>
        <w:tc>
          <w:tcPr>
            <w:tcW w:w="2000" w:type="dxa"/>
            <w:vAlign w:val="bottom"/>
            <w:tcBorders>
              <w:bottom w:val="single" w:sz="8" w:color="auto"/>
              <w:right w:val="single" w:sz="8" w:color="auto"/>
            </w:tcBorders>
          </w:tcPr>
          <w:p>
            <w:pPr>
              <w:spacing w:after="0"/>
              <w:rPr>
                <w:sz w:val="21"/>
                <w:szCs w:val="21"/>
                <w:color w:val="auto"/>
              </w:rPr>
            </w:pPr>
          </w:p>
        </w:tc>
        <w:tc>
          <w:tcPr>
            <w:tcW w:w="3520" w:type="dxa"/>
            <w:vAlign w:val="bottom"/>
            <w:tcBorders>
              <w:bottom w:val="single" w:sz="8" w:color="auto"/>
              <w:right w:val="single" w:sz="8" w:color="auto"/>
            </w:tcBorders>
          </w:tcPr>
          <w:p>
            <w:pPr>
              <w:spacing w:after="0"/>
              <w:rPr>
                <w:sz w:val="21"/>
                <w:szCs w:val="21"/>
                <w:color w:val="auto"/>
              </w:rPr>
            </w:pPr>
          </w:p>
        </w:tc>
      </w:tr>
    </w:tbl>
    <w:p>
      <w:pPr>
        <w:spacing w:after="0" w:line="315" w:lineRule="exact"/>
        <w:rPr>
          <w:sz w:val="20"/>
          <w:szCs w:val="20"/>
          <w:color w:val="auto"/>
        </w:rPr>
      </w:pPr>
    </w:p>
    <w:p>
      <w:pPr>
        <w:jc w:val="both"/>
        <w:ind w:right="20"/>
        <w:spacing w:after="0" w:line="236" w:lineRule="auto"/>
        <w:rPr>
          <w:sz w:val="20"/>
          <w:szCs w:val="20"/>
          <w:color w:val="auto"/>
        </w:rPr>
      </w:pPr>
      <w:r>
        <w:rPr>
          <w:rFonts w:ascii="Times New Roman" w:cs="Times New Roman" w:eastAsia="Times New Roman" w:hAnsi="Times New Roman"/>
          <w:sz w:val="20"/>
          <w:szCs w:val="20"/>
          <w:color w:val="auto"/>
        </w:rPr>
        <w:t>For purposes hereof: (i) Pricing Level I, Leverage Level 1 and Ratings Level A are equivalent and correspond to each other, (ii) Pricing Level II, Leverage Level 2 and Ratings Level B are equivalent and correspond to each other, (iii) Pricing Level III, Leverage Level 3 and Ratings Level C are equivalent and correspond to each other, (iv) Pricing Level IV, Leverage Level 4 and Ratings Level D are equivalent and correspond to each other and (v) Pricing Level V, Leverage Level 5 and Ratings Level E are equivalent and correspond to each other.</w:t>
      </w:r>
    </w:p>
    <w:p>
      <w:pPr>
        <w:spacing w:after="0" w:line="202"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Notwithstanding anything to the contrary in this definition, Pricing Level II shall be deemed to be applicable to each Tranche until the Administrative Agent’s receipt of the financial statements for the Company’s first fiscal quarter ending after the Closing Date.</w:t>
      </w:r>
    </w:p>
    <w:p>
      <w:pPr>
        <w:spacing w:after="0" w:line="186" w:lineRule="exact"/>
        <w:rPr>
          <w:sz w:val="20"/>
          <w:szCs w:val="20"/>
          <w:color w:val="auto"/>
        </w:rPr>
      </w:pPr>
    </w:p>
    <w:p>
      <w:pPr>
        <w:jc w:val="both"/>
        <w:ind w:right="20"/>
        <w:spacing w:after="0" w:line="233" w:lineRule="auto"/>
        <w:rPr>
          <w:sz w:val="20"/>
          <w:szCs w:val="20"/>
          <w:color w:val="auto"/>
        </w:rPr>
      </w:pPr>
      <w:r>
        <w:rPr>
          <w:rFonts w:ascii="Times New Roman" w:cs="Times New Roman" w:eastAsia="Times New Roman" w:hAnsi="Times New Roman"/>
          <w:sz w:val="20"/>
          <w:szCs w:val="20"/>
          <w:color w:val="auto"/>
        </w:rPr>
        <w:t>At any time of determination, the Pricing Level shall be determined by reference to the Leverage Level or the Ratings Level, as the Company shall from time to time elect by written notice to the Administrative Agent, and any change in Pricing Level resulting from such election by the Company shall be effected as promptly as practicable by the Administrative Agent after receiving such written election from the Company (but in any event no later than three (3) Business Days after such receipt). Notwithstanding the foregoing or anything else contained in this Agreement to the contrary, the Company shall not be permitted to elect to determine the Pricing Level by reference to the Leverage Level at any time on or after the Leverage Pricing Termination Date. On and after the Leverage Pricing Termination Date, the Pricing Level shall be determined solely by reference to the Ratings Level.</w:t>
      </w:r>
    </w:p>
    <w:p>
      <w:pPr>
        <w:spacing w:after="0" w:line="187" w:lineRule="exact"/>
        <w:rPr>
          <w:sz w:val="20"/>
          <w:szCs w:val="20"/>
          <w:color w:val="auto"/>
        </w:rPr>
      </w:pPr>
    </w:p>
    <w:tbl>
      <w:tblPr>
        <w:tblLayout w:type="fixed"/>
        <w:tblInd w:w="1830" w:type="dxa"/>
        <w:tblCellMar>
          <w:top w:w="0" w:type="dxa"/>
          <w:left w:w="0" w:type="dxa"/>
          <w:bottom w:w="0" w:type="dxa"/>
          <w:right w:w="0" w:type="dxa"/>
        </w:tblCellMar>
      </w:tblPr>
      <w:tr>
        <w:trPr>
          <w:trHeight w:val="230"/>
        </w:trPr>
        <w:tc>
          <w:tcPr>
            <w:tcW w:w="2260" w:type="dxa"/>
            <w:vAlign w:val="bottom"/>
          </w:tcPr>
          <w:p>
            <w:pPr>
              <w:spacing w:after="0"/>
              <w:rPr>
                <w:sz w:val="19"/>
                <w:szCs w:val="19"/>
                <w:color w:val="auto"/>
              </w:rPr>
            </w:pPr>
          </w:p>
        </w:tc>
        <w:tc>
          <w:tcPr>
            <w:tcW w:w="3140" w:type="dxa"/>
            <w:vAlign w:val="bottom"/>
            <w:gridSpan w:val="3"/>
          </w:tcPr>
          <w:p>
            <w:pPr>
              <w:jc w:val="center"/>
              <w:ind w:right="40"/>
              <w:spacing w:after="0"/>
              <w:rPr>
                <w:sz w:val="20"/>
                <w:szCs w:val="20"/>
                <w:color w:val="auto"/>
              </w:rPr>
            </w:pPr>
            <w:r>
              <w:rPr>
                <w:rFonts w:ascii="Times New Roman" w:cs="Times New Roman" w:eastAsia="Times New Roman" w:hAnsi="Times New Roman"/>
                <w:sz w:val="20"/>
                <w:szCs w:val="20"/>
                <w:color w:val="auto"/>
                <w:w w:val="98"/>
              </w:rPr>
              <w:t>Leverage Level Determination</w:t>
            </w:r>
          </w:p>
        </w:tc>
      </w:tr>
      <w:tr>
        <w:trPr>
          <w:trHeight w:val="277"/>
        </w:trPr>
        <w:tc>
          <w:tcPr>
            <w:tcW w:w="2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20" w:type="dxa"/>
            <w:vAlign w:val="bottom"/>
            <w:tcBorders>
              <w:top w:val="single" w:sz="8" w:color="auto"/>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r>
      <w:tr>
        <w:trPr>
          <w:trHeight w:val="250"/>
        </w:trPr>
        <w:tc>
          <w:tcPr>
            <w:tcW w:w="22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Leverage Level</w:t>
            </w:r>
          </w:p>
        </w:tc>
        <w:tc>
          <w:tcPr>
            <w:tcW w:w="340" w:type="dxa"/>
            <w:vAlign w:val="bottom"/>
            <w:tcBorders>
              <w:bottom w:val="single" w:sz="8" w:color="auto"/>
            </w:tcBorders>
          </w:tcPr>
          <w:p>
            <w:pPr>
              <w:spacing w:after="0"/>
              <w:rPr>
                <w:sz w:val="21"/>
                <w:szCs w:val="21"/>
                <w:color w:val="auto"/>
              </w:rPr>
            </w:pPr>
          </w:p>
        </w:tc>
        <w:tc>
          <w:tcPr>
            <w:tcW w:w="2800" w:type="dxa"/>
            <w:vAlign w:val="bottom"/>
            <w:tcBorders>
              <w:bottom w:val="single" w:sz="8" w:color="auto"/>
              <w:right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20"/>
                <w:szCs w:val="20"/>
                <w:color w:val="auto"/>
                <w:w w:val="98"/>
              </w:rPr>
              <w:t>Total Net Leverage Ratio</w:t>
            </w:r>
          </w:p>
        </w:tc>
      </w:tr>
      <w:tr>
        <w:trPr>
          <w:trHeight w:val="250"/>
        </w:trPr>
        <w:tc>
          <w:tcPr>
            <w:tcW w:w="22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Level 1</w:t>
            </w:r>
          </w:p>
        </w:tc>
        <w:tc>
          <w:tcPr>
            <w:tcW w:w="340" w:type="dxa"/>
            <w:vAlign w:val="bottom"/>
            <w:tcBorders>
              <w:bottom w:val="single" w:sz="8" w:color="auto"/>
            </w:tcBorders>
          </w:tcPr>
          <w:p>
            <w:pPr>
              <w:spacing w:after="0"/>
              <w:rPr>
                <w:sz w:val="21"/>
                <w:szCs w:val="21"/>
                <w:color w:val="auto"/>
              </w:rPr>
            </w:pPr>
          </w:p>
        </w:tc>
        <w:tc>
          <w:tcPr>
            <w:tcW w:w="2800" w:type="dxa"/>
            <w:vAlign w:val="bottom"/>
            <w:tcBorders>
              <w:bottom w:val="single" w:sz="8" w:color="auto"/>
              <w:right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20"/>
                <w:szCs w:val="20"/>
                <w:color w:val="auto"/>
                <w:w w:val="98"/>
              </w:rPr>
              <w:t>≤ 0.75 to 1.00</w:t>
            </w:r>
          </w:p>
        </w:tc>
      </w:tr>
      <w:tr>
        <w:trPr>
          <w:trHeight w:val="187"/>
        </w:trPr>
        <w:tc>
          <w:tcPr>
            <w:tcW w:w="2260" w:type="dxa"/>
            <w:vAlign w:val="bottom"/>
            <w:tcBorders>
              <w:left w:val="single" w:sz="8" w:color="auto"/>
              <w:right w:val="single" w:sz="8" w:color="auto"/>
            </w:tcBorders>
          </w:tcPr>
          <w:p>
            <w:pPr>
              <w:jc w:val="center"/>
              <w:spacing w:after="0" w:line="186" w:lineRule="exact"/>
              <w:rPr>
                <w:sz w:val="20"/>
                <w:szCs w:val="20"/>
                <w:color w:val="auto"/>
              </w:rPr>
            </w:pPr>
            <w:r>
              <w:rPr>
                <w:rFonts w:ascii="Times New Roman" w:cs="Times New Roman" w:eastAsia="Times New Roman" w:hAnsi="Times New Roman"/>
                <w:sz w:val="20"/>
                <w:szCs w:val="20"/>
                <w:color w:val="auto"/>
                <w:w w:val="99"/>
              </w:rPr>
              <w:t>Level 2</w:t>
            </w:r>
          </w:p>
        </w:tc>
        <w:tc>
          <w:tcPr>
            <w:tcW w:w="340" w:type="dxa"/>
            <w:vAlign w:val="bottom"/>
          </w:tcPr>
          <w:p>
            <w:pPr>
              <w:spacing w:after="0"/>
              <w:rPr>
                <w:sz w:val="16"/>
                <w:szCs w:val="16"/>
                <w:color w:val="auto"/>
              </w:rPr>
            </w:pPr>
          </w:p>
        </w:tc>
        <w:tc>
          <w:tcPr>
            <w:tcW w:w="2800" w:type="dxa"/>
            <w:vAlign w:val="bottom"/>
            <w:tcBorders>
              <w:right w:val="single" w:sz="8" w:color="auto"/>
            </w:tcBorders>
            <w:gridSpan w:val="2"/>
          </w:tcPr>
          <w:p>
            <w:pPr>
              <w:jc w:val="center"/>
              <w:ind w:right="420"/>
              <w:spacing w:after="0" w:line="186" w:lineRule="exact"/>
              <w:rPr>
                <w:sz w:val="20"/>
                <w:szCs w:val="20"/>
                <w:color w:val="auto"/>
              </w:rPr>
            </w:pPr>
            <w:r>
              <w:rPr>
                <w:rFonts w:ascii="Times New Roman" w:cs="Times New Roman" w:eastAsia="Times New Roman" w:hAnsi="Times New Roman"/>
                <w:sz w:val="20"/>
                <w:szCs w:val="20"/>
                <w:color w:val="auto"/>
                <w:w w:val="99"/>
              </w:rPr>
              <w:t>&gt; 0.75 to 1.00 but</w:t>
            </w:r>
          </w:p>
        </w:tc>
      </w:tr>
      <w:tr>
        <w:trPr>
          <w:trHeight w:val="252"/>
        </w:trPr>
        <w:tc>
          <w:tcPr>
            <w:tcW w:w="2260" w:type="dxa"/>
            <w:vAlign w:val="bottom"/>
            <w:tcBorders>
              <w:left w:val="single" w:sz="8" w:color="auto"/>
              <w:bottom w:val="single" w:sz="8" w:color="auto"/>
              <w:right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800" w:type="dxa"/>
            <w:vAlign w:val="bottom"/>
            <w:tcBorders>
              <w:bottom w:val="single" w:sz="8" w:color="auto"/>
              <w:right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20"/>
                <w:szCs w:val="20"/>
                <w:color w:val="auto"/>
                <w:w w:val="98"/>
              </w:rPr>
              <w:t>≤ 1.25 to 1.00</w:t>
            </w:r>
          </w:p>
        </w:tc>
      </w:tr>
      <w:tr>
        <w:trPr>
          <w:trHeight w:val="187"/>
        </w:trPr>
        <w:tc>
          <w:tcPr>
            <w:tcW w:w="2260" w:type="dxa"/>
            <w:vAlign w:val="bottom"/>
            <w:tcBorders>
              <w:left w:val="single" w:sz="8" w:color="auto"/>
              <w:right w:val="single" w:sz="8" w:color="auto"/>
            </w:tcBorders>
          </w:tcPr>
          <w:p>
            <w:pPr>
              <w:jc w:val="center"/>
              <w:spacing w:after="0" w:line="186" w:lineRule="exact"/>
              <w:rPr>
                <w:sz w:val="20"/>
                <w:szCs w:val="20"/>
                <w:color w:val="auto"/>
              </w:rPr>
            </w:pPr>
            <w:r>
              <w:rPr>
                <w:rFonts w:ascii="Times New Roman" w:cs="Times New Roman" w:eastAsia="Times New Roman" w:hAnsi="Times New Roman"/>
                <w:sz w:val="20"/>
                <w:szCs w:val="20"/>
                <w:color w:val="auto"/>
                <w:w w:val="99"/>
              </w:rPr>
              <w:t>Level 3</w:t>
            </w:r>
          </w:p>
        </w:tc>
        <w:tc>
          <w:tcPr>
            <w:tcW w:w="340" w:type="dxa"/>
            <w:vAlign w:val="bottom"/>
          </w:tcPr>
          <w:p>
            <w:pPr>
              <w:spacing w:after="0"/>
              <w:rPr>
                <w:sz w:val="16"/>
                <w:szCs w:val="16"/>
                <w:color w:val="auto"/>
              </w:rPr>
            </w:pPr>
          </w:p>
        </w:tc>
        <w:tc>
          <w:tcPr>
            <w:tcW w:w="2800" w:type="dxa"/>
            <w:vAlign w:val="bottom"/>
            <w:tcBorders>
              <w:right w:val="single" w:sz="8" w:color="auto"/>
            </w:tcBorders>
            <w:gridSpan w:val="2"/>
          </w:tcPr>
          <w:p>
            <w:pPr>
              <w:jc w:val="center"/>
              <w:ind w:right="420"/>
              <w:spacing w:after="0" w:line="186" w:lineRule="exact"/>
              <w:rPr>
                <w:sz w:val="20"/>
                <w:szCs w:val="20"/>
                <w:color w:val="auto"/>
              </w:rPr>
            </w:pPr>
            <w:r>
              <w:rPr>
                <w:rFonts w:ascii="Times New Roman" w:cs="Times New Roman" w:eastAsia="Times New Roman" w:hAnsi="Times New Roman"/>
                <w:sz w:val="20"/>
                <w:szCs w:val="20"/>
                <w:color w:val="auto"/>
                <w:w w:val="99"/>
              </w:rPr>
              <w:t>&gt; 1.25 to 1.00 but</w:t>
            </w:r>
          </w:p>
        </w:tc>
      </w:tr>
      <w:tr>
        <w:trPr>
          <w:trHeight w:val="252"/>
        </w:trPr>
        <w:tc>
          <w:tcPr>
            <w:tcW w:w="2260" w:type="dxa"/>
            <w:vAlign w:val="bottom"/>
            <w:tcBorders>
              <w:left w:val="single" w:sz="8" w:color="auto"/>
              <w:bottom w:val="single" w:sz="8" w:color="auto"/>
              <w:right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800" w:type="dxa"/>
            <w:vAlign w:val="bottom"/>
            <w:tcBorders>
              <w:bottom w:val="single" w:sz="8" w:color="auto"/>
              <w:right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20"/>
                <w:szCs w:val="20"/>
                <w:color w:val="auto"/>
                <w:w w:val="98"/>
              </w:rPr>
              <w:t>≤ 2.25 to 1.00</w:t>
            </w:r>
          </w:p>
        </w:tc>
      </w:tr>
      <w:tr>
        <w:trPr>
          <w:trHeight w:val="187"/>
        </w:trPr>
        <w:tc>
          <w:tcPr>
            <w:tcW w:w="2260" w:type="dxa"/>
            <w:vAlign w:val="bottom"/>
            <w:tcBorders>
              <w:left w:val="single" w:sz="8" w:color="auto"/>
              <w:right w:val="single" w:sz="8" w:color="auto"/>
            </w:tcBorders>
          </w:tcPr>
          <w:p>
            <w:pPr>
              <w:jc w:val="center"/>
              <w:spacing w:after="0" w:line="186" w:lineRule="exact"/>
              <w:rPr>
                <w:sz w:val="20"/>
                <w:szCs w:val="20"/>
                <w:color w:val="auto"/>
              </w:rPr>
            </w:pPr>
            <w:r>
              <w:rPr>
                <w:rFonts w:ascii="Times New Roman" w:cs="Times New Roman" w:eastAsia="Times New Roman" w:hAnsi="Times New Roman"/>
                <w:sz w:val="20"/>
                <w:szCs w:val="20"/>
                <w:color w:val="auto"/>
                <w:w w:val="99"/>
              </w:rPr>
              <w:t>Level 4</w:t>
            </w:r>
          </w:p>
        </w:tc>
        <w:tc>
          <w:tcPr>
            <w:tcW w:w="340" w:type="dxa"/>
            <w:vAlign w:val="bottom"/>
          </w:tcPr>
          <w:p>
            <w:pPr>
              <w:spacing w:after="0"/>
              <w:rPr>
                <w:sz w:val="16"/>
                <w:szCs w:val="16"/>
                <w:color w:val="auto"/>
              </w:rPr>
            </w:pPr>
          </w:p>
        </w:tc>
        <w:tc>
          <w:tcPr>
            <w:tcW w:w="2800" w:type="dxa"/>
            <w:vAlign w:val="bottom"/>
            <w:tcBorders>
              <w:right w:val="single" w:sz="8" w:color="auto"/>
            </w:tcBorders>
            <w:gridSpan w:val="2"/>
          </w:tcPr>
          <w:p>
            <w:pPr>
              <w:jc w:val="center"/>
              <w:ind w:right="420"/>
              <w:spacing w:after="0" w:line="186" w:lineRule="exact"/>
              <w:rPr>
                <w:sz w:val="20"/>
                <w:szCs w:val="20"/>
                <w:color w:val="auto"/>
              </w:rPr>
            </w:pPr>
            <w:r>
              <w:rPr>
                <w:rFonts w:ascii="Times New Roman" w:cs="Times New Roman" w:eastAsia="Times New Roman" w:hAnsi="Times New Roman"/>
                <w:sz w:val="20"/>
                <w:szCs w:val="20"/>
                <w:color w:val="auto"/>
                <w:w w:val="99"/>
              </w:rPr>
              <w:t>&gt; 2.25 to 1.00 but</w:t>
            </w:r>
          </w:p>
        </w:tc>
      </w:tr>
      <w:tr>
        <w:trPr>
          <w:trHeight w:val="252"/>
        </w:trPr>
        <w:tc>
          <w:tcPr>
            <w:tcW w:w="2260" w:type="dxa"/>
            <w:vAlign w:val="bottom"/>
            <w:tcBorders>
              <w:left w:val="single" w:sz="8" w:color="auto"/>
              <w:bottom w:val="single" w:sz="8" w:color="auto"/>
              <w:right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800" w:type="dxa"/>
            <w:vAlign w:val="bottom"/>
            <w:tcBorders>
              <w:bottom w:val="single" w:sz="8" w:color="auto"/>
              <w:right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20"/>
                <w:szCs w:val="20"/>
                <w:color w:val="auto"/>
                <w:w w:val="98"/>
              </w:rPr>
              <w:t>≤ 3.25 to 1.00</w:t>
            </w:r>
          </w:p>
        </w:tc>
      </w:tr>
      <w:tr>
        <w:trPr>
          <w:trHeight w:val="250"/>
        </w:trPr>
        <w:tc>
          <w:tcPr>
            <w:tcW w:w="22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Level 5</w:t>
            </w:r>
          </w:p>
        </w:tc>
        <w:tc>
          <w:tcPr>
            <w:tcW w:w="340" w:type="dxa"/>
            <w:vAlign w:val="bottom"/>
            <w:tcBorders>
              <w:bottom w:val="single" w:sz="8" w:color="auto"/>
            </w:tcBorders>
          </w:tcPr>
          <w:p>
            <w:pPr>
              <w:spacing w:after="0"/>
              <w:rPr>
                <w:sz w:val="21"/>
                <w:szCs w:val="21"/>
                <w:color w:val="auto"/>
              </w:rPr>
            </w:pPr>
          </w:p>
        </w:tc>
        <w:tc>
          <w:tcPr>
            <w:tcW w:w="2800" w:type="dxa"/>
            <w:vAlign w:val="bottom"/>
            <w:tcBorders>
              <w:bottom w:val="single" w:sz="8" w:color="auto"/>
              <w:right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20"/>
                <w:szCs w:val="20"/>
                <w:color w:val="auto"/>
                <w:w w:val="98"/>
              </w:rPr>
              <w:t>&gt; 3.25 to 1.00</w:t>
            </w:r>
          </w:p>
        </w:tc>
      </w:tr>
    </w:tbl>
    <w:p>
      <w:pPr>
        <w:spacing w:after="0" w:line="315" w:lineRule="exact"/>
        <w:rPr>
          <w:sz w:val="20"/>
          <w:szCs w:val="20"/>
          <w:color w:val="auto"/>
        </w:rPr>
      </w:pPr>
    </w:p>
    <w:p>
      <w:pPr>
        <w:jc w:val="both"/>
        <w:ind w:right="20" w:firstLine="8"/>
        <w:spacing w:after="0"/>
        <w:tabs>
          <w:tab w:leader="none" w:pos="236" w:val="left"/>
        </w:tabs>
        <w:numPr>
          <w:ilvl w:val="0"/>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at any time the Company fails to deliver the Financials on or before the date the Financials are due pursuant to Section 5.01, Leverage Level 5 shall be deemed applicable for the period commencing three (3) Business Days after the required date of delivery and ending on the date which is three (3) Business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60"/>
          </w:cols>
          <w:pgMar w:left="320" w:top="1440" w:right="319" w:bottom="1440" w:gutter="0" w:footer="0" w:header="0"/>
        </w:sectPr>
      </w:pPr>
    </w:p>
    <w:bookmarkStart w:id="177" w:name="page178"/>
    <w:bookmarkEnd w:id="177"/>
    <w:p>
      <w:pPr>
        <w:spacing w:after="0" w:line="255" w:lineRule="auto"/>
        <w:rPr>
          <w:sz w:val="20"/>
          <w:szCs w:val="20"/>
          <w:color w:val="auto"/>
        </w:rPr>
      </w:pPr>
      <w:r>
        <w:rPr>
          <w:rFonts w:ascii="Times New Roman" w:cs="Times New Roman" w:eastAsia="Times New Roman" w:hAnsi="Times New Roman"/>
          <w:sz w:val="20"/>
          <w:szCs w:val="20"/>
          <w:color w:val="auto"/>
        </w:rPr>
        <w:t>Days after the Financials are actually delivered, after which the Leverage Level shall be determined in accordance with the table above as applicable; and</w:t>
      </w:r>
    </w:p>
    <w:p>
      <w:pPr>
        <w:spacing w:after="0" w:line="173" w:lineRule="exact"/>
        <w:rPr>
          <w:sz w:val="20"/>
          <w:szCs w:val="20"/>
          <w:color w:val="auto"/>
        </w:rPr>
      </w:pPr>
    </w:p>
    <w:p>
      <w:pPr>
        <w:ind w:right="160" w:firstLine="8"/>
        <w:spacing w:after="0" w:line="244" w:lineRule="auto"/>
        <w:tabs>
          <w:tab w:leader="none" w:pos="291" w:val="left"/>
        </w:tabs>
        <w:numPr>
          <w:ilvl w:val="0"/>
          <w:numId w:val="1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adjustments, if any, to the Leverage Level then in effect shall be effective three (3) Business Days after the Administrative Agent has received the applicable Financials (it being understood and agreed that each change in Leverage Level shall apply during the period commencing on the effective date of such change and ending on the date immediately preceding the effective date of the next such change).</w:t>
      </w:r>
    </w:p>
    <w:p>
      <w:pPr>
        <w:spacing w:after="0" w:line="166" w:lineRule="exact"/>
        <w:rPr>
          <w:sz w:val="20"/>
          <w:szCs w:val="20"/>
          <w:color w:val="auto"/>
        </w:rPr>
      </w:pPr>
    </w:p>
    <w:tbl>
      <w:tblPr>
        <w:tblLayout w:type="fixed"/>
        <w:tblInd w:w="1870" w:type="dxa"/>
        <w:tblCellMar>
          <w:top w:w="0" w:type="dxa"/>
          <w:left w:w="0" w:type="dxa"/>
          <w:bottom w:w="0" w:type="dxa"/>
          <w:right w:w="0" w:type="dxa"/>
        </w:tblCellMar>
      </w:tblPr>
      <w:tr>
        <w:trPr>
          <w:trHeight w:val="230"/>
        </w:trPr>
        <w:tc>
          <w:tcPr>
            <w:tcW w:w="2160" w:type="dxa"/>
            <w:vAlign w:val="bottom"/>
          </w:tcPr>
          <w:p>
            <w:pPr>
              <w:spacing w:after="0"/>
              <w:rPr>
                <w:sz w:val="19"/>
                <w:szCs w:val="19"/>
                <w:color w:val="auto"/>
              </w:rPr>
            </w:pPr>
          </w:p>
        </w:tc>
        <w:tc>
          <w:tcPr>
            <w:tcW w:w="3120" w:type="dxa"/>
            <w:vAlign w:val="bottom"/>
            <w:gridSpan w:val="3"/>
          </w:tcPr>
          <w:p>
            <w:pPr>
              <w:ind w:left="460"/>
              <w:spacing w:after="0"/>
              <w:rPr>
                <w:sz w:val="20"/>
                <w:szCs w:val="20"/>
                <w:color w:val="auto"/>
              </w:rPr>
            </w:pPr>
            <w:r>
              <w:rPr>
                <w:rFonts w:ascii="Times New Roman" w:cs="Times New Roman" w:eastAsia="Times New Roman" w:hAnsi="Times New Roman"/>
                <w:sz w:val="20"/>
                <w:szCs w:val="20"/>
                <w:color w:val="auto"/>
              </w:rPr>
              <w:t>Ratings Level Determination</w:t>
            </w:r>
          </w:p>
        </w:tc>
      </w:tr>
      <w:tr>
        <w:trPr>
          <w:trHeight w:val="277"/>
        </w:trPr>
        <w:tc>
          <w:tcPr>
            <w:tcW w:w="21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300" w:type="dxa"/>
            <w:vAlign w:val="bottom"/>
            <w:tcBorders>
              <w:top w:val="single" w:sz="8" w:color="auto"/>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r>
      <w:tr>
        <w:trPr>
          <w:trHeight w:val="241"/>
        </w:trPr>
        <w:tc>
          <w:tcPr>
            <w:tcW w:w="21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Ratings Level</w:t>
            </w:r>
          </w:p>
        </w:tc>
        <w:tc>
          <w:tcPr>
            <w:tcW w:w="460" w:type="dxa"/>
            <w:vAlign w:val="bottom"/>
          </w:tcPr>
          <w:p>
            <w:pPr>
              <w:spacing w:after="0"/>
              <w:rPr>
                <w:sz w:val="20"/>
                <w:szCs w:val="20"/>
                <w:color w:val="auto"/>
              </w:rPr>
            </w:pPr>
          </w:p>
        </w:tc>
        <w:tc>
          <w:tcPr>
            <w:tcW w:w="2660" w:type="dxa"/>
            <w:vAlign w:val="bottom"/>
            <w:tcBorders>
              <w:right w:val="single" w:sz="8" w:color="auto"/>
            </w:tcBorders>
            <w:gridSpan w:val="2"/>
          </w:tcPr>
          <w:p>
            <w:pPr>
              <w:jc w:val="center"/>
              <w:ind w:right="480"/>
              <w:spacing w:after="0"/>
              <w:rPr>
                <w:sz w:val="20"/>
                <w:szCs w:val="20"/>
                <w:color w:val="auto"/>
              </w:rPr>
            </w:pPr>
            <w:r>
              <w:rPr>
                <w:rFonts w:ascii="Times New Roman" w:cs="Times New Roman" w:eastAsia="Times New Roman" w:hAnsi="Times New Roman"/>
                <w:sz w:val="20"/>
                <w:szCs w:val="20"/>
                <w:color w:val="auto"/>
                <w:w w:val="98"/>
              </w:rPr>
              <w:t>Index Debt Ratings</w:t>
            </w:r>
          </w:p>
        </w:tc>
      </w:tr>
      <w:tr>
        <w:trPr>
          <w:trHeight w:val="258"/>
        </w:trPr>
        <w:tc>
          <w:tcPr>
            <w:tcW w:w="2160" w:type="dxa"/>
            <w:vAlign w:val="bottom"/>
            <w:tcBorders>
              <w:left w:val="single" w:sz="8" w:color="auto"/>
              <w:right w:val="single" w:sz="8" w:color="auto"/>
            </w:tcBorders>
          </w:tcPr>
          <w:p>
            <w:pPr>
              <w:spacing w:after="0"/>
              <w:rPr>
                <w:sz w:val="22"/>
                <w:szCs w:val="22"/>
                <w:color w:val="auto"/>
              </w:rPr>
            </w:pPr>
          </w:p>
        </w:tc>
        <w:tc>
          <w:tcPr>
            <w:tcW w:w="460" w:type="dxa"/>
            <w:vAlign w:val="bottom"/>
          </w:tcPr>
          <w:p>
            <w:pPr>
              <w:spacing w:after="0"/>
              <w:rPr>
                <w:sz w:val="22"/>
                <w:szCs w:val="22"/>
                <w:color w:val="auto"/>
              </w:rPr>
            </w:pPr>
          </w:p>
        </w:tc>
        <w:tc>
          <w:tcPr>
            <w:tcW w:w="2660" w:type="dxa"/>
            <w:vAlign w:val="bottom"/>
            <w:tcBorders>
              <w:right w:val="single" w:sz="8" w:color="auto"/>
            </w:tcBorders>
            <w:gridSpan w:val="2"/>
          </w:tcPr>
          <w:p>
            <w:pPr>
              <w:jc w:val="center"/>
              <w:ind w:right="480"/>
              <w:spacing w:after="0"/>
              <w:rPr>
                <w:sz w:val="20"/>
                <w:szCs w:val="20"/>
                <w:color w:val="auto"/>
              </w:rPr>
            </w:pPr>
            <w:r>
              <w:rPr>
                <w:rFonts w:ascii="Times New Roman" w:cs="Times New Roman" w:eastAsia="Times New Roman" w:hAnsi="Times New Roman"/>
                <w:sz w:val="20"/>
                <w:szCs w:val="20"/>
                <w:color w:val="auto"/>
                <w:w w:val="97"/>
              </w:rPr>
              <w:t>(S&amp;P/Moody’s)</w:t>
            </w:r>
          </w:p>
        </w:tc>
      </w:tr>
      <w:tr>
        <w:trPr>
          <w:trHeight w:val="21"/>
        </w:trPr>
        <w:tc>
          <w:tcPr>
            <w:tcW w:w="21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60" w:type="dxa"/>
            <w:vAlign w:val="bottom"/>
            <w:tcBorders>
              <w:bottom w:val="single" w:sz="8" w:color="auto"/>
              <w:right w:val="single" w:sz="8" w:color="auto"/>
            </w:tcBorders>
            <w:gridSpan w:val="2"/>
          </w:tcPr>
          <w:p>
            <w:pPr>
              <w:spacing w:after="0" w:line="20" w:lineRule="exact"/>
              <w:rPr>
                <w:sz w:val="1"/>
                <w:szCs w:val="1"/>
                <w:color w:val="auto"/>
              </w:rPr>
            </w:pPr>
          </w:p>
        </w:tc>
      </w:tr>
      <w:tr>
        <w:trPr>
          <w:trHeight w:val="250"/>
        </w:trPr>
        <w:tc>
          <w:tcPr>
            <w:tcW w:w="21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Level A</w:t>
            </w:r>
          </w:p>
        </w:tc>
        <w:tc>
          <w:tcPr>
            <w:tcW w:w="460" w:type="dxa"/>
            <w:vAlign w:val="bottom"/>
            <w:tcBorders>
              <w:bottom w:val="single" w:sz="8" w:color="auto"/>
            </w:tcBorders>
          </w:tcPr>
          <w:p>
            <w:pPr>
              <w:spacing w:after="0"/>
              <w:rPr>
                <w:sz w:val="21"/>
                <w:szCs w:val="21"/>
                <w:color w:val="auto"/>
              </w:rPr>
            </w:pPr>
          </w:p>
        </w:tc>
        <w:tc>
          <w:tcPr>
            <w:tcW w:w="2660" w:type="dxa"/>
            <w:vAlign w:val="bottom"/>
            <w:tcBorders>
              <w:bottom w:val="single" w:sz="8" w:color="auto"/>
              <w:right w:val="single" w:sz="8" w:color="auto"/>
            </w:tcBorders>
            <w:gridSpan w:val="2"/>
          </w:tcPr>
          <w:p>
            <w:pPr>
              <w:jc w:val="center"/>
              <w:ind w:right="500"/>
              <w:spacing w:after="0"/>
              <w:rPr>
                <w:sz w:val="20"/>
                <w:szCs w:val="20"/>
                <w:color w:val="auto"/>
              </w:rPr>
            </w:pPr>
            <w:r>
              <w:rPr>
                <w:rFonts w:ascii="Times New Roman" w:cs="Times New Roman" w:eastAsia="Times New Roman" w:hAnsi="Times New Roman"/>
                <w:sz w:val="20"/>
                <w:szCs w:val="20"/>
                <w:color w:val="auto"/>
                <w:w w:val="98"/>
              </w:rPr>
              <w:t>A/A2 or higher</w:t>
            </w:r>
          </w:p>
        </w:tc>
      </w:tr>
      <w:tr>
        <w:trPr>
          <w:trHeight w:val="250"/>
        </w:trPr>
        <w:tc>
          <w:tcPr>
            <w:tcW w:w="21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6"/>
              </w:rPr>
              <w:t>Level B</w:t>
            </w:r>
          </w:p>
        </w:tc>
        <w:tc>
          <w:tcPr>
            <w:tcW w:w="460" w:type="dxa"/>
            <w:vAlign w:val="bottom"/>
            <w:tcBorders>
              <w:bottom w:val="single" w:sz="8" w:color="auto"/>
            </w:tcBorders>
          </w:tcPr>
          <w:p>
            <w:pPr>
              <w:spacing w:after="0"/>
              <w:rPr>
                <w:sz w:val="21"/>
                <w:szCs w:val="21"/>
                <w:color w:val="auto"/>
              </w:rPr>
            </w:pPr>
          </w:p>
        </w:tc>
        <w:tc>
          <w:tcPr>
            <w:tcW w:w="2660" w:type="dxa"/>
            <w:vAlign w:val="bottom"/>
            <w:tcBorders>
              <w:bottom w:val="single" w:sz="8" w:color="auto"/>
              <w:right w:val="single" w:sz="8" w:color="auto"/>
            </w:tcBorders>
            <w:gridSpan w:val="2"/>
          </w:tcPr>
          <w:p>
            <w:pPr>
              <w:jc w:val="center"/>
              <w:ind w:right="480"/>
              <w:spacing w:after="0"/>
              <w:rPr>
                <w:sz w:val="20"/>
                <w:szCs w:val="20"/>
                <w:color w:val="auto"/>
              </w:rPr>
            </w:pPr>
            <w:r>
              <w:rPr>
                <w:rFonts w:ascii="Times New Roman" w:cs="Times New Roman" w:eastAsia="Times New Roman" w:hAnsi="Times New Roman"/>
                <w:sz w:val="20"/>
                <w:szCs w:val="20"/>
                <w:color w:val="auto"/>
                <w:w w:val="97"/>
              </w:rPr>
              <w:t>A-/A3</w:t>
            </w:r>
          </w:p>
        </w:tc>
      </w:tr>
      <w:tr>
        <w:trPr>
          <w:trHeight w:val="250"/>
        </w:trPr>
        <w:tc>
          <w:tcPr>
            <w:tcW w:w="21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6"/>
              </w:rPr>
              <w:t>Level C</w:t>
            </w:r>
          </w:p>
        </w:tc>
        <w:tc>
          <w:tcPr>
            <w:tcW w:w="460" w:type="dxa"/>
            <w:vAlign w:val="bottom"/>
            <w:tcBorders>
              <w:bottom w:val="single" w:sz="8" w:color="auto"/>
            </w:tcBorders>
          </w:tcPr>
          <w:p>
            <w:pPr>
              <w:spacing w:after="0"/>
              <w:rPr>
                <w:sz w:val="21"/>
                <w:szCs w:val="21"/>
                <w:color w:val="auto"/>
              </w:rPr>
            </w:pPr>
          </w:p>
        </w:tc>
        <w:tc>
          <w:tcPr>
            <w:tcW w:w="2660" w:type="dxa"/>
            <w:vAlign w:val="bottom"/>
            <w:tcBorders>
              <w:bottom w:val="single" w:sz="8" w:color="auto"/>
              <w:right w:val="single" w:sz="8" w:color="auto"/>
            </w:tcBorders>
            <w:gridSpan w:val="2"/>
          </w:tcPr>
          <w:p>
            <w:pPr>
              <w:jc w:val="center"/>
              <w:ind w:right="500"/>
              <w:spacing w:after="0"/>
              <w:rPr>
                <w:sz w:val="20"/>
                <w:szCs w:val="20"/>
                <w:color w:val="auto"/>
              </w:rPr>
            </w:pPr>
            <w:r>
              <w:rPr>
                <w:rFonts w:ascii="Times New Roman" w:cs="Times New Roman" w:eastAsia="Times New Roman" w:hAnsi="Times New Roman"/>
                <w:sz w:val="20"/>
                <w:szCs w:val="20"/>
                <w:color w:val="auto"/>
                <w:w w:val="97"/>
              </w:rPr>
              <w:t>BBB+/Baa1</w:t>
            </w:r>
          </w:p>
        </w:tc>
      </w:tr>
      <w:tr>
        <w:trPr>
          <w:trHeight w:val="250"/>
        </w:trPr>
        <w:tc>
          <w:tcPr>
            <w:tcW w:w="21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Level D</w:t>
            </w:r>
          </w:p>
        </w:tc>
        <w:tc>
          <w:tcPr>
            <w:tcW w:w="460" w:type="dxa"/>
            <w:vAlign w:val="bottom"/>
            <w:tcBorders>
              <w:bottom w:val="single" w:sz="8" w:color="auto"/>
            </w:tcBorders>
          </w:tcPr>
          <w:p>
            <w:pPr>
              <w:spacing w:after="0"/>
              <w:rPr>
                <w:sz w:val="21"/>
                <w:szCs w:val="21"/>
                <w:color w:val="auto"/>
              </w:rPr>
            </w:pPr>
          </w:p>
        </w:tc>
        <w:tc>
          <w:tcPr>
            <w:tcW w:w="2660" w:type="dxa"/>
            <w:vAlign w:val="bottom"/>
            <w:tcBorders>
              <w:bottom w:val="single" w:sz="8" w:color="auto"/>
              <w:right w:val="single" w:sz="8" w:color="auto"/>
            </w:tcBorders>
            <w:gridSpan w:val="2"/>
          </w:tcPr>
          <w:p>
            <w:pPr>
              <w:jc w:val="center"/>
              <w:ind w:right="480"/>
              <w:spacing w:after="0"/>
              <w:rPr>
                <w:sz w:val="20"/>
                <w:szCs w:val="20"/>
                <w:color w:val="auto"/>
              </w:rPr>
            </w:pPr>
            <w:r>
              <w:rPr>
                <w:rFonts w:ascii="Times New Roman" w:cs="Times New Roman" w:eastAsia="Times New Roman" w:hAnsi="Times New Roman"/>
                <w:sz w:val="20"/>
                <w:szCs w:val="20"/>
                <w:color w:val="auto"/>
                <w:w w:val="99"/>
              </w:rPr>
              <w:t>BBB/Baa2</w:t>
            </w:r>
          </w:p>
        </w:tc>
      </w:tr>
      <w:tr>
        <w:trPr>
          <w:trHeight w:val="250"/>
        </w:trPr>
        <w:tc>
          <w:tcPr>
            <w:tcW w:w="21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Level E</w:t>
            </w:r>
          </w:p>
        </w:tc>
        <w:tc>
          <w:tcPr>
            <w:tcW w:w="460" w:type="dxa"/>
            <w:vAlign w:val="bottom"/>
            <w:tcBorders>
              <w:bottom w:val="single" w:sz="8" w:color="auto"/>
            </w:tcBorders>
          </w:tcPr>
          <w:p>
            <w:pPr>
              <w:spacing w:after="0"/>
              <w:rPr>
                <w:sz w:val="21"/>
                <w:szCs w:val="21"/>
                <w:color w:val="auto"/>
              </w:rPr>
            </w:pPr>
          </w:p>
        </w:tc>
        <w:tc>
          <w:tcPr>
            <w:tcW w:w="2660" w:type="dxa"/>
            <w:vAlign w:val="bottom"/>
            <w:tcBorders>
              <w:bottom w:val="single" w:sz="8" w:color="auto"/>
              <w:right w:val="single" w:sz="8" w:color="auto"/>
            </w:tcBorders>
            <w:gridSpan w:val="2"/>
          </w:tcPr>
          <w:p>
            <w:pPr>
              <w:jc w:val="center"/>
              <w:ind w:right="500"/>
              <w:spacing w:after="0"/>
              <w:rPr>
                <w:sz w:val="20"/>
                <w:szCs w:val="20"/>
                <w:color w:val="auto"/>
              </w:rPr>
            </w:pPr>
            <w:r>
              <w:rPr>
                <w:rFonts w:ascii="Times New Roman" w:cs="Times New Roman" w:eastAsia="Times New Roman" w:hAnsi="Times New Roman"/>
                <w:sz w:val="20"/>
                <w:szCs w:val="20"/>
                <w:color w:val="auto"/>
                <w:w w:val="99"/>
              </w:rPr>
              <w:t>BBB-/Baa3 or lower</w:t>
            </w:r>
          </w:p>
        </w:tc>
      </w:tr>
    </w:tbl>
    <w:p>
      <w:pPr>
        <w:spacing w:after="0" w:line="315"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For purposes of the foregoing, (i) if neither Moody’s nor S&amp;P shall have in effect a rating for the Index Debt (other than by reason of the circumstances referred to in the last sentence of this definition), then Ratings Level E shall be in effect; (ii) if only one of Moody’s or S&amp;P provides a rating for the Index Debt, the Ratings Level corresponding to such rating shall be in effect; (iii) if the ratings for the Index Debt established or deemed to have been established by Moody’s and S&amp;P shall fall within different Ratings Levels, the Ratings Level then in effect shall be based on the higher of the two ratings unless one of the two ratings is two or more Ratings Levels lower than the other, in which case the Ratings Level then in effect shall be determined by reference to the Ratings Level next above that of the lower of the two ratings; and (iv) if the ratings established or deemed to have been established by Moody’s or S&amp;P for the Index Debt shall be changed (other than as a result of a change in the rating system of Moody’s or S&amp;P), such change shall be effective as of the third Business Day following the date on which it is first announced by the applicable rating agency, irrespective of when notice of such change shall have been furnished by the Company to the Administrative Agent and the Lenders pursuant to Section 5.01 or otherwise. Each change in the Ratings Level shall apply during the period commencing on the effective date of such change and ending on the date immediately preceding the effective date of the next such change. If the rating system of Moody’s or S&amp;P shall change, or if either such rating agency shall cease to be in the business of rating corporate debt obligations, the Company and the Lenders shall negotiate in good faith to amend this definition to reflect such changed rating system or the unavailability of ratings from such rating agency and, pending the effectiveness of any such amendment, the Ratings Level shall be determined by reference to the rating most recently in effect prior to such change or cessation.</w:t>
      </w:r>
    </w:p>
    <w:p>
      <w:pPr>
        <w:spacing w:after="0" w:line="1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Approved Electronic Platform</w:t>
      </w:r>
      <w:r>
        <w:rPr>
          <w:rFonts w:ascii="Times New Roman" w:cs="Times New Roman" w:eastAsia="Times New Roman" w:hAnsi="Times New Roman"/>
          <w:sz w:val="20"/>
          <w:szCs w:val="20"/>
          <w:color w:val="auto"/>
        </w:rPr>
        <w:t>” has the meaning assigned to such term in Section 8.03(a).</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Approved Fund</w:t>
      </w:r>
      <w:r>
        <w:rPr>
          <w:rFonts w:ascii="Times New Roman" w:cs="Times New Roman" w:eastAsia="Times New Roman" w:hAnsi="Times New Roman"/>
          <w:sz w:val="20"/>
          <w:szCs w:val="20"/>
          <w:color w:val="auto"/>
        </w:rPr>
        <w:t>” has the meaning assigned to such term in Section 9.04(b).</w:t>
      </w:r>
    </w:p>
    <w:p>
      <w:pPr>
        <w:spacing w:after="0" w:line="189"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Arranger</w:t>
      </w:r>
      <w:r>
        <w:rPr>
          <w:rFonts w:ascii="Times New Roman" w:cs="Times New Roman" w:eastAsia="Times New Roman" w:hAnsi="Times New Roman"/>
          <w:sz w:val="20"/>
          <w:szCs w:val="20"/>
          <w:color w:val="auto"/>
        </w:rPr>
        <w:t>” means each of BofA Securities, Inc., JPMorgan Chase Bank, N.A., PNC Capital Markets LLC, Truist Securities, Inc. and Wells Fargo Securities, LLC in its capacity as a joint bookrunner and a joint lead arranger hereunder.</w:t>
      </w:r>
    </w:p>
    <w:p>
      <w:pPr>
        <w:spacing w:after="0" w:line="11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Assignment and Assumption</w:t>
      </w:r>
      <w:r>
        <w:rPr>
          <w:rFonts w:ascii="Times New Roman" w:cs="Times New Roman" w:eastAsia="Times New Roman" w:hAnsi="Times New Roman"/>
          <w:sz w:val="20"/>
          <w:szCs w:val="20"/>
          <w:color w:val="auto"/>
        </w:rPr>
        <w:t xml:space="preserve">” means an assignment and assumption agreement entered into by a Lender and an assignee (with the consent of any party whose consent is required by Section 9.04), and accepted by the Administrative Agent, in the form of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or any other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413" w:right="33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20"/>
          <w:szCs w:val="20"/>
          <w:color w:val="auto"/>
        </w:rPr>
        <w:t>(including electronic records generated by the use of an electronic platform) approved by the Administrative Agent.</w:t>
      </w:r>
    </w:p>
    <w:p>
      <w:pPr>
        <w:spacing w:after="0" w:line="18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Attributable Receivables Indebtedness</w:t>
      </w:r>
      <w:r>
        <w:rPr>
          <w:rFonts w:ascii="Times New Roman" w:cs="Times New Roman" w:eastAsia="Times New Roman" w:hAnsi="Times New Roman"/>
          <w:sz w:val="20"/>
          <w:szCs w:val="20"/>
          <w:color w:val="auto"/>
        </w:rPr>
        <w:t>” at any time shall mean the principal amount of Indebtedness which (i) if a Permitted Receivables Facility is structured as a secured lending arrangement, constitutes the principal amount of such Indebtedness or (ii) if a Permitted Receivables Facility is structured as a purchase agreement, would be outstanding at such time under the Permitted Receivables Facility if the same were structured as a secured lending arrangement rather than a purchase arrangement.</w:t>
      </w:r>
    </w:p>
    <w:p>
      <w:pPr>
        <w:spacing w:after="0" w:line="14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Availability Period</w:t>
      </w:r>
      <w:r>
        <w:rPr>
          <w:rFonts w:ascii="Times New Roman" w:cs="Times New Roman" w:eastAsia="Times New Roman" w:hAnsi="Times New Roman"/>
          <w:sz w:val="20"/>
          <w:szCs w:val="20"/>
          <w:color w:val="auto"/>
        </w:rPr>
        <w:t>” means the period from and including the Effective Date to the earliest of (i) the date that is five (5) business days after the “Termination Date” (as defined in the Indicor Acquisition Agreement as in effect on May 5, 2026 and as such date may be extended in accordance with Section 9.1(d) of the Indicor Acquisition Agreement as in effect on May 5, 2026, but in no event to exceed May 5, 2027), (ii) the Closing Date (after giving effect to any Borrowing on such date) and (iii) the date the Company notifies the Administrative Agent in writing that the Indicor Acquisition Agreement is terminated or a public announcement is made by the Company of its intention not to proceed with the Indicor Acquisition.</w:t>
      </w:r>
    </w:p>
    <w:p>
      <w:pPr>
        <w:spacing w:after="0" w:line="15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Available Tenor</w:t>
      </w:r>
      <w:r>
        <w:rPr>
          <w:rFonts w:ascii="Times New Roman" w:cs="Times New Roman" w:eastAsia="Times New Roman" w:hAnsi="Times New Roman"/>
          <w:sz w:val="20"/>
          <w:szCs w:val="20"/>
          <w:color w:val="auto"/>
        </w:rPr>
        <w:t>” means, as of any date of determination and with respect to the then-current Benchmark, any tenor for such Benchmark (or component thereof) or payment period for interest calculated with reference to such Benchmark (or component thereof), as applicable, that is or may be used for determining the length of an Interest Period for any term rate or otherwise, for determining any frequency of making payments of interest calculated pursuant to this Agreement as of such date and not including, for the avoidance of doubt, any tenor for such Benchmark that is then-removed from the definition of “Interest Period” pursuant to clause (e) of Section 2.14.</w:t>
      </w:r>
    </w:p>
    <w:p>
      <w:pPr>
        <w:spacing w:after="0" w:line="151"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Bail-In Action</w:t>
      </w:r>
      <w:r>
        <w:rPr>
          <w:rFonts w:ascii="Times New Roman" w:cs="Times New Roman" w:eastAsia="Times New Roman" w:hAnsi="Times New Roman"/>
          <w:sz w:val="20"/>
          <w:szCs w:val="20"/>
          <w:color w:val="auto"/>
        </w:rPr>
        <w:t>” means the exercise of any Write-Down and Conversion Powers by the applicable Resolution Authority in respect of any liability of an Affected Financial Institution.</w:t>
      </w:r>
    </w:p>
    <w:p>
      <w:pPr>
        <w:spacing w:after="0" w:line="13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Bail-In Legislation</w:t>
      </w:r>
      <w:r>
        <w:rPr>
          <w:rFonts w:ascii="Times New Roman" w:cs="Times New Roman" w:eastAsia="Times New Roman" w:hAnsi="Times New Roman"/>
          <w:sz w:val="20"/>
          <w:szCs w:val="20"/>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Bank of America</w:t>
      </w:r>
      <w:r>
        <w:rPr>
          <w:rFonts w:ascii="Times New Roman" w:cs="Times New Roman" w:eastAsia="Times New Roman" w:hAnsi="Times New Roman"/>
          <w:sz w:val="20"/>
          <w:szCs w:val="20"/>
          <w:color w:val="auto"/>
        </w:rPr>
        <w:t>” means Bank of America, N.A. and its successors.</w:t>
      </w:r>
    </w:p>
    <w:p>
      <w:pPr>
        <w:spacing w:after="0" w:line="189"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Bankruptcy Event</w:t>
      </w:r>
      <w:r>
        <w:rPr>
          <w:rFonts w:ascii="Times New Roman" w:cs="Times New Roman" w:eastAsia="Times New Roman" w:hAnsi="Times New Roman"/>
          <w:sz w:val="20"/>
          <w:szCs w:val="20"/>
          <w:color w:val="auto"/>
        </w:rPr>
        <w:t>” means, with respect to any Person, such Person becomes the subject of a voluntary or involuntary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or has had any order for relief in such proceeding entered in respect thereof, provided that a Bankruptcy Event shall not result solely by virtue of any ownership interest, or the acquisition of any ownership interest, in such Person by a Governmental Authority or instrumentality thereof, unless such ownership interest results in or provides such Person with immunity from the jurisdiction of courts within the United States or from the enforcement of judgments or writs of attachment on its assets or permits such Person (or such Governmental Authority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413" w:right="33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20"/>
          <w:szCs w:val="20"/>
          <w:color w:val="auto"/>
        </w:rPr>
        <w:t>instrumentality) to reject, repudiate, disavow or disaffirm any contracts or agreements made by such Person.</w:t>
      </w:r>
    </w:p>
    <w:p>
      <w:pPr>
        <w:spacing w:after="0" w:line="18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w:t>
      </w:r>
      <w:r>
        <w:rPr>
          <w:rFonts w:ascii="Times New Roman" w:cs="Times New Roman" w:eastAsia="Times New Roman" w:hAnsi="Times New Roman"/>
          <w:sz w:val="20"/>
          <w:szCs w:val="20"/>
          <w:color w:val="auto"/>
        </w:rPr>
        <w:t xml:space="preserve">” means, initially, with respect to any Term SOFR Loan, Term SOFR;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 Benchmark Transition Event and the related Benchmark Replacement Date have occurred with respect to Term SOFR or the then-current Benchmark, then “Benchmark” means the applicable Benchmark Replacement to the extent that such Benchmark Replacement has replaced such prior benchmark rate pursuant to clause (b) of Section 2.14.</w:t>
      </w:r>
    </w:p>
    <w:p>
      <w:pPr>
        <w:spacing w:after="0" w:line="145"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Replacement</w:t>
      </w:r>
      <w:r>
        <w:rPr>
          <w:rFonts w:ascii="Times New Roman" w:cs="Times New Roman" w:eastAsia="Times New Roman" w:hAnsi="Times New Roman"/>
          <w:sz w:val="20"/>
          <w:szCs w:val="20"/>
          <w:color w:val="auto"/>
        </w:rPr>
        <w:t>” means, for any Available Tenor, the first alternative set forth in the order below that can be determined by the Administrative Agent for the applicable Benchmark Replacement Date:</w:t>
      </w:r>
    </w:p>
    <w:p>
      <w:pPr>
        <w:spacing w:after="0" w:line="132" w:lineRule="exact"/>
        <w:rPr>
          <w:sz w:val="20"/>
          <w:szCs w:val="20"/>
          <w:color w:val="auto"/>
        </w:rPr>
      </w:pPr>
    </w:p>
    <w:p>
      <w:pPr>
        <w:ind w:left="1740" w:hanging="436"/>
        <w:spacing w:after="0"/>
        <w:tabs>
          <w:tab w:leader="none" w:pos="1740" w:val="left"/>
        </w:tabs>
        <w:numPr>
          <w:ilvl w:val="0"/>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Daily Simple SOFR; or</w:t>
      </w:r>
    </w:p>
    <w:p>
      <w:pPr>
        <w:spacing w:after="0" w:line="188" w:lineRule="exact"/>
        <w:rPr>
          <w:rFonts w:ascii="Times New Roman" w:cs="Times New Roman" w:eastAsia="Times New Roman" w:hAnsi="Times New Roman"/>
          <w:sz w:val="20"/>
          <w:szCs w:val="20"/>
          <w:color w:val="auto"/>
        </w:rPr>
      </w:pPr>
    </w:p>
    <w:p>
      <w:pPr>
        <w:jc w:val="both"/>
        <w:ind w:firstLine="1304"/>
        <w:spacing w:after="0" w:line="253" w:lineRule="auto"/>
        <w:tabs>
          <w:tab w:leader="none" w:pos="1727" w:val="left"/>
        </w:tabs>
        <w:numPr>
          <w:ilvl w:val="0"/>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sum of: (a) the alternate benchmark rate that has been selected by the Administrative Agent and the Company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dollar-denominated syndicated credit facilities at such time in the United States and (b) the related Benchmark Replacement Adjustment.</w:t>
      </w:r>
    </w:p>
    <w:p>
      <w:pPr>
        <w:spacing w:after="0" w:line="151"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If the Benchmark Replacement as determined pursuant to clause (1) or clause (2) would be less than the Floor, the Benchmark Replacement will be deemed to be the Floor for the purposes of this Agreement and the other Loan Documents.</w:t>
      </w:r>
    </w:p>
    <w:p>
      <w:pPr>
        <w:spacing w:after="0" w:line="119"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Replacement Adjustment</w:t>
      </w:r>
      <w:r>
        <w:rPr>
          <w:rFonts w:ascii="Times New Roman" w:cs="Times New Roman" w:eastAsia="Times New Roman" w:hAnsi="Times New Roman"/>
          <w:sz w:val="20"/>
          <w:szCs w:val="20"/>
          <w:color w:val="auto"/>
        </w:rPr>
        <w:t>” means, with respect to any replacement of the then-current Benchmark with an Unadjusted Benchmark Replacement for any applicable Interest Period and Available Tenor for any setting of such Unadjusted Benchmark Replacement, the spread adjustment, or method for calculating or determining such spread adjustment, (which may be a positive or negative value or zero) that has been selected by the Administrative Agent and the Company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w:t>
      </w:r>
    </w:p>
    <w:p>
      <w:pPr>
        <w:spacing w:after="0" w:line="14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Replacement Conforming Changes</w:t>
      </w:r>
      <w:r>
        <w:rPr>
          <w:rFonts w:ascii="Times New Roman" w:cs="Times New Roman" w:eastAsia="Times New Roman" w:hAnsi="Times New Roman"/>
          <w:sz w:val="20"/>
          <w:szCs w:val="20"/>
          <w:color w:val="auto"/>
        </w:rPr>
        <w:t>” means, with respect to any Benchmark Replacement and/or any Term SOFR Loan, as applicable, any technical, administrative or operational changes (including changes to the definition of “Alternate Base Rate,” the definition of “Business Day,” the definition of “U.S. Government Securities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reasonably decides may be appropriate to reflect the adoption and implementation of such Benchmark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40"/>
          </w:cols>
          <w:pgMar w:left="320" w:top="1413" w:right="339" w:bottom="1440" w:gutter="0" w:footer="0" w:header="0"/>
        </w:sectPr>
      </w:pPr>
    </w:p>
    <w:bookmarkStart w:id="180" w:name="page181"/>
    <w:bookmarkEnd w:id="180"/>
    <w:p>
      <w:pPr>
        <w:ind w:right="20"/>
        <w:spacing w:after="0" w:line="283" w:lineRule="auto"/>
        <w:rPr>
          <w:sz w:val="20"/>
          <w:szCs w:val="20"/>
          <w:color w:val="auto"/>
        </w:rPr>
      </w:pPr>
      <w:r>
        <w:rPr>
          <w:rFonts w:ascii="Times New Roman" w:cs="Times New Roman" w:eastAsia="Times New Roman" w:hAnsi="Times New Roman"/>
          <w:sz w:val="20"/>
          <w:szCs w:val="20"/>
          <w:color w:val="auto"/>
        </w:rPr>
        <w:t>for the administration of such Benchmark exists, in such other manner of administration as the Administrative Agent decides is reasonably necessary in connection with the administration of this Agreement and the other Loan Documents).</w:t>
      </w:r>
    </w:p>
    <w:p>
      <w:pPr>
        <w:spacing w:after="0" w:line="119" w:lineRule="exact"/>
        <w:rPr>
          <w:sz w:val="20"/>
          <w:szCs w:val="20"/>
          <w:color w:val="auto"/>
        </w:rPr>
      </w:pPr>
    </w:p>
    <w:p>
      <w:pPr>
        <w:ind w:right="20"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Replacement Date</w:t>
      </w:r>
      <w:r>
        <w:rPr>
          <w:rFonts w:ascii="Times New Roman" w:cs="Times New Roman" w:eastAsia="Times New Roman" w:hAnsi="Times New Roman"/>
          <w:sz w:val="20"/>
          <w:szCs w:val="20"/>
          <w:color w:val="auto"/>
        </w:rPr>
        <w:t>” means, with respect to any Benchmark, the earliest to occur of the following events with respect to such then-current Benchmark:</w:t>
      </w:r>
    </w:p>
    <w:p>
      <w:pPr>
        <w:spacing w:after="0" w:line="132" w:lineRule="exact"/>
        <w:rPr>
          <w:sz w:val="20"/>
          <w:szCs w:val="20"/>
          <w:color w:val="auto"/>
        </w:rPr>
      </w:pPr>
    </w:p>
    <w:p>
      <w:pPr>
        <w:jc w:val="both"/>
        <w:ind w:firstLine="1304"/>
        <w:spacing w:after="0" w:line="258" w:lineRule="auto"/>
        <w:tabs>
          <w:tab w:leader="none" w:pos="1747" w:val="left"/>
        </w:tabs>
        <w:numPr>
          <w:ilvl w:val="0"/>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w:t>
      </w:r>
    </w:p>
    <w:p>
      <w:pPr>
        <w:spacing w:after="0" w:line="145" w:lineRule="exact"/>
        <w:rPr>
          <w:rFonts w:ascii="Times New Roman" w:cs="Times New Roman" w:eastAsia="Times New Roman" w:hAnsi="Times New Roman"/>
          <w:sz w:val="20"/>
          <w:szCs w:val="20"/>
          <w:color w:val="auto"/>
        </w:rPr>
      </w:pPr>
    </w:p>
    <w:p>
      <w:pPr>
        <w:jc w:val="both"/>
        <w:ind w:firstLine="1304"/>
        <w:spacing w:after="0" w:line="251" w:lineRule="auto"/>
        <w:tabs>
          <w:tab w:leader="none" w:pos="1736" w:val="left"/>
        </w:tabs>
        <w:numPr>
          <w:ilvl w:val="0"/>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clause (3) of the definition of “Benchmark Transition Event,” the first date on which such Benchmark (or the published component used in the calculation thereof) has been or, if such Benchmark (or such component thereof) is a term rate, all Available Tenors of such Benchmark (or component thereof) have been determined and announced by the regulatory supervisor for the administrator of such Benchmark (or such component thereof) to be no longer representative;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non-representativeness will be determined by reference to the most recent statement or publication referenced in such clause (3) and even if such Benchmark (or component thereof) or, if such Benchmark (or such component thereof) is a term rate, any Available Tenor of such Benchmark (or such component thereof) continues to be provided on such date.</w:t>
      </w:r>
    </w:p>
    <w:p>
      <w:pPr>
        <w:spacing w:after="0" w:line="152"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9"/>
          <w:szCs w:val="19"/>
          <w:color w:val="auto"/>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w:t>
      </w:r>
    </w:p>
    <w:p>
      <w:pPr>
        <w:spacing w:after="0" w:line="2" w:lineRule="exact"/>
        <w:rPr>
          <w:sz w:val="20"/>
          <w:szCs w:val="20"/>
          <w:color w:val="auto"/>
        </w:rPr>
      </w:pPr>
    </w:p>
    <w:p>
      <w:pPr>
        <w:ind w:firstLine="8"/>
        <w:spacing w:after="0" w:line="267" w:lineRule="auto"/>
        <w:tabs>
          <w:tab w:leader="none" w:pos="301" w:val="left"/>
        </w:tabs>
        <w:numPr>
          <w:ilvl w:val="0"/>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or (2) with respect to any Benchmark upon the occurrence of the applicable event or events set forth therein with respect to all then-current Available Tenors of such Benchmark (or the published component used in the calculation thereof).</w:t>
      </w:r>
    </w:p>
    <w:p>
      <w:pPr>
        <w:spacing w:after="0" w:line="134" w:lineRule="exact"/>
        <w:rPr>
          <w:sz w:val="20"/>
          <w:szCs w:val="20"/>
          <w:color w:val="auto"/>
        </w:rPr>
      </w:pPr>
    </w:p>
    <w:p>
      <w:pPr>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Transition Event</w:t>
      </w:r>
      <w:r>
        <w:rPr>
          <w:rFonts w:ascii="Times New Roman" w:cs="Times New Roman" w:eastAsia="Times New Roman" w:hAnsi="Times New Roman"/>
          <w:sz w:val="20"/>
          <w:szCs w:val="20"/>
          <w:color w:val="auto"/>
        </w:rPr>
        <w:t>” means, with respect to any Benchmark, the occurrence of one or more of the following events with respect to such then-current Benchmark:</w:t>
      </w:r>
    </w:p>
    <w:p>
      <w:pPr>
        <w:spacing w:after="0" w:line="132" w:lineRule="exact"/>
        <w:rPr>
          <w:sz w:val="20"/>
          <w:szCs w:val="20"/>
          <w:color w:val="auto"/>
        </w:rPr>
      </w:pPr>
    </w:p>
    <w:p>
      <w:pPr>
        <w:jc w:val="both"/>
        <w:ind w:firstLine="1304"/>
        <w:spacing w:after="0" w:line="253" w:lineRule="auto"/>
        <w:tabs>
          <w:tab w:leader="none" w:pos="1850" w:val="left"/>
        </w:tabs>
        <w:numPr>
          <w:ilvl w:val="0"/>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at the time of such statement or publication, there is no successor administrator that will continue to provide such Benchmark (or such component thereof) or, if such Benchmark (or such component thereof) is a term rate, any Available Tenor of such Benchmark (or such component thereof);</w:t>
      </w:r>
    </w:p>
    <w:p>
      <w:pPr>
        <w:spacing w:after="0" w:line="151" w:lineRule="exact"/>
        <w:rPr>
          <w:rFonts w:ascii="Times New Roman" w:cs="Times New Roman" w:eastAsia="Times New Roman" w:hAnsi="Times New Roman"/>
          <w:sz w:val="20"/>
          <w:szCs w:val="20"/>
          <w:color w:val="auto"/>
        </w:rPr>
      </w:pPr>
    </w:p>
    <w:p>
      <w:pPr>
        <w:jc w:val="both"/>
        <w:ind w:firstLine="1304"/>
        <w:spacing w:after="0" w:line="253" w:lineRule="auto"/>
        <w:tabs>
          <w:tab w:leader="none" w:pos="1760" w:val="left"/>
        </w:tabs>
        <w:numPr>
          <w:ilvl w:val="0"/>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public statement or publication of information by the regulatory supervisor for the administrator of such Benchmark (or the published component used in the calculation thereof), the Board, the NYFRB, CME,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such Benchmark (or such component thereof) or, if such Benchmark (or such component thereof) is a term rate, all Available Tenors of such Benchmark (or such component thereof) permanently or indefinitely;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40"/>
          </w:cols>
          <w:pgMar w:left="320" w:top="1413" w:right="339" w:bottom="1440" w:gutter="0" w:footer="0" w:header="0"/>
        </w:sectPr>
      </w:pPr>
    </w:p>
    <w:bookmarkStart w:id="181" w:name="page182"/>
    <w:bookmarkEnd w:id="181"/>
    <w:p>
      <w:pPr>
        <w:jc w:val="both"/>
        <w:spacing w:after="0" w:line="261" w:lineRule="auto"/>
        <w:rPr>
          <w:sz w:val="20"/>
          <w:szCs w:val="20"/>
          <w:color w:val="auto"/>
        </w:rPr>
      </w:pP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at the time of such statement or publication, there is no successor administrator that will continue to provide such Benchmark (or such component thereof) or, if such Benchmark (or such component thereof) is a term rate, any Available Tenor of such Benchmark (or such component thereof); or</w:t>
      </w:r>
    </w:p>
    <w:p>
      <w:pPr>
        <w:spacing w:after="0" w:line="141" w:lineRule="exact"/>
        <w:rPr>
          <w:sz w:val="20"/>
          <w:szCs w:val="20"/>
          <w:color w:val="auto"/>
        </w:rPr>
      </w:pPr>
    </w:p>
    <w:p>
      <w:pPr>
        <w:jc w:val="both"/>
        <w:ind w:firstLine="1304"/>
        <w:spacing w:after="0" w:line="258" w:lineRule="auto"/>
        <w:tabs>
          <w:tab w:leader="none" w:pos="1760"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public statement or publication of information by the regulatory supervisor for the administrator of such Benchmark (or the published component used in the calculation thereof) announcing that such Benchmark (or such component thereof) or, if such Benchmark (or such component thereof) is a term rate, all Available Tenors of such Benchmark (or such component thereof) are no longer, or as of a specified future date will no longer be, representative.</w:t>
      </w:r>
    </w:p>
    <w:p>
      <w:pPr>
        <w:spacing w:after="0" w:line="14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41"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Unavailability Period</w:t>
      </w:r>
      <w:r>
        <w:rPr>
          <w:rFonts w:ascii="Times New Roman" w:cs="Times New Roman" w:eastAsia="Times New Roman" w:hAnsi="Times New Roman"/>
          <w:sz w:val="20"/>
          <w:szCs w:val="20"/>
          <w:color w:val="auto"/>
        </w:rPr>
        <w:t>” means, with respect to any Benchmark, the period (if any) (x) beginning at the time that a Benchmark Replacement Date pursuant to clauses (1) or (2) of that definition has occurred if, at such time, no Benchmark Replacement has replaced such then-current Benchmark for all purposes hereunder and under any Loan Document in accordance with Section 2.14 and (y) ending at the time that a Benchmark Replacement has replaced such then-current Benchmark for all purposes hereunder and under any Loan Document in accordance with Section 2.14.</w:t>
      </w:r>
    </w:p>
    <w:p>
      <w:pPr>
        <w:spacing w:after="0" w:line="151"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Beneficial Ownership Certification</w:t>
      </w:r>
      <w:r>
        <w:rPr>
          <w:rFonts w:ascii="Times New Roman" w:cs="Times New Roman" w:eastAsia="Times New Roman" w:hAnsi="Times New Roman"/>
          <w:sz w:val="20"/>
          <w:szCs w:val="20"/>
          <w:color w:val="auto"/>
        </w:rPr>
        <w:t>” means a certification regarding beneficial ownership or control as required by the Beneficial Ownership Regulation.</w:t>
      </w:r>
    </w:p>
    <w:p>
      <w:pPr>
        <w:spacing w:after="0" w:line="11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Beneficial Ownership Regulation</w:t>
      </w:r>
      <w:r>
        <w:rPr>
          <w:rFonts w:ascii="Times New Roman" w:cs="Times New Roman" w:eastAsia="Times New Roman" w:hAnsi="Times New Roman"/>
          <w:sz w:val="20"/>
          <w:szCs w:val="20"/>
          <w:color w:val="auto"/>
        </w:rPr>
        <w:t>” means 31 C.F.R. § 1010.230.</w:t>
      </w:r>
    </w:p>
    <w:p>
      <w:pPr>
        <w:spacing w:after="0" w:line="189"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Benefit Plan</w:t>
      </w:r>
      <w:r>
        <w:rPr>
          <w:rFonts w:ascii="Times New Roman" w:cs="Times New Roman" w:eastAsia="Times New Roman" w:hAnsi="Times New Roman"/>
          <w:sz w:val="20"/>
          <w:szCs w:val="20"/>
          <w:color w:val="auto"/>
        </w:rPr>
        <w:t>” means any of (a) an “employee benefit plan” (as defined in Section 3(3) of ERISA) that is subject to Title I of ERISA, (b) a “plan” as defined in Section 4975 of the Code to which Section 4975 of the Code applies, and (c) any Person whose assets include (for purposes of the Plan Asset Regulations or otherwise for purposes of Title I of ERISA or Section 4975 of the Code) the assets of any such “employee benefit plan” or “plan”.</w:t>
      </w:r>
    </w:p>
    <w:p>
      <w:pPr>
        <w:spacing w:after="0" w:line="147"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BHC Act Affiliate</w:t>
      </w:r>
      <w:r>
        <w:rPr>
          <w:rFonts w:ascii="Times New Roman" w:cs="Times New Roman" w:eastAsia="Times New Roman" w:hAnsi="Times New Roman"/>
          <w:sz w:val="20"/>
          <w:szCs w:val="20"/>
          <w:color w:val="auto"/>
        </w:rPr>
        <w:t>” of a party means an “affiliate” (as such term is defined under, and interpreted in accordance with, 12 U.S.C. 1841(k)) of such party.</w:t>
      </w:r>
    </w:p>
    <w:p>
      <w:pPr>
        <w:spacing w:after="0" w:line="11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Board</w:t>
      </w:r>
      <w:r>
        <w:rPr>
          <w:rFonts w:ascii="Times New Roman" w:cs="Times New Roman" w:eastAsia="Times New Roman" w:hAnsi="Times New Roman"/>
          <w:sz w:val="20"/>
          <w:szCs w:val="20"/>
          <w:color w:val="auto"/>
        </w:rPr>
        <w:t>” means the Board of Governors of the Federal Reserve System of the United States of America.</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means the Company.</w:t>
      </w:r>
    </w:p>
    <w:p>
      <w:pPr>
        <w:spacing w:after="0" w:line="189" w:lineRule="exact"/>
        <w:rPr>
          <w:sz w:val="20"/>
          <w:szCs w:val="20"/>
          <w:color w:val="auto"/>
        </w:rPr>
      </w:pPr>
    </w:p>
    <w:p>
      <w:pPr>
        <w:jc w:val="both"/>
        <w:ind w:right="20"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Borrowing</w:t>
      </w:r>
      <w:r>
        <w:rPr>
          <w:rFonts w:ascii="Times New Roman" w:cs="Times New Roman" w:eastAsia="Times New Roman" w:hAnsi="Times New Roman"/>
          <w:sz w:val="20"/>
          <w:szCs w:val="20"/>
          <w:color w:val="auto"/>
        </w:rPr>
        <w:t>” means Loans of the same Type and Tranche, made, converted or continued on the same date and, in the case of Term SOFR Loans, as to which a single Interest Period is in effect.</w:t>
      </w:r>
    </w:p>
    <w:p>
      <w:pPr>
        <w:spacing w:after="0" w:line="132"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Borrowing Request</w:t>
      </w:r>
      <w:r>
        <w:rPr>
          <w:rFonts w:ascii="Times New Roman" w:cs="Times New Roman" w:eastAsia="Times New Roman" w:hAnsi="Times New Roman"/>
          <w:sz w:val="20"/>
          <w:szCs w:val="20"/>
          <w:color w:val="auto"/>
        </w:rPr>
        <w:t>” means a request by the Borrower for a Borrowing in accordance with Section 2.03, which shall be substantially in the form approved by the Administrative Agent and separately provided to the Company.</w:t>
      </w:r>
    </w:p>
    <w:p>
      <w:pPr>
        <w:spacing w:after="0" w:line="11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Business Day</w:t>
      </w:r>
      <w:r>
        <w:rPr>
          <w:rFonts w:ascii="Times New Roman" w:cs="Times New Roman" w:eastAsia="Times New Roman" w:hAnsi="Times New Roman"/>
          <w:sz w:val="20"/>
          <w:szCs w:val="20"/>
          <w:color w:val="auto"/>
        </w:rPr>
        <w:t xml:space="preserve">” means, any day (other than a Saturday or a Sunday) on which banks are open for business in New York City;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addition to the foregoing, a Business Day shall be, in relation to Loans referencing the Adjusted Term SOFR Rate and any interest rate settings, fundings,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240"/>
          </w:cols>
          <w:pgMar w:left="320" w:top="1413" w:right="339" w:bottom="1440" w:gutter="0" w:footer="0" w:header="0"/>
        </w:sectPr>
      </w:pPr>
    </w:p>
    <w:bookmarkStart w:id="182" w:name="page183"/>
    <w:bookmarkEnd w:id="182"/>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disbursements, settlements or payments of any such Loans referencing the Adjusted Term SOFR Rate or any other dealings of such Loans referencing the Adjusted Term SOFR Rate, any such day that is a U.S. Government Securities Business Day.</w:t>
      </w:r>
    </w:p>
    <w:p>
      <w:pPr>
        <w:spacing w:after="0" w:line="119"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Capital Lease Obligations</w:t>
      </w:r>
      <w:r>
        <w:rPr>
          <w:rFonts w:ascii="Times New Roman" w:cs="Times New Roman" w:eastAsia="Times New Roman" w:hAnsi="Times New Roman"/>
          <w:sz w:val="20"/>
          <w:szCs w:val="20"/>
          <w:color w:val="auto"/>
        </w:rPr>
        <w:t>”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or financing leases on a balance sheet of such Person under GAAP, and the amount of such obligations shall be the capitalized amount thereof determined in accordance with GAAP.</w:t>
      </w:r>
    </w:p>
    <w:p>
      <w:pPr>
        <w:spacing w:after="0" w:line="14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Captive Insurance Subsidiary</w:t>
      </w:r>
      <w:r>
        <w:rPr>
          <w:rFonts w:ascii="Times New Roman" w:cs="Times New Roman" w:eastAsia="Times New Roman" w:hAnsi="Times New Roman"/>
          <w:sz w:val="20"/>
          <w:szCs w:val="20"/>
          <w:color w:val="auto"/>
        </w:rPr>
        <w:t>” means AMETEK (Bermuda) Ltd., a corporation organized and existing under the laws of</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Bermuda.</w:t>
      </w:r>
    </w:p>
    <w:p>
      <w:pPr>
        <w:spacing w:after="0" w:line="17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Change in Control</w:t>
      </w:r>
      <w:r>
        <w:rPr>
          <w:rFonts w:ascii="Times New Roman" w:cs="Times New Roman" w:eastAsia="Times New Roman" w:hAnsi="Times New Roman"/>
          <w:sz w:val="20"/>
          <w:szCs w:val="20"/>
          <w:color w:val="auto"/>
        </w:rPr>
        <w:t>” means the acquisition of ownership, directly or indirectly, beneficially or of record, by any Person or group (within the meaning of the Securities Exchange Act of 1934 and the rules of the SEC thereunder as in effect on the date hereof), of Equity Interests representing more than 35% of the aggregate ordinary voting power represented by the issued and outstanding Equity Interests of the Company.</w:t>
      </w:r>
    </w:p>
    <w:p>
      <w:pPr>
        <w:spacing w:after="0" w:line="132"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Change in Law</w:t>
      </w:r>
      <w:r>
        <w:rPr>
          <w:rFonts w:ascii="Times New Roman" w:cs="Times New Roman" w:eastAsia="Times New Roman" w:hAnsi="Times New Roman"/>
          <w:sz w:val="20"/>
          <w:szCs w:val="20"/>
          <w:color w:val="auto"/>
        </w:rPr>
        <w:t xml:space="preserve">” means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rules, guideline, requirement or directive (whether or not having the force of law) by any Governmental Authority; </w:t>
      </w:r>
      <w:r>
        <w:rPr>
          <w:rFonts w:ascii="Times New Roman" w:cs="Times New Roman" w:eastAsia="Times New Roman" w:hAnsi="Times New Roman"/>
          <w:sz w:val="20"/>
          <w:szCs w:val="20"/>
          <w:u w:val="single" w:color="auto"/>
          <w:color w:val="auto"/>
        </w:rPr>
        <w:t>provided however</w:t>
      </w:r>
      <w:r>
        <w:rPr>
          <w:rFonts w:ascii="Times New Roman" w:cs="Times New Roman" w:eastAsia="Times New Roman" w:hAnsi="Times New Roman"/>
          <w:sz w:val="20"/>
          <w:szCs w:val="20"/>
          <w:color w:val="auto"/>
        </w:rPr>
        <w:t>, that notwithstanding anything herein to the contrary, (i) the Dodd-Frank Wall Street Reform and Consumer Protection Act and all requests, rules, guidelines, requirements and directives thereunder, issued in connection therewith or in implementation thereof, and (ii) all requests, rules, guidelines, requirements and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w:t>
      </w:r>
    </w:p>
    <w:p>
      <w:pPr>
        <w:spacing w:after="0" w:line="1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Charges</w:t>
      </w:r>
      <w:r>
        <w:rPr>
          <w:rFonts w:ascii="Times New Roman" w:cs="Times New Roman" w:eastAsia="Times New Roman" w:hAnsi="Times New Roman"/>
          <w:sz w:val="20"/>
          <w:szCs w:val="20"/>
          <w:color w:val="auto"/>
        </w:rPr>
        <w:t>” has the meaning assigned to such term in Section 9.15.</w:t>
      </w:r>
    </w:p>
    <w:p>
      <w:pPr>
        <w:spacing w:after="0" w:line="189"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Closing Date</w:t>
      </w:r>
      <w:r>
        <w:rPr>
          <w:rFonts w:ascii="Times New Roman" w:cs="Times New Roman" w:eastAsia="Times New Roman" w:hAnsi="Times New Roman"/>
          <w:sz w:val="20"/>
          <w:szCs w:val="20"/>
          <w:color w:val="auto"/>
        </w:rPr>
        <w:t>” means the first date on which the conditions specified in Section 4.02 are satisfied, including the consummation of the Indicor Acquisition.</w:t>
      </w:r>
    </w:p>
    <w:p>
      <w:pPr>
        <w:spacing w:after="0" w:line="11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CME</w:t>
      </w:r>
      <w:r>
        <w:rPr>
          <w:rFonts w:ascii="Times New Roman" w:cs="Times New Roman" w:eastAsia="Times New Roman" w:hAnsi="Times New Roman"/>
          <w:sz w:val="20"/>
          <w:szCs w:val="20"/>
          <w:color w:val="auto"/>
        </w:rPr>
        <w:t>” means CME Group Benchmark Administration Limited.</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Code</w:t>
      </w:r>
      <w:r>
        <w:rPr>
          <w:rFonts w:ascii="Times New Roman" w:cs="Times New Roman" w:eastAsia="Times New Roman" w:hAnsi="Times New Roman"/>
          <w:sz w:val="20"/>
          <w:szCs w:val="20"/>
          <w:color w:val="auto"/>
        </w:rPr>
        <w:t>” means the Internal Revenue Code of 1986.</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COLI Policy</w:t>
      </w:r>
      <w:r>
        <w:rPr>
          <w:rFonts w:ascii="Times New Roman" w:cs="Times New Roman" w:eastAsia="Times New Roman" w:hAnsi="Times New Roman"/>
          <w:sz w:val="19"/>
          <w:szCs w:val="19"/>
          <w:color w:val="auto"/>
        </w:rPr>
        <w:t>” means a corporate-owned life insurance policy held by the Company with respect to certain of its employees.</w:t>
      </w:r>
    </w:p>
    <w:p>
      <w:pPr>
        <w:spacing w:after="0" w:line="200"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Commitment</w:t>
      </w:r>
      <w:r>
        <w:rPr>
          <w:rFonts w:ascii="Times New Roman" w:cs="Times New Roman" w:eastAsia="Times New Roman" w:hAnsi="Times New Roman"/>
          <w:sz w:val="20"/>
          <w:szCs w:val="20"/>
          <w:color w:val="auto"/>
        </w:rPr>
        <w:t>” means, with respect to each Lender, the sum of such Lender’s Tranche A Commitment, Tranche B Commitment and Tranche C Commitment. The initial amount of each Lender’s Commitment as of the Effective Date is set forth on Schedule 2.01, or in the Assignment and Assumption or other documentation or record (as such term is defined in Section 9-102(a)(70) of the New York Uniform Commercial Code) contemplated hereby pursuant to which such Lender shall have assumed its Commitment, as applicable. The aggregate Commitments of all Lenders on the Effective Date shall be $4,000,000,000.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240"/>
          </w:cols>
          <w:pgMar w:left="320" w:top="1413" w:right="339" w:bottom="1440" w:gutter="0" w:footer="0" w:header="0"/>
        </w:sectPr>
      </w:pPr>
    </w:p>
    <w:bookmarkStart w:id="183" w:name="page184"/>
    <w:bookmarkEnd w:id="183"/>
    <w:p>
      <w:pPr>
        <w:jc w:val="both"/>
        <w:ind w:right="20"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Communications</w:t>
      </w:r>
      <w:r>
        <w:rPr>
          <w:rFonts w:ascii="Times New Roman" w:cs="Times New Roman" w:eastAsia="Times New Roman" w:hAnsi="Times New Roman"/>
          <w:sz w:val="20"/>
          <w:szCs w:val="20"/>
          <w:color w:val="auto"/>
        </w:rPr>
        <w:t>” means, collectively, any notice, demand, communication, information, document or other material provided by or on behalf of the Company pursuant to any Loan Document or the transactions contemplated therein which is distributed by the Administrative Agent or any Lender by means of electronic communications pursuant to Section 8.03(c), including through an Approved Electronic Platform.</w:t>
      </w:r>
    </w:p>
    <w:p>
      <w:pPr>
        <w:spacing w:after="0" w:line="14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means AMETEK, Inc., a Delaware corporation.</w:t>
      </w:r>
    </w:p>
    <w:p>
      <w:pPr>
        <w:spacing w:after="0" w:line="189" w:lineRule="exact"/>
        <w:rPr>
          <w:sz w:val="20"/>
          <w:szCs w:val="20"/>
          <w:color w:val="auto"/>
        </w:rPr>
      </w:pPr>
    </w:p>
    <w:p>
      <w:pPr>
        <w:jc w:val="both"/>
        <w:ind w:right="20"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Connection Income Taxes</w:t>
      </w:r>
      <w:r>
        <w:rPr>
          <w:rFonts w:ascii="Times New Roman" w:cs="Times New Roman" w:eastAsia="Times New Roman" w:hAnsi="Times New Roman"/>
          <w:sz w:val="20"/>
          <w:szCs w:val="20"/>
          <w:color w:val="auto"/>
        </w:rPr>
        <w:t>” means Other Connection Taxes that are imposed on or measured by net income (however denominated) or that are franchise Taxes or branch profits Taxes.</w:t>
      </w:r>
    </w:p>
    <w:p>
      <w:pPr>
        <w:spacing w:after="0" w:line="13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Capital Expenditures</w:t>
      </w:r>
      <w:r>
        <w:rPr>
          <w:rFonts w:ascii="Times New Roman" w:cs="Times New Roman" w:eastAsia="Times New Roman" w:hAnsi="Times New Roman"/>
          <w:sz w:val="20"/>
          <w:szCs w:val="20"/>
          <w:color w:val="auto"/>
        </w:rPr>
        <w:t>” means, without duplication, any expenditures for any purchase or other acquisition of any asset which would be classified as a fixed or capital asset on a consolidated balance sheet of the Company and its Subsidiaries prepared in accordance with GAAP.</w:t>
      </w:r>
    </w:p>
    <w:p>
      <w:pPr>
        <w:spacing w:after="0" w:line="137" w:lineRule="exact"/>
        <w:rPr>
          <w:sz w:val="20"/>
          <w:szCs w:val="20"/>
          <w:color w:val="auto"/>
        </w:rPr>
      </w:pPr>
    </w:p>
    <w:p>
      <w:pPr>
        <w:jc w:val="both"/>
        <w:ind w:firstLine="1296"/>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EBITDA</w:t>
      </w:r>
      <w:r>
        <w:rPr>
          <w:rFonts w:ascii="Times New Roman" w:cs="Times New Roman" w:eastAsia="Times New Roman" w:hAnsi="Times New Roman"/>
          <w:sz w:val="20"/>
          <w:szCs w:val="20"/>
          <w:color w:val="auto"/>
        </w:rPr>
        <w:t xml:space="preserve">” means Consolidated Net Income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to the extent deducted from revenues in determining Consolidated Net Income, (i) Consolidated Interest Expense, (ii) expense for income taxes paid or accrued, (iii) depreciation,</w:t>
      </w:r>
    </w:p>
    <w:p>
      <w:pPr>
        <w:jc w:val="both"/>
        <w:ind w:firstLine="8"/>
        <w:spacing w:after="0" w:line="261" w:lineRule="auto"/>
        <w:tabs>
          <w:tab w:leader="none" w:pos="353" w:val="left"/>
        </w:tabs>
        <w:numPr>
          <w:ilvl w:val="0"/>
          <w:numId w:val="1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amortization, (v) the amount of any increase in the Company’s LIFO reserve (exclusive of any portion thereof attributable to sales of assets) during such period (and minus any decrease in the Company’s LIFO reserve (exclusive of any portion thereof attributable to sales of assets) during such period), (vi) non-cash expenses related to stock based compensation, (vii) other non-cash charges, without in any case giving effect to the amount for such period of gains or losses on sales of assets outside of the ordinary course of business, (viii) other extraordinary, unusual or nonrecurring charges, costs, expenses or losses (whether cash or non-cash) and (ix) restructuring, integration and other charges, costs and expenses that relate to any acquisition, disposition, asset sale, investment or any related transaction, in each case, not prohibited hereunder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aggregate amount permitted to be added back pursuant to this </w:t>
      </w:r>
      <w:r>
        <w:rPr>
          <w:rFonts w:ascii="Times New Roman" w:cs="Times New Roman" w:eastAsia="Times New Roman" w:hAnsi="Times New Roman"/>
          <w:sz w:val="19"/>
          <w:szCs w:val="19"/>
          <w:u w:val="single" w:color="auto"/>
          <w:color w:val="auto"/>
        </w:rPr>
        <w:t>clause (ix)</w:t>
      </w:r>
      <w:r>
        <w:rPr>
          <w:rFonts w:ascii="Times New Roman" w:cs="Times New Roman" w:eastAsia="Times New Roman" w:hAnsi="Times New Roman"/>
          <w:sz w:val="19"/>
          <w:szCs w:val="19"/>
          <w:color w:val="auto"/>
        </w:rPr>
        <w:t xml:space="preserve"> shall not exceed $100,000,000 during any period of four consecutive fiscal quarters (each such period, a “</w:t>
      </w:r>
      <w:r>
        <w:rPr>
          <w:rFonts w:ascii="Times New Roman" w:cs="Times New Roman" w:eastAsia="Times New Roman" w:hAnsi="Times New Roman"/>
          <w:sz w:val="19"/>
          <w:szCs w:val="19"/>
          <w:u w:val="single" w:color="auto"/>
          <w:color w:val="auto"/>
        </w:rPr>
        <w:t>Reference Period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minus</w:t>
      </w:r>
      <w:r>
        <w:rPr>
          <w:rFonts w:ascii="Times New Roman" w:cs="Times New Roman" w:eastAsia="Times New Roman" w:hAnsi="Times New Roman"/>
          <w:sz w:val="19"/>
          <w:szCs w:val="19"/>
          <w:color w:val="auto"/>
        </w:rPr>
        <w:t>, to the extent included in Consolidated Net Income, other extraordinary or nonrecurring gains, all calculated for the Company and its Subsidiaries on a consolidated basis. For the purposes of calculating Consolidated EBITDA for any Reference Period, if at any time during such Reference Period the Company or any Subsidiary shall have made a Disposition or Acquisition, Consolidated EBITDA for such Reference Period shall be calculated after giving effect thereto on a Pro Forma Basis as if such Disposition or Acquisition occurred on the first day of such Reference Period. As used in this definition, “</w:t>
      </w:r>
      <w:r>
        <w:rPr>
          <w:rFonts w:ascii="Times New Roman" w:cs="Times New Roman" w:eastAsia="Times New Roman" w:hAnsi="Times New Roman"/>
          <w:sz w:val="19"/>
          <w:szCs w:val="19"/>
          <w:u w:val="single" w:color="auto"/>
          <w:color w:val="auto"/>
        </w:rPr>
        <w:t>Acquisition</w:t>
      </w:r>
      <w:r>
        <w:rPr>
          <w:rFonts w:ascii="Times New Roman" w:cs="Times New Roman" w:eastAsia="Times New Roman" w:hAnsi="Times New Roman"/>
          <w:sz w:val="19"/>
          <w:szCs w:val="19"/>
          <w:color w:val="auto"/>
        </w:rPr>
        <w:t>” means any acquisition of property or series of related acquisitions of property that constitutes</w:t>
      </w:r>
    </w:p>
    <w:p>
      <w:pPr>
        <w:spacing w:after="0" w:line="2" w:lineRule="exact"/>
        <w:rPr>
          <w:rFonts w:ascii="Times New Roman" w:cs="Times New Roman" w:eastAsia="Times New Roman" w:hAnsi="Times New Roman"/>
          <w:sz w:val="19"/>
          <w:szCs w:val="19"/>
          <w:color w:val="auto"/>
        </w:rPr>
      </w:pPr>
    </w:p>
    <w:p>
      <w:pPr>
        <w:jc w:val="both"/>
        <w:ind w:firstLine="8"/>
        <w:spacing w:after="0" w:line="251" w:lineRule="auto"/>
        <w:tabs>
          <w:tab w:leader="none" w:pos="245" w:val="left"/>
        </w:tabs>
        <w:numPr>
          <w:ilvl w:val="0"/>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assets comprising all or substantially all or any significant portion of a business or operating unit of a business, or (ii) all or substantially all of the common stock or other Equity Interests of a Person; and “</w:t>
      </w:r>
      <w:r>
        <w:rPr>
          <w:rFonts w:ascii="Times New Roman" w:cs="Times New Roman" w:eastAsia="Times New Roman" w:hAnsi="Times New Roman"/>
          <w:sz w:val="20"/>
          <w:szCs w:val="20"/>
          <w:u w:val="single" w:color="auto"/>
          <w:color w:val="auto"/>
        </w:rPr>
        <w:t>Disposition</w:t>
      </w:r>
      <w:r>
        <w:rPr>
          <w:rFonts w:ascii="Times New Roman" w:cs="Times New Roman" w:eastAsia="Times New Roman" w:hAnsi="Times New Roman"/>
          <w:sz w:val="20"/>
          <w:szCs w:val="20"/>
          <w:color w:val="auto"/>
        </w:rPr>
        <w:t>” means any disposition of property or series of related dispositions of property that constitutes (i) assets comprising all or substantially all of a business or operating unit of a business, or (ii) all or substantially all or any significant portion of the common stock or other Equity Interests of a Person.</w:t>
      </w:r>
    </w:p>
    <w:p>
      <w:pPr>
        <w:spacing w:after="0" w:line="150"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Interest Expense</w:t>
      </w:r>
      <w:r>
        <w:rPr>
          <w:rFonts w:ascii="Times New Roman" w:cs="Times New Roman" w:eastAsia="Times New Roman" w:hAnsi="Times New Roman"/>
          <w:sz w:val="20"/>
          <w:szCs w:val="20"/>
          <w:color w:val="auto"/>
        </w:rPr>
        <w:t>” means, with reference to any period, the interest expense (including without limitation interest expense under Capital Lease Obligations that is treated as interest in accordance with GAAP) of the Company and its Subsidiaries calculated on a consolidated basis for such period with respect to (a) all outstanding Indebtedness of the Company and its Subsidiaries allocable to such period in accordance with GAAP (including, without limitation, all commissions, discounts and other fees and charges owed with respect to letters of credit and bankers acceptance financing and net costs under interest rate Swap Agreements to the extent such net costs are allocable to such period in accordance with GAAP) and (b) the interest component of all Attributable Receivable Indebtedness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240"/>
          </w:cols>
          <w:pgMar w:left="320" w:top="1413" w:right="339" w:bottom="1440" w:gutter="0" w:footer="0" w:header="0"/>
        </w:sectPr>
      </w:pPr>
    </w:p>
    <w:bookmarkStart w:id="184" w:name="page185"/>
    <w:bookmarkEnd w:id="184"/>
    <w:p>
      <w:pPr>
        <w:jc w:val="both"/>
        <w:spacing w:after="0" w:line="281" w:lineRule="auto"/>
        <w:rPr>
          <w:sz w:val="20"/>
          <w:szCs w:val="20"/>
          <w:color w:val="auto"/>
        </w:rPr>
      </w:pPr>
      <w:r>
        <w:rPr>
          <w:rFonts w:ascii="Times New Roman" w:cs="Times New Roman" w:eastAsia="Times New Roman" w:hAnsi="Times New Roman"/>
          <w:sz w:val="19"/>
          <w:szCs w:val="19"/>
          <w:color w:val="auto"/>
        </w:rPr>
        <w:t>Company and its Subsidiaries for such period, but excluding, however, amortization of deferred financing costs to the extent included in total interest expense, all as determined on a consolidated basis, in each case net of the total interest income (excluding non-cash interest income on investments issued with original issue discount) of the Company and its Subsidiaries for such period, determined on a consolidated basis.</w:t>
      </w:r>
    </w:p>
    <w:p>
      <w:pPr>
        <w:spacing w:after="0" w:line="124"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Net Income</w:t>
      </w:r>
      <w:r>
        <w:rPr>
          <w:rFonts w:ascii="Times New Roman" w:cs="Times New Roman" w:eastAsia="Times New Roman" w:hAnsi="Times New Roman"/>
          <w:sz w:val="20"/>
          <w:szCs w:val="20"/>
          <w:color w:val="auto"/>
        </w:rPr>
        <w:t>” means, with reference to any period, the net income (or loss) of the Company and its Subsidiaries calculated in accordance with GAAP on a consolidated basis (without duplication) for such period.</w:t>
      </w:r>
    </w:p>
    <w:p>
      <w:pPr>
        <w:spacing w:after="0" w:line="119"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Total Assets</w:t>
      </w:r>
      <w:r>
        <w:rPr>
          <w:rFonts w:ascii="Times New Roman" w:cs="Times New Roman" w:eastAsia="Times New Roman" w:hAnsi="Times New Roman"/>
          <w:sz w:val="20"/>
          <w:szCs w:val="20"/>
          <w:color w:val="auto"/>
        </w:rPr>
        <w:t>” means, as of the date of any determination thereof, total assets of the Company and its Subsidiaries calculated in accordance with GAAP on a consolidated basis as of such date.</w:t>
      </w:r>
    </w:p>
    <w:p>
      <w:pPr>
        <w:spacing w:after="0" w:line="132"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Total Indebtedness</w:t>
      </w:r>
      <w:r>
        <w:rPr>
          <w:rFonts w:ascii="Times New Roman" w:cs="Times New Roman" w:eastAsia="Times New Roman" w:hAnsi="Times New Roman"/>
          <w:sz w:val="20"/>
          <w:szCs w:val="20"/>
          <w:color w:val="auto"/>
        </w:rPr>
        <w:t>” means, as of any date, the sum, without duplication of (a) the aggregate principal amount of Indebtedness of the Company and its Subsidiaries outstanding as of such date in the amount that would be reflected on a balance sheet prepared as of such date on a consolidated basis in accordance with GAAP (but subject to Section 1.04) and (b) the aggregate amount of drawings and disbursements under letters of credit, letters of guaranty and bankers’ acceptances issued for the account of the Company or any Subsidiary, in each case, solely to the extent such drawings and disbursements have not been reimbursed within three Business Days (it being understood that all other obligations of the Company or any Subsidiary arising in respect of letters of credit, letters of guaranty and bankers’ acceptances shall be excluded from “Consolidated Total Indebtedness”); provided that, for the purposes of determining Consolidated Total Indebtedness, at any time after the definitive agreement for any Material Acquisition shall have been executed, any Acquisition Indebtedness with respect to such Material Acquisition shall, unless such Material Acquisition shall have been consummated, be disregarded.</w:t>
      </w:r>
    </w:p>
    <w:p>
      <w:pPr>
        <w:spacing w:after="0" w:line="156"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Control</w:t>
      </w:r>
      <w:r>
        <w:rPr>
          <w:rFonts w:ascii="Times New Roman" w:cs="Times New Roman" w:eastAsia="Times New Roman" w:hAnsi="Times New Roman"/>
          <w:sz w:val="20"/>
          <w:szCs w:val="20"/>
          <w:color w:val="auto"/>
        </w:rPr>
        <w:t>” means the possession, directly or indirectly, of the power to direct or cause the direction of the management or policies of a Person, whether through the ability to exercise voting power, by contract or otherwise. The terms “Controlling” and “Controlled” have meanings correlative thereto.</w:t>
      </w:r>
    </w:p>
    <w:p>
      <w:pPr>
        <w:spacing w:after="0" w:line="134"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Corresponding Tenor</w:t>
      </w:r>
      <w:r>
        <w:rPr>
          <w:rFonts w:ascii="Times New Roman" w:cs="Times New Roman" w:eastAsia="Times New Roman" w:hAnsi="Times New Roman"/>
          <w:sz w:val="20"/>
          <w:szCs w:val="20"/>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13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Covered Entity</w:t>
      </w:r>
      <w:r>
        <w:rPr>
          <w:rFonts w:ascii="Times New Roman" w:cs="Times New Roman" w:eastAsia="Times New Roman" w:hAnsi="Times New Roman"/>
          <w:sz w:val="20"/>
          <w:szCs w:val="20"/>
          <w:color w:val="auto"/>
        </w:rPr>
        <w:t>” means any of the following:</w:t>
      </w:r>
    </w:p>
    <w:p>
      <w:pPr>
        <w:spacing w:after="0" w:line="189" w:lineRule="exact"/>
        <w:rPr>
          <w:sz w:val="20"/>
          <w:szCs w:val="20"/>
          <w:color w:val="auto"/>
        </w:rPr>
      </w:pPr>
    </w:p>
    <w:p>
      <w:pPr>
        <w:ind w:left="1940" w:hanging="636"/>
        <w:spacing w:after="0"/>
        <w:tabs>
          <w:tab w:leader="none" w:pos="1940"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“covered entity” as that term is defined in, and interpreted in accordance with, 12 C.F.R. § 252.82(b);</w:t>
      </w:r>
    </w:p>
    <w:p>
      <w:pPr>
        <w:spacing w:after="0" w:line="202"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“covered bank” as that term is defined in, and interpreted in accordance with, 12 C.F.R. § 47.3(b); or</w:t>
      </w:r>
    </w:p>
    <w:p>
      <w:pPr>
        <w:spacing w:after="0" w:line="202"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“covered FSI” as that term is defined in, and interpreted in accordance with, 12 C.F.R. § 382.2(b).</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Covered Party</w:t>
      </w:r>
      <w:r>
        <w:rPr>
          <w:rFonts w:ascii="Times New Roman" w:cs="Times New Roman" w:eastAsia="Times New Roman" w:hAnsi="Times New Roman"/>
          <w:sz w:val="20"/>
          <w:szCs w:val="20"/>
          <w:color w:val="auto"/>
        </w:rPr>
        <w:t>” has the meaning assigned to it in Section 9.19.</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CPS</w:t>
      </w:r>
      <w:r>
        <w:rPr>
          <w:rFonts w:ascii="Times New Roman" w:cs="Times New Roman" w:eastAsia="Times New Roman" w:hAnsi="Times New Roman"/>
          <w:sz w:val="20"/>
          <w:szCs w:val="20"/>
          <w:color w:val="auto"/>
        </w:rPr>
        <w:t>” means the Crown Prosecution Service of the United Kingdom (or any successor or replacement body from time to</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1240"/>
          </w:cols>
          <w:pgMar w:left="320" w:top="1413" w:right="339" w:bottom="1440" w:gutter="0" w:footer="0" w:header="0"/>
        </w:sectPr>
      </w:pPr>
    </w:p>
    <w:bookmarkStart w:id="185" w:name="page186"/>
    <w:bookmarkEnd w:id="185"/>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Credit Party</w:t>
      </w:r>
      <w:r>
        <w:rPr>
          <w:rFonts w:ascii="Times New Roman" w:cs="Times New Roman" w:eastAsia="Times New Roman" w:hAnsi="Times New Roman"/>
          <w:sz w:val="20"/>
          <w:szCs w:val="20"/>
          <w:color w:val="auto"/>
        </w:rPr>
        <w:t>” means the Administrative Agent or any Lender.</w:t>
      </w:r>
    </w:p>
    <w:p>
      <w:pPr>
        <w:spacing w:after="0" w:line="189"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Criminal Pension Power</w:t>
      </w:r>
      <w:r>
        <w:rPr>
          <w:rFonts w:ascii="Times New Roman" w:cs="Times New Roman" w:eastAsia="Times New Roman" w:hAnsi="Times New Roman"/>
          <w:sz w:val="20"/>
          <w:szCs w:val="20"/>
          <w:color w:val="auto"/>
        </w:rPr>
        <w:t>” means any action taken under, pursuant to or in connection with section 58A, section 58B, section 58C or section 58D of the United Kingdom Pensions Act 2004.</w:t>
      </w:r>
    </w:p>
    <w:p>
      <w:pPr>
        <w:spacing w:after="0" w:line="106"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Daily Simple SOFR</w:t>
      </w:r>
      <w:r>
        <w:rPr>
          <w:rFonts w:ascii="Times New Roman" w:cs="Times New Roman" w:eastAsia="Times New Roman" w:hAnsi="Times New Roman"/>
          <w:sz w:val="20"/>
          <w:szCs w:val="20"/>
          <w:color w:val="auto"/>
        </w:rPr>
        <w:t>” with respect to any applicable determination date means the SOFR published on such date on the Federal Reserve Bank of New York’s website (or any successor source).</w:t>
      </w:r>
    </w:p>
    <w:p>
      <w:pPr>
        <w:spacing w:after="0" w:line="160"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Debt Incurrence</w:t>
      </w:r>
      <w:r>
        <w:rPr>
          <w:rFonts w:ascii="Times New Roman" w:cs="Times New Roman" w:eastAsia="Times New Roman" w:hAnsi="Times New Roman"/>
          <w:sz w:val="20"/>
          <w:szCs w:val="20"/>
          <w:color w:val="auto"/>
        </w:rPr>
        <w:t>” means the incurrence of any debt for borrowed money by the Company or any of its Subsidiaries, whether pursuant to a public offering or in a Rule 144A or other private place-ment of debt securities (including debt securities convertible into equity securities) or incurrence of loans under any loan or credit facility (including any Indicor Senior Notes), other than (i) intercompany debt among the Company and its Subsidiaries or among Subsidiaries of the Company, (ii) borrowings under the Existing Credit Agreement (as in effect on the date hereof), (iii) commercial paper issuance, (iv) any other borrowings under working capital, letter of credit or overdraft facilities, including foreign working capital facilities, in the ordinary course of business, (v) purchase money indebtedness incurred in the ordinary course of business, (vi) indebtedness with respect to capital leases incurred in the ordinary course of business, (vii) indebtedness solely to the extent the net cash proceeds of such debt are utilized or to be utilized to refinance the Company’s 3.83% U.S. dollar senior notes due September 2026 and 1.34% euro senior notes due October 2026 and (viii) any Qualifying Facility that has reduced commitments under the Facility pursuant to Section 2.09(d).</w:t>
      </w:r>
    </w:p>
    <w:p>
      <w:pPr>
        <w:spacing w:after="0" w:line="156"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w:t>
      </w:r>
      <w:r>
        <w:rPr>
          <w:rFonts w:ascii="Times New Roman" w:cs="Times New Roman" w:eastAsia="Times New Roman" w:hAnsi="Times New Roman"/>
          <w:sz w:val="20"/>
          <w:szCs w:val="20"/>
          <w:color w:val="auto"/>
        </w:rPr>
        <w:t>” means any event or condition which constitutes an Event of Default or which upon notice, lapse of time or both would, unless cured or waived, become an Event of Default.</w:t>
      </w:r>
    </w:p>
    <w:p>
      <w:pPr>
        <w:spacing w:after="0" w:line="132"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 Right</w:t>
      </w:r>
      <w:r>
        <w:rPr>
          <w:rFonts w:ascii="Times New Roman" w:cs="Times New Roman" w:eastAsia="Times New Roman" w:hAnsi="Times New Roman"/>
          <w:sz w:val="20"/>
          <w:szCs w:val="20"/>
          <w:color w:val="auto"/>
        </w:rPr>
        <w:t>” has the meaning assigned to that term in, and shall be interpreted in accordance with, 12 C.F.R. §§ 252.81, 47.2 or 382.1, as applicable.</w:t>
      </w:r>
    </w:p>
    <w:p>
      <w:pPr>
        <w:spacing w:after="0" w:line="11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Defaulting Lender</w:t>
      </w:r>
      <w:r>
        <w:rPr>
          <w:rFonts w:ascii="Times New Roman" w:cs="Times New Roman" w:eastAsia="Times New Roman" w:hAnsi="Times New Roman"/>
          <w:sz w:val="20"/>
          <w:szCs w:val="20"/>
          <w:color w:val="auto"/>
        </w:rPr>
        <w:t>” means any Lender that (a) has failed, within two (2) Business Days of the date required to be funded or paid, to (i) fund any portion of its Loans, (ii) [intentionally omitted] or (iii) pay over to any Credit Party any other amount required to be paid by it hereunder, unless, in the case of clause (i) above, such Lender notifies the Administrative Agent in writing that such failure is the result of such Lender’s good faith determination that a condition precedent to funding (specifically identified and including the particular default, if any) has not been satisfied, (b) has notified the Company or any Credit Party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(specifically identified and including the particular default, if any) to funding a loan under this Agreement cannot be satisfied) or generally under other agreements in which it commits to extend credit, (c) has failed, within three (3) Business Days after request by a Credit Party, acting in good faith, to provide a certification in writing from an authorized officer of such Lender that it will comply with its obligations (and is financially able to meet such obligations as of the date of certification) to fund prospective Loans under this Agreement, provided that such Lender shall cease to be a Defaulting Lender pursuant to this clause (c) upon such Credit Party’s receipt of such certification in form and substance satisfactory to it and the Administrative Agent, or (d) has become the subject of (i) a Bankruptcy Event or (ii) a Bail-In Action.</w:t>
      </w:r>
    </w:p>
    <w:p>
      <w:pPr>
        <w:spacing w:after="0" w:line="15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Dividing Person</w:t>
      </w:r>
      <w:r>
        <w:rPr>
          <w:rFonts w:ascii="Times New Roman" w:cs="Times New Roman" w:eastAsia="Times New Roman" w:hAnsi="Times New Roman"/>
          <w:sz w:val="20"/>
          <w:szCs w:val="20"/>
          <w:color w:val="auto"/>
        </w:rPr>
        <w:t>” has the meaning assigned to it in the definition of “</w:t>
      </w:r>
      <w:r>
        <w:rPr>
          <w:rFonts w:ascii="Times New Roman" w:cs="Times New Roman" w:eastAsia="Times New Roman" w:hAnsi="Times New Roman"/>
          <w:sz w:val="20"/>
          <w:szCs w:val="20"/>
          <w:u w:val="single" w:color="auto"/>
          <w:color w:val="auto"/>
        </w:rPr>
        <w:t>Division</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Division</w:t>
      </w:r>
      <w:r>
        <w:rPr>
          <w:rFonts w:ascii="Times New Roman" w:cs="Times New Roman" w:eastAsia="Times New Roman" w:hAnsi="Times New Roman"/>
          <w:sz w:val="20"/>
          <w:szCs w:val="20"/>
          <w:color w:val="auto"/>
        </w:rPr>
        <w:t>” means the division of the assets, liabilities and/or obligations of a Person (the “</w:t>
      </w:r>
      <w:r>
        <w:rPr>
          <w:rFonts w:ascii="Times New Roman" w:cs="Times New Roman" w:eastAsia="Times New Roman" w:hAnsi="Times New Roman"/>
          <w:sz w:val="20"/>
          <w:szCs w:val="20"/>
          <w:u w:val="single" w:color="auto"/>
          <w:color w:val="auto"/>
        </w:rPr>
        <w:t>Dividing Person</w:t>
      </w:r>
      <w:r>
        <w:rPr>
          <w:rFonts w:ascii="Times New Roman" w:cs="Times New Roman" w:eastAsia="Times New Roman" w:hAnsi="Times New Roman"/>
          <w:sz w:val="20"/>
          <w:szCs w:val="20"/>
          <w:color w:val="auto"/>
        </w:rPr>
        <w:t>”) among two or more Persons (whether pursuant to a “plan of division” or similar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1240"/>
          </w:cols>
          <w:pgMar w:left="320" w:top="1413" w:right="33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20"/>
          <w:szCs w:val="20"/>
          <w:color w:val="auto"/>
        </w:rPr>
        <w:t>arrangement), which may or may not include the Dividing Person and pursuant to which the Dividing Person may or may not survive.</w:t>
      </w:r>
    </w:p>
    <w:p>
      <w:pPr>
        <w:spacing w:after="0" w:line="189"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Documentation Agent</w:t>
      </w:r>
      <w:r>
        <w:rPr>
          <w:rFonts w:ascii="Times New Roman" w:cs="Times New Roman" w:eastAsia="Times New Roman" w:hAnsi="Times New Roman"/>
          <w:sz w:val="20"/>
          <w:szCs w:val="20"/>
          <w:color w:val="auto"/>
        </w:rPr>
        <w:t>” means each of U.S. Bank National Association, BNP Paribas, National Westminster Bank Plc and Commerzbank AG, New York Branch in its capacity as co-documentation agent for the credit facility evidenced by this Agreement.</w:t>
      </w:r>
    </w:p>
    <w:p>
      <w:pPr>
        <w:spacing w:after="0" w:line="10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Dollar Amount</w:t>
      </w:r>
      <w:r>
        <w:rPr>
          <w:rFonts w:ascii="Times New Roman" w:cs="Times New Roman" w:eastAsia="Times New Roman" w:hAnsi="Times New Roman"/>
          <w:sz w:val="19"/>
          <w:szCs w:val="19"/>
          <w:color w:val="auto"/>
        </w:rPr>
        <w:t>” of any amount of any currency means, at the time of determination thereof, (a) if such amount is expressed in Dollars, such amount, (b) if such amount is expressed in a foreign currency, the equivalent of such amount in Dollars determined by using the rate of exchange for the purchase of Dollars with such foreign currency last provided (either by publication or otherwise provided to the Administrative Agent) by the applicable Reuters source on the Business Day (New York City time) immediately preceding the date of determination or if such service ceases to be available or ceases to provide a rate of exchange for the purchase of Dollars with such foreign currency, as provided by such other publicly available information service which provides that rate of exchange at such time in place of Reuters chosen by the Administrative Agent in its sole discretion (or if such service ceases to be available or ceases to provide such rate of exchange, the equivalent of such amount in Dollars as determined by the Administrative Agent using any method of determination it deems appropriate in its sole discretion) and (c) if such amount is denominated in any other currency, the equivalent of such amount in Dollars as determined by the Administrative Agent using any method of determination it deems appropriate in its sole discretion.</w:t>
      </w:r>
    </w:p>
    <w:p>
      <w:pPr>
        <w:spacing w:after="0" w:line="14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Dollars</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refers to lawful money of the United States of America.</w:t>
      </w:r>
    </w:p>
    <w:p>
      <w:pPr>
        <w:spacing w:after="0" w:line="189"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EEA Financial Institution</w:t>
      </w:r>
      <w:r>
        <w:rPr>
          <w:rFonts w:ascii="Times New Roman" w:cs="Times New Roman" w:eastAsia="Times New Roman" w:hAnsi="Times New Roman"/>
          <w:sz w:val="19"/>
          <w:szCs w:val="19"/>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3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EEA Member Country</w:t>
      </w:r>
      <w:r>
        <w:rPr>
          <w:rFonts w:ascii="Times New Roman" w:cs="Times New Roman" w:eastAsia="Times New Roman" w:hAnsi="Times New Roman"/>
          <w:sz w:val="20"/>
          <w:szCs w:val="20"/>
          <w:color w:val="auto"/>
        </w:rPr>
        <w:t>” means any of the member states of the European Union, Iceland, Liechtenstein, and Norway.</w:t>
      </w:r>
    </w:p>
    <w:p>
      <w:pPr>
        <w:spacing w:after="0" w:line="189"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EEA Resolution Authority</w:t>
      </w:r>
      <w:r>
        <w:rPr>
          <w:rFonts w:ascii="Times New Roman" w:cs="Times New Roman" w:eastAsia="Times New Roman" w:hAnsi="Times New Roman"/>
          <w:sz w:val="20"/>
          <w:szCs w:val="20"/>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19"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 means the date on which the conditions specified in Section 4.01 are satisfied (or waived in accordance with Section 9.02), which date is June 9, 2026.</w:t>
      </w:r>
    </w:p>
    <w:p>
      <w:pPr>
        <w:spacing w:after="0" w:line="132"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Electronic Signature</w:t>
      </w:r>
      <w:r>
        <w:rPr>
          <w:rFonts w:ascii="Times New Roman" w:cs="Times New Roman" w:eastAsia="Times New Roman" w:hAnsi="Times New Roman"/>
          <w:sz w:val="20"/>
          <w:szCs w:val="20"/>
          <w:color w:val="auto"/>
        </w:rPr>
        <w:t>” means an electronic sound, symbol, or process attached to, or associated with, a contract or other record and adopted by a Person with the intent to sign, authenticate or accept such contract or record.</w:t>
      </w:r>
    </w:p>
    <w:p>
      <w:pPr>
        <w:spacing w:after="0" w:line="11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Environmental Laws</w:t>
      </w:r>
      <w:r>
        <w:rPr>
          <w:rFonts w:ascii="Times New Roman" w:cs="Times New Roman" w:eastAsia="Times New Roman" w:hAnsi="Times New Roman"/>
          <w:sz w:val="20"/>
          <w:szCs w:val="20"/>
          <w:color w:val="auto"/>
        </w:rPr>
        <w:t>” means all laws, rules, regulations, codes, ordinances, orders, decrees, judgments, injunctions, notices or binding agreements issued, promulgated or entered into by any Governmental Authority, relating in any way to the environment, preservation or reclamation of natural resources, the management, release or threatened release of any Hazardous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1900" w:h="16838" w:orient="portrait"/>
          <w:cols w:equalWidth="0" w:num="1">
            <w:col w:w="11240"/>
          </w:cols>
          <w:pgMar w:left="320" w:top="1413" w:right="339" w:bottom="1440" w:gutter="0" w:footer="0" w:header="0"/>
        </w:sectPr>
      </w:pPr>
    </w:p>
    <w:bookmarkStart w:id="187" w:name="page188"/>
    <w:bookmarkEnd w:id="187"/>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Environmental Liability</w:t>
      </w:r>
      <w:r>
        <w:rPr>
          <w:rFonts w:ascii="Times New Roman" w:cs="Times New Roman" w:eastAsia="Times New Roman" w:hAnsi="Times New Roman"/>
          <w:sz w:val="20"/>
          <w:szCs w:val="20"/>
          <w:color w:val="auto"/>
        </w:rPr>
        <w:t>” means any liability, contingent or otherwise (including any liability for damages, costs of environmental remediation, fines, penalties or indemnities), of the Company or any Subsidiary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5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Equity Interests</w:t>
      </w:r>
      <w:r>
        <w:rPr>
          <w:rFonts w:ascii="Times New Roman" w:cs="Times New Roman" w:eastAsia="Times New Roman" w:hAnsi="Times New Roman"/>
          <w:sz w:val="20"/>
          <w:szCs w:val="20"/>
          <w:color w:val="auto"/>
        </w:rPr>
        <w:t>” 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of the foregoing.</w:t>
      </w:r>
    </w:p>
    <w:p>
      <w:pPr>
        <w:spacing w:after="0" w:line="141"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Equity Issuance</w:t>
      </w:r>
      <w:r>
        <w:rPr>
          <w:rFonts w:ascii="Times New Roman" w:cs="Times New Roman" w:eastAsia="Times New Roman" w:hAnsi="Times New Roman"/>
          <w:sz w:val="20"/>
          <w:szCs w:val="20"/>
          <w:color w:val="auto"/>
        </w:rPr>
        <w:t>” means any issuance of equity or equity linked securities by the Company or any of its Subsidiaries, whether pursuant to a public offering or in a Rule 144A or other private placement, other than (i) issuances of Equity Interests pursuant to employee stock plans or other benefit or employee incentive arrangements or issued as compensation to officers and/or non-employee directors, (ii) issuances of directors’ qualifying shares and/or other nominal amounts required to be held by persons other than the Company or its Subsidiaries under applicable law or (iii) issuances of Equity Interests among the Company and its Subsidiaries.</w:t>
      </w:r>
    </w:p>
    <w:p>
      <w:pPr>
        <w:spacing w:after="0" w:line="15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w:t>
      </w:r>
      <w:r>
        <w:rPr>
          <w:rFonts w:ascii="Times New Roman" w:cs="Times New Roman" w:eastAsia="Times New Roman" w:hAnsi="Times New Roman"/>
          <w:sz w:val="20"/>
          <w:szCs w:val="20"/>
          <w:color w:val="auto"/>
        </w:rPr>
        <w:t>” means the Employee Retirement Income Security Act of 1974, as amended from time to time.</w:t>
      </w:r>
    </w:p>
    <w:p>
      <w:pPr>
        <w:spacing w:after="0" w:line="18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 Affiliate</w:t>
      </w:r>
      <w:r>
        <w:rPr>
          <w:rFonts w:ascii="Times New Roman" w:cs="Times New Roman" w:eastAsia="Times New Roman" w:hAnsi="Times New Roman"/>
          <w:sz w:val="20"/>
          <w:szCs w:val="20"/>
          <w:color w:val="auto"/>
        </w:rPr>
        <w:t>” means any trade or business (whether or not incorporated) that, together with the Company, is treated as a single employer under Section 414(b) or (c) of the Code or, solely for purposes of Section 302 of ERISA and Section 412 of the Code, is treated as a single employer under Section 414 of the Code.</w:t>
      </w:r>
    </w:p>
    <w:p>
      <w:pPr>
        <w:spacing w:after="0" w:line="141"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 Event</w:t>
      </w:r>
      <w:r>
        <w:rPr>
          <w:rFonts w:ascii="Times New Roman" w:cs="Times New Roman" w:eastAsia="Times New Roman" w:hAnsi="Times New Roman"/>
          <w:sz w:val="20"/>
          <w:szCs w:val="20"/>
          <w:color w:val="auto"/>
        </w:rPr>
        <w:t>” means (a) any “reportable event”, as defined in Section 4043 of ERISA or the regulations issued thereunder with respect to a Plan (other than an event for which the 30-day notice period is waived); (b) the failure to satisfy the “minimum funding standard” (as defined in Section 412 of the Code or Section 302 of ERISA), whether or not waived; (c) the filing pursuant to Section 412(c) of the Code or Section 302(c) of ERISA of an application for a waiver of the minimum funding standard with respect to any Plan; (d) the incurrence by the Company or any of its ERISA Affiliates of any liability under Title IV of ERISA with respect to the termination of any Plan; (e) the receipt by the Company or any ERISA Affiliate from the PBGC or a plan administrator of any notice relating to an intention to terminate any Plan or Plans or to appoint a trustee to administer any Plan; (f) the incurrence by the Company or any of its ERISA Affiliates of any liability with respect to the withdrawal or partial withdrawal of the Company or any of its ERISA Affiliates from any Plan or Multiemployer Plan; or (g) the receipt by the Company or any ERISA Affiliate of any notice, or the receipt by any Multiemployer Plan from the Company or any ERISA Affiliate of any notice, concerning the imposition upon the Company or any of its ERISA Affiliates of Withdrawal Liability or a determination that a Multiemployer Plan is, or is expected to be, insolvent or in reorganization, within the meaning of Title IV of ERISA.</w:t>
      </w:r>
    </w:p>
    <w:p>
      <w:pPr>
        <w:spacing w:after="0" w:line="151"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Establishment</w:t>
      </w:r>
      <w:r>
        <w:rPr>
          <w:rFonts w:ascii="Times New Roman" w:cs="Times New Roman" w:eastAsia="Times New Roman" w:hAnsi="Times New Roman"/>
          <w:sz w:val="20"/>
          <w:szCs w:val="20"/>
          <w:color w:val="auto"/>
        </w:rPr>
        <w:t>” means, in respect of any Person, any place of operations where such Person carries out a non-transitory economic activity with human means and goods, assets or services.</w:t>
      </w:r>
    </w:p>
    <w:p>
      <w:pPr>
        <w:spacing w:after="0" w:line="6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w:t>
      </w:r>
      <w:r>
        <w:rPr>
          <w:rFonts w:ascii="Times New Roman" w:cs="Times New Roman" w:eastAsia="Times New Roman" w:hAnsi="Times New Roman"/>
          <w:sz w:val="20"/>
          <w:szCs w:val="20"/>
          <w:color w:val="auto"/>
        </w:rPr>
        <w:t>” means the European Union.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1900" w:h="16838" w:orient="portrait"/>
          <w:cols w:equalWidth="0" w:num="1">
            <w:col w:w="11240"/>
          </w:cols>
          <w:pgMar w:left="320" w:top="1413" w:right="339" w:bottom="1440" w:gutter="0" w:footer="0" w:header="0"/>
        </w:sectPr>
      </w:pPr>
    </w:p>
    <w:bookmarkStart w:id="188" w:name="page189"/>
    <w:bookmarkEnd w:id="188"/>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 Bail-In Legislation Schedule</w:t>
      </w:r>
      <w:r>
        <w:rPr>
          <w:rFonts w:ascii="Times New Roman" w:cs="Times New Roman" w:eastAsia="Times New Roman" w:hAnsi="Times New Roman"/>
          <w:sz w:val="20"/>
          <w:szCs w:val="20"/>
          <w:color w:val="auto"/>
        </w:rPr>
        <w:t>” means the EU Bail-In Legislation Schedule published by the Loan Market Association (or any successor Person), as in effect from time to time.</w:t>
      </w:r>
    </w:p>
    <w:p>
      <w:pPr>
        <w:spacing w:after="0" w:line="11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Event of Default</w:t>
      </w:r>
      <w:r>
        <w:rPr>
          <w:rFonts w:ascii="Times New Roman" w:cs="Times New Roman" w:eastAsia="Times New Roman" w:hAnsi="Times New Roman"/>
          <w:sz w:val="20"/>
          <w:szCs w:val="20"/>
          <w:color w:val="auto"/>
        </w:rPr>
        <w:t>” has the meaning assigned to such term in Article VII.</w:t>
      </w:r>
    </w:p>
    <w:p>
      <w:pPr>
        <w:spacing w:after="0" w:line="175"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Taxes</w:t>
      </w:r>
      <w:r>
        <w:rPr>
          <w:rFonts w:ascii="Times New Roman" w:cs="Times New Roman" w:eastAsia="Times New Roman" w:hAnsi="Times New Roman"/>
          <w:sz w:val="20"/>
          <w:szCs w:val="20"/>
          <w:color w:val="auto"/>
        </w:rPr>
        <w:t>”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 under Section 2.20(b) or Section 9.02(d)) or (ii) such Lender changes its lending office, except in each case to the extent that, pursuant to Section 2.17, amounts with respect to such Taxes were payable either to such Lender’s assignor immediately before such Lender acquired the applicable interest in a Loan or Commitment or to such Lender immediately before it changed its lending office, (c) Taxes attributable to such Recipient’s failure to comply with Section 2.17(f), and (d) any withholding Taxes imposed under FATCA.</w:t>
      </w:r>
    </w:p>
    <w:p>
      <w:pPr>
        <w:spacing w:after="0" w:line="15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Existing Credit Agreement</w:t>
      </w:r>
      <w:r>
        <w:rPr>
          <w:rFonts w:ascii="Times New Roman" w:cs="Times New Roman" w:eastAsia="Times New Roman" w:hAnsi="Times New Roman"/>
          <w:sz w:val="20"/>
          <w:szCs w:val="20"/>
          <w:color w:val="auto"/>
        </w:rPr>
        <w:t>” means that certain Amended and Restated Credit Agreement dated as of September 22, 2011, as amended and restated as of March 10, 2016, as further amended and restated as of October 30, 2018, as further amended and restated as of May 12, 2022, as further amended as of June 17, 2024, as further amended and restated as of June 9, 2026, and as further amended, restated, amended and restated, supplemented or otherwise modified from time to time, among the Company, the Foreign Subsidiary Borrowers (as defined therein) from time to time party thereto, the Lenders (as defined therein) from time to time party thereto and JPMorgan Chase Bank, N.A. and J.P. Morgan SE, as administrative agent.</w:t>
      </w:r>
    </w:p>
    <w:p>
      <w:pPr>
        <w:spacing w:after="0" w:line="15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u w:val="single" w:color="auto"/>
          <w:color w:val="auto"/>
        </w:rPr>
        <w:t>“Export Controls”</w:t>
      </w:r>
      <w:r>
        <w:rPr>
          <w:rFonts w:ascii="Times New Roman" w:cs="Times New Roman" w:eastAsia="Times New Roman" w:hAnsi="Times New Roman"/>
          <w:sz w:val="20"/>
          <w:szCs w:val="20"/>
          <w:color w:val="auto"/>
        </w:rPr>
        <w:t xml:space="preserve"> means the Arms Export Control Act and the International Traffic in Arms Regulations administered by the Directorate of Defense Trade Controls of the U.S. Department of State, the Export Control Reform Act of 2018 and Export Administration Regulations administered by the Bureau of Industry and Security of the U.S. Department of Commerce, and any other U.S. or non-U.S. laws and regulations related to export controls and applicable to the Company.</w:t>
      </w:r>
    </w:p>
    <w:p>
      <w:pPr>
        <w:spacing w:after="0" w:line="14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FATCA</w:t>
      </w:r>
      <w:r>
        <w:rPr>
          <w:rFonts w:ascii="Times New Roman" w:cs="Times New Roman" w:eastAsia="Times New Roman" w:hAnsi="Times New Roman"/>
          <w:sz w:val="20"/>
          <w:szCs w:val="20"/>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 entered into pursuant to Section 1471(b)(1) of the Code and any fiscal or regulatory legislation, rules or practices adopted pursuant to any intergovernmental agreement, treaty or convention among Governmental Authorities and implementing such Sections of the Code.</w:t>
      </w:r>
    </w:p>
    <w:p>
      <w:pPr>
        <w:spacing w:after="0" w:line="151"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Federal Funds Effective Rate</w:t>
      </w:r>
      <w:r>
        <w:rPr>
          <w:rFonts w:ascii="Times New Roman" w:cs="Times New Roman" w:eastAsia="Times New Roman" w:hAnsi="Times New Roman"/>
          <w:sz w:val="20"/>
          <w:szCs w:val="20"/>
          <w:color w:val="auto"/>
        </w:rPr>
        <w:t xml:space="preserve">” means, for any day, the rate calculated by the NYFRB based on such day’s federal funds transactions by depositary institutions, as determined in such manner as shall be set forth on the NYFRB’s Website from time to time, and published on the next succeeding Business Day by the NYFRB as the effective federal funds rate;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Federal Funds Effective Rate as so determined would be less than zero, such rate shall be deemed to be zero for the purposes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1900" w:h="16838" w:orient="portrait"/>
          <w:cols w:equalWidth="0" w:num="1">
            <w:col w:w="11240"/>
          </w:cols>
          <w:pgMar w:left="320" w:top="1413" w:right="339" w:bottom="1440" w:gutter="0" w:footer="0" w:header="0"/>
        </w:sectPr>
      </w:pPr>
    </w:p>
    <w:bookmarkStart w:id="189" w:name="page190"/>
    <w:bookmarkEnd w:id="189"/>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Fee Letter</w:t>
      </w:r>
      <w:r>
        <w:rPr>
          <w:rFonts w:ascii="Times New Roman" w:cs="Times New Roman" w:eastAsia="Times New Roman" w:hAnsi="Times New Roman"/>
          <w:sz w:val="20"/>
          <w:szCs w:val="20"/>
          <w:color w:val="auto"/>
        </w:rPr>
        <w:t>” means that certain Term Loan Financing Fee Letter, dated as of May 8, 2026, by and among the Company, Bank of America, BofA Securities, Inc. and JPMorgan Chase Bank, N.A.</w:t>
      </w:r>
    </w:p>
    <w:p>
      <w:pPr>
        <w:spacing w:after="0" w:line="11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Financial Covenant Transition Condition</w:t>
      </w:r>
      <w:r>
        <w:rPr>
          <w:rFonts w:ascii="Times New Roman" w:cs="Times New Roman" w:eastAsia="Times New Roman" w:hAnsi="Times New Roman"/>
          <w:sz w:val="20"/>
          <w:szCs w:val="20"/>
          <w:color w:val="auto"/>
        </w:rPr>
        <w:t>” means that (i) the aggregate principal Dollar Amount outstanding under the Specified Debt Financings (taken as a whole) is $275,000,000 or less and (ii) the Company has delivered a certificate to the Administrative Agent certifying to the fact set forth in the immediately preceding clause (i).</w:t>
      </w:r>
    </w:p>
    <w:p>
      <w:pPr>
        <w:spacing w:after="0" w:line="141"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Financial Covenant Transition Date</w:t>
      </w:r>
      <w:r>
        <w:rPr>
          <w:rFonts w:ascii="Times New Roman" w:cs="Times New Roman" w:eastAsia="Times New Roman" w:hAnsi="Times New Roman"/>
          <w:sz w:val="20"/>
          <w:szCs w:val="20"/>
          <w:color w:val="auto"/>
        </w:rPr>
        <w:t>” means the first day of the first fiscal quarter that begins after the Financial Covenant Transition Condition has been satisfied.</w:t>
      </w:r>
    </w:p>
    <w:p>
      <w:pPr>
        <w:spacing w:after="0" w:line="13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Financial Officer</w:t>
      </w:r>
      <w:r>
        <w:rPr>
          <w:rFonts w:ascii="Times New Roman" w:cs="Times New Roman" w:eastAsia="Times New Roman" w:hAnsi="Times New Roman"/>
          <w:sz w:val="20"/>
          <w:szCs w:val="20"/>
          <w:color w:val="auto"/>
        </w:rPr>
        <w:t>” means the chief financial officer, principal accounting officer, treasurer or controller of the Company.</w:t>
      </w:r>
    </w:p>
    <w:p>
      <w:pPr>
        <w:spacing w:after="0" w:line="189"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Financials</w:t>
      </w:r>
      <w:r>
        <w:rPr>
          <w:rFonts w:ascii="Times New Roman" w:cs="Times New Roman" w:eastAsia="Times New Roman" w:hAnsi="Times New Roman"/>
          <w:sz w:val="20"/>
          <w:szCs w:val="20"/>
          <w:color w:val="auto"/>
        </w:rPr>
        <w:t>” means the annual or quarterly financial statements, and accompanying certificates and other documents, of the Company and its Subsidiaries required to be delivered pursuant to Section 5.01(a) or 5.01(b).</w:t>
      </w:r>
    </w:p>
    <w:p>
      <w:pPr>
        <w:spacing w:after="0" w:line="11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Floor</w:t>
      </w:r>
      <w:r>
        <w:rPr>
          <w:rFonts w:ascii="Times New Roman" w:cs="Times New Roman" w:eastAsia="Times New Roman" w:hAnsi="Times New Roman"/>
          <w:sz w:val="20"/>
          <w:szCs w:val="20"/>
          <w:color w:val="auto"/>
        </w:rPr>
        <w:t>” means the benchmark rate floor, if any, provided in this Agreement initially (as of the execution of this Agreement, the modification, amendment or renewal of this Agreement or otherwise) with respect to the Adjusted Term SOFR Rate. For the avoidance of doubt, the initial Floor for the Adjusted Term SOFR Rate shall be zero.</w:t>
      </w:r>
    </w:p>
    <w:p>
      <w:pPr>
        <w:spacing w:after="0" w:line="14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Lender</w:t>
      </w:r>
      <w:r>
        <w:rPr>
          <w:rFonts w:ascii="Times New Roman" w:cs="Times New Roman" w:eastAsia="Times New Roman" w:hAnsi="Times New Roman"/>
          <w:sz w:val="20"/>
          <w:szCs w:val="20"/>
          <w:color w:val="auto"/>
        </w:rPr>
        <w:t>” means any Lender that is not a U.S. Person.</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GAAP</w:t>
      </w:r>
      <w:r>
        <w:rPr>
          <w:rFonts w:ascii="Times New Roman" w:cs="Times New Roman" w:eastAsia="Times New Roman" w:hAnsi="Times New Roman"/>
          <w:sz w:val="20"/>
          <w:szCs w:val="20"/>
          <w:color w:val="auto"/>
        </w:rPr>
        <w:t>” means generally accepted accounting principles in the United States of America.</w:t>
      </w:r>
    </w:p>
    <w:p>
      <w:pPr>
        <w:spacing w:after="0" w:line="18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Governmental Authority</w:t>
      </w:r>
      <w:r>
        <w:rPr>
          <w:rFonts w:ascii="Times New Roman" w:cs="Times New Roman" w:eastAsia="Times New Roman" w:hAnsi="Times New Roman"/>
          <w:sz w:val="20"/>
          <w:szCs w:val="20"/>
          <w:color w:val="auto"/>
        </w:rPr>
        <w:t>” means the government of the United States of America,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 and any group or body charged with setting financial accounting or regulatory capital rules or standards (including, without limitation, the Financial Accounting Standards Board, the Bank for International Settlements or the Basel Committee on Banking Supervision or any successor or similar authority to any of the foregoing).</w:t>
      </w:r>
    </w:p>
    <w:p>
      <w:pPr>
        <w:spacing w:after="0" w:line="138"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Guarantee</w:t>
      </w:r>
      <w:r>
        <w:rPr>
          <w:rFonts w:ascii="Times New Roman" w:cs="Times New Roman" w:eastAsia="Times New Roman" w:hAnsi="Times New Roman"/>
          <w:sz w:val="19"/>
          <w:szCs w:val="19"/>
          <w:color w:val="auto"/>
        </w:rPr>
        <w:t>” of or by any Person (the “</w:t>
      </w:r>
      <w:r>
        <w:rPr>
          <w:rFonts w:ascii="Times New Roman" w:cs="Times New Roman" w:eastAsia="Times New Roman" w:hAnsi="Times New Roman"/>
          <w:sz w:val="19"/>
          <w:szCs w:val="19"/>
          <w:u w:val="single" w:color="auto"/>
          <w:color w:val="auto"/>
        </w:rPr>
        <w:t>guarantor</w:t>
      </w:r>
      <w:r>
        <w:rPr>
          <w:rFonts w:ascii="Times New Roman" w:cs="Times New Roman" w:eastAsia="Times New Roman" w:hAnsi="Times New Roman"/>
          <w:sz w:val="19"/>
          <w:szCs w:val="19"/>
          <w:color w:val="auto"/>
        </w:rPr>
        <w:t>”) means any obligation, contingent or otherwise, of the guarantor guaranteeing or having the economic effect of guaranteeing any Indebtedness or other obligation of any other Person (the “</w:t>
      </w:r>
      <w:r>
        <w:rPr>
          <w:rFonts w:ascii="Times New Roman" w:cs="Times New Roman" w:eastAsia="Times New Roman" w:hAnsi="Times New Roman"/>
          <w:sz w:val="19"/>
          <w:szCs w:val="19"/>
          <w:u w:val="single" w:color="auto"/>
          <w:color w:val="auto"/>
        </w:rPr>
        <w:t>primary obligor</w:t>
      </w:r>
      <w:r>
        <w:rPr>
          <w:rFonts w:ascii="Times New Roman" w:cs="Times New Roman" w:eastAsia="Times New Roman" w:hAnsi="Times New Roman"/>
          <w:sz w:val="19"/>
          <w:szCs w:val="19"/>
          <w:color w:val="auto"/>
        </w:rPr>
        <w:t xml:space="preserve">”)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the term “Guarantee” shall not include endorsements for collection or deposit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1900" w:h="16838" w:orient="portrait"/>
          <w:cols w:equalWidth="0" w:num="1">
            <w:col w:w="11240"/>
          </w:cols>
          <w:pgMar w:left="320" w:top="1413" w:right="339" w:bottom="1440" w:gutter="0" w:footer="0" w:header="0"/>
        </w:sectPr>
      </w:pPr>
    </w:p>
    <w:bookmarkStart w:id="190" w:name="page191"/>
    <w:bookmarkEnd w:id="190"/>
    <w:p>
      <w:pPr>
        <w:jc w:val="both"/>
        <w:ind w:firstLine="1296"/>
        <w:spacing w:after="0" w:line="28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Hazardous Materials</w:t>
      </w:r>
      <w:r>
        <w:rPr>
          <w:rFonts w:ascii="Times New Roman" w:cs="Times New Roman" w:eastAsia="Times New Roman" w:hAnsi="Times New Roman"/>
          <w:sz w:val="19"/>
          <w:szCs w:val="19"/>
          <w:color w:val="auto"/>
        </w:rPr>
        <w:t>” means all explosive or radioactive substances or wastes and all hazardous or toxic substances, wastes or other pollutants, including petroleum or petroleum distillates, asbestos or asbestos containing materials, polychlorinated biphenyls, radon gas, infectious or medical wastes and all other substances or wastes of any nature regulated pursuant to any Environmental Law.</w:t>
      </w:r>
    </w:p>
    <w:p>
      <w:pPr>
        <w:spacing w:after="0" w:line="124"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Indebtedness</w:t>
      </w:r>
      <w:r>
        <w:rPr>
          <w:rFonts w:ascii="Times New Roman" w:cs="Times New Roman" w:eastAsia="Times New Roman" w:hAnsi="Times New Roman"/>
          <w:sz w:val="19"/>
          <w:szCs w:val="19"/>
          <w:color w:val="auto"/>
        </w:rPr>
        <w:t>” of any Person means, without duplication, (a) all obligations of such Person for borrowed money, (b) all obligations of such Person evidenced by bonds, debentures, notes or similar instruments, (c) all obligations of such Person under conditional sale or other title retention agreements relating to property acquired by such Person, (d) all obligations of such Person in respect of the deferred purchase price of property or services which in accordance with GAAP would be shown on the liability side of the balance sheet of such Person, (e) all Indebtedness of others secured by (or for which the holder of such Indebtedness has an existing right, contingent or otherwise, to be secured by) any Lien on property owned or acquired by such Person, whether or not the Indebtedness secured thereby has been assumed, (f) all Guarantees by such Person of Indebtedness of others, (g) all Capital Lease Obligations of such Person, (h) all obligations, contingent or otherwise, of such Person as an account party in respect of letters of credit and bank guarantees, (i) all obligations, contingent or otherwise, of such Person in respect of bankers’ acceptances, (j) all Attributable Receivables Indebtedness of such Person or</w:t>
      </w:r>
    </w:p>
    <w:p>
      <w:pPr>
        <w:jc w:val="both"/>
        <w:ind w:firstLine="8"/>
        <w:spacing w:after="0" w:line="251" w:lineRule="auto"/>
        <w:tabs>
          <w:tab w:leader="none" w:pos="297" w:val="left"/>
        </w:tabs>
        <w:numPr>
          <w:ilvl w:val="0"/>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obligations of such Person under Sale and Leaseback Transactions;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Indebtedness shall not include trade payables and accrued expenses, in each case arising in the ordinary course of business. For all purposes of this Agreement, the Indebtedness of any Person shall include all Indebtedness of any partnership or joint venture or limited liability company in which such Person is a general partner or a joint venturer or a member, but in any such case, only to the extent any such Indebtedness is recourse to such Person.</w:t>
      </w:r>
    </w:p>
    <w:p>
      <w:pPr>
        <w:spacing w:after="0" w:line="15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Indemnified Taxes</w:t>
      </w:r>
      <w:r>
        <w:rPr>
          <w:rFonts w:ascii="Times New Roman" w:cs="Times New Roman" w:eastAsia="Times New Roman" w:hAnsi="Times New Roman"/>
          <w:sz w:val="20"/>
          <w:szCs w:val="20"/>
          <w:color w:val="auto"/>
        </w:rPr>
        <w:t>” means (a) Taxes, other than Excluded Taxes, imposed on or with respect to any payment made by or on account of any obligation of the Company under any Loan Document and (b) to the extent not otherwise described in clause (a) hereof, Other Taxes.</w:t>
      </w:r>
    </w:p>
    <w:p>
      <w:pPr>
        <w:spacing w:after="0" w:line="14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Indemnitee</w:t>
      </w:r>
      <w:r>
        <w:rPr>
          <w:rFonts w:ascii="Times New Roman" w:cs="Times New Roman" w:eastAsia="Times New Roman" w:hAnsi="Times New Roman"/>
          <w:sz w:val="20"/>
          <w:szCs w:val="20"/>
          <w:color w:val="auto"/>
        </w:rPr>
        <w:t>” has the meaning assigned to such term in Section 9.03(b).</w:t>
      </w:r>
    </w:p>
    <w:p>
      <w:pPr>
        <w:spacing w:after="0" w:line="189"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Index Debt</w:t>
      </w:r>
      <w:r>
        <w:rPr>
          <w:rFonts w:ascii="Times New Roman" w:cs="Times New Roman" w:eastAsia="Times New Roman" w:hAnsi="Times New Roman"/>
          <w:sz w:val="20"/>
          <w:szCs w:val="20"/>
          <w:color w:val="auto"/>
        </w:rPr>
        <w:t>” means senior, unsecured, long-term indebtedness for borrowed money of the Company that is not guaranteed by any other person or entity or subject to any other credit enhancement.</w:t>
      </w:r>
    </w:p>
    <w:p>
      <w:pPr>
        <w:spacing w:after="0" w:line="11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Indicor Acquired Business</w:t>
      </w:r>
      <w:r>
        <w:rPr>
          <w:rFonts w:ascii="Times New Roman" w:cs="Times New Roman" w:eastAsia="Times New Roman" w:hAnsi="Times New Roman"/>
          <w:sz w:val="20"/>
          <w:szCs w:val="20"/>
          <w:color w:val="auto"/>
        </w:rPr>
        <w:t>” means the Indicor Target and its subsidiaries.</w:t>
      </w:r>
    </w:p>
    <w:p>
      <w:pPr>
        <w:spacing w:after="0" w:line="189"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Indicor Acquisition</w:t>
      </w:r>
      <w:r>
        <w:rPr>
          <w:rFonts w:ascii="Times New Roman" w:cs="Times New Roman" w:eastAsia="Times New Roman" w:hAnsi="Times New Roman"/>
          <w:sz w:val="20"/>
          <w:szCs w:val="20"/>
          <w:color w:val="auto"/>
        </w:rPr>
        <w:t>” means the Company’s direct or indirect acquisition of all of the outstanding Equity Interests of the Indicor Target in the manner contemplated by the Indicor Acquisition Agreement.</w:t>
      </w:r>
    </w:p>
    <w:p>
      <w:pPr>
        <w:spacing w:after="0" w:line="132"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Indicor Acquisition Agreement</w:t>
      </w:r>
      <w:r>
        <w:rPr>
          <w:rFonts w:ascii="Times New Roman" w:cs="Times New Roman" w:eastAsia="Times New Roman" w:hAnsi="Times New Roman"/>
          <w:sz w:val="20"/>
          <w:szCs w:val="20"/>
          <w:color w:val="auto"/>
        </w:rPr>
        <w:t>” means that certain Equity Purchase Agreement (together with the schedules and exhibits thereto) dated as of May 5, 2026 entered into among the Company and the sellers party thereto.</w:t>
      </w:r>
    </w:p>
    <w:p>
      <w:pPr>
        <w:spacing w:after="0" w:line="11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Indicor Acquisition Agreement Representations</w:t>
      </w:r>
      <w:r>
        <w:rPr>
          <w:rFonts w:ascii="Times New Roman" w:cs="Times New Roman" w:eastAsia="Times New Roman" w:hAnsi="Times New Roman"/>
          <w:sz w:val="20"/>
          <w:szCs w:val="20"/>
          <w:color w:val="auto"/>
        </w:rPr>
        <w:t>” means such of the representations made by or with respect to the Indicor Acquired Business in the Indicor Acquisition Agreement as are material to the interests of the Lenders, but only to the extent that the Company has (or a subsidiary of the Company has) the right to terminate the Company’s (or such subsidiary’s) obligations under the Indicor Acquisition Agreement, or to decline to consummate the Indicor Acquisition pursuant to the Indicor Acquisition Agreement, as a result of a breach of such representations in the Indicor Acquisition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1900" w:h="16838" w:orient="portrait"/>
          <w:cols w:equalWidth="0" w:num="1">
            <w:col w:w="11240"/>
          </w:cols>
          <w:pgMar w:left="320" w:top="1413" w:right="339" w:bottom="1440" w:gutter="0" w:footer="0" w:header="0"/>
        </w:sectPr>
      </w:pPr>
    </w:p>
    <w:bookmarkStart w:id="191" w:name="page192"/>
    <w:bookmarkEnd w:id="191"/>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Indicor Bridge Facility</w:t>
      </w:r>
      <w:r>
        <w:rPr>
          <w:rFonts w:ascii="Times New Roman" w:cs="Times New Roman" w:eastAsia="Times New Roman" w:hAnsi="Times New Roman"/>
          <w:sz w:val="20"/>
          <w:szCs w:val="20"/>
          <w:color w:val="auto"/>
        </w:rPr>
        <w:t>” means a 364-day senior unsecured bridge loan facility in an aggregate principal amount of up to $5,000,000,000, the proceeds of which shall be used to pay a portion of the purchase price of the Indicor Acquisition.</w:t>
      </w:r>
    </w:p>
    <w:p>
      <w:pPr>
        <w:spacing w:after="0" w:line="11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Indicor Refinancing</w:t>
      </w:r>
      <w:r>
        <w:rPr>
          <w:rFonts w:ascii="Times New Roman" w:cs="Times New Roman" w:eastAsia="Times New Roman" w:hAnsi="Times New Roman"/>
          <w:sz w:val="20"/>
          <w:szCs w:val="20"/>
          <w:color w:val="auto"/>
        </w:rPr>
        <w:t>” means the repayment of the Paid Indebtedness (as defined in the Indicor Acquisition Agreement as in effect on May 5, 2026) of the Indicor Acquired Business and obtain the release of all guarantees by, and security interests in the assets of, the Indicor Acquired Business under such Paid Indebtedness.</w:t>
      </w:r>
    </w:p>
    <w:p>
      <w:pPr>
        <w:spacing w:after="0" w:line="141"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Indicor Senior Notes</w:t>
      </w:r>
      <w:r>
        <w:rPr>
          <w:rFonts w:ascii="Times New Roman" w:cs="Times New Roman" w:eastAsia="Times New Roman" w:hAnsi="Times New Roman"/>
          <w:sz w:val="20"/>
          <w:szCs w:val="20"/>
          <w:color w:val="auto"/>
        </w:rPr>
        <w:t>” means senior unsecured notes of the Company in an aggregate principal amount of up to $5,000,000,000, which, to the extent of the net cash proceeds thereof, will refinance the Facility.</w:t>
      </w:r>
    </w:p>
    <w:p>
      <w:pPr>
        <w:spacing w:after="0" w:line="13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Indicor Specified Representations</w:t>
      </w:r>
      <w:r>
        <w:rPr>
          <w:rFonts w:ascii="Times New Roman" w:cs="Times New Roman" w:eastAsia="Times New Roman" w:hAnsi="Times New Roman"/>
          <w:sz w:val="20"/>
          <w:szCs w:val="20"/>
          <w:color w:val="auto"/>
        </w:rPr>
        <w:t>” means the representations and warranties of the Company set forth in Section 3.01 (with respect to the Company only), 3.02 (with respect to the execution, delivery and performance of the Loan Documents and the Transactions and the Loans), 3.03(b) (with respect to the Loan Documents and the Transactions and the Loans, but excluding “any applicable law or regulation” and “any order of any Governmental Authority”), 3.03(c) (limited to this Agreement or any other debt instruments with an aggregate principal and/or committed amount in excess of $100,000,000) (after giving effect to the Transactions and without giving effect to any “material adverse effect” or similar qualifier)), 3.07(c)(ii), 3.08, 3.12, 3.18 and 3.19.</w:t>
      </w:r>
    </w:p>
    <w:p>
      <w:pPr>
        <w:spacing w:after="0" w:line="1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Indicor Target</w:t>
      </w:r>
      <w:r>
        <w:rPr>
          <w:rFonts w:ascii="Times New Roman" w:cs="Times New Roman" w:eastAsia="Times New Roman" w:hAnsi="Times New Roman"/>
          <w:sz w:val="20"/>
          <w:szCs w:val="20"/>
          <w:color w:val="auto"/>
        </w:rPr>
        <w:t>” means Indicor Holdings, LLC, a Delaware limited liability company.</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Ineligible Institution</w:t>
      </w:r>
      <w:r>
        <w:rPr>
          <w:rFonts w:ascii="Times New Roman" w:cs="Times New Roman" w:eastAsia="Times New Roman" w:hAnsi="Times New Roman"/>
          <w:sz w:val="20"/>
          <w:szCs w:val="20"/>
          <w:color w:val="auto"/>
        </w:rPr>
        <w:t>” has the meaning assigned to such term in Section 9.04(b).</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Information</w:t>
      </w:r>
      <w:r>
        <w:rPr>
          <w:rFonts w:ascii="Times New Roman" w:cs="Times New Roman" w:eastAsia="Times New Roman" w:hAnsi="Times New Roman"/>
          <w:sz w:val="20"/>
          <w:szCs w:val="20"/>
          <w:color w:val="auto"/>
        </w:rPr>
        <w:t>” has the meaning assigned to such term in Section 9.12.</w:t>
      </w:r>
    </w:p>
    <w:p>
      <w:pPr>
        <w:spacing w:after="0" w:line="18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Intercompany Loans</w:t>
      </w:r>
      <w:r>
        <w:rPr>
          <w:rFonts w:ascii="Times New Roman" w:cs="Times New Roman" w:eastAsia="Times New Roman" w:hAnsi="Times New Roman"/>
          <w:sz w:val="20"/>
          <w:szCs w:val="20"/>
          <w:color w:val="auto"/>
        </w:rPr>
        <w:t>” means intercompany loans and advances from (a) the Company to its Subsidiaries (other than to the Captive Insurance Subsidiary unless required by applicable law or required to fund its insurance operations), and (b) any Subsidiary to any other Subsidiary (other than the Captive Insurance Subsidiary unless required by applicable law or required to fund its insurance operations) or to the Company.</w:t>
      </w:r>
    </w:p>
    <w:p>
      <w:pPr>
        <w:spacing w:after="0" w:line="14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Interest Coverage Ratio</w:t>
      </w:r>
      <w:r>
        <w:rPr>
          <w:rFonts w:ascii="Times New Roman" w:cs="Times New Roman" w:eastAsia="Times New Roman" w:hAnsi="Times New Roman"/>
          <w:sz w:val="20"/>
          <w:szCs w:val="20"/>
          <w:color w:val="auto"/>
        </w:rPr>
        <w:t>” means, as of the last day of any fiscal quarter of the Company, the ratio of (a) Consolidated EBITDA for the period of four (4) consecutive fiscal quarters ending with the end of such fiscal quarter to (b) Consolidated Interest Expense for the period of four (4) consecutive fiscal quarters ending with the end of such fiscal quarter, all calculated for the Company and its Subsidiaries on a consolidated basis.</w:t>
      </w:r>
    </w:p>
    <w:p>
      <w:pPr>
        <w:spacing w:after="0" w:line="147"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Interest Election Request</w:t>
      </w:r>
      <w:r>
        <w:rPr>
          <w:rFonts w:ascii="Times New Roman" w:cs="Times New Roman" w:eastAsia="Times New Roman" w:hAnsi="Times New Roman"/>
          <w:sz w:val="20"/>
          <w:szCs w:val="20"/>
          <w:color w:val="auto"/>
        </w:rPr>
        <w:t>” means a request by the Borrower to convert or continue a Borrowing in accordance with Section 2.08, which shall be substantially in the form approved by the Administrative Agent and separately provided to the Company.</w:t>
      </w:r>
    </w:p>
    <w:p>
      <w:pPr>
        <w:spacing w:after="0" w:line="11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Interest Payment Date</w:t>
      </w:r>
      <w:r>
        <w:rPr>
          <w:rFonts w:ascii="Times New Roman" w:cs="Times New Roman" w:eastAsia="Times New Roman" w:hAnsi="Times New Roman"/>
          <w:sz w:val="20"/>
          <w:szCs w:val="20"/>
          <w:color w:val="auto"/>
        </w:rPr>
        <w:t>” means (a) with respect to any ABR Loan, the last day of each March, June, September and December and the Maturity Date and (b) with respect to any Term SOFR Loan, the last day of each Interest Period applicable to the Borrowing of which such Loan is a part and, in the case of a Term SOFR Borrowing with an Interest Period of more than three months’ duration, each day prior to the last day of such Interest Period that occurs at intervals of three months’ duration after the first day of such Interest Period and the Maturity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ectPr>
          <w:pgSz w:w="11900" w:h="16838" w:orient="portrait"/>
          <w:cols w:equalWidth="0" w:num="1">
            <w:col w:w="11240"/>
          </w:cols>
          <w:pgMar w:left="320" w:top="1413" w:right="339" w:bottom="1440" w:gutter="0" w:footer="0" w:header="0"/>
        </w:sectPr>
      </w:pPr>
    </w:p>
    <w:bookmarkStart w:id="192" w:name="page193"/>
    <w:bookmarkEnd w:id="192"/>
    <w:p>
      <w:pPr>
        <w:jc w:val="both"/>
        <w:ind w:firstLine="1296"/>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Interest Period</w:t>
      </w:r>
      <w:r>
        <w:rPr>
          <w:rFonts w:ascii="Times New Roman" w:cs="Times New Roman" w:eastAsia="Times New Roman" w:hAnsi="Times New Roman"/>
          <w:sz w:val="20"/>
          <w:szCs w:val="20"/>
          <w:color w:val="auto"/>
        </w:rPr>
        <w:t xml:space="preserve">” means with respect to any Term SOFR Borrowing, the period commencing on the date of such Borrowing and ending on the numerically corresponding day in the calendar month that is one, three or six months thereafter (in each case, subject to the availability), as the Borrower may elect;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(i)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(ii)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and (iii) no tenor that has been removed from this definition pursuant to Section 2.14(e) shall be available for specification in such Borrowing Request or Interest Election Request. For purposes hereof, the date of a Borrowing initially shall be the date on which such Borrowing is made and thereafter shall be the effective date of the most recent conversion or continuation of such Borrowing.</w:t>
      </w:r>
    </w:p>
    <w:p>
      <w:pPr>
        <w:spacing w:after="0" w:line="1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IRS</w:t>
      </w:r>
      <w:r>
        <w:rPr>
          <w:rFonts w:ascii="Times New Roman" w:cs="Times New Roman" w:eastAsia="Times New Roman" w:hAnsi="Times New Roman"/>
          <w:sz w:val="20"/>
          <w:szCs w:val="20"/>
          <w:color w:val="auto"/>
        </w:rPr>
        <w:t>” means the United States Internal Revenue Service.</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Lender Parent</w:t>
      </w:r>
      <w:r>
        <w:rPr>
          <w:rFonts w:ascii="Times New Roman" w:cs="Times New Roman" w:eastAsia="Times New Roman" w:hAnsi="Times New Roman"/>
          <w:sz w:val="20"/>
          <w:szCs w:val="20"/>
          <w:color w:val="auto"/>
        </w:rPr>
        <w:t>” means, with respect to any Lender, any Person as to which such Lender is, directly or indirectly, 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subsidiary.</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Lender Presentation</w:t>
      </w:r>
      <w:r>
        <w:rPr>
          <w:rFonts w:ascii="Times New Roman" w:cs="Times New Roman" w:eastAsia="Times New Roman" w:hAnsi="Times New Roman"/>
          <w:sz w:val="20"/>
          <w:szCs w:val="20"/>
          <w:color w:val="auto"/>
        </w:rPr>
        <w:t>” means the Lender Presentation dated May 2026 relating to the Company and the Transactions.</w:t>
      </w:r>
    </w:p>
    <w:p>
      <w:pPr>
        <w:spacing w:after="0" w:line="189"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Lender-Related Person</w:t>
      </w:r>
      <w:r>
        <w:rPr>
          <w:rFonts w:ascii="Times New Roman" w:cs="Times New Roman" w:eastAsia="Times New Roman" w:hAnsi="Times New Roman"/>
          <w:sz w:val="20"/>
          <w:szCs w:val="20"/>
          <w:color w:val="auto"/>
        </w:rPr>
        <w:t>” means the Administrative Agent, any Arranger, any Co-Syndication Agent, any Co-Documentation Agent and any Lender, and any Related Party of any of the foregoing Persons.</w:t>
      </w:r>
    </w:p>
    <w:p>
      <w:pPr>
        <w:spacing w:after="0" w:line="13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Lenders</w:t>
      </w:r>
      <w:r>
        <w:rPr>
          <w:rFonts w:ascii="Times New Roman" w:cs="Times New Roman" w:eastAsia="Times New Roman" w:hAnsi="Times New Roman"/>
          <w:sz w:val="20"/>
          <w:szCs w:val="20"/>
          <w:color w:val="auto"/>
        </w:rPr>
        <w:t xml:space="preserve">” means the Persons listed on </w:t>
      </w:r>
      <w:r>
        <w:rPr>
          <w:rFonts w:ascii="Times New Roman" w:cs="Times New Roman" w:eastAsia="Times New Roman" w:hAnsi="Times New Roman"/>
          <w:sz w:val="20"/>
          <w:szCs w:val="20"/>
          <w:u w:val="single" w:color="auto"/>
          <w:color w:val="auto"/>
        </w:rPr>
        <w:t>Schedule 2.01</w:t>
      </w:r>
      <w:r>
        <w:rPr>
          <w:rFonts w:ascii="Times New Roman" w:cs="Times New Roman" w:eastAsia="Times New Roman" w:hAnsi="Times New Roman"/>
          <w:sz w:val="20"/>
          <w:szCs w:val="20"/>
          <w:color w:val="auto"/>
        </w:rPr>
        <w:t xml:space="preserve"> and any other Person that shall have become a Lender hereunder pursuant to an Assignment and Assumption or otherwise, other than any such Person that ceases to be a party hereto pursuant to an Assignment and Assumption or otherwise.</w:t>
      </w:r>
    </w:p>
    <w:p>
      <w:pPr>
        <w:spacing w:after="0" w:line="141"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Leverage Pricing Termination Date</w:t>
      </w:r>
      <w:r>
        <w:rPr>
          <w:rFonts w:ascii="Times New Roman" w:cs="Times New Roman" w:eastAsia="Times New Roman" w:hAnsi="Times New Roman"/>
          <w:sz w:val="20"/>
          <w:szCs w:val="20"/>
          <w:color w:val="auto"/>
        </w:rPr>
        <w:t>” means the earlier of (i) the first date on which the Company delivers to the Administrative Agent the compliance certificate required pursuant to Section 5.01(c) in respect of the first fiscal quarter ending after the Financial Covenant Transition Date and (ii) the date on which the first compliance certificate required pursuant to Section 5.01(c) in respect of the first fiscal quarter ending after the Financial Covenant Transition Date is required to be delivered to the Administrative Agent pursuant to the terms hereof.</w:t>
      </w:r>
    </w:p>
    <w:p>
      <w:pPr>
        <w:spacing w:after="0" w:line="14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Liabilities</w:t>
      </w:r>
      <w:r>
        <w:rPr>
          <w:rFonts w:ascii="Times New Roman" w:cs="Times New Roman" w:eastAsia="Times New Roman" w:hAnsi="Times New Roman"/>
          <w:sz w:val="20"/>
          <w:szCs w:val="20"/>
          <w:color w:val="auto"/>
        </w:rPr>
        <w:t>” means any losses, claims (including intraparty claims), demands, damages or liabilities of any kind.</w:t>
      </w:r>
    </w:p>
    <w:p>
      <w:pPr>
        <w:spacing w:after="0" w:line="175" w:lineRule="exact"/>
        <w:rPr>
          <w:sz w:val="20"/>
          <w:szCs w:val="20"/>
          <w:color w:val="auto"/>
        </w:rPr>
      </w:pPr>
    </w:p>
    <w:p>
      <w:pPr>
        <w:jc w:val="both"/>
        <w:ind w:right="20" w:firstLine="1296"/>
        <w:spacing w:after="0" w:line="27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Lien</w:t>
      </w:r>
      <w:r>
        <w:rPr>
          <w:rFonts w:ascii="Times New Roman" w:cs="Times New Roman" w:eastAsia="Times New Roman" w:hAnsi="Times New Roman"/>
          <w:sz w:val="19"/>
          <w:szCs w:val="19"/>
          <w:color w:val="auto"/>
        </w:rPr>
        <w:t>” means, with respect to any asset, (a) any mortgage, deed of trust, lien, pledge, hypothecation, encumbrance, charge or security interest in, on or of such asset, (b) the interest of a vendor or a lessor under any conditional sale agreement, capital lease or title retention agreement (or any financing lease having substantially the same economic effect as any of the foregoing) relating to such asset and</w:t>
      </w:r>
    </w:p>
    <w:p>
      <w:pPr>
        <w:spacing w:after="0"/>
        <w:rPr>
          <w:sz w:val="20"/>
          <w:szCs w:val="20"/>
          <w:color w:val="auto"/>
        </w:rPr>
      </w:pPr>
      <w:r>
        <w:rPr>
          <w:rFonts w:ascii="Times New Roman" w:cs="Times New Roman" w:eastAsia="Times New Roman" w:hAnsi="Times New Roman"/>
          <w:sz w:val="20"/>
          <w:szCs w:val="20"/>
          <w:color w:val="auto"/>
        </w:rPr>
        <w:t>(c) in the case of securities, any purchase option, call or similar right of a third party with respect to such securities.</w:t>
      </w:r>
    </w:p>
    <w:p>
      <w:pPr>
        <w:spacing w:after="0" w:line="16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Liquidity</w:t>
      </w:r>
      <w:r>
        <w:rPr>
          <w:rFonts w:ascii="Times New Roman" w:cs="Times New Roman" w:eastAsia="Times New Roman" w:hAnsi="Times New Roman"/>
          <w:sz w:val="20"/>
          <w:szCs w:val="20"/>
          <w:color w:val="auto"/>
        </w:rPr>
        <w:t>” means, as of any date of determination, the lesser of (x) $1,250,000,000 and (y) the aggregate amount of unrestricted and unencumbered (subject to Permitted Encumbrances) cash and cash equivalents maintained by the Company and its Subsidiaries as of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ectPr>
          <w:pgSz w:w="11900" w:h="16838" w:orient="portrait"/>
          <w:cols w:equalWidth="0" w:num="1">
            <w:col w:w="11240"/>
          </w:cols>
          <w:pgMar w:left="320" w:top="1413" w:right="339" w:bottom="1440" w:gutter="0" w:footer="0" w:header="0"/>
        </w:sectPr>
      </w:pPr>
    </w:p>
    <w:bookmarkStart w:id="193" w:name="page194"/>
    <w:bookmarkEnd w:id="193"/>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LLC</w:t>
      </w:r>
      <w:r>
        <w:rPr>
          <w:rFonts w:ascii="Times New Roman" w:cs="Times New Roman" w:eastAsia="Times New Roman" w:hAnsi="Times New Roman"/>
          <w:sz w:val="20"/>
          <w:szCs w:val="20"/>
          <w:color w:val="auto"/>
        </w:rPr>
        <w:t>” means any Person that is a limited liability company under the laws of its jurisdiction of formation.</w:t>
      </w:r>
    </w:p>
    <w:p>
      <w:pPr>
        <w:spacing w:after="0" w:line="18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 Documents</w:t>
      </w:r>
      <w:r>
        <w:rPr>
          <w:rFonts w:ascii="Times New Roman" w:cs="Times New Roman" w:eastAsia="Times New Roman" w:hAnsi="Times New Roman"/>
          <w:sz w:val="20"/>
          <w:szCs w:val="20"/>
          <w:color w:val="auto"/>
        </w:rPr>
        <w:t>” means this Agreement and any promissory notes issued pursuant to Section 2.10(e) of this Agreement. Any reference in this Agreement or any other Loan Document to a Loan Document shall include all appendices, exhibits or schedules thereto, and all amendments, restatements, supplements or other modifications thereto, and shall refer to this Agreement or such Loan Document as the same may be in effect at any and all times such reference becomes operative.</w:t>
      </w:r>
    </w:p>
    <w:p>
      <w:pPr>
        <w:spacing w:after="0" w:line="14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Loans</w:t>
      </w:r>
      <w:r>
        <w:rPr>
          <w:rFonts w:ascii="Times New Roman" w:cs="Times New Roman" w:eastAsia="Times New Roman" w:hAnsi="Times New Roman"/>
          <w:sz w:val="20"/>
          <w:szCs w:val="20"/>
          <w:color w:val="auto"/>
        </w:rPr>
        <w:t>” means the loans made by the Lenders to the Borrower pursuant to this Agreement.</w:t>
      </w:r>
    </w:p>
    <w:p>
      <w:pPr>
        <w:spacing w:after="0" w:line="189"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Adverse Effect</w:t>
      </w:r>
      <w:r>
        <w:rPr>
          <w:rFonts w:ascii="Times New Roman" w:cs="Times New Roman" w:eastAsia="Times New Roman" w:hAnsi="Times New Roman"/>
          <w:sz w:val="20"/>
          <w:szCs w:val="20"/>
          <w:color w:val="auto"/>
        </w:rPr>
        <w:t>” means (a) a material adverse change in, or a material adverse effect upon, the operations, business, properties, or financial condition of the Company and the Subsidiaries taken as a whole, (b) a material impairment of the ability of the Company and its Subsidiaries to perform under any material Loan Document or (c) a material adverse effect upon the legality, validity, binding effect or enforceability against the Company or any Subsidiary of any material Loan Document.</w:t>
      </w:r>
    </w:p>
    <w:p>
      <w:pPr>
        <w:spacing w:after="0" w:line="147"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Indebtedness</w:t>
      </w:r>
      <w:r>
        <w:rPr>
          <w:rFonts w:ascii="Times New Roman" w:cs="Times New Roman" w:eastAsia="Times New Roman" w:hAnsi="Times New Roman"/>
          <w:sz w:val="20"/>
          <w:szCs w:val="20"/>
          <w:color w:val="auto"/>
        </w:rPr>
        <w:t>” means Indebtedness (other than the Loans), or obligations in respect of one or more Swap Agreements, of any one or more of the Company and its Subsidiaries in an aggregate principal amount exceeding $250,000,000. For purposes of determining Material Indebtedness, the “principal amount” of the obligations of the Company or any Subsidiary in respect of any Swap Agreement at any time shall be the maximum aggregate amount (giving effect to any netting agreements) that the Company or such Subsidiary would be required to pay if such Swap Agreement were terminated at such time.</w:t>
      </w:r>
    </w:p>
    <w:p>
      <w:pPr>
        <w:spacing w:after="0" w:line="146" w:lineRule="exact"/>
        <w:rPr>
          <w:sz w:val="20"/>
          <w:szCs w:val="20"/>
          <w:color w:val="auto"/>
        </w:rPr>
      </w:pPr>
    </w:p>
    <w:p>
      <w:pPr>
        <w:jc w:val="both"/>
        <w:ind w:firstLine="1296"/>
        <w:spacing w:after="0" w:line="29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Maturity Date</w:t>
      </w:r>
      <w:r>
        <w:rPr>
          <w:rFonts w:ascii="Times New Roman" w:cs="Times New Roman" w:eastAsia="Times New Roman" w:hAnsi="Times New Roman"/>
          <w:sz w:val="19"/>
          <w:szCs w:val="19"/>
          <w:color w:val="auto"/>
        </w:rPr>
        <w:t>” means the Tranche A Maturity Date, the Tranche B Maturity Date or the Tranche C Maturity Date, as the case may be; provided, however, in each case, if such date is not a Business Day, the Maturity Date shall be the next preceding Business Day.</w:t>
      </w:r>
    </w:p>
    <w:p>
      <w:pPr>
        <w:spacing w:after="0" w:line="11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Maximum Rate</w:t>
      </w:r>
      <w:r>
        <w:rPr>
          <w:rFonts w:ascii="Times New Roman" w:cs="Times New Roman" w:eastAsia="Times New Roman" w:hAnsi="Times New Roman"/>
          <w:sz w:val="20"/>
          <w:szCs w:val="20"/>
          <w:color w:val="auto"/>
        </w:rPr>
        <w:t>” has the meaning assigned to such term in Section 9.15.</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Moody’s</w:t>
      </w:r>
      <w:r>
        <w:rPr>
          <w:rFonts w:ascii="Times New Roman" w:cs="Times New Roman" w:eastAsia="Times New Roman" w:hAnsi="Times New Roman"/>
          <w:sz w:val="20"/>
          <w:szCs w:val="20"/>
          <w:color w:val="auto"/>
        </w:rPr>
        <w:t>” means Moody’s Investors Service, Inc.</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Multiemployer Plan</w:t>
      </w:r>
      <w:r>
        <w:rPr>
          <w:rFonts w:ascii="Times New Roman" w:cs="Times New Roman" w:eastAsia="Times New Roman" w:hAnsi="Times New Roman"/>
          <w:sz w:val="20"/>
          <w:szCs w:val="20"/>
          <w:color w:val="auto"/>
        </w:rPr>
        <w:t>” means a multiemployer plan as defined in Section 4001(a)(3) of ERISA.</w:t>
      </w:r>
    </w:p>
    <w:p>
      <w:pPr>
        <w:spacing w:after="0" w:line="18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Net Cash Proceeds</w:t>
      </w:r>
      <w:r>
        <w:rPr>
          <w:rFonts w:ascii="Times New Roman" w:cs="Times New Roman" w:eastAsia="Times New Roman" w:hAnsi="Times New Roman"/>
          <w:sz w:val="20"/>
          <w:szCs w:val="20"/>
          <w:color w:val="auto"/>
        </w:rPr>
        <w:t>” means, with respect to any event, the cash (which term, for purposes of this definition, shall include cash equivalents) proceeds actually received by the Company or its Subsidiaries in respect of such event, including any cash received in respect of any noncash proceeds, but only as and when received, net of the sum, without duplication, of (i) all fees and expenses incurred in connection with such event by the Company and its Subsidiaries, (ii) in the case of a sale, transfer, lease or other disposition (including pursuant to a sale and leaseback transaction) of an asset, the amount of all payments required to be made by the Company and its Subsidiaries as a result of such event to repay debt for borrowed money secured by such asset and (iii) the amount of all taxes paid (or reasonably estimated to be payable) by the Company and its Subsidiaries, and the amount of any reserves established by the Borrower and its subsidiaries in accordance with GAAP or other applicable accounting standards to fund purchase price adjustment, indemnification and similar contingent liabilities reasonably estimated to be payable, in each case during the year that such event occurred or the next succeeding year and that are directly attributable to the occurrence of such event (as determined reasonably and in good faith by the</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ectPr>
          <w:pgSz w:w="11900" w:h="16838" w:orient="portrait"/>
          <w:cols w:equalWidth="0" w:num="1">
            <w:col w:w="11240"/>
          </w:cols>
          <w:pgMar w:left="320" w:top="1413" w:right="339" w:bottom="1440" w:gutter="0" w:footer="0" w:header="0"/>
        </w:sectPr>
      </w:pPr>
    </w:p>
    <w:bookmarkStart w:id="194" w:name="page195"/>
    <w:bookmarkEnd w:id="194"/>
    <w:p>
      <w:pPr>
        <w:jc w:val="both"/>
        <w:spacing w:after="0" w:line="287" w:lineRule="auto"/>
        <w:rPr>
          <w:sz w:val="20"/>
          <w:szCs w:val="20"/>
          <w:color w:val="auto"/>
        </w:rPr>
      </w:pPr>
      <w:r>
        <w:rPr>
          <w:rFonts w:ascii="Times New Roman" w:cs="Times New Roman" w:eastAsia="Times New Roman" w:hAnsi="Times New Roman"/>
          <w:sz w:val="20"/>
          <w:szCs w:val="20"/>
          <w:color w:val="auto"/>
        </w:rPr>
        <w:t xml:space="preserve">Company);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the amount of such reserves exceeds the amounts charged against such reserve, then such excess, upon determination thereof, shall then constitute Net Cash Proceeds.</w:t>
      </w:r>
    </w:p>
    <w:p>
      <w:pPr>
        <w:spacing w:after="0" w:line="14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Non-Consenting Lender</w:t>
      </w:r>
      <w:r>
        <w:rPr>
          <w:rFonts w:ascii="Times New Roman" w:cs="Times New Roman" w:eastAsia="Times New Roman" w:hAnsi="Times New Roman"/>
          <w:sz w:val="20"/>
          <w:szCs w:val="20"/>
          <w:color w:val="auto"/>
        </w:rPr>
        <w:t>” has the meaning assigned to such term in Section 9.02(d).</w:t>
      </w:r>
    </w:p>
    <w:p>
      <w:pPr>
        <w:spacing w:after="0" w:line="18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Non-U.S. Pension Plan</w:t>
      </w:r>
      <w:r>
        <w:rPr>
          <w:rFonts w:ascii="Times New Roman" w:cs="Times New Roman" w:eastAsia="Times New Roman" w:hAnsi="Times New Roman"/>
          <w:sz w:val="20"/>
          <w:szCs w:val="20"/>
          <w:color w:val="auto"/>
        </w:rPr>
        <w:t>” means any plan, scheme, fund (including any superannuation fund) or other similar program established, sponsored or maintained outside the United States by the Company or any one or more of its Subsidiaries primarily for the benefit of employees of the Company or such Subsidiaries residing outside the United States, which plan, fund or other similar program provides, or results in, retirement income, a deferral of income in contemplation of retirement or payments to be made upon termination of employment, and which plan is not subject to ERISA or the Code. For the avoidance of doubt, each UK DB Plan shall be a Non-U.S. Pension Plan for the purposes of this Agreement.</w:t>
      </w:r>
    </w:p>
    <w:p>
      <w:pPr>
        <w:spacing w:after="0" w:line="152"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Notifiable Event</w:t>
      </w:r>
      <w:r>
        <w:rPr>
          <w:rFonts w:ascii="Times New Roman" w:cs="Times New Roman" w:eastAsia="Times New Roman" w:hAnsi="Times New Roman"/>
          <w:sz w:val="20"/>
          <w:szCs w:val="20"/>
          <w:color w:val="auto"/>
        </w:rPr>
        <w:t>” means an event that is notifiable to the Pensions Regulator under section 69 or section 69A of the United Kingdom Pensions Act 2004 and associated regulations.</w:t>
      </w:r>
    </w:p>
    <w:p>
      <w:pPr>
        <w:spacing w:after="0" w:line="11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NYFRB</w:t>
      </w:r>
      <w:r>
        <w:rPr>
          <w:rFonts w:ascii="Times New Roman" w:cs="Times New Roman" w:eastAsia="Times New Roman" w:hAnsi="Times New Roman"/>
          <w:sz w:val="20"/>
          <w:szCs w:val="20"/>
          <w:color w:val="auto"/>
        </w:rPr>
        <w:t>” means the Federal Reserve Bank of New York.</w:t>
      </w:r>
    </w:p>
    <w:p>
      <w:pPr>
        <w:spacing w:after="0" w:line="17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NYFRB Rate</w:t>
      </w:r>
      <w:r>
        <w:rPr>
          <w:rFonts w:ascii="Times New Roman" w:cs="Times New Roman" w:eastAsia="Times New Roman" w:hAnsi="Times New Roman"/>
          <w:sz w:val="20"/>
          <w:szCs w:val="20"/>
          <w:color w:val="auto"/>
        </w:rPr>
        <w:t xml:space="preserve">” means, for any day, the greater of (a) the Federal Funds Effective Rate in effect on such day and (b) the Overnight Bank Funding Rate in effect on such day (or for any day that is not a Business Day, for the immediately preceding Business Day);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none of such rates are published for any day that is a Business Day, the term “NYFRB Rate” means the rate for a federal funds transaction quoted at 11:00 a.m., New York City time, on such day received by the Administrative Agent from a federal funds broker of recognized standing selected by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if any of the aforesaid rates as so determined would be less than zero, such rate shall be deemed to be zero for purposes of this Agreement.</w:t>
      </w:r>
    </w:p>
    <w:p>
      <w:pPr>
        <w:spacing w:after="0" w:line="1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NYFRB’s Website</w:t>
      </w:r>
      <w:r>
        <w:rPr>
          <w:rFonts w:ascii="Times New Roman" w:cs="Times New Roman" w:eastAsia="Times New Roman" w:hAnsi="Times New Roman"/>
          <w:sz w:val="20"/>
          <w:szCs w:val="20"/>
          <w:color w:val="auto"/>
        </w:rPr>
        <w:t>” means the website of the NYFRB at http://www.newyorkfed.org, or any successor source.</w:t>
      </w:r>
    </w:p>
    <w:p>
      <w:pPr>
        <w:spacing w:after="0" w:line="18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Obligations</w:t>
      </w:r>
      <w:r>
        <w:rPr>
          <w:rFonts w:ascii="Times New Roman" w:cs="Times New Roman" w:eastAsia="Times New Roman" w:hAnsi="Times New Roman"/>
          <w:sz w:val="20"/>
          <w:szCs w:val="20"/>
          <w:color w:val="auto"/>
        </w:rPr>
        <w:t>” means all unpaid principal of and accrued and unpaid interest on the Loans, all accrued and unpaid fees and all expenses, reimbursements, indemnities and other obligations and indebtedness (including interest and fees accruing during the pendency of any bankruptcy, insolvency, receivership or other similar proceeding, regardless of whether allowed or allowable in such proceeding), obligations and liabilities of any of the Company and its Subsidiaries to any of the Lenders, the Administrative Agent or any indemnified party, individually or collectively, existing on the Effective Date or arising thereafter, direct or indirect, joint or several, absolute or contingent, matured or unmatured, liquidated or unliquidated, secured or unsecured, arising by contract, operation of law or otherwise, arising or incurred under this Agreement or any of the other Loan Documents.</w:t>
      </w:r>
    </w:p>
    <w:p>
      <w:pPr>
        <w:spacing w:after="0" w:line="1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OFAC</w:t>
      </w:r>
      <w:r>
        <w:rPr>
          <w:rFonts w:ascii="Times New Roman" w:cs="Times New Roman" w:eastAsia="Times New Roman" w:hAnsi="Times New Roman"/>
          <w:sz w:val="20"/>
          <w:szCs w:val="20"/>
          <w:color w:val="auto"/>
        </w:rPr>
        <w:t>” means the Office of Foreign Assets Control of the U.S. Department of the Treasury.</w:t>
      </w:r>
    </w:p>
    <w:p>
      <w:pPr>
        <w:spacing w:after="0" w:line="18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Other Connection Taxes</w:t>
      </w:r>
      <w:r>
        <w:rPr>
          <w:rFonts w:ascii="Times New Roman" w:cs="Times New Roman" w:eastAsia="Times New Roman" w:hAnsi="Times New Roman"/>
          <w:sz w:val="20"/>
          <w:szCs w:val="20"/>
          <w:color w:val="auto"/>
        </w:rPr>
        <w:t>” means, with respect to any Recipient, Taxes imposed as a result of a present or former connection between such Recipient and the jurisdiction imposing such Taxes (other than a connection arising from such Recipient having executed, delivered, become a party to, performed its obligations under, received payments under, received or perfected a security interest under, or engaged in any other transaction pursuant to, or enforced, any Loan Document, or sold or assigned an interest in any Loan or Loan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ectPr>
          <w:pgSz w:w="11900" w:h="16838" w:orient="portrait"/>
          <w:cols w:equalWidth="0" w:num="1">
            <w:col w:w="11240"/>
          </w:cols>
          <w:pgMar w:left="320" w:top="1409" w:right="339" w:bottom="1440" w:gutter="0" w:footer="0" w:header="0"/>
        </w:sectPr>
      </w:pPr>
    </w:p>
    <w:bookmarkStart w:id="195" w:name="page196"/>
    <w:bookmarkEnd w:id="195"/>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Other Taxes</w:t>
      </w:r>
      <w:r>
        <w:rPr>
          <w:rFonts w:ascii="Times New Roman" w:cs="Times New Roman" w:eastAsia="Times New Roman" w:hAnsi="Times New Roman"/>
          <w:sz w:val="20"/>
          <w:szCs w:val="20"/>
          <w:color w:val="auto"/>
        </w:rPr>
        <w:t>” means any present or future stamp, court, documentary, intangible, recording, filing, excise or property, or other similar Taxes that arise from any payment made under, from the execution, delivery, performance, enforcement or registration of, or from the registration, receipt or perfection of a security interest under, or otherwise with respect to, any Loan Document, except any such Taxes that are Other Connection Taxes imposed with respect to an assignment (other than an assignment under Section 2.20(b) or Section 9.02(d)).</w:t>
      </w:r>
    </w:p>
    <w:p>
      <w:pPr>
        <w:spacing w:after="0" w:line="151"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Outbound Investment Rules</w:t>
      </w:r>
      <w:r>
        <w:rPr>
          <w:rFonts w:ascii="Times New Roman" w:cs="Times New Roman" w:eastAsia="Times New Roman" w:hAnsi="Times New Roman"/>
          <w:sz w:val="20"/>
          <w:szCs w:val="20"/>
          <w:color w:val="auto"/>
        </w:rPr>
        <w:t>” means the regulations administered and enforced, together with any related public guidance issued, by the United States Treasury Department under U.S. Executive Order 14105 of August 9, 2023, or any similar law or regulation; as of the date of this Agreement, and as codified at 31 C.F.R. § 850.101 et seq.</w:t>
      </w:r>
    </w:p>
    <w:p>
      <w:pPr>
        <w:spacing w:after="0" w:line="141"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Overnight Bank Funding Rate</w:t>
      </w:r>
      <w:r>
        <w:rPr>
          <w:rFonts w:ascii="Times New Roman" w:cs="Times New Roman" w:eastAsia="Times New Roman" w:hAnsi="Times New Roman"/>
          <w:sz w:val="20"/>
          <w:szCs w:val="20"/>
          <w:color w:val="auto"/>
        </w:rPr>
        <w:t>” means, for any day, the rate comprised of both overnight federal funds and overnight eurodollar transactions denominated in Dollars by U.S.-managed banking offices of depository institutions, as such composite rate shall be determined by the NYFRB as set forth on the NYFRB’s Website from time to time, and published on the next succeeding Business Day by the NYFRB as an overnight bank funding rate.</w:t>
      </w:r>
    </w:p>
    <w:p>
      <w:pPr>
        <w:spacing w:after="0" w:line="14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Overnight Rate</w:t>
      </w:r>
      <w:r>
        <w:rPr>
          <w:rFonts w:ascii="Times New Roman" w:cs="Times New Roman" w:eastAsia="Times New Roman" w:hAnsi="Times New Roman"/>
          <w:sz w:val="20"/>
          <w:szCs w:val="20"/>
          <w:color w:val="auto"/>
        </w:rPr>
        <w:t>” means, for any day, the NYFRB Rate.</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has the meaning assigned to such term in Section 9.04(c).</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Participant Register</w:t>
      </w:r>
      <w:r>
        <w:rPr>
          <w:rFonts w:ascii="Times New Roman" w:cs="Times New Roman" w:eastAsia="Times New Roman" w:hAnsi="Times New Roman"/>
          <w:sz w:val="20"/>
          <w:szCs w:val="20"/>
          <w:color w:val="auto"/>
        </w:rPr>
        <w:t>” has the meaning assigned to such term in Section 9.04(c).</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Patriot Act</w:t>
      </w:r>
      <w:r>
        <w:rPr>
          <w:rFonts w:ascii="Times New Roman" w:cs="Times New Roman" w:eastAsia="Times New Roman" w:hAnsi="Times New Roman"/>
          <w:sz w:val="20"/>
          <w:szCs w:val="20"/>
          <w:color w:val="auto"/>
        </w:rPr>
        <w:t>” has the meaning assigned to such term in Section 9.13.</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Payment</w:t>
      </w:r>
      <w:r>
        <w:rPr>
          <w:rFonts w:ascii="Times New Roman" w:cs="Times New Roman" w:eastAsia="Times New Roman" w:hAnsi="Times New Roman"/>
          <w:sz w:val="20"/>
          <w:szCs w:val="20"/>
          <w:color w:val="auto"/>
        </w:rPr>
        <w:t>” has the meaning assigned to such term in Section 8.06(c).</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Payment Notice</w:t>
      </w:r>
      <w:r>
        <w:rPr>
          <w:rFonts w:ascii="Times New Roman" w:cs="Times New Roman" w:eastAsia="Times New Roman" w:hAnsi="Times New Roman"/>
          <w:sz w:val="20"/>
          <w:szCs w:val="20"/>
          <w:color w:val="auto"/>
        </w:rPr>
        <w:t>” has the meaning assigned to such term in Section 8.06(c).</w:t>
      </w:r>
    </w:p>
    <w:p>
      <w:pPr>
        <w:spacing w:after="0" w:line="189"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PBGC</w:t>
      </w:r>
      <w:r>
        <w:rPr>
          <w:rFonts w:ascii="Times New Roman" w:cs="Times New Roman" w:eastAsia="Times New Roman" w:hAnsi="Times New Roman"/>
          <w:sz w:val="20"/>
          <w:szCs w:val="20"/>
          <w:color w:val="auto"/>
        </w:rPr>
        <w:t>” means the Pension Benefit Guaranty Corporation referred to and defined in ERISA and any successor entity performing similar functions.</w:t>
      </w:r>
    </w:p>
    <w:p>
      <w:pPr>
        <w:spacing w:after="0" w:line="132"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Pensions Regulator</w:t>
      </w:r>
      <w:r>
        <w:rPr>
          <w:rFonts w:ascii="Times New Roman" w:cs="Times New Roman" w:eastAsia="Times New Roman" w:hAnsi="Times New Roman"/>
          <w:sz w:val="20"/>
          <w:szCs w:val="20"/>
          <w:color w:val="auto"/>
        </w:rPr>
        <w:t>” means the body corporate established under section 1 of the United Kingdom Pensions Act 2004 (or any replacement or successor body from time to time).</w:t>
      </w:r>
    </w:p>
    <w:p>
      <w:pPr>
        <w:spacing w:after="0" w:line="119"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Earn-Out Indebtedness</w:t>
      </w:r>
      <w:r>
        <w:rPr>
          <w:rFonts w:ascii="Times New Roman" w:cs="Times New Roman" w:eastAsia="Times New Roman" w:hAnsi="Times New Roman"/>
          <w:sz w:val="20"/>
          <w:szCs w:val="20"/>
          <w:color w:val="auto"/>
        </w:rPr>
        <w:t>” means Indebtedness or earn-out obligation of the Company or any Subsidiary incurred in connection with any acquisition, which Indebtedness or earn-out obligation is not secured by any assets of the Company or any Subsidiary (including, without limitation, the assets so acquired) and is only payable by the Company and its Subsidiaries in the event certain future performance goals are achieved with respect to the assets acquired.</w:t>
      </w:r>
    </w:p>
    <w:p>
      <w:pPr>
        <w:spacing w:after="0" w:line="14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Encumbrances</w:t>
      </w:r>
      <w:r>
        <w:rPr>
          <w:rFonts w:ascii="Times New Roman" w:cs="Times New Roman" w:eastAsia="Times New Roman" w:hAnsi="Times New Roman"/>
          <w:sz w:val="20"/>
          <w:szCs w:val="20"/>
          <w:color w:val="auto"/>
        </w:rPr>
        <w:t>” means:</w:t>
      </w:r>
    </w:p>
    <w:p>
      <w:pPr>
        <w:spacing w:after="0" w:line="189" w:lineRule="exact"/>
        <w:rPr>
          <w:sz w:val="20"/>
          <w:szCs w:val="20"/>
          <w:color w:val="auto"/>
        </w:rPr>
      </w:pPr>
    </w:p>
    <w:p>
      <w:pPr>
        <w:ind w:left="1580" w:hanging="276"/>
        <w:spacing w:after="0"/>
        <w:tabs>
          <w:tab w:leader="none" w:pos="1580" w:val="left"/>
        </w:tabs>
        <w:numPr>
          <w:ilvl w:val="0"/>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imposed by law for Taxes that are not yet due or are being contested in compliance with Section 5.04;</w:t>
      </w:r>
    </w:p>
    <w:p>
      <w:pPr>
        <w:spacing w:after="0" w:line="188" w:lineRule="exact"/>
        <w:rPr>
          <w:rFonts w:ascii="Times New Roman" w:cs="Times New Roman" w:eastAsia="Times New Roman" w:hAnsi="Times New Roman"/>
          <w:sz w:val="20"/>
          <w:szCs w:val="20"/>
          <w:color w:val="auto"/>
        </w:rPr>
      </w:pPr>
    </w:p>
    <w:p>
      <w:pPr>
        <w:jc w:val="both"/>
        <w:ind w:firstLine="1304"/>
        <w:spacing w:after="0" w:line="261" w:lineRule="auto"/>
        <w:tabs>
          <w:tab w:leader="none" w:pos="1594" w:val="left"/>
        </w:tabs>
        <w:numPr>
          <w:ilvl w:val="0"/>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carriers’, warehousemen’s, mechanics’, materialmen’s, repairmen’s and other like Liens imposed by law, arising in the ordinary course of business and securing obligations that are not overdue by more than sixty (60) days or are being contested in compliance with Section 5.04;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ectPr>
          <w:pgSz w:w="11900" w:h="16838" w:orient="portrait"/>
          <w:cols w:equalWidth="0" w:num="1">
            <w:col w:w="11240"/>
          </w:cols>
          <w:pgMar w:left="320" w:top="1413" w:right="339" w:bottom="1440" w:gutter="0" w:footer="0" w:header="0"/>
        </w:sectPr>
      </w:pPr>
    </w:p>
    <w:bookmarkStart w:id="196" w:name="page197"/>
    <w:bookmarkEnd w:id="196"/>
    <w:p>
      <w:pPr>
        <w:ind w:firstLine="1304"/>
        <w:spacing w:after="0" w:line="283" w:lineRule="auto"/>
        <w:tabs>
          <w:tab w:leader="none" w:pos="1570"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pledges and deposits made in the ordinary course of business in compliance with workers’ compensation, unemployment insurance and other social security laws or regulations;</w:t>
      </w:r>
    </w:p>
    <w:p>
      <w:pPr>
        <w:spacing w:after="0" w:line="119" w:lineRule="exact"/>
        <w:rPr>
          <w:rFonts w:ascii="Times New Roman" w:cs="Times New Roman" w:eastAsia="Times New Roman" w:hAnsi="Times New Roman"/>
          <w:sz w:val="20"/>
          <w:szCs w:val="20"/>
          <w:color w:val="auto"/>
        </w:rPr>
      </w:pPr>
    </w:p>
    <w:p>
      <w:pPr>
        <w:ind w:firstLine="1304"/>
        <w:spacing w:after="0" w:line="269" w:lineRule="auto"/>
        <w:tabs>
          <w:tab w:leader="none" w:pos="1620"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deposits to secure the performance of bids, trade contracts, leases, statutory obligations, surety and appeal bonds, performance bonds and other obligations of a like nature, in each case in the ordinary course of business;</w:t>
      </w:r>
    </w:p>
    <w:p>
      <w:pPr>
        <w:spacing w:after="0" w:line="132" w:lineRule="exact"/>
        <w:rPr>
          <w:rFonts w:ascii="Times New Roman" w:cs="Times New Roman" w:eastAsia="Times New Roman" w:hAnsi="Times New Roman"/>
          <w:sz w:val="20"/>
          <w:szCs w:val="20"/>
          <w:color w:val="auto"/>
        </w:rPr>
      </w:pPr>
    </w:p>
    <w:p>
      <w:pPr>
        <w:ind w:left="1580" w:hanging="276"/>
        <w:spacing w:after="0"/>
        <w:tabs>
          <w:tab w:leader="none" w:pos="1580"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judgment Liens in respect of judgments that do not constitute an Event of Default under clause (k) of Article VII;</w:t>
      </w:r>
    </w:p>
    <w:p>
      <w:pPr>
        <w:spacing w:after="0" w:line="188" w:lineRule="exact"/>
        <w:rPr>
          <w:rFonts w:ascii="Times New Roman" w:cs="Times New Roman" w:eastAsia="Times New Roman" w:hAnsi="Times New Roman"/>
          <w:sz w:val="20"/>
          <w:szCs w:val="20"/>
          <w:color w:val="auto"/>
        </w:rPr>
      </w:pPr>
    </w:p>
    <w:p>
      <w:pPr>
        <w:jc w:val="both"/>
        <w:ind w:firstLine="1304"/>
        <w:spacing w:after="0" w:line="261" w:lineRule="auto"/>
        <w:tabs>
          <w:tab w:leader="none" w:pos="1549"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easements, zoning restrictions, rights-of-way and similar encumbrances on real property imposed by law or arising in the ordinary course of business that do not secure any monetary obligations and do not materially detract from the value of the affected property or interfere with the ordinary conduct of business of the Company or any Subsidiary;</w:t>
      </w:r>
    </w:p>
    <w:p>
      <w:pPr>
        <w:spacing w:after="0" w:line="140" w:lineRule="exact"/>
        <w:rPr>
          <w:rFonts w:ascii="Times New Roman" w:cs="Times New Roman" w:eastAsia="Times New Roman" w:hAnsi="Times New Roman"/>
          <w:sz w:val="20"/>
          <w:szCs w:val="20"/>
          <w:color w:val="auto"/>
        </w:rPr>
      </w:pPr>
    </w:p>
    <w:p>
      <w:pPr>
        <w:ind w:left="1600" w:hanging="296"/>
        <w:spacing w:after="0"/>
        <w:tabs>
          <w:tab w:leader="none" w:pos="1600"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leases or subleases granted to third Persons not interfering with the ordinary course of business of the Company or any</w:t>
      </w:r>
    </w:p>
    <w:p>
      <w:pPr>
        <w:spacing w:after="0" w:line="28"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Subsidiary;</w:t>
      </w:r>
    </w:p>
    <w:p>
      <w:pPr>
        <w:spacing w:after="0" w:line="173" w:lineRule="exact"/>
        <w:rPr>
          <w:rFonts w:ascii="Times New Roman" w:cs="Times New Roman" w:eastAsia="Times New Roman" w:hAnsi="Times New Roman"/>
          <w:sz w:val="20"/>
          <w:szCs w:val="20"/>
          <w:color w:val="auto"/>
        </w:rPr>
      </w:pPr>
    </w:p>
    <w:p>
      <w:pPr>
        <w:jc w:val="both"/>
        <w:ind w:firstLine="1304"/>
        <w:spacing w:after="0" w:line="254" w:lineRule="auto"/>
        <w:tabs>
          <w:tab w:leader="none" w:pos="1588"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in favor of a banking or other financial institution arising as a matter of law or in the ordinary course of business under customary general terms and conditions encumbering deposits or other funds maintained with a financial institution (including the right of set-off) and that are within the general parameters customary in the banking industry or arising pursuant to such banking institution’s general terms and conditions;</w:t>
      </w:r>
    </w:p>
    <w:p>
      <w:pPr>
        <w:spacing w:after="0" w:line="146" w:lineRule="exact"/>
        <w:rPr>
          <w:rFonts w:ascii="Times New Roman" w:cs="Times New Roman" w:eastAsia="Times New Roman" w:hAnsi="Times New Roman"/>
          <w:sz w:val="20"/>
          <w:szCs w:val="20"/>
          <w:color w:val="auto"/>
        </w:rPr>
      </w:pPr>
    </w:p>
    <w:p>
      <w:pPr>
        <w:jc w:val="both"/>
        <w:ind w:firstLine="1304"/>
        <w:spacing w:after="0" w:line="261" w:lineRule="auto"/>
        <w:tabs>
          <w:tab w:leader="none" w:pos="1536"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specific items of inventory or other goods (other than fixed or capital assets) and proceeds thereof of any Person securing such Person’s obligations in respect of bankers’ acceptances or letters of credit issued or created for the account of such Person to facilitate the purchase, shipment or storage of such inventory or other goods in the ordinary course of business;</w:t>
      </w:r>
    </w:p>
    <w:p>
      <w:pPr>
        <w:spacing w:after="0" w:line="140" w:lineRule="exact"/>
        <w:rPr>
          <w:rFonts w:ascii="Times New Roman" w:cs="Times New Roman" w:eastAsia="Times New Roman" w:hAnsi="Times New Roman"/>
          <w:sz w:val="20"/>
          <w:szCs w:val="20"/>
          <w:color w:val="auto"/>
        </w:rPr>
      </w:pPr>
    </w:p>
    <w:p>
      <w:pPr>
        <w:ind w:firstLine="1304"/>
        <w:spacing w:after="0" w:line="283" w:lineRule="auto"/>
        <w:tabs>
          <w:tab w:leader="none" w:pos="1561"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in favor of customs and revenue authorities arising as a matter of law to secure payment of customs duties in connection with the importation of goods in the ordinary course of business so long as such Liens only cover the related goods;</w:t>
      </w:r>
    </w:p>
    <w:p>
      <w:pPr>
        <w:spacing w:after="0" w:line="119" w:lineRule="exact"/>
        <w:rPr>
          <w:rFonts w:ascii="Times New Roman" w:cs="Times New Roman" w:eastAsia="Times New Roman" w:hAnsi="Times New Roman"/>
          <w:sz w:val="20"/>
          <w:szCs w:val="20"/>
          <w:color w:val="auto"/>
        </w:rPr>
      </w:pPr>
    </w:p>
    <w:p>
      <w:pPr>
        <w:ind w:firstLine="1304"/>
        <w:spacing w:after="0" w:line="283" w:lineRule="auto"/>
        <w:tabs>
          <w:tab w:leader="none" w:pos="1587"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encumbering reasonable customary initial deposits and margin deposits and similar Liens attaching to commodity trading accounts or other brokerage accounts incurred in the ordinary course of business and not for speculative purposes;</w:t>
      </w:r>
    </w:p>
    <w:p>
      <w:pPr>
        <w:spacing w:after="0" w:line="105" w:lineRule="exact"/>
        <w:rPr>
          <w:rFonts w:ascii="Times New Roman" w:cs="Times New Roman" w:eastAsia="Times New Roman" w:hAnsi="Times New Roman"/>
          <w:sz w:val="20"/>
          <w:szCs w:val="20"/>
          <w:color w:val="auto"/>
        </w:rPr>
      </w:pPr>
    </w:p>
    <w:p>
      <w:pPr>
        <w:ind w:firstLine="1304"/>
        <w:spacing w:after="0" w:line="283" w:lineRule="auto"/>
        <w:tabs>
          <w:tab w:leader="none" w:pos="1562"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earnest money deposits made by the Company or any Subsidiary in connection with any letter of intent or purchase agreement with respect to an Acquisition or other investment permitted hereunder;</w:t>
      </w:r>
    </w:p>
    <w:p>
      <w:pPr>
        <w:spacing w:after="0" w:line="119" w:lineRule="exact"/>
        <w:rPr>
          <w:rFonts w:ascii="Times New Roman" w:cs="Times New Roman" w:eastAsia="Times New Roman" w:hAnsi="Times New Roman"/>
          <w:sz w:val="20"/>
          <w:szCs w:val="20"/>
          <w:color w:val="auto"/>
        </w:rPr>
      </w:pPr>
    </w:p>
    <w:p>
      <w:pPr>
        <w:ind w:right="20" w:firstLine="1304"/>
        <w:spacing w:after="0" w:line="283" w:lineRule="auto"/>
        <w:tabs>
          <w:tab w:leader="none" w:pos="1670"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deposits of cash and cash equivalents with a trustee or a similar representative made to defease or to satisfy and discharge any debt securities;</w:t>
      </w:r>
    </w:p>
    <w:p>
      <w:pPr>
        <w:spacing w:after="0" w:line="105" w:lineRule="exact"/>
        <w:rPr>
          <w:rFonts w:ascii="Times New Roman" w:cs="Times New Roman" w:eastAsia="Times New Roman" w:hAnsi="Times New Roman"/>
          <w:sz w:val="20"/>
          <w:szCs w:val="20"/>
          <w:color w:val="auto"/>
        </w:rPr>
      </w:pPr>
    </w:p>
    <w:p>
      <w:pPr>
        <w:ind w:left="1580" w:hanging="276"/>
        <w:spacing w:after="0"/>
        <w:tabs>
          <w:tab w:leader="none" w:pos="1580"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that are contractual rights of set-off; and</w:t>
      </w:r>
    </w:p>
    <w:p>
      <w:pPr>
        <w:spacing w:after="0" w:line="188" w:lineRule="exact"/>
        <w:rPr>
          <w:rFonts w:ascii="Times New Roman" w:cs="Times New Roman" w:eastAsia="Times New Roman" w:hAnsi="Times New Roman"/>
          <w:sz w:val="20"/>
          <w:szCs w:val="20"/>
          <w:color w:val="auto"/>
        </w:rPr>
      </w:pPr>
    </w:p>
    <w:p>
      <w:pPr>
        <w:ind w:right="20" w:firstLine="1304"/>
        <w:spacing w:after="0" w:line="283" w:lineRule="auto"/>
        <w:tabs>
          <w:tab w:leader="none" w:pos="1580"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representing any interest or title of a licensor, lessor or sublicensor or sublessor, or a licensee, lessee or sublicensee or sublessee, in the property subject to any lease, license or sublicense or concession agreement permitted by this Agreement.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term “Permitted Encumbrances” shall not include any Lien securing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ectPr>
          <w:pgSz w:w="11900" w:h="16838" w:orient="portrait"/>
          <w:cols w:equalWidth="0" w:num="1">
            <w:col w:w="11240"/>
          </w:cols>
          <w:pgMar w:left="320" w:top="1413" w:right="339" w:bottom="1440" w:gutter="0" w:footer="0" w:header="0"/>
        </w:sectPr>
      </w:pPr>
    </w:p>
    <w:bookmarkStart w:id="197" w:name="page198"/>
    <w:bookmarkEnd w:id="197"/>
    <w:p>
      <w:pPr>
        <w:jc w:val="both"/>
        <w:ind w:right="20"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Receivables Facilit</w:t>
      </w:r>
      <w:r>
        <w:rPr>
          <w:rFonts w:ascii="Times New Roman" w:cs="Times New Roman" w:eastAsia="Times New Roman" w:hAnsi="Times New Roman"/>
          <w:sz w:val="20"/>
          <w:szCs w:val="20"/>
          <w:color w:val="auto"/>
        </w:rPr>
        <w:t>y” shall mean the receivables facility or facilities providing for the sale or grant of a security interest by the Company and/or one or more of its Subsidiaries of Permitted Receivables Facility Assets or an undivided interest therein.</w:t>
      </w:r>
    </w:p>
    <w:p>
      <w:pPr>
        <w:spacing w:after="0" w:line="11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Receivables Facility Assets</w:t>
      </w:r>
      <w:r>
        <w:rPr>
          <w:rFonts w:ascii="Times New Roman" w:cs="Times New Roman" w:eastAsia="Times New Roman" w:hAnsi="Times New Roman"/>
          <w:sz w:val="20"/>
          <w:szCs w:val="20"/>
          <w:color w:val="auto"/>
        </w:rPr>
        <w:t>” shall mean (i) Receivables (whether now existing or arising in the future) of the Company and its Subsidiaries and all proceeds thereof, (ii) collections on Receivables, related assets in respect of Receivables and supporting documentation in respect of Receivables and (iii) lockboxes, lockbox accounts and collection accounts in respect of Receivables.</w:t>
      </w:r>
    </w:p>
    <w:p>
      <w:pPr>
        <w:spacing w:after="0" w:line="141"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Receivables Related Assets</w:t>
      </w:r>
      <w:r>
        <w:rPr>
          <w:rFonts w:ascii="Times New Roman" w:cs="Times New Roman" w:eastAsia="Times New Roman" w:hAnsi="Times New Roman"/>
          <w:sz w:val="20"/>
          <w:szCs w:val="20"/>
          <w:color w:val="auto"/>
        </w:rPr>
        <w:t>” means any other assets that are customarily transferred or in respect of which security interests are customarily granted in connection with asset securitization transactions involving receivables similar to Receivables and any collections or proceeds of any of the foregoing.</w:t>
      </w:r>
    </w:p>
    <w:p>
      <w:pPr>
        <w:spacing w:after="0" w:line="141"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Person</w:t>
      </w:r>
      <w:r>
        <w:rPr>
          <w:rFonts w:ascii="Times New Roman" w:cs="Times New Roman" w:eastAsia="Times New Roman" w:hAnsi="Times New Roman"/>
          <w:sz w:val="20"/>
          <w:szCs w:val="20"/>
          <w:color w:val="auto"/>
        </w:rPr>
        <w:t>” means any natural person, corporation, limited liability company, trust, joint venture, association, company, partnership, Governmental Authority or other entity.</w:t>
      </w:r>
    </w:p>
    <w:p>
      <w:pPr>
        <w:spacing w:after="0" w:line="13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means any employee pension benefit plan (other than a Multiemployer Plan) subject to the provisions of Title IV of ERISA or Section 412 of the Code or Section 302 of ERISA, and in respect of which the Company or any ERISA Affiliate is (or, if such plan were terminated, would under Section 4069 of ERISA be deemed to be) an “employer” as defined in Section 3(5) of ERISA.</w:t>
      </w:r>
    </w:p>
    <w:p>
      <w:pPr>
        <w:spacing w:after="0" w:line="1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Plan Asset Regulations</w:t>
      </w:r>
      <w:r>
        <w:rPr>
          <w:rFonts w:ascii="Times New Roman" w:cs="Times New Roman" w:eastAsia="Times New Roman" w:hAnsi="Times New Roman"/>
          <w:sz w:val="20"/>
          <w:szCs w:val="20"/>
          <w:color w:val="auto"/>
        </w:rPr>
        <w:t xml:space="preserve">” means 29 CFR § 2510.3-101 </w:t>
      </w:r>
      <w:r>
        <w:rPr>
          <w:rFonts w:ascii="Times New Roman" w:cs="Times New Roman" w:eastAsia="Times New Roman" w:hAnsi="Times New Roman"/>
          <w:sz w:val="20"/>
          <w:szCs w:val="20"/>
          <w:i w:val="1"/>
          <w:iCs w:val="1"/>
          <w:color w:val="auto"/>
        </w:rPr>
        <w:t>et seq.</w:t>
      </w:r>
      <w:r>
        <w:rPr>
          <w:rFonts w:ascii="Times New Roman" w:cs="Times New Roman" w:eastAsia="Times New Roman" w:hAnsi="Times New Roman"/>
          <w:sz w:val="20"/>
          <w:szCs w:val="20"/>
          <w:color w:val="auto"/>
        </w:rPr>
        <w:t>, as modified by Section 3(42) of ERISA, as amended from</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time to time.</w:t>
      </w:r>
    </w:p>
    <w:p>
      <w:pPr>
        <w:spacing w:after="0" w:line="17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Prepayment Asset Sale</w:t>
      </w:r>
      <w:r>
        <w:rPr>
          <w:rFonts w:ascii="Times New Roman" w:cs="Times New Roman" w:eastAsia="Times New Roman" w:hAnsi="Times New Roman"/>
          <w:sz w:val="20"/>
          <w:szCs w:val="20"/>
          <w:color w:val="auto"/>
        </w:rPr>
        <w:t>” means any non-ordinary course sales or other dispositions of any property or assets of the Company or any of its Subsidiaries (including issuances of stock by the Company’s Subsidiaries), other than (i) asset sales (including issuances of stock by the Company’s Subsidiaries) between the Company and any of its Subsidiaries or among the Company’s Subsidiaries and (ii) asset sales (including issuances of stock by the Company’s Subsidiaries), the Net Cash Proceeds of which do not exceed $75,000,000 in any single transaction or related series of transactions or $150,000,000 in the aggregate.</w:t>
      </w:r>
    </w:p>
    <w:p>
      <w:pPr>
        <w:spacing w:after="0" w:line="151"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 Forma Basis</w:t>
      </w:r>
      <w:r>
        <w:rPr>
          <w:rFonts w:ascii="Times New Roman" w:cs="Times New Roman" w:eastAsia="Times New Roman" w:hAnsi="Times New Roman"/>
          <w:sz w:val="20"/>
          <w:szCs w:val="20"/>
          <w:color w:val="auto"/>
        </w:rPr>
        <w:t xml:space="preserve">” means, with respect to any event, that the Company is in compliance on a </w:t>
      </w:r>
      <w:r>
        <w:rPr>
          <w:rFonts w:ascii="Times New Roman" w:cs="Times New Roman" w:eastAsia="Times New Roman" w:hAnsi="Times New Roman"/>
          <w:sz w:val="20"/>
          <w:szCs w:val="20"/>
          <w:u w:val="single" w:color="auto"/>
          <w:color w:val="auto"/>
        </w:rPr>
        <w:t>pro forma</w:t>
      </w:r>
      <w:r>
        <w:rPr>
          <w:rFonts w:ascii="Times New Roman" w:cs="Times New Roman" w:eastAsia="Times New Roman" w:hAnsi="Times New Roman"/>
          <w:sz w:val="20"/>
          <w:szCs w:val="20"/>
          <w:color w:val="auto"/>
        </w:rPr>
        <w:t xml:space="preserve"> basis with the applicable covenant, calculation or requirement herein recomputed as if the event with respect to which compliance on a Pro Forma Basis is being tested had occurred on the first day of the four fiscal quarter period most recently ended on or prior to such date for which financial statements have been delivered pursuant to Section 5.01.</w:t>
      </w:r>
    </w:p>
    <w:p>
      <w:pPr>
        <w:spacing w:after="0" w:line="145"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PTE</w:t>
      </w:r>
      <w:r>
        <w:rPr>
          <w:rFonts w:ascii="Times New Roman" w:cs="Times New Roman" w:eastAsia="Times New Roman" w:hAnsi="Times New Roman"/>
          <w:sz w:val="20"/>
          <w:szCs w:val="20"/>
          <w:color w:val="auto"/>
        </w:rPr>
        <w:t>” means a prohibited transaction class exemption issued by the U.S. Department of Labor, as any such exemption may be amended from time to time.</w:t>
      </w:r>
    </w:p>
    <w:p>
      <w:pPr>
        <w:spacing w:after="0" w:line="132" w:lineRule="exact"/>
        <w:rPr>
          <w:sz w:val="20"/>
          <w:szCs w:val="20"/>
          <w:color w:val="auto"/>
        </w:rPr>
      </w:pPr>
    </w:p>
    <w:p>
      <w:pPr>
        <w:jc w:val="both"/>
        <w:ind w:right="20"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QFC</w:t>
      </w:r>
      <w:r>
        <w:rPr>
          <w:rFonts w:ascii="Times New Roman" w:cs="Times New Roman" w:eastAsia="Times New Roman" w:hAnsi="Times New Roman"/>
          <w:sz w:val="20"/>
          <w:szCs w:val="20"/>
          <w:color w:val="auto"/>
        </w:rPr>
        <w:t>” has the meaning assigned to the term “qualified financial contract” in, and shall be interpreted in accordance with, 12 U.S.C. 5390(c)(8)(D).</w:t>
      </w:r>
    </w:p>
    <w:p>
      <w:pPr>
        <w:spacing w:after="0" w:line="11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QFC Credit Support</w:t>
      </w:r>
      <w:r>
        <w:rPr>
          <w:rFonts w:ascii="Times New Roman" w:cs="Times New Roman" w:eastAsia="Times New Roman" w:hAnsi="Times New Roman"/>
          <w:sz w:val="20"/>
          <w:szCs w:val="20"/>
          <w:color w:val="auto"/>
        </w:rPr>
        <w:t>” has the meaning assigned to it in Section 9.19.</w:t>
      </w:r>
    </w:p>
    <w:p>
      <w:pPr>
        <w:spacing w:after="0" w:line="18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Qualifying Facility</w:t>
      </w:r>
      <w:r>
        <w:rPr>
          <w:rFonts w:ascii="Times New Roman" w:cs="Times New Roman" w:eastAsia="Times New Roman" w:hAnsi="Times New Roman"/>
          <w:sz w:val="20"/>
          <w:szCs w:val="20"/>
          <w:color w:val="auto"/>
        </w:rPr>
        <w:t>” means a committed but unfunded facility entered into for the purpose of financing the Transactions that is subject to conditions precedent to funding that are no less favorable to the Borrower than the conditions set forth in Section 4.02, as determined by the Borrower in its reasonable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ectPr>
          <w:pgSz w:w="11900" w:h="16838" w:orient="portrait"/>
          <w:cols w:equalWidth="0" w:num="1">
            <w:col w:w="11240"/>
          </w:cols>
          <w:pgMar w:left="320" w:top="1413" w:right="339" w:bottom="1440" w:gutter="0" w:footer="0" w:header="0"/>
        </w:sectPr>
      </w:pPr>
    </w:p>
    <w:bookmarkStart w:id="198" w:name="page199"/>
    <w:bookmarkEnd w:id="198"/>
    <w:p>
      <w:pPr>
        <w:jc w:val="both"/>
        <w:ind w:firstLine="1296"/>
        <w:spacing w:after="0" w:line="27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Qualifying Material Acquisition</w:t>
      </w:r>
      <w:r>
        <w:rPr>
          <w:rFonts w:ascii="Times New Roman" w:cs="Times New Roman" w:eastAsia="Times New Roman" w:hAnsi="Times New Roman"/>
          <w:sz w:val="19"/>
          <w:szCs w:val="19"/>
          <w:color w:val="auto"/>
        </w:rPr>
        <w:t>” means any acquisition, or the last to occur of a series of acquisitions consummated within a period of six consecutive months, if the aggregate consideration paid or to be paid in respect of such acquisition (or, if applicable, acquisitions) exceeds $150,000,000 and the Company has designated such acquisition (or, if applicable, acquisitions) as a “Qualifying Material Acquisition” by written notice to the Administrative Agent. For the avoidance of doubt, once any acquisition has been so designated as (or as a part of) a Qualifying Material Acquisition, it may not be designated as (or as a part of) any other Qualifying Material Acquisition.</w:t>
      </w:r>
    </w:p>
    <w:p>
      <w:pPr>
        <w:spacing w:after="0" w:line="135"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Receivables</w:t>
      </w:r>
      <w:r>
        <w:rPr>
          <w:rFonts w:ascii="Times New Roman" w:cs="Times New Roman" w:eastAsia="Times New Roman" w:hAnsi="Times New Roman"/>
          <w:sz w:val="20"/>
          <w:szCs w:val="20"/>
          <w:color w:val="auto"/>
        </w:rPr>
        <w:t>” shall mean all accounts receivable (including, without limitation, all rights to payment created by or arising from sales of goods, leases of goods or the rendition of services rendered no matter how evidenced whether or not earned by performance).</w:t>
      </w:r>
    </w:p>
    <w:p>
      <w:pPr>
        <w:spacing w:after="0" w:line="11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Recipient</w:t>
      </w:r>
      <w:r>
        <w:rPr>
          <w:rFonts w:ascii="Times New Roman" w:cs="Times New Roman" w:eastAsia="Times New Roman" w:hAnsi="Times New Roman"/>
          <w:sz w:val="20"/>
          <w:szCs w:val="20"/>
          <w:color w:val="auto"/>
        </w:rPr>
        <w:t>” means, as applicable, (a) the Administrative Agent and (b) any Lender.</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Reference Time</w:t>
      </w:r>
      <w:r>
        <w:rPr>
          <w:rFonts w:ascii="Times New Roman" w:cs="Times New Roman" w:eastAsia="Times New Roman" w:hAnsi="Times New Roman"/>
          <w:sz w:val="20"/>
          <w:szCs w:val="20"/>
          <w:color w:val="auto"/>
        </w:rPr>
        <w:t>” with respect to any setting of the then-current Benchmark means (i) if such Benchmark is Term SOFR,</w:t>
      </w:r>
    </w:p>
    <w:p>
      <w:pPr>
        <w:spacing w:after="0" w:line="22"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20"/>
          <w:szCs w:val="20"/>
          <w:color w:val="auto"/>
        </w:rPr>
        <w:t>11:00 a.m. on the day that is two (2) U.S. Government Securities Business Days preceding the date of such setting, (ii) if, following a Benchmark Transition Event and Benchmark Replacement Date with respect to Term SOFR, such Benchmark is Daily Simple SOFR, then five (5) U.S. Government Securities Business Days prior to such setting or (iii) if such Benchmark is none of Term SOFR or Daily Simple SOFR, the time determined by the Administrative Agent in its reasonable discretion.</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has the meaning set forth in Section 9.04.</w:t>
      </w:r>
    </w:p>
    <w:p>
      <w:pPr>
        <w:spacing w:after="0" w:line="189" w:lineRule="exact"/>
        <w:rPr>
          <w:sz w:val="20"/>
          <w:szCs w:val="20"/>
          <w:color w:val="auto"/>
        </w:rPr>
      </w:pPr>
    </w:p>
    <w:p>
      <w:pPr>
        <w:jc w:val="both"/>
        <w:ind w:right="20"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Regulation</w:t>
      </w:r>
      <w:r>
        <w:rPr>
          <w:rFonts w:ascii="Times New Roman" w:cs="Times New Roman" w:eastAsia="Times New Roman" w:hAnsi="Times New Roman"/>
          <w:sz w:val="20"/>
          <w:szCs w:val="20"/>
          <w:color w:val="auto"/>
        </w:rPr>
        <w:t>” means Regulation (EU) 2015/848 of the European Parliament and of the Council of 20 May 2015 on insolvency proceedings (recast).</w:t>
      </w:r>
    </w:p>
    <w:p>
      <w:pPr>
        <w:spacing w:after="0" w:line="106" w:lineRule="exact"/>
        <w:rPr>
          <w:sz w:val="20"/>
          <w:szCs w:val="20"/>
          <w:color w:val="auto"/>
        </w:rPr>
      </w:pPr>
    </w:p>
    <w:p>
      <w:pPr>
        <w:jc w:val="both"/>
        <w:ind w:right="20"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Related Parties</w:t>
      </w:r>
      <w:r>
        <w:rPr>
          <w:rFonts w:ascii="Times New Roman" w:cs="Times New Roman" w:eastAsia="Times New Roman" w:hAnsi="Times New Roman"/>
          <w:sz w:val="20"/>
          <w:szCs w:val="20"/>
          <w:color w:val="auto"/>
        </w:rPr>
        <w:t>” means, with respect to any specified Person, such Person’s Affiliates and the respective directors, officers, employees, agents and advisors of such Person and such Person’s Affiliates.</w:t>
      </w:r>
    </w:p>
    <w:p>
      <w:pPr>
        <w:spacing w:after="0" w:line="119"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Relevant Governmental Body</w:t>
      </w:r>
      <w:r>
        <w:rPr>
          <w:rFonts w:ascii="Times New Roman" w:cs="Times New Roman" w:eastAsia="Times New Roman" w:hAnsi="Times New Roman"/>
          <w:sz w:val="20"/>
          <w:szCs w:val="20"/>
          <w:color w:val="auto"/>
        </w:rPr>
        <w:t>” means the Board, the NYFRB or a committee officially endorsed or convened by the Board and/or the NYFRB or, in each case, any successor thereto.</w:t>
      </w:r>
    </w:p>
    <w:p>
      <w:pPr>
        <w:spacing w:after="0" w:line="11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Relevant Rate</w:t>
      </w:r>
      <w:r>
        <w:rPr>
          <w:rFonts w:ascii="Times New Roman" w:cs="Times New Roman" w:eastAsia="Times New Roman" w:hAnsi="Times New Roman"/>
          <w:sz w:val="20"/>
          <w:szCs w:val="20"/>
          <w:color w:val="auto"/>
        </w:rPr>
        <w:t>” means, with respect to any Term SOFR Borrowing, Term SOFR.</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Relevant Screen Rate</w:t>
      </w:r>
      <w:r>
        <w:rPr>
          <w:rFonts w:ascii="Times New Roman" w:cs="Times New Roman" w:eastAsia="Times New Roman" w:hAnsi="Times New Roman"/>
          <w:sz w:val="20"/>
          <w:szCs w:val="20"/>
          <w:color w:val="auto"/>
        </w:rPr>
        <w:t>” means the Term SOFR Screen Rate.</w:t>
      </w:r>
    </w:p>
    <w:p>
      <w:pPr>
        <w:spacing w:after="0" w:line="189"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Required Lenders</w:t>
      </w:r>
      <w:r>
        <w:rPr>
          <w:rFonts w:ascii="Times New Roman" w:cs="Times New Roman" w:eastAsia="Times New Roman" w:hAnsi="Times New Roman"/>
          <w:sz w:val="20"/>
          <w:szCs w:val="20"/>
          <w:color w:val="auto"/>
        </w:rPr>
        <w:t>” means, at any time, Lenders holding more than 50% of the then aggregate unpaid principal amount of all outstanding Loans or, if no such principal amount is then outstanding, Lenders having more than 50% of the Commitments.</w:t>
      </w:r>
    </w:p>
    <w:p>
      <w:pPr>
        <w:spacing w:after="0" w:line="119" w:lineRule="exact"/>
        <w:rPr>
          <w:sz w:val="20"/>
          <w:szCs w:val="20"/>
          <w:color w:val="auto"/>
        </w:rPr>
      </w:pPr>
    </w:p>
    <w:p>
      <w:pPr>
        <w:jc w:val="both"/>
        <w:ind w:right="20"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Resolution Authority</w:t>
      </w:r>
      <w:r>
        <w:rPr>
          <w:rFonts w:ascii="Times New Roman" w:cs="Times New Roman" w:eastAsia="Times New Roman" w:hAnsi="Times New Roman"/>
          <w:sz w:val="20"/>
          <w:szCs w:val="20"/>
          <w:color w:val="auto"/>
        </w:rPr>
        <w:t>” means an EEA Resolution Authority or, with respect to any UK Financial Institution, a UK Resolution Authority.</w:t>
      </w:r>
    </w:p>
    <w:p>
      <w:pPr>
        <w:spacing w:after="0" w:line="132"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Restricted Payment</w:t>
      </w:r>
      <w:r>
        <w:rPr>
          <w:rFonts w:ascii="Times New Roman" w:cs="Times New Roman" w:eastAsia="Times New Roman" w:hAnsi="Times New Roman"/>
          <w:sz w:val="20"/>
          <w:szCs w:val="20"/>
          <w:color w:val="auto"/>
        </w:rPr>
        <w:t>” means any dividend or other distribution (whether in cash, securities or other property) with respect to any Equity Interests in the Company or any Subsidiary, or any payment (whether in cash, securities or other property), including any sinking fund or similar deposit, on account of the purchase, redemption, retirement, acquisition, cancellation or termination of any such Equity Interests in the Company or any Subsidiary or any option, warrant or other right to acquire any such Equity Interests in the Company or any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ectPr>
          <w:pgSz w:w="11900" w:h="16838" w:orient="portrait"/>
          <w:cols w:equalWidth="0" w:num="1">
            <w:col w:w="11240"/>
          </w:cols>
          <w:pgMar w:left="320" w:top="1413" w:right="339" w:bottom="1440" w:gutter="0" w:footer="0" w:header="0"/>
        </w:sectPr>
      </w:pPr>
    </w:p>
    <w:bookmarkStart w:id="199" w:name="page200"/>
    <w:bookmarkEnd w:id="199"/>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Reuters</w:t>
      </w:r>
      <w:r>
        <w:rPr>
          <w:rFonts w:ascii="Times New Roman" w:cs="Times New Roman" w:eastAsia="Times New Roman" w:hAnsi="Times New Roman"/>
          <w:sz w:val="20"/>
          <w:szCs w:val="20"/>
          <w:color w:val="auto"/>
        </w:rPr>
        <w:t>” means, as applicable, Thomson Reuters Corp., Refinitiv, or any successor thereto.</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S&amp;P</w:t>
      </w:r>
      <w:r>
        <w:rPr>
          <w:rFonts w:ascii="Times New Roman" w:cs="Times New Roman" w:eastAsia="Times New Roman" w:hAnsi="Times New Roman"/>
          <w:sz w:val="20"/>
          <w:szCs w:val="20"/>
          <w:color w:val="auto"/>
        </w:rPr>
        <w:t>” means Standard &amp; Poor’s Rating Services, a Standard &amp; Poor’s Financial Services LLC business.</w:t>
      </w:r>
    </w:p>
    <w:p>
      <w:pPr>
        <w:spacing w:after="0" w:line="189" w:lineRule="exact"/>
        <w:rPr>
          <w:sz w:val="20"/>
          <w:szCs w:val="20"/>
          <w:color w:val="auto"/>
        </w:rPr>
      </w:pPr>
    </w:p>
    <w:p>
      <w:pPr>
        <w:jc w:val="both"/>
        <w:ind w:right="20"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Sale and Leaseback Transaction</w:t>
      </w:r>
      <w:r>
        <w:rPr>
          <w:rFonts w:ascii="Times New Roman" w:cs="Times New Roman" w:eastAsia="Times New Roman" w:hAnsi="Times New Roman"/>
          <w:sz w:val="20"/>
          <w:szCs w:val="20"/>
          <w:color w:val="auto"/>
        </w:rPr>
        <w:t>” means any sale or other transfer of any real property by any Person with the intent to lease such real property as lessee which is considered a sale leaseback transaction in accordance with GAAP.</w:t>
      </w:r>
    </w:p>
    <w:p>
      <w:pPr>
        <w:spacing w:after="0" w:line="132"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Sanctioned Country</w:t>
      </w:r>
      <w:r>
        <w:rPr>
          <w:rFonts w:ascii="Times New Roman" w:cs="Times New Roman" w:eastAsia="Times New Roman" w:hAnsi="Times New Roman"/>
          <w:sz w:val="20"/>
          <w:szCs w:val="20"/>
          <w:color w:val="auto"/>
        </w:rPr>
        <w:t>” means, at any time, a country, region or territory which is itself the subject or target of any Sanctions (at the time of the Effective Date, the so-called Donetsk People’s Republic, the so-called Luhansk People’s Republic, the Crimea, Zaporizhzhia and Kherson Regions of Ukraine, Cuba, Iran and North Korea).</w:t>
      </w:r>
    </w:p>
    <w:p>
      <w:pPr>
        <w:spacing w:after="0" w:line="10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Sanctioned Person</w:t>
      </w:r>
      <w:r>
        <w:rPr>
          <w:rFonts w:ascii="Times New Roman" w:cs="Times New Roman" w:eastAsia="Times New Roman" w:hAnsi="Times New Roman"/>
          <w:sz w:val="20"/>
          <w:szCs w:val="20"/>
          <w:color w:val="auto"/>
        </w:rPr>
        <w:t>” means, at any time, any Person subject or target of any Sanctions, including (a) any Person listed in any Sanctions-related list of designated Persons that is published publicly and maintained by the U.S. Government, including by OFAC, the U.S. Department of State, the United Nations Security Council, the EU, His Majesty’s Treasury of the United Kingdom or any other relevant sanctions authority of a jurisdiction in which the Borrower is organized or where there are Borrowings, (b) any Person operating, organized or resident in a Sanctioned Country, (c) any Person owned or controlled by any such Person or Persons described in the foregoing clauses (a) or (b) (including, without limitation for purposes of defining a Sanctioned Person, as ownership and control may be defined and/or established in and/or by any applicable laws, rules, regulations, or orders).</w:t>
      </w:r>
    </w:p>
    <w:p>
      <w:pPr>
        <w:spacing w:after="0" w:line="1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Sanctions</w:t>
      </w:r>
      <w:r>
        <w:rPr>
          <w:rFonts w:ascii="Times New Roman" w:cs="Times New Roman" w:eastAsia="Times New Roman" w:hAnsi="Times New Roman"/>
          <w:sz w:val="20"/>
          <w:szCs w:val="20"/>
          <w:color w:val="auto"/>
        </w:rPr>
        <w:t>” means all economic or financial sanctions, trade embargoes or similar restrictions imposed, administered or enforced from time to time by (a) the U.S. government, including those administered by OFAC or the U.S. Department of State or (b) the United Nations Security Council, the EU, His Majesty’s Treasury of the United Kingdom or any other relevant sanctions authority of a jurisdiction in which the Borrower is organized or where there are Borrowings.</w:t>
      </w:r>
    </w:p>
    <w:p>
      <w:pPr>
        <w:spacing w:after="0" w:line="13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w:t>
      </w:r>
      <w:r>
        <w:rPr>
          <w:rFonts w:ascii="Times New Roman" w:cs="Times New Roman" w:eastAsia="Times New Roman" w:hAnsi="Times New Roman"/>
          <w:sz w:val="20"/>
          <w:szCs w:val="20"/>
          <w:color w:val="auto"/>
        </w:rPr>
        <w:t>” means the United States Securities and Exchange Commission.</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Significant Subsidiary</w:t>
      </w:r>
      <w:r>
        <w:rPr>
          <w:rFonts w:ascii="Times New Roman" w:cs="Times New Roman" w:eastAsia="Times New Roman" w:hAnsi="Times New Roman"/>
          <w:sz w:val="20"/>
          <w:szCs w:val="20"/>
          <w:color w:val="auto"/>
        </w:rPr>
        <w:t>” means each Subsidiary which, as of the most recent fiscal quarter of the Company, for the period of four consecutive fiscal quarters then ended, for which financial statements have been delivered pursuant to Section 5.01, contributed greater than ten percent (10%) of Consolidated Total Assets as of such date.</w:t>
      </w:r>
    </w:p>
    <w:p>
      <w:pPr>
        <w:spacing w:after="0" w:line="1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w:t>
      </w:r>
      <w:r>
        <w:rPr>
          <w:rFonts w:ascii="Times New Roman" w:cs="Times New Roman" w:eastAsia="Times New Roman" w:hAnsi="Times New Roman"/>
          <w:sz w:val="20"/>
          <w:szCs w:val="20"/>
          <w:color w:val="auto"/>
        </w:rPr>
        <w:t>” means a rate equal to the secured overnight financing rate as administered by the SOFR Administrator.</w:t>
      </w:r>
    </w:p>
    <w:p>
      <w:pPr>
        <w:spacing w:after="0" w:line="17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Specified Debt Financing</w:t>
      </w:r>
      <w:r>
        <w:rPr>
          <w:rFonts w:ascii="Times New Roman" w:cs="Times New Roman" w:eastAsia="Times New Roman" w:hAnsi="Times New Roman"/>
          <w:sz w:val="20"/>
          <w:szCs w:val="20"/>
          <w:color w:val="auto"/>
        </w:rPr>
        <w:t>” means each of (x) each series of the Company’s private placement notes outstanding as of the Effective Date, (y) any other series of private placement notes of the Company or any of its Subsidiaries that has the benefit of a leverage-based financial covenant or (z) any other Indebtedness for borrowed money, or committed facility in respect thereof, of the Company or any of its Subsidiaries that has the benefit of a leverage-based financial covenant, except, in each case, as applicable, any such series of private placement notes or other Indebtedness, or committed facility in respect thereof, that ceases to have the benefit of a leverage-based financial covenant simultaneously with this Agreement on the Financial Covenant Transition Date.</w:t>
      </w:r>
    </w:p>
    <w:p>
      <w:pPr>
        <w:spacing w:after="0" w:line="125" w:lineRule="exact"/>
        <w:rPr>
          <w:sz w:val="20"/>
          <w:szCs w:val="20"/>
          <w:color w:val="auto"/>
        </w:rPr>
      </w:pPr>
    </w:p>
    <w:p>
      <w:pPr>
        <w:jc w:val="both"/>
        <w:ind w:right="20"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Subordinated Indebtedness</w:t>
      </w:r>
      <w:r>
        <w:rPr>
          <w:rFonts w:ascii="Times New Roman" w:cs="Times New Roman" w:eastAsia="Times New Roman" w:hAnsi="Times New Roman"/>
          <w:sz w:val="20"/>
          <w:szCs w:val="20"/>
          <w:color w:val="auto"/>
        </w:rPr>
        <w:t>” means any Indebtedness of the Company or any Subsidiary the payment of which is subordinated to payment of the obligations under the Loan Documents.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ectPr>
          <w:pgSz w:w="11900" w:h="16838" w:orient="portrait"/>
          <w:cols w:equalWidth="0" w:num="1">
            <w:col w:w="11240"/>
          </w:cols>
          <w:pgMar w:left="320" w:top="1413" w:right="339" w:bottom="1440" w:gutter="0" w:footer="0" w:header="0"/>
        </w:sectPr>
      </w:pPr>
    </w:p>
    <w:bookmarkStart w:id="200" w:name="page201"/>
    <w:bookmarkEnd w:id="200"/>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subsidiary</w:t>
      </w:r>
      <w:r>
        <w:rPr>
          <w:rFonts w:ascii="Times New Roman" w:cs="Times New Roman" w:eastAsia="Times New Roman" w:hAnsi="Times New Roman"/>
          <w:sz w:val="20"/>
          <w:szCs w:val="20"/>
          <w:color w:val="auto"/>
        </w:rPr>
        <w:t>” means, with respect to any Person (the “</w:t>
      </w:r>
      <w:r>
        <w:rPr>
          <w:rFonts w:ascii="Times New Roman" w:cs="Times New Roman" w:eastAsia="Times New Roman" w:hAnsi="Times New Roman"/>
          <w:sz w:val="20"/>
          <w:szCs w:val="20"/>
          <w:u w:val="single" w:color="auto"/>
          <w:color w:val="auto"/>
        </w:rPr>
        <w:t>parent</w:t>
      </w:r>
      <w:r>
        <w:rPr>
          <w:rFonts w:ascii="Times New Roman" w:cs="Times New Roman" w:eastAsia="Times New Roman" w:hAnsi="Times New Roman"/>
          <w:sz w:val="20"/>
          <w:szCs w:val="20"/>
          <w:color w:val="auto"/>
        </w:rPr>
        <w: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 as well as any other corporation, limited liability company, partnership, association or other entity (a) of which securities or other ownership interests representing more than 50% of the equity or more than 50% of the ordinary voting power or, in the case of a partnership, more than 50% of the general partnership interests are, as of such date, owned, Controlled or held, or (b) that is, as of such date, otherwise Controlled, by the parent or one or more subsidiaries of the parent or by the parent and one or more subsidiaries of the parent.</w:t>
      </w:r>
    </w:p>
    <w:p>
      <w:pPr>
        <w:spacing w:after="0" w:line="1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Subsidiary</w:t>
      </w:r>
      <w:r>
        <w:rPr>
          <w:rFonts w:ascii="Times New Roman" w:cs="Times New Roman" w:eastAsia="Times New Roman" w:hAnsi="Times New Roman"/>
          <w:sz w:val="20"/>
          <w:szCs w:val="20"/>
          <w:color w:val="auto"/>
        </w:rPr>
        <w:t>” means any subsidiary of the Company.</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Supported QFC</w:t>
      </w:r>
      <w:r>
        <w:rPr>
          <w:rFonts w:ascii="Times New Roman" w:cs="Times New Roman" w:eastAsia="Times New Roman" w:hAnsi="Times New Roman"/>
          <w:sz w:val="20"/>
          <w:szCs w:val="20"/>
          <w:color w:val="auto"/>
        </w:rPr>
        <w:t>” has the meaning assigned to it in Section 9.19.</w:t>
      </w:r>
    </w:p>
    <w:p>
      <w:pPr>
        <w:spacing w:after="0" w:line="162"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Swap Agreement</w:t>
      </w:r>
      <w:r>
        <w:rPr>
          <w:rFonts w:ascii="Times New Roman" w:cs="Times New Roman" w:eastAsia="Times New Roman" w:hAnsi="Times New Roman"/>
          <w:sz w:val="20"/>
          <w:szCs w:val="20"/>
          <w:color w:val="auto"/>
        </w:rPr>
        <w:t xml:space="preserve">” means any agreement with respect to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phantom stock or similar plan providing for payments only on account of services provided by current or former directors, officers, employees or consultants of the Company or the Subsidiaries shall be a Swap Agreement.</w:t>
      </w:r>
    </w:p>
    <w:p>
      <w:pPr>
        <w:spacing w:after="0" w:line="119"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Syndication Agent</w:t>
      </w:r>
      <w:r>
        <w:rPr>
          <w:rFonts w:ascii="Times New Roman" w:cs="Times New Roman" w:eastAsia="Times New Roman" w:hAnsi="Times New Roman"/>
          <w:sz w:val="20"/>
          <w:szCs w:val="20"/>
          <w:color w:val="auto"/>
        </w:rPr>
        <w:t>” means each of JPMorgan Chase Bank, N.A., PNC Bank, National Association, Truist Bank and Wells Fargo Bank, National Association in its capacity as co-syndication agent for the credit facility evidenced by this Agreement.</w:t>
      </w:r>
    </w:p>
    <w:p>
      <w:pPr>
        <w:spacing w:after="0" w:line="10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Taxes</w:t>
      </w:r>
      <w:r>
        <w:rPr>
          <w:rFonts w:ascii="Times New Roman" w:cs="Times New Roman" w:eastAsia="Times New Roman" w:hAnsi="Times New Roman"/>
          <w:sz w:val="20"/>
          <w:szCs w:val="20"/>
          <w:color w:val="auto"/>
        </w:rPr>
        <w:t>” means any present or future taxes, levies, imposts, duties, deductions, withholdings (including backup withholding), value added taxes, or any other goods and services, use or sales taxes, assessments, fees or other charges imposed by any Governmental Authority, including any interest, additions to tax or penalties applicable thereto.</w:t>
      </w:r>
    </w:p>
    <w:p>
      <w:pPr>
        <w:spacing w:after="0" w:line="11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w:t>
      </w:r>
      <w:r>
        <w:rPr>
          <w:rFonts w:ascii="Times New Roman" w:cs="Times New Roman" w:eastAsia="Times New Roman" w:hAnsi="Times New Roman"/>
          <w:sz w:val="20"/>
          <w:szCs w:val="20"/>
          <w:color w:val="auto"/>
        </w:rPr>
        <w:t>” means:</w:t>
      </w:r>
    </w:p>
    <w:p>
      <w:pPr>
        <w:spacing w:after="0" w:line="175" w:lineRule="exact"/>
        <w:rPr>
          <w:sz w:val="20"/>
          <w:szCs w:val="20"/>
          <w:color w:val="auto"/>
        </w:rPr>
      </w:pPr>
    </w:p>
    <w:p>
      <w:pPr>
        <w:jc w:val="both"/>
        <w:ind w:firstLine="1304"/>
        <w:spacing w:after="0" w:line="258" w:lineRule="auto"/>
        <w:tabs>
          <w:tab w:leader="none" w:pos="1716" w:val="left"/>
        </w:tabs>
        <w:numPr>
          <w:ilvl w:val="0"/>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any Interest Period with respect to a Term SOFR Loan, the rate per annum equal to the Term SOFR Screen Rate two U.S. Government Securities Business Days prior to the commencement of such Interest Period with a term equivalent to such Interest Period;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rate is not published prior to 11:00 a.m. on such determination date then Term SOFR means the Term SOFR Screen Rate on the first U.S. Government Securities Business Day immediately prior thereto; and</w:t>
      </w:r>
    </w:p>
    <w:p>
      <w:pPr>
        <w:spacing w:after="0" w:line="118" w:lineRule="exact"/>
        <w:rPr>
          <w:rFonts w:ascii="Times New Roman" w:cs="Times New Roman" w:eastAsia="Times New Roman" w:hAnsi="Times New Roman"/>
          <w:sz w:val="20"/>
          <w:szCs w:val="20"/>
          <w:color w:val="auto"/>
        </w:rPr>
      </w:pPr>
    </w:p>
    <w:p>
      <w:pPr>
        <w:jc w:val="both"/>
        <w:ind w:firstLine="1304"/>
        <w:spacing w:after="0" w:line="258" w:lineRule="auto"/>
        <w:tabs>
          <w:tab w:leader="none" w:pos="1758" w:val="left"/>
        </w:tabs>
        <w:numPr>
          <w:ilvl w:val="0"/>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any interest calculation with respect to a Base Rate Loan on any date, the rate per annum equal to the Term SOFR Screen Rate two U.S. Government Securities Business Days prior to such date with a term of one month commencing that day; provided that if the rate is not published prior to 11:00 a.m. on such determination date then Term SOFR means the Term SOFR Screen Rate on the first U.S. Government Securities Business Day immediately prior thereto;</w:t>
      </w:r>
    </w:p>
    <w:p>
      <w:pPr>
        <w:spacing w:after="0" w:line="132" w:lineRule="exact"/>
        <w:rPr>
          <w:sz w:val="20"/>
          <w:szCs w:val="20"/>
          <w:color w:val="auto"/>
        </w:rPr>
      </w:pPr>
    </w:p>
    <w:p>
      <w:pPr>
        <w:ind w:firstLine="1296"/>
        <w:spacing w:after="0" w:line="269"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Term SOFR determined in accordance with either of the foregoing provisions (a) or (b) of this definition would otherwise be less than zero, the Term SOFR shall be deemed zero for purposes of this Agreement.</w:t>
      </w:r>
    </w:p>
    <w:p>
      <w:pPr>
        <w:spacing w:after="0" w:line="11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 Loan</w:t>
      </w:r>
      <w:r>
        <w:rPr>
          <w:rFonts w:ascii="Times New Roman" w:cs="Times New Roman" w:eastAsia="Times New Roman" w:hAnsi="Times New Roman"/>
          <w:sz w:val="20"/>
          <w:szCs w:val="20"/>
          <w:color w:val="auto"/>
        </w:rPr>
        <w:t>” means a Loan that bears interest at a rate based on clause (a) of the definition of Term SOFR.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ectPr>
          <w:pgSz w:w="11900" w:h="16838" w:orient="portrait"/>
          <w:cols w:equalWidth="0" w:num="1">
            <w:col w:w="11240"/>
          </w:cols>
          <w:pgMar w:left="320" w:top="1413" w:right="339" w:bottom="1440" w:gutter="0" w:footer="0" w:header="0"/>
        </w:sectPr>
      </w:pPr>
    </w:p>
    <w:bookmarkStart w:id="201" w:name="page202"/>
    <w:bookmarkEnd w:id="201"/>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 Screen Rate</w:t>
      </w:r>
      <w:r>
        <w:rPr>
          <w:rFonts w:ascii="Times New Roman" w:cs="Times New Roman" w:eastAsia="Times New Roman" w:hAnsi="Times New Roman"/>
          <w:sz w:val="20"/>
          <w:szCs w:val="20"/>
          <w:color w:val="auto"/>
        </w:rPr>
        <w:t>” means the forward-looking SOFR term rate administered by CME (or any successor administrator satisfactory to the Administrative Agent) and published on the applicable Reuters screen page (or such other commercially available source providing such quotations as may be designated by the Administrative Agent from time to time).</w:t>
      </w:r>
    </w:p>
    <w:p>
      <w:pPr>
        <w:spacing w:after="0" w:line="12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Total Net Leverage Ratio</w:t>
      </w:r>
      <w:r>
        <w:rPr>
          <w:rFonts w:ascii="Times New Roman" w:cs="Times New Roman" w:eastAsia="Times New Roman" w:hAnsi="Times New Roman"/>
          <w:sz w:val="20"/>
          <w:szCs w:val="20"/>
          <w:color w:val="auto"/>
        </w:rPr>
        <w:t xml:space="preserve">” means, as of the last day of any fiscal quarter of the Company, the ratio of (a) (i) Consolidated Total Indebtedness as of such date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(ii) Liquidity as of such date to (b) Consolidated EBITDA for the period of four (4) consecutive fiscal quarters ending with the end of such fiscal quarter, all calculated for the Company and its Subsidiaries on a consolidated basis.</w:t>
      </w:r>
    </w:p>
    <w:p>
      <w:pPr>
        <w:spacing w:after="0" w:line="127"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Tranche</w:t>
      </w:r>
      <w:r>
        <w:rPr>
          <w:rFonts w:ascii="Times New Roman" w:cs="Times New Roman" w:eastAsia="Times New Roman" w:hAnsi="Times New Roman"/>
          <w:sz w:val="20"/>
          <w:szCs w:val="20"/>
          <w:color w:val="auto"/>
        </w:rPr>
        <w:t>” means (a) when used with reference to Loans, refers to whether such Loans are Tranche A Loans, Tranche B Loans or Tranche C Loans, (b) when used with reference to Commitments, refers to whether such Commitments are Tranche A Commitments, Tranche B Commitments or Tranche C Commitments and (c) when used with reference to Lenders, refers to whether such Lenders are Tranche A Lenders, Tranche B Lenders or Tranche C Lenders.</w:t>
      </w:r>
    </w:p>
    <w:p>
      <w:pPr>
        <w:spacing w:after="0" w:line="13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Tranche A Commitment</w:t>
      </w:r>
      <w:r>
        <w:rPr>
          <w:rFonts w:ascii="Times New Roman" w:cs="Times New Roman" w:eastAsia="Times New Roman" w:hAnsi="Times New Roman"/>
          <w:sz w:val="20"/>
          <w:szCs w:val="20"/>
          <w:color w:val="auto"/>
        </w:rPr>
        <w:t xml:space="preserve">” means (a) as to any Tranche A Lender, the aggregate commitment of such Tranche A Lender to make Tranche A Loans as set forth on </w:t>
      </w:r>
      <w:r>
        <w:rPr>
          <w:rFonts w:ascii="Times New Roman" w:cs="Times New Roman" w:eastAsia="Times New Roman" w:hAnsi="Times New Roman"/>
          <w:sz w:val="20"/>
          <w:szCs w:val="20"/>
          <w:u w:val="single" w:color="auto"/>
          <w:color w:val="auto"/>
        </w:rPr>
        <w:t>Schedule 2.01</w:t>
      </w:r>
      <w:r>
        <w:rPr>
          <w:rFonts w:ascii="Times New Roman" w:cs="Times New Roman" w:eastAsia="Times New Roman" w:hAnsi="Times New Roman"/>
          <w:sz w:val="20"/>
          <w:szCs w:val="20"/>
          <w:color w:val="auto"/>
        </w:rPr>
        <w:t xml:space="preserve"> or in the most recent Assignment and Assumption or other documentation contemplated hereby executed by such Tranche A Lender and (b) as to all Tranche A Lenders, the aggregate commitment of all Tranche A Lenders to make Tranche A Loans, which aggregate commitment shall be $1,625,000,000 on the Effective Date.</w:t>
      </w:r>
    </w:p>
    <w:p>
      <w:pPr>
        <w:spacing w:after="0" w:line="118"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Tranche A Lender</w:t>
      </w:r>
      <w:r>
        <w:rPr>
          <w:rFonts w:ascii="Times New Roman" w:cs="Times New Roman" w:eastAsia="Times New Roman" w:hAnsi="Times New Roman"/>
          <w:sz w:val="20"/>
          <w:szCs w:val="20"/>
          <w:color w:val="auto"/>
        </w:rPr>
        <w:t>” means, as of any date of determination, each Lender having a Tranche A Commitment or that holds Tranche A Loans.</w:t>
      </w:r>
    </w:p>
    <w:p>
      <w:pPr>
        <w:spacing w:after="0" w:line="1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Tranche A Loan</w:t>
      </w:r>
      <w:r>
        <w:rPr>
          <w:rFonts w:ascii="Times New Roman" w:cs="Times New Roman" w:eastAsia="Times New Roman" w:hAnsi="Times New Roman"/>
          <w:sz w:val="20"/>
          <w:szCs w:val="20"/>
          <w:color w:val="auto"/>
        </w:rPr>
        <w:t xml:space="preserve">” means the term loans made by the Tranche A Lenders to the Company pursuant to </w:t>
      </w:r>
      <w:r>
        <w:rPr>
          <w:rFonts w:ascii="Times New Roman" w:cs="Times New Roman" w:eastAsia="Times New Roman" w:hAnsi="Times New Roman"/>
          <w:sz w:val="20"/>
          <w:szCs w:val="20"/>
          <w:u w:val="single" w:color="auto"/>
          <w:color w:val="auto"/>
        </w:rPr>
        <w:t>Section 2.01(a)</w:t>
      </w:r>
      <w:r>
        <w:rPr>
          <w:rFonts w:ascii="Times New Roman" w:cs="Times New Roman" w:eastAsia="Times New Roman" w:hAnsi="Times New Roman"/>
          <w:sz w:val="20"/>
          <w:szCs w:val="20"/>
          <w:color w:val="auto"/>
        </w:rPr>
        <w: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Tranche A Maturity Date</w:t>
      </w:r>
      <w:r>
        <w:rPr>
          <w:rFonts w:ascii="Times New Roman" w:cs="Times New Roman" w:eastAsia="Times New Roman" w:hAnsi="Times New Roman"/>
          <w:sz w:val="20"/>
          <w:szCs w:val="20"/>
          <w:color w:val="auto"/>
        </w:rPr>
        <w:t>” means the date that is three (3) years after the Closing Date.</w:t>
      </w:r>
    </w:p>
    <w:p>
      <w:pPr>
        <w:spacing w:after="0" w:line="17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Tranche B Commitment</w:t>
      </w:r>
      <w:r>
        <w:rPr>
          <w:rFonts w:ascii="Times New Roman" w:cs="Times New Roman" w:eastAsia="Times New Roman" w:hAnsi="Times New Roman"/>
          <w:sz w:val="20"/>
          <w:szCs w:val="20"/>
          <w:color w:val="auto"/>
        </w:rPr>
        <w:t xml:space="preserve">” means (a) as to any Tranche B Lender, the aggregate commitment of such Tranche B Lender to make Tranche B Loans as set forth on </w:t>
      </w:r>
      <w:r>
        <w:rPr>
          <w:rFonts w:ascii="Times New Roman" w:cs="Times New Roman" w:eastAsia="Times New Roman" w:hAnsi="Times New Roman"/>
          <w:sz w:val="20"/>
          <w:szCs w:val="20"/>
          <w:u w:val="single" w:color="auto"/>
          <w:color w:val="auto"/>
        </w:rPr>
        <w:t>Schedule 2.01</w:t>
      </w:r>
      <w:r>
        <w:rPr>
          <w:rFonts w:ascii="Times New Roman" w:cs="Times New Roman" w:eastAsia="Times New Roman" w:hAnsi="Times New Roman"/>
          <w:sz w:val="20"/>
          <w:szCs w:val="20"/>
          <w:color w:val="auto"/>
        </w:rPr>
        <w:t xml:space="preserve"> or in the most recent Assignment and Assumption or other documentation contemplated hereby executed by such Tranche B Lender and (b) as to all Tranche B Lenders, the aggregate commitment of all Tranche B Lenders to make Tranche B Loans, which aggregate commitment shall be $1,625,000,000 on the Effective Date.</w:t>
      </w:r>
    </w:p>
    <w:p>
      <w:pPr>
        <w:spacing w:after="0" w:line="133" w:lineRule="exact"/>
        <w:rPr>
          <w:sz w:val="20"/>
          <w:szCs w:val="20"/>
          <w:color w:val="auto"/>
        </w:rPr>
      </w:pPr>
    </w:p>
    <w:p>
      <w:pPr>
        <w:jc w:val="both"/>
        <w:ind w:right="20"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Tranche B Lender</w:t>
      </w:r>
      <w:r>
        <w:rPr>
          <w:rFonts w:ascii="Times New Roman" w:cs="Times New Roman" w:eastAsia="Times New Roman" w:hAnsi="Times New Roman"/>
          <w:sz w:val="20"/>
          <w:szCs w:val="20"/>
          <w:color w:val="auto"/>
        </w:rPr>
        <w:t>” means, as of any date of determination, each Lender having a Tranche B Commitment or that holds Tranche B Loans.</w:t>
      </w:r>
    </w:p>
    <w:p>
      <w:pPr>
        <w:spacing w:after="0" w:line="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Tranche B Loan</w:t>
      </w:r>
      <w:r>
        <w:rPr>
          <w:rFonts w:ascii="Times New Roman" w:cs="Times New Roman" w:eastAsia="Times New Roman" w:hAnsi="Times New Roman"/>
          <w:sz w:val="20"/>
          <w:szCs w:val="20"/>
          <w:color w:val="auto"/>
        </w:rPr>
        <w:t xml:space="preserve">” means the term loans made by the Tranche B Lenders to the Company pursuant to </w:t>
      </w:r>
      <w:r>
        <w:rPr>
          <w:rFonts w:ascii="Times New Roman" w:cs="Times New Roman" w:eastAsia="Times New Roman" w:hAnsi="Times New Roman"/>
          <w:sz w:val="20"/>
          <w:szCs w:val="20"/>
          <w:u w:val="single" w:color="auto"/>
          <w:color w:val="auto"/>
        </w:rPr>
        <w:t>Section 2.01(b)</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Tranche B Maturity Date</w:t>
      </w:r>
      <w:r>
        <w:rPr>
          <w:rFonts w:ascii="Times New Roman" w:cs="Times New Roman" w:eastAsia="Times New Roman" w:hAnsi="Times New Roman"/>
          <w:sz w:val="20"/>
          <w:szCs w:val="20"/>
          <w:color w:val="auto"/>
        </w:rPr>
        <w:t>” means the date that is four (4) years after the Closing Date.</w:t>
      </w:r>
    </w:p>
    <w:p>
      <w:pPr>
        <w:spacing w:after="0" w:line="16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Tranche C Commitment</w:t>
      </w:r>
      <w:r>
        <w:rPr>
          <w:rFonts w:ascii="Times New Roman" w:cs="Times New Roman" w:eastAsia="Times New Roman" w:hAnsi="Times New Roman"/>
          <w:sz w:val="20"/>
          <w:szCs w:val="20"/>
          <w:color w:val="auto"/>
        </w:rPr>
        <w:t xml:space="preserve">” means (a) as to any Tranche C Lender, the aggregate commitment of such Tranche C Lender to make Tranche C Loans as set forth on </w:t>
      </w:r>
      <w:r>
        <w:rPr>
          <w:rFonts w:ascii="Times New Roman" w:cs="Times New Roman" w:eastAsia="Times New Roman" w:hAnsi="Times New Roman"/>
          <w:sz w:val="20"/>
          <w:szCs w:val="20"/>
          <w:u w:val="single" w:color="auto"/>
          <w:color w:val="auto"/>
        </w:rPr>
        <w:t>Schedule 2.01</w:t>
      </w:r>
      <w:r>
        <w:rPr>
          <w:rFonts w:ascii="Times New Roman" w:cs="Times New Roman" w:eastAsia="Times New Roman" w:hAnsi="Times New Roman"/>
          <w:sz w:val="20"/>
          <w:szCs w:val="20"/>
          <w:color w:val="auto"/>
        </w:rPr>
        <w:t xml:space="preserve"> or in the most recent Assignment and Assumption or other documentation contemplated hereby executed by such Tranche C Lender and (b) as to all Tranche C Lenders, the aggregate commitment of all Tranche C Lenders to make Tranche C Loans, which aggregate commitment shall be $750,000,000 on the Effective Date.</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ectPr>
          <w:pgSz w:w="11900" w:h="16838" w:orient="portrait"/>
          <w:cols w:equalWidth="0" w:num="1">
            <w:col w:w="11240"/>
          </w:cols>
          <w:pgMar w:left="320" w:top="1413" w:right="339" w:bottom="1440" w:gutter="0" w:footer="0" w:header="0"/>
        </w:sectPr>
      </w:pPr>
    </w:p>
    <w:bookmarkStart w:id="202" w:name="page203"/>
    <w:bookmarkEnd w:id="202"/>
    <w:p>
      <w:pPr>
        <w:jc w:val="both"/>
        <w:ind w:right="20"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Tranche C Lender</w:t>
      </w:r>
      <w:r>
        <w:rPr>
          <w:rFonts w:ascii="Times New Roman" w:cs="Times New Roman" w:eastAsia="Times New Roman" w:hAnsi="Times New Roman"/>
          <w:sz w:val="20"/>
          <w:szCs w:val="20"/>
          <w:color w:val="auto"/>
        </w:rPr>
        <w:t>” means, as of any date of determination, each Lender having a Tranche C Commitment or that holds Tranche C Loans.</w:t>
      </w:r>
    </w:p>
    <w:p>
      <w:pPr>
        <w:spacing w:after="0" w:line="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Tranche C Loan</w:t>
      </w:r>
      <w:r>
        <w:rPr>
          <w:rFonts w:ascii="Times New Roman" w:cs="Times New Roman" w:eastAsia="Times New Roman" w:hAnsi="Times New Roman"/>
          <w:sz w:val="20"/>
          <w:szCs w:val="20"/>
          <w:color w:val="auto"/>
        </w:rPr>
        <w:t xml:space="preserve">” means the term loans made by the Tranche C Lenders to the Company pursuant to </w:t>
      </w:r>
      <w:r>
        <w:rPr>
          <w:rFonts w:ascii="Times New Roman" w:cs="Times New Roman" w:eastAsia="Times New Roman" w:hAnsi="Times New Roman"/>
          <w:sz w:val="20"/>
          <w:szCs w:val="20"/>
          <w:u w:val="single" w:color="auto"/>
          <w:color w:val="auto"/>
        </w:rPr>
        <w:t>Section 2.01(b)</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Tranche C Maturity Date</w:t>
      </w:r>
      <w:r>
        <w:rPr>
          <w:rFonts w:ascii="Times New Roman" w:cs="Times New Roman" w:eastAsia="Times New Roman" w:hAnsi="Times New Roman"/>
          <w:sz w:val="20"/>
          <w:szCs w:val="20"/>
          <w:color w:val="auto"/>
        </w:rPr>
        <w:t>” means the date that is five (5) years after the Closing Date.</w:t>
      </w:r>
    </w:p>
    <w:p>
      <w:pPr>
        <w:spacing w:after="0" w:line="18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Transactions</w:t>
      </w:r>
      <w:r>
        <w:rPr>
          <w:rFonts w:ascii="Times New Roman" w:cs="Times New Roman" w:eastAsia="Times New Roman" w:hAnsi="Times New Roman"/>
          <w:sz w:val="20"/>
          <w:szCs w:val="20"/>
          <w:color w:val="auto"/>
        </w:rPr>
        <w:t>” means (i) the Indicor Acquisition, (ii) the Company obtaining $5,000,000,000 of gross proceeds from a combination of w) the issuance by the Company of senior unsecured debt securities through a public offering or in a private placement (including the Senior Notes) or the borrowing by the Company of the Loans hereunder, (x) the borrowing by the Company of revolving loans under the Existing Credit Agreement (as in effect on the date hereof) and the issuance of commercial paper by the Company under its commercial paper program, or (y) a combination of the foregoing, (iii) the Company’s making of the payments described in the first sentence of Section 3.19 and (iv) the transactions related to the foregoing.</w:t>
      </w:r>
    </w:p>
    <w:p>
      <w:pPr>
        <w:spacing w:after="0" w:line="152" w:lineRule="exact"/>
        <w:rPr>
          <w:sz w:val="20"/>
          <w:szCs w:val="20"/>
          <w:color w:val="auto"/>
        </w:rPr>
      </w:pPr>
    </w:p>
    <w:p>
      <w:pPr>
        <w:jc w:val="both"/>
        <w:ind w:right="20"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Type</w:t>
      </w:r>
      <w:r>
        <w:rPr>
          <w:rFonts w:ascii="Times New Roman" w:cs="Times New Roman" w:eastAsia="Times New Roman" w:hAnsi="Times New Roman"/>
          <w:sz w:val="20"/>
          <w:szCs w:val="20"/>
          <w:color w:val="auto"/>
        </w:rPr>
        <w:t>”, when used in reference to any Loan or Borrowing, refers to whether the rate of interest on such Loan, or on the Loans comprising such Borrowing, is determined by reference to the Adjusted Term SOFR Rate or the Alternate Base Rate.</w:t>
      </w:r>
    </w:p>
    <w:p>
      <w:pPr>
        <w:spacing w:after="0" w:line="1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UCC</w:t>
      </w:r>
      <w:r>
        <w:rPr>
          <w:rFonts w:ascii="Times New Roman" w:cs="Times New Roman" w:eastAsia="Times New Roman" w:hAnsi="Times New Roman"/>
          <w:sz w:val="20"/>
          <w:szCs w:val="20"/>
          <w:color w:val="auto"/>
        </w:rPr>
        <w:t>” means the Uniform Commercial Code.</w:t>
      </w:r>
    </w:p>
    <w:p>
      <w:pPr>
        <w:spacing w:after="0" w:line="189" w:lineRule="exact"/>
        <w:rPr>
          <w:sz w:val="20"/>
          <w:szCs w:val="20"/>
          <w:color w:val="auto"/>
        </w:rPr>
      </w:pPr>
    </w:p>
    <w:p>
      <w:pPr>
        <w:jc w:val="both"/>
        <w:ind w:firstLine="1296"/>
        <w:spacing w:after="0" w:line="22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UK DB Plans</w:t>
      </w:r>
      <w:r>
        <w:rPr>
          <w:rFonts w:ascii="Times New Roman" w:cs="Times New Roman" w:eastAsia="Times New Roman" w:hAnsi="Times New Roman"/>
          <w:sz w:val="20"/>
          <w:szCs w:val="20"/>
          <w:color w:val="auto"/>
        </w:rPr>
        <w:t>” means, collectively, (i) the Airtechnology Group Pension Plan, which is currently governed by a trust deed and rules dated May 18, 2011, (ii) the Taylor Hobson Limited Pension, which was established by an Interim Deed dated 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20"/>
          <w:szCs w:val="20"/>
          <w:color w:val="auto"/>
        </w:rPr>
        <w:t xml:space="preserve"> February 1999,</w:t>
      </w:r>
    </w:p>
    <w:p>
      <w:pPr>
        <w:spacing w:after="0" w:line="1" w:lineRule="exact"/>
        <w:rPr>
          <w:sz w:val="20"/>
          <w:szCs w:val="20"/>
          <w:color w:val="auto"/>
        </w:rPr>
      </w:pPr>
    </w:p>
    <w:p>
      <w:pPr>
        <w:jc w:val="both"/>
        <w:ind w:firstLine="8"/>
        <w:spacing w:after="0" w:line="235" w:lineRule="auto"/>
        <w:tabs>
          <w:tab w:leader="none" w:pos="349"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Fine Tubes Limited Retirement Benefits Scheme, which is currently governed by a Supplemental Deed and rules dated 19</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February 2010, and (iv) the Land Instruments International Limited Pension and Life Assurance Scheme, which is currently governed by a trust deed and rules dated February 8, 2016, and each a “</w:t>
      </w:r>
      <w:r>
        <w:rPr>
          <w:rFonts w:ascii="Times New Roman" w:cs="Times New Roman" w:eastAsia="Times New Roman" w:hAnsi="Times New Roman"/>
          <w:sz w:val="20"/>
          <w:szCs w:val="20"/>
          <w:u w:val="single" w:color="auto"/>
          <w:color w:val="auto"/>
        </w:rPr>
        <w:t>UK DB Plan</w:t>
      </w:r>
      <w:r>
        <w:rPr>
          <w:rFonts w:ascii="Times New Roman" w:cs="Times New Roman" w:eastAsia="Times New Roman" w:hAnsi="Times New Roman"/>
          <w:sz w:val="20"/>
          <w:szCs w:val="20"/>
          <w:color w:val="auto"/>
        </w:rPr>
        <w:t>” and each of which shall constitute a Non-U.S. Pension Plan for the purposes of this Agreement.</w:t>
      </w:r>
    </w:p>
    <w:p>
      <w:pPr>
        <w:spacing w:after="0" w:line="161"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UK Financial Institution</w:t>
      </w:r>
      <w:r>
        <w:rPr>
          <w:rFonts w:ascii="Times New Roman" w:cs="Times New Roman" w:eastAsia="Times New Roman" w:hAnsi="Times New Roman"/>
          <w:sz w:val="20"/>
          <w:szCs w:val="20"/>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45"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UK Resolution Authority</w:t>
      </w:r>
      <w:r>
        <w:rPr>
          <w:rFonts w:ascii="Times New Roman" w:cs="Times New Roman" w:eastAsia="Times New Roman" w:hAnsi="Times New Roman"/>
          <w:sz w:val="20"/>
          <w:szCs w:val="20"/>
          <w:color w:val="auto"/>
        </w:rPr>
        <w:t>” means the Bank of England or any other public administrative authority having responsibility for the resolution of any UK Financial Institution.</w:t>
      </w:r>
    </w:p>
    <w:p>
      <w:pPr>
        <w:spacing w:after="0" w:line="106"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Unadjusted Benchmark Replacement</w:t>
      </w:r>
      <w:r>
        <w:rPr>
          <w:rFonts w:ascii="Times New Roman" w:cs="Times New Roman" w:eastAsia="Times New Roman" w:hAnsi="Times New Roman"/>
          <w:sz w:val="20"/>
          <w:szCs w:val="20"/>
          <w:color w:val="auto"/>
        </w:rPr>
        <w:t>” means the applicable Benchmark Replacement excluding the related Benchmark Replacement Adjustment.</w:t>
      </w:r>
    </w:p>
    <w:p>
      <w:pPr>
        <w:spacing w:after="0" w:line="11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Government Securities Business Day</w:t>
      </w:r>
      <w:r>
        <w:rPr>
          <w:rFonts w:ascii="Times New Roman" w:cs="Times New Roman" w:eastAsia="Times New Roman" w:hAnsi="Times New Roman"/>
          <w:sz w:val="20"/>
          <w:szCs w:val="20"/>
          <w:color w:val="auto"/>
        </w:rPr>
        <w:t>”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spacing w:after="0" w:line="141"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Person</w:t>
      </w:r>
      <w:r>
        <w:rPr>
          <w:rFonts w:ascii="Times New Roman" w:cs="Times New Roman" w:eastAsia="Times New Roman" w:hAnsi="Times New Roman"/>
          <w:sz w:val="20"/>
          <w:szCs w:val="20"/>
          <w:color w:val="auto"/>
        </w:rPr>
        <w:t>” means (i) for purposes of Sections 3.17 and 6.10 hereof, any United States citizen, lawful permanent resident, entity organized under the laws of the United States or any jurisdiction within the United States, including any foreign branch of any such entity, or any person in the United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ectPr>
          <w:pgSz w:w="11900" w:h="16838" w:orient="portrait"/>
          <w:cols w:equalWidth="0" w:num="1">
            <w:col w:w="11240"/>
          </w:cols>
          <w:pgMar w:left="320" w:top="1413" w:right="33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20"/>
          <w:szCs w:val="20"/>
          <w:color w:val="auto"/>
        </w:rPr>
        <w:t>States and (ii) for all other purposes, a “United States person” within the meaning of Section 7701(a)(30) of the Code.</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Special Resolution Regime</w:t>
      </w:r>
      <w:r>
        <w:rPr>
          <w:rFonts w:ascii="Times New Roman" w:cs="Times New Roman" w:eastAsia="Times New Roman" w:hAnsi="Times New Roman"/>
          <w:sz w:val="20"/>
          <w:szCs w:val="20"/>
          <w:color w:val="auto"/>
        </w:rPr>
        <w:t>” has the meaning assigned to it in Section 9.19.</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Tax Compliance Certificate</w:t>
      </w:r>
      <w:r>
        <w:rPr>
          <w:rFonts w:ascii="Times New Roman" w:cs="Times New Roman" w:eastAsia="Times New Roman" w:hAnsi="Times New Roman"/>
          <w:sz w:val="20"/>
          <w:szCs w:val="20"/>
          <w:color w:val="auto"/>
        </w:rPr>
        <w:t>” has the meaning assigned to such term in Section 2.17(f)(ii)(B)(3).</w:t>
      </w:r>
    </w:p>
    <w:p>
      <w:pPr>
        <w:spacing w:after="0" w:line="189"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Withdrawal Liability</w:t>
      </w:r>
      <w:r>
        <w:rPr>
          <w:rFonts w:ascii="Times New Roman" w:cs="Times New Roman" w:eastAsia="Times New Roman" w:hAnsi="Times New Roman"/>
          <w:sz w:val="20"/>
          <w:szCs w:val="20"/>
          <w:color w:val="auto"/>
        </w:rPr>
        <w:t>” means liability to a Multiemployer Plan as a result of a complete or partial withdrawal from such Multiemployer Plan, as such terms are defined in Part I of Subtitle E of Title IV of ERISA.</w:t>
      </w:r>
    </w:p>
    <w:p>
      <w:pPr>
        <w:spacing w:after="0" w:line="13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Withholding Agent</w:t>
      </w:r>
      <w:r>
        <w:rPr>
          <w:rFonts w:ascii="Times New Roman" w:cs="Times New Roman" w:eastAsia="Times New Roman" w:hAnsi="Times New Roman"/>
          <w:sz w:val="20"/>
          <w:szCs w:val="20"/>
          <w:color w:val="auto"/>
        </w:rPr>
        <w:t>” means the Company and the Administrative Agent.</w:t>
      </w:r>
    </w:p>
    <w:p>
      <w:pPr>
        <w:spacing w:after="0" w:line="189"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Write-Down and Conversion Powers</w:t>
      </w:r>
      <w:r>
        <w:rPr>
          <w:rFonts w:ascii="Times New Roman" w:cs="Times New Roman" w:eastAsia="Times New Roman" w:hAnsi="Times New Roman"/>
          <w:sz w:val="20"/>
          <w:szCs w:val="20"/>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41" w:lineRule="exact"/>
        <w:rPr>
          <w:sz w:val="20"/>
          <w:szCs w:val="20"/>
          <w:color w:val="auto"/>
        </w:rPr>
      </w:pPr>
    </w:p>
    <w:p>
      <w:pPr>
        <w:jc w:val="both"/>
        <w:ind w:firstLine="1296"/>
        <w:spacing w:after="0" w:line="234" w:lineRule="auto"/>
        <w:rPr>
          <w:sz w:val="20"/>
          <w:szCs w:val="20"/>
          <w:color w:val="auto"/>
        </w:rPr>
      </w:pPr>
      <w:r>
        <w:rPr>
          <w:rFonts w:ascii="Times New Roman" w:cs="Times New Roman" w:eastAsia="Times New Roman" w:hAnsi="Times New Roman"/>
          <w:sz w:val="19"/>
          <w:szCs w:val="19"/>
          <w:color w:val="010000"/>
        </w:rPr>
        <w:t xml:space="preserve">Section 1.02. </w:t>
      </w:r>
      <w:r>
        <w:rPr>
          <w:rFonts w:ascii="Times New Roman" w:cs="Times New Roman" w:eastAsia="Times New Roman" w:hAnsi="Times New Roman"/>
          <w:sz w:val="19"/>
          <w:szCs w:val="19"/>
          <w:u w:val="single" w:color="auto"/>
          <w:color w:val="000000"/>
        </w:rPr>
        <w:t>Classification of Loans and Borrowings</w:t>
      </w:r>
      <w:r>
        <w:rPr>
          <w:rFonts w:ascii="Times New Roman" w:cs="Times New Roman" w:eastAsia="Times New Roman" w:hAnsi="Times New Roman"/>
          <w:sz w:val="19"/>
          <w:szCs w:val="19"/>
          <w:color w:val="000000"/>
        </w:rPr>
        <w:t>. For purposes of this Agreement, Loans may be classified and</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referred to by Tranche (</w:t>
      </w:r>
      <w:r>
        <w:rPr>
          <w:rFonts w:ascii="Times New Roman" w:cs="Times New Roman" w:eastAsia="Times New Roman" w:hAnsi="Times New Roman"/>
          <w:sz w:val="19"/>
          <w:szCs w:val="19"/>
          <w:u w:val="single" w:color="auto"/>
          <w:color w:val="000000"/>
        </w:rPr>
        <w:t>e.g.</w:t>
      </w:r>
      <w:r>
        <w:rPr>
          <w:rFonts w:ascii="Times New Roman" w:cs="Times New Roman" w:eastAsia="Times New Roman" w:hAnsi="Times New Roman"/>
          <w:sz w:val="19"/>
          <w:szCs w:val="19"/>
          <w:color w:val="000000"/>
        </w:rPr>
        <w:t>, a “</w:t>
      </w:r>
      <w:r>
        <w:rPr>
          <w:rFonts w:ascii="Times New Roman" w:cs="Times New Roman" w:eastAsia="Times New Roman" w:hAnsi="Times New Roman"/>
          <w:sz w:val="19"/>
          <w:szCs w:val="19"/>
          <w:u w:val="single" w:color="auto"/>
          <w:color w:val="000000"/>
        </w:rPr>
        <w:t>Tranche A Loan</w:t>
      </w:r>
      <w:r>
        <w:rPr>
          <w:rFonts w:ascii="Times New Roman" w:cs="Times New Roman" w:eastAsia="Times New Roman" w:hAnsi="Times New Roman"/>
          <w:sz w:val="19"/>
          <w:szCs w:val="19"/>
          <w:color w:val="000000"/>
        </w:rPr>
        <w:t>”) or by Type (</w:t>
      </w:r>
      <w:r>
        <w:rPr>
          <w:rFonts w:ascii="Times New Roman" w:cs="Times New Roman" w:eastAsia="Times New Roman" w:hAnsi="Times New Roman"/>
          <w:sz w:val="19"/>
          <w:szCs w:val="19"/>
          <w:u w:val="single" w:color="auto"/>
          <w:color w:val="000000"/>
        </w:rPr>
        <w:t>e.g</w:t>
      </w:r>
      <w:r>
        <w:rPr>
          <w:rFonts w:ascii="Times New Roman" w:cs="Times New Roman" w:eastAsia="Times New Roman" w:hAnsi="Times New Roman"/>
          <w:sz w:val="19"/>
          <w:szCs w:val="19"/>
          <w:color w:val="000000"/>
        </w:rPr>
        <w:t>., a “</w:t>
      </w:r>
      <w:r>
        <w:rPr>
          <w:rFonts w:ascii="Times New Roman" w:cs="Times New Roman" w:eastAsia="Times New Roman" w:hAnsi="Times New Roman"/>
          <w:sz w:val="19"/>
          <w:szCs w:val="19"/>
          <w:u w:val="single" w:color="auto"/>
          <w:color w:val="000000"/>
        </w:rPr>
        <w:t>Term SOFR Loan</w:t>
      </w:r>
      <w:r>
        <w:rPr>
          <w:rFonts w:ascii="Times New Roman" w:cs="Times New Roman" w:eastAsia="Times New Roman" w:hAnsi="Times New Roman"/>
          <w:sz w:val="19"/>
          <w:szCs w:val="19"/>
          <w:color w:val="000000"/>
        </w:rPr>
        <w:t>”) or by Tranche and Type (</w:t>
      </w:r>
      <w:r>
        <w:rPr>
          <w:rFonts w:ascii="Times New Roman" w:cs="Times New Roman" w:eastAsia="Times New Roman" w:hAnsi="Times New Roman"/>
          <w:sz w:val="19"/>
          <w:szCs w:val="19"/>
          <w:u w:val="single" w:color="auto"/>
          <w:color w:val="000000"/>
        </w:rPr>
        <w:t>e.g</w:t>
      </w:r>
      <w:r>
        <w:rPr>
          <w:rFonts w:ascii="Times New Roman" w:cs="Times New Roman" w:eastAsia="Times New Roman" w:hAnsi="Times New Roman"/>
          <w:sz w:val="19"/>
          <w:szCs w:val="19"/>
          <w:color w:val="000000"/>
        </w:rPr>
        <w:t>., a “</w:t>
      </w:r>
      <w:r>
        <w:rPr>
          <w:rFonts w:ascii="Times New Roman" w:cs="Times New Roman" w:eastAsia="Times New Roman" w:hAnsi="Times New Roman"/>
          <w:sz w:val="19"/>
          <w:szCs w:val="19"/>
          <w:u w:val="single" w:color="auto"/>
          <w:color w:val="000000"/>
        </w:rPr>
        <w:t>Tranche A Term</w:t>
      </w:r>
    </w:p>
    <w:p>
      <w:pPr>
        <w:spacing w:after="0" w:line="1"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20"/>
          <w:szCs w:val="20"/>
          <w:u w:val="single" w:color="auto"/>
          <w:color w:val="auto"/>
        </w:rPr>
        <w:t>SOFR Loan</w:t>
      </w:r>
      <w:r>
        <w:rPr>
          <w:rFonts w:ascii="Times New Roman" w:cs="Times New Roman" w:eastAsia="Times New Roman" w:hAnsi="Times New Roman"/>
          <w:sz w:val="20"/>
          <w:szCs w:val="20"/>
          <w:color w:val="auto"/>
        </w:rPr>
        <w:t>”). Borrowings also may be classified and referred to by Tranche (</w:t>
      </w:r>
      <w:r>
        <w:rPr>
          <w:rFonts w:ascii="Times New Roman" w:cs="Times New Roman" w:eastAsia="Times New Roman" w:hAnsi="Times New Roman"/>
          <w:sz w:val="20"/>
          <w:szCs w:val="20"/>
          <w:u w:val="single" w:color="auto"/>
          <w:color w:val="auto"/>
        </w:rPr>
        <w:t>e.g</w:t>
      </w:r>
      <w:r>
        <w:rPr>
          <w:rFonts w:ascii="Times New Roman" w:cs="Times New Roman" w:eastAsia="Times New Roman" w:hAnsi="Times New Roman"/>
          <w:sz w:val="20"/>
          <w:szCs w:val="20"/>
          <w:color w:val="auto"/>
        </w:rPr>
        <w:t>., a “</w:t>
      </w:r>
      <w:r>
        <w:rPr>
          <w:rFonts w:ascii="Times New Roman" w:cs="Times New Roman" w:eastAsia="Times New Roman" w:hAnsi="Times New Roman"/>
          <w:sz w:val="20"/>
          <w:szCs w:val="20"/>
          <w:u w:val="single" w:color="auto"/>
          <w:color w:val="auto"/>
        </w:rPr>
        <w:t>Tranche A Borrowing</w:t>
      </w:r>
      <w:r>
        <w:rPr>
          <w:rFonts w:ascii="Times New Roman" w:cs="Times New Roman" w:eastAsia="Times New Roman" w:hAnsi="Times New Roman"/>
          <w:sz w:val="20"/>
          <w:szCs w:val="20"/>
          <w:color w:val="auto"/>
        </w:rPr>
        <w:t>”) or by Type (</w:t>
      </w:r>
      <w:r>
        <w:rPr>
          <w:rFonts w:ascii="Times New Roman" w:cs="Times New Roman" w:eastAsia="Times New Roman" w:hAnsi="Times New Roman"/>
          <w:sz w:val="20"/>
          <w:szCs w:val="20"/>
          <w:u w:val="single" w:color="auto"/>
          <w:color w:val="auto"/>
        </w:rPr>
        <w:t>e.g</w:t>
      </w:r>
      <w:r>
        <w:rPr>
          <w:rFonts w:ascii="Times New Roman" w:cs="Times New Roman" w:eastAsia="Times New Roman" w:hAnsi="Times New Roman"/>
          <w:sz w:val="20"/>
          <w:szCs w:val="20"/>
          <w:color w:val="auto"/>
        </w:rPr>
        <w:t>., a “</w:t>
      </w:r>
      <w:r>
        <w:rPr>
          <w:rFonts w:ascii="Times New Roman" w:cs="Times New Roman" w:eastAsia="Times New Roman" w:hAnsi="Times New Roman"/>
          <w:sz w:val="20"/>
          <w:szCs w:val="20"/>
          <w:u w:val="single" w:color="auto"/>
          <w:color w:val="auto"/>
        </w:rPr>
        <w:t>Term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SOFR Borrowing</w:t>
      </w:r>
      <w:r>
        <w:rPr>
          <w:rFonts w:ascii="Times New Roman" w:cs="Times New Roman" w:eastAsia="Times New Roman" w:hAnsi="Times New Roman"/>
          <w:sz w:val="20"/>
          <w:szCs w:val="20"/>
          <w:color w:val="auto"/>
        </w:rPr>
        <w:t>”) or by Tranche and Type (</w:t>
      </w:r>
      <w:r>
        <w:rPr>
          <w:rFonts w:ascii="Times New Roman" w:cs="Times New Roman" w:eastAsia="Times New Roman" w:hAnsi="Times New Roman"/>
          <w:sz w:val="20"/>
          <w:szCs w:val="20"/>
          <w:u w:val="single" w:color="auto"/>
          <w:color w:val="auto"/>
        </w:rPr>
        <w:t>e.g</w:t>
      </w:r>
      <w:r>
        <w:rPr>
          <w:rFonts w:ascii="Times New Roman" w:cs="Times New Roman" w:eastAsia="Times New Roman" w:hAnsi="Times New Roman"/>
          <w:sz w:val="20"/>
          <w:szCs w:val="20"/>
          <w:color w:val="auto"/>
        </w:rPr>
        <w:t>., a “</w:t>
      </w:r>
      <w:r>
        <w:rPr>
          <w:rFonts w:ascii="Times New Roman" w:cs="Times New Roman" w:eastAsia="Times New Roman" w:hAnsi="Times New Roman"/>
          <w:sz w:val="20"/>
          <w:szCs w:val="20"/>
          <w:u w:val="single" w:color="auto"/>
          <w:color w:val="auto"/>
        </w:rPr>
        <w:t>Tranche A Term SOFR Borrowing</w:t>
      </w:r>
      <w:r>
        <w:rPr>
          <w:rFonts w:ascii="Times New Roman" w:cs="Times New Roman" w:eastAsia="Times New Roman" w:hAnsi="Times New Roman"/>
          <w:sz w:val="20"/>
          <w:szCs w:val="20"/>
          <w:color w:val="auto"/>
        </w:rPr>
        <w:t>”).</w:t>
      </w:r>
    </w:p>
    <w:p>
      <w:pPr>
        <w:spacing w:after="0" w:line="1" w:lineRule="exact"/>
        <w:rPr>
          <w:sz w:val="20"/>
          <w:szCs w:val="20"/>
          <w:color w:val="auto"/>
        </w:rPr>
      </w:pPr>
    </w:p>
    <w:p>
      <w:pPr>
        <w:jc w:val="both"/>
        <w:ind w:firstLine="1296"/>
        <w:spacing w:after="0" w:line="246" w:lineRule="auto"/>
        <w:rPr>
          <w:sz w:val="20"/>
          <w:szCs w:val="20"/>
          <w:color w:val="auto"/>
        </w:rPr>
      </w:pPr>
      <w:r>
        <w:rPr>
          <w:rFonts w:ascii="Times New Roman" w:cs="Times New Roman" w:eastAsia="Times New Roman" w:hAnsi="Times New Roman"/>
          <w:sz w:val="20"/>
          <w:szCs w:val="20"/>
          <w:color w:val="010000"/>
        </w:rPr>
        <w:t xml:space="preserve">Section 1.03. </w:t>
      </w:r>
      <w:r>
        <w:rPr>
          <w:rFonts w:ascii="Times New Roman" w:cs="Times New Roman" w:eastAsia="Times New Roman" w:hAnsi="Times New Roman"/>
          <w:sz w:val="20"/>
          <w:szCs w:val="20"/>
          <w:u w:val="single" w:color="auto"/>
          <w:color w:val="000000"/>
        </w:rPr>
        <w:t>Terms Generally</w:t>
      </w:r>
      <w:r>
        <w:rPr>
          <w:rFonts w:ascii="Times New Roman" w:cs="Times New Roman" w:eastAsia="Times New Roman" w:hAnsi="Times New Roman"/>
          <w:sz w:val="20"/>
          <w:szCs w:val="20"/>
          <w:color w:val="000000"/>
        </w:rPr>
        <w:t>. The definitions of terms herein shall apply equally to the singular and plural forms of the</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The word “law” shall be construed as referring to all statutes, rules, regulations, codes and other laws (including official rulings and interpretations thereunder having the force of law or with which affected Persons customarily comply), and all judgments, orders and decrees, of all Governmental Authorities. Unless the context requires otherwise</w:t>
      </w:r>
    </w:p>
    <w:p>
      <w:pPr>
        <w:spacing w:after="0" w:line="3" w:lineRule="exact"/>
        <w:rPr>
          <w:sz w:val="20"/>
          <w:szCs w:val="20"/>
          <w:color w:val="auto"/>
        </w:rPr>
      </w:pPr>
    </w:p>
    <w:p>
      <w:pPr>
        <w:jc w:val="both"/>
        <w:ind w:firstLine="8"/>
        <w:spacing w:after="0" w:line="249" w:lineRule="auto"/>
        <w:tabs>
          <w:tab w:leader="none" w:pos="282"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definition of or reference to any agreement, instrument or other document herein shall be construed as referring to such agreement, instrument or other document as from time to time amended, restated, supplemented or otherwise modified (subject to any restrictions on such amendments, restatements, supplements or modifications set forth herein), (b) any definition of or reference to any law, statute, rule or regulation shall be construed as referring thereto as from time to time amended, supplemented or otherwise modified (including by succession of comparable successor laws), (c) any reference herein to any Person shall be construed to include such Person’s successors and assigns (subject to any restrictions on assignment set forth herein) and, in the case of any Governmental Authority, any other Governmental Authority that shall have succeeded to any or all functions thereof, (d) the words “herein”, “hereof” and “hereunder”, and words of similar import, shall be construed to refer to this Agreement in its entirety and not to any particular provision hereof, (e) all references herein to Articles, Sections, Exhibits and Schedules shall be construed to refer to Articles and Sections of, and Exhibits and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ectPr>
          <w:pgSz w:w="11900" w:h="16838" w:orient="portrait"/>
          <w:cols w:equalWidth="0" w:num="1">
            <w:col w:w="11240"/>
          </w:cols>
          <w:pgMar w:left="320" w:top="1413" w:right="339" w:bottom="1440" w:gutter="0" w:footer="0" w:header="0"/>
        </w:sectPr>
      </w:pPr>
    </w:p>
    <w:bookmarkStart w:id="204" w:name="page205"/>
    <w:bookmarkEnd w:id="204"/>
    <w:p>
      <w:pPr>
        <w:jc w:val="both"/>
        <w:spacing w:after="0" w:line="249" w:lineRule="auto"/>
        <w:rPr>
          <w:sz w:val="20"/>
          <w:szCs w:val="20"/>
          <w:color w:val="auto"/>
        </w:rPr>
      </w:pPr>
      <w:r>
        <w:rPr>
          <w:rFonts w:ascii="Times New Roman" w:cs="Times New Roman" w:eastAsia="Times New Roman" w:hAnsi="Times New Roman"/>
          <w:sz w:val="20"/>
          <w:szCs w:val="20"/>
          <w:color w:val="auto"/>
        </w:rPr>
        <w:t>Schedules to, this Agreement, (f) any reference to any law, rule or regulation herein shall, unless otherwise specified, refer to such law, rule or regulation as amended, modified or supplemented from time to time, (g) the words “asset” and “property” shall be construed to have the same meaning and effect and to refer to any and all tangible and intangible assets and properties, including cash, securities, accounts and contract rights and (h) any reference herein to a merger, transfer, consolidation, amalgamation, consolidation, assignment, sale, disposition or transfer, or similar term, shall be deemed to apply to a division of or by a limited liability company, or an allocation of assets to a series of a limited liability company (or the unwinding of such a division or allocation), as if it were a merger, transfer, consolidation, amalgamation, consolidation, assignment, sale or transfer, or similar term, as applicable, to, of or with a separate Person, and any division of a limited liability company shall constitute a separate Person hereunder (and each division of any limited liability company that is a Subsidiary, joint venture or any other like term shall also constitute such a Person or entity).</w:t>
      </w:r>
    </w:p>
    <w:p>
      <w:pPr>
        <w:spacing w:after="0" w:line="8"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0"/>
          <w:szCs w:val="20"/>
          <w:color w:val="010000"/>
        </w:rPr>
        <w:t xml:space="preserve">Section 1.04. </w:t>
      </w:r>
      <w:r>
        <w:rPr>
          <w:rFonts w:ascii="Times New Roman" w:cs="Times New Roman" w:eastAsia="Times New Roman" w:hAnsi="Times New Roman"/>
          <w:sz w:val="20"/>
          <w:szCs w:val="20"/>
          <w:u w:val="single" w:color="auto"/>
          <w:color w:val="000000"/>
        </w:rPr>
        <w:t>Accounting Terms; GAAP</w:t>
      </w:r>
      <w:r>
        <w:rPr>
          <w:rFonts w:ascii="Times New Roman" w:cs="Times New Roman" w:eastAsia="Times New Roman" w:hAnsi="Times New Roman"/>
          <w:sz w:val="20"/>
          <w:szCs w:val="20"/>
          <w:color w:val="000000"/>
        </w:rPr>
        <w:t>. Except as otherwise expressly provided herein, all terms of an accounting or</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 xml:space="preserve">financial nature shall be construed in accordance with GAAP, as in effect from time to time; </w:t>
      </w:r>
      <w:r>
        <w:rPr>
          <w:rFonts w:ascii="Times New Roman" w:cs="Times New Roman" w:eastAsia="Times New Roman" w:hAnsi="Times New Roman"/>
          <w:sz w:val="20"/>
          <w:szCs w:val="20"/>
          <w:u w:val="single" w:color="auto"/>
          <w:color w:val="000000"/>
        </w:rPr>
        <w:t>provided</w:t>
      </w:r>
      <w:r>
        <w:rPr>
          <w:rFonts w:ascii="Times New Roman" w:cs="Times New Roman" w:eastAsia="Times New Roman" w:hAnsi="Times New Roman"/>
          <w:sz w:val="20"/>
          <w:szCs w:val="20"/>
          <w:color w:val="000000"/>
        </w:rPr>
        <w:t xml:space="preserve"> that, if the Company notifies the Administrative Agent that the Company requests an amendment to any provision hereof to eliminate the effect of any change occurring after the date hereof in GAAP or in the application thereof on the operation of such provision (or if the Administrative Agent notifies the Company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Notwithstanding any other provision contained herein, all terms of an accounting or financial nature used herein shall be construed, and all computations of amounts and ratios referred to herein shall be made (i) without giving effect to any election under Accounting Standards Codification 825 (or any other Accounting Standards Codification or Financial Accounting Standard having a similar result or effect) to value any Indebtedness or other liabilities of the Company or any Subsidiary at “fair value”, as defined therein and (ii) without giving effect to any treatment of Indebtedness under Accounting Standards Codification 470-20 or 2015-03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 Notwithstanding anything to the contrary contained in this Section 1.04 or in the definition of “Capital Lease Obligations,” any change in accounting for leases pursuant to GAAP resulting from the adoption of Financial Accounting Standards Board Accounting Standards Update No. 2016-02, Leases (Topic 842), to the extent such adoption would require treating any lease (or similar arrangement conveying the right to use) as a capital lease where such lease (or similar arrangement) would not have been required to be so treated under GAAP as in effect on December 31, 2015, such lease shall not be considered a capital lease, and all calculations and deliverables under this Agreement or any other Loan Document shall be made or delivered, as applicable, in accordance therewith.</w:t>
      </w:r>
    </w:p>
    <w:p>
      <w:pPr>
        <w:spacing w:after="0" w:line="18"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0"/>
          <w:szCs w:val="20"/>
          <w:color w:val="010000"/>
        </w:rPr>
        <w:t xml:space="preserve">Section 1.05. </w:t>
      </w:r>
      <w:r>
        <w:rPr>
          <w:rFonts w:ascii="Times New Roman" w:cs="Times New Roman" w:eastAsia="Times New Roman" w:hAnsi="Times New Roman"/>
          <w:sz w:val="20"/>
          <w:szCs w:val="20"/>
          <w:u w:val="single" w:color="auto"/>
          <w:color w:val="000000"/>
        </w:rPr>
        <w:t>Interest Rates; Benchmark Notification</w:t>
      </w:r>
      <w:r>
        <w:rPr>
          <w:rFonts w:ascii="Times New Roman" w:cs="Times New Roman" w:eastAsia="Times New Roman" w:hAnsi="Times New Roman"/>
          <w:sz w:val="20"/>
          <w:szCs w:val="20"/>
          <w:color w:val="000000"/>
        </w:rPr>
        <w:t>. The interest rate on a Loan may be derived from an interest rate</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benchmark that may be discontinued or is, or may in the future become, the subject of regulatory reform. Upon the occurrence of a Benchmark Transition Event, Section 2.14(b) provides a mechanism for determining an alternative rate of interest. The Administrative Agent does not warrant or accept any responsibility for, and shall not have any liability with respect to, the administration, submission, performance or any other matter related to any interest rate used in this Agreement, or with respect to any alternative or successor rate thereto, or replacement rate thereof, including without limitation, whether the composition or characteristics of any such alternative, successor or replacement reference rate will be similar to, or produce the same value or economic equivalence of, the existing interest rate being replaced or have the same volume or liquidity as did any existing interest</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ectPr>
          <w:pgSz w:w="11900" w:h="16838" w:orient="portrait"/>
          <w:cols w:equalWidth="0" w:num="1">
            <w:col w:w="11240"/>
          </w:cols>
          <w:pgMar w:left="320" w:top="1413" w:right="339" w:bottom="1440" w:gutter="0" w:footer="0" w:header="0"/>
        </w:sectPr>
      </w:pPr>
    </w:p>
    <w:bookmarkStart w:id="205" w:name="page206"/>
    <w:bookmarkEnd w:id="205"/>
    <w:p>
      <w:pPr>
        <w:jc w:val="both"/>
        <w:spacing w:after="0" w:line="250" w:lineRule="auto"/>
        <w:rPr>
          <w:sz w:val="20"/>
          <w:szCs w:val="20"/>
          <w:color w:val="auto"/>
        </w:rPr>
      </w:pPr>
      <w:r>
        <w:rPr>
          <w:rFonts w:ascii="Times New Roman" w:cs="Times New Roman" w:eastAsia="Times New Roman" w:hAnsi="Times New Roman"/>
          <w:sz w:val="20"/>
          <w:szCs w:val="20"/>
          <w:color w:val="auto"/>
        </w:rPr>
        <w:t>rate prior to its discontinuance or unavailability. The Administrative Agent and its affiliates and/or other related entities may engage in transactions that affect the calculation of any interest rate used in this Agreement or any alternative, successor or alternative rate (including any Benchmark Replacement) and/or any relevant adjustments thereto, in each case, in a manner adverse to the Borrower. The Administrative Agent may select information sources or services in its reasonable discretion to ascertain any interest rate used in this Agreement, any component thereof, or rates referenced in the definition thereof,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2"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0"/>
          <w:szCs w:val="20"/>
          <w:color w:val="010000"/>
        </w:rPr>
        <w:t xml:space="preserve">Section 1.06. </w:t>
      </w:r>
      <w:r>
        <w:rPr>
          <w:rFonts w:ascii="Times New Roman" w:cs="Times New Roman" w:eastAsia="Times New Roman" w:hAnsi="Times New Roman"/>
          <w:sz w:val="20"/>
          <w:szCs w:val="20"/>
          <w:u w:val="single" w:color="auto"/>
          <w:color w:val="000000"/>
        </w:rPr>
        <w:t>Status of Obligations</w:t>
      </w:r>
      <w:r>
        <w:rPr>
          <w:rFonts w:ascii="Times New Roman" w:cs="Times New Roman" w:eastAsia="Times New Roman" w:hAnsi="Times New Roman"/>
          <w:sz w:val="20"/>
          <w:szCs w:val="20"/>
          <w:color w:val="000000"/>
        </w:rPr>
        <w:t>. In the event that the Company shall at any time issue or have outstanding any</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Subordinated Indebtedness, the Company shall take all such actions as shall be necessary to cause the Obligations to constitute senior indebtedness (however denominated) in respect of such Subordinated Indebtedness and to enable the Administrative Agent and the Lenders to have and exercise any payment blockage or other remedies available or potentially available to holders of senior indebtedness under the terms of such Subordinated Indebtedness. Without limiting the foregoing, the Obligations are hereby designated as “senior indebtedness” and as “designated senior indebtedness” and words of similar import under and in respect of any indenture or other agreement or instrument under which such Subordinated Indebtedness is outstanding and are further given all such other designations as shall be required under the terms of any such Subordinated Indebtedness in order that the Lenders may have and exercise any payment blockage or other remedies available or potentially available to holders of senior indebtedness under the terms of such Subordinated Indebtedness.</w:t>
      </w:r>
    </w:p>
    <w:p>
      <w:pPr>
        <w:spacing w:after="0" w:line="1"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0"/>
          <w:szCs w:val="20"/>
          <w:color w:val="010000"/>
        </w:rPr>
        <w:t>Section 1.07.</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Intentionally Omitted</w:t>
      </w:r>
      <w:r>
        <w:rPr>
          <w:rFonts w:ascii="Times New Roman" w:cs="Times New Roman" w:eastAsia="Times New Roman" w:hAnsi="Times New Roman"/>
          <w:sz w:val="19"/>
          <w:szCs w:val="19"/>
          <w:color w:val="auto"/>
        </w:rPr>
        <w:t>].</w:t>
      </w:r>
    </w:p>
    <w:p>
      <w:pPr>
        <w:spacing w:after="0" w:line="6"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0"/>
          <w:szCs w:val="20"/>
          <w:color w:val="010000"/>
        </w:rPr>
        <w:t xml:space="preserve">Section 1.08. </w:t>
      </w:r>
      <w:r>
        <w:rPr>
          <w:rFonts w:ascii="Times New Roman" w:cs="Times New Roman" w:eastAsia="Times New Roman" w:hAnsi="Times New Roman"/>
          <w:sz w:val="20"/>
          <w:szCs w:val="20"/>
          <w:u w:val="single" w:color="auto"/>
          <w:color w:val="000000"/>
        </w:rPr>
        <w:t>Divisions</w:t>
      </w:r>
      <w:r>
        <w:rPr>
          <w:rFonts w:ascii="Times New Roman" w:cs="Times New Roman" w:eastAsia="Times New Roman" w:hAnsi="Times New Roman"/>
          <w:sz w:val="20"/>
          <w:szCs w:val="20"/>
          <w:color w:val="000000"/>
        </w:rPr>
        <w:t>. For all purposes under the Loan Documents, in connection with any division or plan of division</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acquired on the first date of its existence by the holders of its Equity Interests at such time.</w:t>
      </w:r>
    </w:p>
    <w:p>
      <w:pPr>
        <w:spacing w:after="0" w:line="5"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20"/>
          <w:szCs w:val="20"/>
          <w:color w:val="010000"/>
        </w:rPr>
        <w:t>ARTICLE II</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The Credits</w:t>
      </w:r>
    </w:p>
    <w:p>
      <w:pPr>
        <w:spacing w:after="0" w:line="216"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0"/>
          <w:szCs w:val="20"/>
          <w:color w:val="010000"/>
        </w:rPr>
        <w:t xml:space="preserve">Section 2.01. </w:t>
      </w:r>
      <w:r>
        <w:rPr>
          <w:rFonts w:ascii="Times New Roman" w:cs="Times New Roman" w:eastAsia="Times New Roman" w:hAnsi="Times New Roman"/>
          <w:sz w:val="20"/>
          <w:szCs w:val="20"/>
          <w:u w:val="single" w:color="auto"/>
          <w:color w:val="000000"/>
        </w:rPr>
        <w:t>Loans</w:t>
      </w:r>
      <w:r>
        <w:rPr>
          <w:rFonts w:ascii="Times New Roman" w:cs="Times New Roman" w:eastAsia="Times New Roman" w:hAnsi="Times New Roman"/>
          <w:sz w:val="20"/>
          <w:szCs w:val="20"/>
          <w:color w:val="000000"/>
        </w:rPr>
        <w:t>. Subject to the terms and conditions set forth herein, during the Availability Period, (a) each Tranche</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A Lender with a Tranche A Commitment (severally and not jointly) agrees to make a Tranche A Loan to the Company in Dollars on the Closing Date, in an amount up to such Lender’s Tranche A Commitment, (b) each Tranche B Lender with a Tranche B Commitment (severally and not jointly) agrees to make a Tranche B Loan to the Company in Dollars on the Closing Date, in an amount up to such Lender’s Tranche B Commitment and (c) each Tranche C Lender with a Tranche C Commitment (severally and not jointly) agrees to make a Tranche C Loan to the Company in Dollars on the Closing Date, in an amount up to such Lender’s Tranche C Commitment. Amounts repaid or prepaid in respect of any Loans may not be reborrowed.</w:t>
      </w:r>
    </w:p>
    <w:p>
      <w:pPr>
        <w:spacing w:after="0" w:line="6"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0"/>
          <w:szCs w:val="20"/>
          <w:color w:val="010000"/>
        </w:rPr>
        <w:t xml:space="preserve">Section 2.02. </w:t>
      </w:r>
      <w:r>
        <w:rPr>
          <w:rFonts w:ascii="Times New Roman" w:cs="Times New Roman" w:eastAsia="Times New Roman" w:hAnsi="Times New Roman"/>
          <w:sz w:val="20"/>
          <w:szCs w:val="20"/>
          <w:u w:val="single" w:color="auto"/>
          <w:color w:val="000000"/>
        </w:rPr>
        <w:t>Loans and Borrowings</w:t>
      </w:r>
      <w:r>
        <w:rPr>
          <w:rFonts w:ascii="Times New Roman" w:cs="Times New Roman" w:eastAsia="Times New Roman" w:hAnsi="Times New Roman"/>
          <w:sz w:val="20"/>
          <w:szCs w:val="20"/>
          <w:color w:val="000000"/>
        </w:rPr>
        <w:t>. Each Loan shall be made as part of a Borrowing consisting of Loans made by the</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 xml:space="preserve">Lenders ratably in accordance with their respective Commitments. The failure of any Lender to make any Loan required to be made by it shall not relieve any other Lender of its obligations hereunder; </w:t>
      </w:r>
      <w:r>
        <w:rPr>
          <w:rFonts w:ascii="Times New Roman" w:cs="Times New Roman" w:eastAsia="Times New Roman" w:hAnsi="Times New Roman"/>
          <w:sz w:val="20"/>
          <w:szCs w:val="20"/>
          <w:u w:val="single" w:color="auto"/>
          <w:color w:val="000000"/>
        </w:rPr>
        <w:t>provided</w:t>
      </w:r>
      <w:r>
        <w:rPr>
          <w:rFonts w:ascii="Times New Roman" w:cs="Times New Roman" w:eastAsia="Times New Roman" w:hAnsi="Times New Roman"/>
          <w:sz w:val="20"/>
          <w:szCs w:val="20"/>
          <w:color w:val="000000"/>
        </w:rPr>
        <w:t xml:space="preserve"> that the Commitments of the Lenders are several and no Lender shall be responsible for any other Lender’s failure to make Loans as required.</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ectPr>
          <w:pgSz w:w="11900" w:h="16838" w:orient="portrait"/>
          <w:cols w:equalWidth="0" w:num="1">
            <w:col w:w="11240"/>
          </w:cols>
          <w:pgMar w:left="320" w:top="1413" w:right="339" w:bottom="1440" w:gutter="0" w:footer="0" w:header="0"/>
        </w:sectPr>
      </w:pPr>
    </w:p>
    <w:bookmarkStart w:id="206" w:name="page207"/>
    <w:bookmarkEnd w:id="206"/>
    <w:p>
      <w:pPr>
        <w:jc w:val="both"/>
        <w:ind w:left="660" w:firstLine="644"/>
        <w:spacing w:after="0" w:line="253" w:lineRule="auto"/>
        <w:tabs>
          <w:tab w:leader="none" w:pos="1946" w:val="left"/>
        </w:tabs>
        <w:numPr>
          <w:ilvl w:val="0"/>
          <w:numId w:val="20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Subject to Section 2.14, each Borrowing shall be comprised entirely of ABR Loans or Term SOFR Loans. Each Lender at its option may make any Loan by causing any domestic or foreign branch or Affiliate of such Lender to make such Loan (and in the case of an Affiliate, the provisions of Sections 2.14, 2.15, 2.16 and 2.17 shall apply to such Affiliate to the same extent as to such Lender); provided that any exercise of such option shall not affect the obligation of the Company to repay such Loan in accordance with the terms of this Agreement.</w:t>
      </w:r>
    </w:p>
    <w:p>
      <w:pPr>
        <w:spacing w:after="0" w:line="191" w:lineRule="exact"/>
        <w:rPr>
          <w:rFonts w:ascii="Times New Roman" w:cs="Times New Roman" w:eastAsia="Times New Roman" w:hAnsi="Times New Roman"/>
          <w:sz w:val="20"/>
          <w:szCs w:val="20"/>
          <w:color w:val="010000"/>
        </w:rPr>
      </w:pPr>
    </w:p>
    <w:p>
      <w:pPr>
        <w:jc w:val="both"/>
        <w:ind w:left="660" w:firstLine="644"/>
        <w:spacing w:after="0" w:line="253" w:lineRule="auto"/>
        <w:tabs>
          <w:tab w:leader="none" w:pos="1944" w:val="left"/>
        </w:tabs>
        <w:numPr>
          <w:ilvl w:val="0"/>
          <w:numId w:val="20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At the commencement of each Interest Period for any Term SOFR Borrowing, such Borrowing shall be in an aggregate amount that is an integral multiple of $1,000,000 and not less than $2,000,000. At the time that each ABR Borrowing is made, such Borrowing shall be in an aggregate Dollar Amount that is an integral multiple of $1,000,000 and not less than $1,000,000. Borrowings of more than one Type and Tranche may be outstanding at the same time;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there shall not at any time be more than a total of twelve (12) Term SOFR Borrowings outstanding.</w:t>
      </w:r>
    </w:p>
    <w:p>
      <w:pPr>
        <w:spacing w:after="0" w:line="191" w:lineRule="exact"/>
        <w:rPr>
          <w:rFonts w:ascii="Times New Roman" w:cs="Times New Roman" w:eastAsia="Times New Roman" w:hAnsi="Times New Roman"/>
          <w:sz w:val="20"/>
          <w:szCs w:val="20"/>
          <w:color w:val="010000"/>
        </w:rPr>
      </w:pPr>
    </w:p>
    <w:p>
      <w:pPr>
        <w:ind w:left="660" w:firstLine="644"/>
        <w:spacing w:after="0" w:line="283" w:lineRule="auto"/>
        <w:tabs>
          <w:tab w:leader="none" w:pos="1946" w:val="left"/>
        </w:tabs>
        <w:numPr>
          <w:ilvl w:val="0"/>
          <w:numId w:val="20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Notwithstanding any other provision of this Agreement, the Company shall not be entitled to request, or to elect to convert or continue, any Borrowing if the Interest Period requested with respect thereto would end after the Maturity Date.</w:t>
      </w:r>
    </w:p>
    <w:p>
      <w:pPr>
        <w:spacing w:after="0" w:line="146"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0"/>
          <w:szCs w:val="20"/>
          <w:color w:val="010000"/>
        </w:rPr>
        <w:t xml:space="preserve">Section 2.03. </w:t>
      </w:r>
      <w:r>
        <w:rPr>
          <w:rFonts w:ascii="Times New Roman" w:cs="Times New Roman" w:eastAsia="Times New Roman" w:hAnsi="Times New Roman"/>
          <w:sz w:val="20"/>
          <w:szCs w:val="20"/>
          <w:u w:val="single" w:color="auto"/>
          <w:color w:val="000000"/>
        </w:rPr>
        <w:t>Requests for Borrowings</w:t>
      </w:r>
      <w:r>
        <w:rPr>
          <w:rFonts w:ascii="Times New Roman" w:cs="Times New Roman" w:eastAsia="Times New Roman" w:hAnsi="Times New Roman"/>
          <w:sz w:val="20"/>
          <w:szCs w:val="20"/>
          <w:color w:val="000000"/>
        </w:rPr>
        <w:t>. To request a Borrowing, the Company shall notify the Administrative Agent of</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such request (a) by irrevocable written notice (via a written Borrowing Request signed by the Company) in the case of a Term SOFR Borrowing, not later than 11:00 a.m., New York City time, two (2) Business Days before the date of the proposed Borrowing or (b) by irrevocable written notice (via a written Borrowing Request signed by the Company) in the case of an ABR Borrowing, not later than 11:00 a.m., New York City time, on the date of the proposed Borrowing. Each such Borrowing Request shall specify the following information in compliance with Section 2.02:</w:t>
      </w:r>
    </w:p>
    <w:p>
      <w:pPr>
        <w:spacing w:after="0" w:line="3" w:lineRule="exact"/>
        <w:rPr>
          <w:sz w:val="20"/>
          <w:szCs w:val="20"/>
          <w:color w:val="auto"/>
        </w:rPr>
      </w:pPr>
    </w:p>
    <w:p>
      <w:pPr>
        <w:ind w:left="2600" w:hanging="648"/>
        <w:spacing w:after="0"/>
        <w:tabs>
          <w:tab w:leader="none" w:pos="2600" w:val="left"/>
        </w:tabs>
        <w:numPr>
          <w:ilvl w:val="0"/>
          <w:numId w:val="20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Tranche and aggregate principal amount of the requested Borrowing;</w:t>
      </w:r>
    </w:p>
    <w:p>
      <w:pPr>
        <w:spacing w:after="0" w:line="200" w:lineRule="exact"/>
        <w:rPr>
          <w:rFonts w:ascii="Times New Roman" w:cs="Times New Roman" w:eastAsia="Times New Roman" w:hAnsi="Times New Roman"/>
          <w:sz w:val="20"/>
          <w:szCs w:val="20"/>
          <w:color w:val="010000"/>
        </w:rPr>
      </w:pPr>
    </w:p>
    <w:p>
      <w:pPr>
        <w:ind w:left="2600" w:hanging="648"/>
        <w:spacing w:after="0"/>
        <w:tabs>
          <w:tab w:leader="none" w:pos="2600" w:val="left"/>
        </w:tabs>
        <w:numPr>
          <w:ilvl w:val="0"/>
          <w:numId w:val="20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date of such Borrowing, which shall be a Business Day;</w:t>
      </w:r>
    </w:p>
    <w:p>
      <w:pPr>
        <w:spacing w:after="0" w:line="229" w:lineRule="exact"/>
        <w:rPr>
          <w:rFonts w:ascii="Times New Roman" w:cs="Times New Roman" w:eastAsia="Times New Roman" w:hAnsi="Times New Roman"/>
          <w:sz w:val="20"/>
          <w:szCs w:val="20"/>
          <w:color w:val="010000"/>
        </w:rPr>
      </w:pPr>
    </w:p>
    <w:p>
      <w:pPr>
        <w:ind w:left="2600" w:hanging="648"/>
        <w:spacing w:after="0"/>
        <w:tabs>
          <w:tab w:leader="none" w:pos="2600" w:val="left"/>
        </w:tabs>
        <w:numPr>
          <w:ilvl w:val="0"/>
          <w:numId w:val="20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whether such Borrowing is to be an ABR Borrowing or a Term SOFR Borrowing;</w:t>
      </w:r>
    </w:p>
    <w:p>
      <w:pPr>
        <w:spacing w:after="0" w:line="215" w:lineRule="exact"/>
        <w:rPr>
          <w:rFonts w:ascii="Times New Roman" w:cs="Times New Roman" w:eastAsia="Times New Roman" w:hAnsi="Times New Roman"/>
          <w:sz w:val="20"/>
          <w:szCs w:val="20"/>
          <w:color w:val="010000"/>
        </w:rPr>
      </w:pPr>
    </w:p>
    <w:p>
      <w:pPr>
        <w:ind w:left="1300" w:firstLine="652"/>
        <w:spacing w:after="0" w:line="283" w:lineRule="auto"/>
        <w:tabs>
          <w:tab w:leader="none" w:pos="2585" w:val="left"/>
        </w:tabs>
        <w:numPr>
          <w:ilvl w:val="0"/>
          <w:numId w:val="20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 the case of a Term SOFR Borrowing, the initial Interest Period to be applicable thereto, which shall be a period contemplated by the definition of the term “Interest Period”;</w:t>
      </w:r>
    </w:p>
    <w:p>
      <w:pPr>
        <w:spacing w:after="0" w:line="159" w:lineRule="exact"/>
        <w:rPr>
          <w:rFonts w:ascii="Times New Roman" w:cs="Times New Roman" w:eastAsia="Times New Roman" w:hAnsi="Times New Roman"/>
          <w:sz w:val="20"/>
          <w:szCs w:val="20"/>
          <w:color w:val="010000"/>
        </w:rPr>
      </w:pPr>
    </w:p>
    <w:p>
      <w:pPr>
        <w:ind w:left="1300" w:right="20" w:firstLine="652"/>
        <w:spacing w:after="0" w:line="269" w:lineRule="auto"/>
        <w:tabs>
          <w:tab w:leader="none" w:pos="2584" w:val="left"/>
        </w:tabs>
        <w:numPr>
          <w:ilvl w:val="0"/>
          <w:numId w:val="20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location and number of the Company’s account to which funds are to be disbursed, which shall comply with the requirements of Section 2.07.</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If no election as to the Type of Borrowing is specified, then the requested Borrowing shall be an ABR Borrowing. If no Interest Period is specified with respect to any requested Term SOFR Borrowing, then the Company shall be deemed to have selected an Interest Period of one month’s duration. Promptly following receipt of a Borrowing Request in accordance with this Section, the Administrative Agent shall advise each Lender of the details thereof and of the amount of such Lender’s Loan to be made as part of the requested Borrowing.</w:t>
      </w:r>
    </w:p>
    <w:p>
      <w:pPr>
        <w:spacing w:after="0" w:line="172"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Notwithstanding the foregoing, in no event shall the Company be permitted to request pursuant to this Section 2.03 prior to a Benchmark Transition Event and Benchmark Replacement Date with respect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ectPr>
          <w:pgSz w:w="11900" w:h="16838" w:orient="portrait"/>
          <w:cols w:equalWidth="0" w:num="1">
            <w:col w:w="11240"/>
          </w:cols>
          <w:pgMar w:left="320" w:top="1413" w:right="339" w:bottom="1440" w:gutter="0" w:footer="0" w:header="0"/>
        </w:sectPr>
      </w:pPr>
    </w:p>
    <w:bookmarkStart w:id="207" w:name="page208"/>
    <w:bookmarkEnd w:id="207"/>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Term SOFR, a Loan bearing interest based on Daily Simple SOFR (it being understood and agreed that Daily Simple SOFR shall only apply to the extent provided in Sections 2.14(a) and 2.14(f), as applicable).</w:t>
      </w:r>
    </w:p>
    <w:p>
      <w:pPr>
        <w:spacing w:after="0" w:line="146"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0"/>
          <w:szCs w:val="20"/>
          <w:color w:val="010000"/>
        </w:rPr>
        <w:t>Section 2.04.</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Intentionally Omitted</w:t>
      </w:r>
      <w:r>
        <w:rPr>
          <w:rFonts w:ascii="Times New Roman" w:cs="Times New Roman" w:eastAsia="Times New Roman" w:hAnsi="Times New Roman"/>
          <w:sz w:val="19"/>
          <w:szCs w:val="19"/>
          <w:color w:val="auto"/>
        </w:rPr>
        <w:t>].</w:t>
      </w:r>
    </w:p>
    <w:p>
      <w:pPr>
        <w:spacing w:after="0" w:line="28"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0"/>
          <w:szCs w:val="20"/>
          <w:color w:val="010000"/>
        </w:rPr>
        <w:t>Section 2.05.</w:t>
      </w:r>
      <w:r>
        <w:rPr>
          <w:sz w:val="20"/>
          <w:szCs w:val="20"/>
          <w:color w:val="auto"/>
        </w:rPr>
        <w:tab/>
      </w:r>
      <w:r>
        <w:rPr>
          <w:rFonts w:ascii="Times New Roman" w:cs="Times New Roman" w:eastAsia="Times New Roman" w:hAnsi="Times New Roman"/>
          <w:sz w:val="19"/>
          <w:szCs w:val="19"/>
          <w:u w:val="single" w:color="auto"/>
          <w:color w:val="auto"/>
        </w:rPr>
        <w:t>[Intentionally Omitted]</w:t>
      </w:r>
      <w:r>
        <w:rPr>
          <w:rFonts w:ascii="Times New Roman" w:cs="Times New Roman" w:eastAsia="Times New Roman" w:hAnsi="Times New Roman"/>
          <w:sz w:val="19"/>
          <w:szCs w:val="19"/>
          <w:color w:val="auto"/>
        </w:rPr>
        <w:t>.</w:t>
      </w:r>
    </w:p>
    <w:p>
      <w:pPr>
        <w:spacing w:after="0" w:line="6"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0"/>
          <w:szCs w:val="20"/>
          <w:color w:val="010000"/>
        </w:rPr>
        <w:t>Section 2.06.</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Intentionally Omitted</w:t>
      </w:r>
      <w:r>
        <w:rPr>
          <w:rFonts w:ascii="Times New Roman" w:cs="Times New Roman" w:eastAsia="Times New Roman" w:hAnsi="Times New Roman"/>
          <w:sz w:val="19"/>
          <w:szCs w:val="19"/>
          <w:color w:val="auto"/>
        </w:rPr>
        <w:t>].</w:t>
      </w:r>
    </w:p>
    <w:p>
      <w:pPr>
        <w:spacing w:after="0" w:line="6"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0"/>
          <w:szCs w:val="20"/>
          <w:color w:val="010000"/>
        </w:rPr>
        <w:t xml:space="preserve">Section 2.07. </w:t>
      </w:r>
      <w:r>
        <w:rPr>
          <w:rFonts w:ascii="Times New Roman" w:cs="Times New Roman" w:eastAsia="Times New Roman" w:hAnsi="Times New Roman"/>
          <w:sz w:val="20"/>
          <w:szCs w:val="20"/>
          <w:u w:val="single" w:color="auto"/>
          <w:color w:val="000000"/>
        </w:rPr>
        <w:t>Funding of Borrowings</w:t>
      </w:r>
      <w:r>
        <w:rPr>
          <w:rFonts w:ascii="Times New Roman" w:cs="Times New Roman" w:eastAsia="Times New Roman" w:hAnsi="Times New Roman"/>
          <w:sz w:val="20"/>
          <w:szCs w:val="20"/>
          <w:color w:val="000000"/>
        </w:rPr>
        <w:t>. Each Lender shall make each Loan to be made by it hereunder on the proposed date</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thereof solely by wire transfer of immediately available funds by 12:00 noon, New York City time, to the account of the Administrative Agent most recently designated by it for such purpose by notice to the Lenders. The Administrative Agent will make such Loans available to the Company by promptly crediting funds so received in the aforesaid account of the Administrative Agent to an account of the Company maintained with the Administrative Agent in New York City and designated by the Company in the applicable Borrowing Request.</w:t>
      </w:r>
    </w:p>
    <w:p>
      <w:pPr>
        <w:spacing w:after="0" w:line="5" w:lineRule="exact"/>
        <w:rPr>
          <w:sz w:val="20"/>
          <w:szCs w:val="20"/>
          <w:color w:val="auto"/>
        </w:rPr>
      </w:pPr>
    </w:p>
    <w:p>
      <w:pPr>
        <w:jc w:val="both"/>
        <w:ind w:left="660" w:firstLine="644"/>
        <w:spacing w:after="0" w:line="248" w:lineRule="auto"/>
        <w:tabs>
          <w:tab w:leader="none" w:pos="1946" w:val="left"/>
        </w:tabs>
        <w:numPr>
          <w:ilvl w:val="0"/>
          <w:numId w:val="20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Unless the Administrative Agent shall have received notice from a Lender prior to the proposed date of any Borrowing (or in the case of an ABR Borrowing, prior to 12:00 noon, New York City time, on the date of such Borrowing) that such Lender will not make available to the Administrative Agent such Lender’s share of such Borrowing, the Administrative Agent may assume that such Lender has made such share available on such date in accordance with paragraph (a) of this Section and may, in reliance upon such assumption, make available to the Company a corresponding amount. In such event, if a Lender has not in fact made its share of the applicable Borrowing available to the Administrative Agent, then the applicable Lender and the Company severally agree to pay to the Administrative Agent forthwith on demand such corresponding amount with interest thereon, for each day from and including the date such amount is made available to the Company to but excluding the date of payment to the Administrative Agent, at (i) in the case of such Lender, the greater of the applicable Overnight Rate and a rate determined by the Administrative Agent in accordance with banking industry rules on interbank compensation or (ii) in the case of the Company, the interest rate applicable to ABR Loans. If such Lender pays such amount to the Administrative Agent, then such amount shall constitute such Lender’s Loan included in such Borrowing.</w:t>
      </w:r>
    </w:p>
    <w:p>
      <w:pPr>
        <w:spacing w:after="0" w:line="178" w:lineRule="exact"/>
        <w:rPr>
          <w:sz w:val="20"/>
          <w:szCs w:val="20"/>
          <w:color w:val="auto"/>
        </w:rPr>
      </w:pPr>
    </w:p>
    <w:p>
      <w:pPr>
        <w:ind w:left="1300"/>
        <w:spacing w:after="0"/>
        <w:tabs>
          <w:tab w:leader="none" w:pos="2600" w:val="left"/>
        </w:tabs>
        <w:rPr>
          <w:sz w:val="20"/>
          <w:szCs w:val="20"/>
          <w:color w:val="auto"/>
        </w:rPr>
      </w:pPr>
      <w:r>
        <w:rPr>
          <w:rFonts w:ascii="Times New Roman" w:cs="Times New Roman" w:eastAsia="Times New Roman" w:hAnsi="Times New Roman"/>
          <w:sz w:val="20"/>
          <w:szCs w:val="20"/>
          <w:color w:val="010000"/>
        </w:rPr>
        <w:t>Section 2.08.</w:t>
      </w:r>
      <w:r>
        <w:rPr>
          <w:sz w:val="20"/>
          <w:szCs w:val="20"/>
          <w:color w:val="auto"/>
        </w:rPr>
        <w:tab/>
      </w:r>
      <w:r>
        <w:rPr>
          <w:rFonts w:ascii="Times New Roman" w:cs="Times New Roman" w:eastAsia="Times New Roman" w:hAnsi="Times New Roman"/>
          <w:sz w:val="20"/>
          <w:szCs w:val="20"/>
          <w:u w:val="single" w:color="auto"/>
          <w:color w:val="auto"/>
        </w:rPr>
        <w:t>Interest Elections</w:t>
      </w:r>
      <w:r>
        <w:rPr>
          <w:rFonts w:ascii="Times New Roman" w:cs="Times New Roman" w:eastAsia="Times New Roman" w:hAnsi="Times New Roman"/>
          <w:sz w:val="20"/>
          <w:szCs w:val="20"/>
          <w:color w:val="auto"/>
        </w:rPr>
        <w:t>. Each Borrowing initially shall be of the Type specified in the applicable Borrowing</w:t>
      </w:r>
    </w:p>
    <w:p>
      <w:pPr>
        <w:spacing w:after="0" w:line="215" w:lineRule="auto"/>
        <w:rPr>
          <w:sz w:val="20"/>
          <w:szCs w:val="20"/>
          <w:color w:val="auto"/>
        </w:rPr>
      </w:pPr>
      <w:r>
        <w:rPr>
          <w:rFonts w:ascii="Times New Roman" w:cs="Times New Roman" w:eastAsia="Times New Roman" w:hAnsi="Times New Roman"/>
          <w:sz w:val="19"/>
          <w:szCs w:val="19"/>
          <w:color w:val="auto"/>
        </w:rPr>
        <w:t>Request and, in the case of a Term SOFR Borrowing, shall have an initial Interest Period as specified in such Borrowing Request. Thereafter, the Company may elect to convert such Borrowing to a different Type or to continue such Borrowing and, in the case of a Term SOFR</w:t>
      </w:r>
    </w:p>
    <w:p>
      <w:pPr>
        <w:spacing w:after="0" w:line="211" w:lineRule="auto"/>
        <w:rPr>
          <w:sz w:val="20"/>
          <w:szCs w:val="20"/>
          <w:color w:val="auto"/>
        </w:rPr>
      </w:pPr>
      <w:r>
        <w:rPr>
          <w:rFonts w:ascii="Times New Roman" w:cs="Times New Roman" w:eastAsia="Times New Roman" w:hAnsi="Times New Roman"/>
          <w:sz w:val="20"/>
          <w:szCs w:val="20"/>
          <w:color w:val="auto"/>
        </w:rPr>
        <w:t>Borrowing, may elect Interest Periods therefor, all as provided in this Section. The Company may elect different options with respect to</w:t>
      </w:r>
    </w:p>
    <w:p>
      <w:pPr>
        <w:spacing w:after="0" w:line="204" w:lineRule="auto"/>
        <w:rPr>
          <w:sz w:val="20"/>
          <w:szCs w:val="20"/>
          <w:color w:val="auto"/>
        </w:rPr>
      </w:pPr>
      <w:r>
        <w:rPr>
          <w:rFonts w:ascii="Times New Roman" w:cs="Times New Roman" w:eastAsia="Times New Roman" w:hAnsi="Times New Roman"/>
          <w:sz w:val="20"/>
          <w:szCs w:val="20"/>
          <w:color w:val="auto"/>
        </w:rPr>
        <w:t>different portions of the affected Borrowing, in which case each such portion shall be allocated ratably among the Lenders holding the Loans comprising such Borrowing, and the Loans comprising each such portion shall be considered a separate Borrowing.</w:t>
      </w:r>
    </w:p>
    <w:p>
      <w:pPr>
        <w:spacing w:after="0" w:line="1" w:lineRule="exact"/>
        <w:rPr>
          <w:sz w:val="20"/>
          <w:szCs w:val="20"/>
          <w:color w:val="auto"/>
        </w:rPr>
      </w:pPr>
    </w:p>
    <w:p>
      <w:pPr>
        <w:jc w:val="both"/>
        <w:ind w:left="660" w:firstLine="644"/>
        <w:spacing w:after="0" w:line="212" w:lineRule="auto"/>
        <w:tabs>
          <w:tab w:leader="none" w:pos="1946" w:val="left"/>
        </w:tabs>
        <w:numPr>
          <w:ilvl w:val="0"/>
          <w:numId w:val="20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To make an election pursuant to this Section, the Company shall notify the Administrative Agent of such election (by irrevocable written notice (via an Interest Election Request signed by the Company)) by the time that a Borrowing Request would be required under Section 2.03 if the Company were requesting a Borrowing of the Type resulting from such election to be made on the effective date of such election. Notwithstanding any contrary provision herein, this Section shall not be construed to permit the Company to (i) elect an Interest Period for Term SOFR Loans that does not comply with Section 2.02(d) or (ii) convert any Borrowing to a Borrowing of a Type not available under such Borrowing.</w:t>
      </w:r>
    </w:p>
    <w:p>
      <w:pPr>
        <w:spacing w:after="0" w:line="163" w:lineRule="exact"/>
        <w:rPr>
          <w:rFonts w:ascii="Times New Roman" w:cs="Times New Roman" w:eastAsia="Times New Roman" w:hAnsi="Times New Roman"/>
          <w:sz w:val="20"/>
          <w:szCs w:val="20"/>
          <w:color w:val="010000"/>
        </w:rPr>
      </w:pPr>
    </w:p>
    <w:p>
      <w:pPr>
        <w:ind w:left="1940" w:hanging="636"/>
        <w:spacing w:after="0"/>
        <w:tabs>
          <w:tab w:leader="none" w:pos="1940" w:val="left"/>
        </w:tabs>
        <w:numPr>
          <w:ilvl w:val="0"/>
          <w:numId w:val="20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written Interest Election Request shall specify the following information in compliance with Section 2.02:</w:t>
      </w:r>
    </w:p>
    <w:p>
      <w:pPr>
        <w:spacing w:after="0" w:line="188" w:lineRule="exact"/>
        <w:rPr>
          <w:rFonts w:ascii="Times New Roman" w:cs="Times New Roman" w:eastAsia="Times New Roman" w:hAnsi="Times New Roman"/>
          <w:sz w:val="20"/>
          <w:szCs w:val="20"/>
          <w:color w:val="010000"/>
        </w:rPr>
      </w:pPr>
    </w:p>
    <w:p>
      <w:pPr>
        <w:jc w:val="both"/>
        <w:ind w:left="1300" w:firstLine="652"/>
        <w:spacing w:after="0" w:line="226" w:lineRule="auto"/>
        <w:tabs>
          <w:tab w:leader="none" w:pos="2594" w:val="left"/>
        </w:tabs>
        <w:numPr>
          <w:ilvl w:val="1"/>
          <w:numId w:val="20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Tranche and principal amount of the Borrowing to which such Interest Election Request applies and, if different options are being elected with respect to different portions thereof, the portions thereof to be allocated to each resulting Borrowing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ectPr>
          <w:pgSz w:w="11900" w:h="16838" w:orient="portrait"/>
          <w:cols w:equalWidth="0" w:num="1">
            <w:col w:w="11240"/>
          </w:cols>
          <w:pgMar w:left="320" w:top="1413" w:right="339" w:bottom="1440" w:gutter="0" w:footer="0" w:header="0"/>
        </w:sectPr>
      </w:pPr>
    </w:p>
    <w:bookmarkStart w:id="208" w:name="page209"/>
    <w:bookmarkEnd w:id="208"/>
    <w:p>
      <w:pPr>
        <w:ind w:left="640"/>
        <w:spacing w:after="0"/>
        <w:rPr>
          <w:sz w:val="20"/>
          <w:szCs w:val="20"/>
          <w:color w:val="auto"/>
        </w:rPr>
      </w:pPr>
      <w:r>
        <w:rPr>
          <w:rFonts w:ascii="Times New Roman" w:cs="Times New Roman" w:eastAsia="Times New Roman" w:hAnsi="Times New Roman"/>
          <w:sz w:val="20"/>
          <w:szCs w:val="20"/>
          <w:color w:val="auto"/>
        </w:rPr>
        <w:t>(in which case the information to be specified pursuant to clauses (iii) and (iv) below shall be specified for each resulting Borrowing);</w:t>
      </w:r>
    </w:p>
    <w:p>
      <w:pPr>
        <w:spacing w:after="0" w:line="142" w:lineRule="exact"/>
        <w:rPr>
          <w:sz w:val="20"/>
          <w:szCs w:val="20"/>
          <w:color w:val="auto"/>
        </w:rPr>
      </w:pPr>
    </w:p>
    <w:p>
      <w:pPr>
        <w:ind w:left="1940" w:hanging="648"/>
        <w:spacing w:after="0"/>
        <w:tabs>
          <w:tab w:leader="none" w:pos="1940" w:val="left"/>
        </w:tabs>
        <w:numPr>
          <w:ilvl w:val="0"/>
          <w:numId w:val="21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effective date of the election made pursuant to such Interest Election Request, which shall be a Business</w:t>
      </w:r>
    </w:p>
    <w:p>
      <w:pPr>
        <w:ind w:left="640"/>
        <w:spacing w:after="0"/>
        <w:rPr>
          <w:sz w:val="20"/>
          <w:szCs w:val="20"/>
          <w:color w:val="auto"/>
        </w:rPr>
      </w:pPr>
      <w:r>
        <w:rPr>
          <w:rFonts w:ascii="Times New Roman" w:cs="Times New Roman" w:eastAsia="Times New Roman" w:hAnsi="Times New Roman"/>
          <w:sz w:val="20"/>
          <w:szCs w:val="20"/>
          <w:color w:val="auto"/>
        </w:rPr>
        <w:t>Day;</w:t>
      </w:r>
    </w:p>
    <w:p>
      <w:pPr>
        <w:spacing w:after="0" w:line="167" w:lineRule="exact"/>
        <w:rPr>
          <w:sz w:val="20"/>
          <w:szCs w:val="20"/>
          <w:color w:val="auto"/>
        </w:rPr>
      </w:pPr>
    </w:p>
    <w:p>
      <w:pPr>
        <w:ind w:left="1940" w:hanging="648"/>
        <w:spacing w:after="0"/>
        <w:tabs>
          <w:tab w:leader="none" w:pos="1940" w:val="left"/>
        </w:tabs>
        <w:numPr>
          <w:ilvl w:val="0"/>
          <w:numId w:val="21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whether the resulting Borrowing is to be an ABR Borrowing or a Term SOFR Borrowing; and</w:t>
      </w:r>
    </w:p>
    <w:p>
      <w:pPr>
        <w:spacing w:after="0" w:line="175" w:lineRule="exact"/>
        <w:rPr>
          <w:rFonts w:ascii="Times New Roman" w:cs="Times New Roman" w:eastAsia="Times New Roman" w:hAnsi="Times New Roman"/>
          <w:sz w:val="20"/>
          <w:szCs w:val="20"/>
          <w:color w:val="010000"/>
        </w:rPr>
      </w:pPr>
    </w:p>
    <w:p>
      <w:pPr>
        <w:jc w:val="both"/>
        <w:ind w:left="640" w:firstLine="652"/>
        <w:spacing w:after="0" w:line="230" w:lineRule="auto"/>
        <w:tabs>
          <w:tab w:leader="none" w:pos="1925" w:val="left"/>
        </w:tabs>
        <w:numPr>
          <w:ilvl w:val="0"/>
          <w:numId w:val="21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if the resulting Borrowing is a Term SOFR Borrowing, the Interest Period to be applicable thereto after giving effect to such election, which Interest Period shall be a period contemplated by the definition of the term “Interest Period”.</w:t>
      </w:r>
    </w:p>
    <w:p>
      <w:pPr>
        <w:spacing w:after="0" w:line="162"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If any such Interest Election Request requests a Term SOFR Borrowing but does not specify an Interest Period, then the Company shall be deemed to have selected an Interest Period of one month’s duration.</w:t>
      </w:r>
    </w:p>
    <w:p>
      <w:pPr>
        <w:spacing w:after="0" w:line="1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Notwithstanding the foregoing, in no event shall the Company be permitted to request pursuant to this Section 2.08(c), prior to a Benchmark Transition Event and Benchmark Replacement Date with respect to Term SOFR, a Loan bearing interest based on Daily Simple SOFR (it being understood and agreed Daily Simple SOFR shall only apply to the extent provided in Sections 2.14(a) and 2.14(f), as applicable).</w:t>
      </w:r>
    </w:p>
    <w:p>
      <w:pPr>
        <w:spacing w:after="0" w:line="172" w:lineRule="exact"/>
        <w:rPr>
          <w:sz w:val="20"/>
          <w:szCs w:val="20"/>
          <w:color w:val="auto"/>
        </w:rPr>
      </w:pPr>
    </w:p>
    <w:p>
      <w:pPr>
        <w:ind w:right="20" w:firstLine="644"/>
        <w:spacing w:after="0" w:line="233" w:lineRule="auto"/>
        <w:tabs>
          <w:tab w:leader="none" w:pos="1286" w:val="left"/>
        </w:tabs>
        <w:numPr>
          <w:ilvl w:val="0"/>
          <w:numId w:val="21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Promptly following receipt of an Interest Election Request, the Administrative Agent shall advise each Lender of the details thereof and of such Lender’s portion of each resulting Borrowing.</w:t>
      </w:r>
    </w:p>
    <w:p>
      <w:pPr>
        <w:spacing w:after="0" w:line="160" w:lineRule="exact"/>
        <w:rPr>
          <w:rFonts w:ascii="Times New Roman" w:cs="Times New Roman" w:eastAsia="Times New Roman" w:hAnsi="Times New Roman"/>
          <w:sz w:val="20"/>
          <w:szCs w:val="20"/>
          <w:color w:val="010000"/>
        </w:rPr>
      </w:pPr>
    </w:p>
    <w:p>
      <w:pPr>
        <w:jc w:val="both"/>
        <w:ind w:firstLine="644"/>
        <w:spacing w:after="0" w:line="215" w:lineRule="auto"/>
        <w:tabs>
          <w:tab w:leader="none" w:pos="1284" w:val="left"/>
        </w:tabs>
        <w:numPr>
          <w:ilvl w:val="0"/>
          <w:numId w:val="21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If the Company fails to deliver a timely Interest Election Request with respect to a Term SOFR Borrowing prior to the end of the Interest Period applicable thereto, then, unless such Borrowing is repaid as provided herein, at the end of such Interest Period such Borrowing shall be deemed to have an Interest Period that is one (1) month. Notwithstanding any contrary provision hereof, if an Event of Default has occurred and is continuing and the Administrative Agent, at the request of the Required Lenders, so notifies the Company, then, so long as an Event of Default is continuing (i) no outstanding Borrowing may be converted to or continued as a Term SOFR Borrowing and (ii) unless repaid, each Term SOFR Borrowing shall be converted to an ABR Borrowing at the end of the Interest Period applicable thereto.</w:t>
      </w:r>
    </w:p>
    <w:p>
      <w:pPr>
        <w:spacing w:after="0" w:line="145" w:lineRule="exact"/>
        <w:rPr>
          <w:sz w:val="20"/>
          <w:szCs w:val="20"/>
          <w:color w:val="auto"/>
        </w:rPr>
      </w:pPr>
    </w:p>
    <w:p>
      <w:pPr>
        <w:ind w:left="640"/>
        <w:spacing w:after="0"/>
        <w:tabs>
          <w:tab w:leader="none" w:pos="1920" w:val="left"/>
        </w:tabs>
        <w:rPr>
          <w:sz w:val="20"/>
          <w:szCs w:val="20"/>
          <w:color w:val="auto"/>
        </w:rPr>
      </w:pPr>
      <w:r>
        <w:rPr>
          <w:rFonts w:ascii="Times New Roman" w:cs="Times New Roman" w:eastAsia="Times New Roman" w:hAnsi="Times New Roman"/>
          <w:sz w:val="20"/>
          <w:szCs w:val="20"/>
          <w:color w:val="010000"/>
        </w:rPr>
        <w:t>Section 2.09.</w:t>
      </w:r>
      <w:r>
        <w:rPr>
          <w:sz w:val="20"/>
          <w:szCs w:val="20"/>
          <w:color w:val="auto"/>
        </w:rPr>
        <w:tab/>
      </w:r>
      <w:r>
        <w:rPr>
          <w:rFonts w:ascii="Times New Roman" w:cs="Times New Roman" w:eastAsia="Times New Roman" w:hAnsi="Times New Roman"/>
          <w:sz w:val="19"/>
          <w:szCs w:val="19"/>
          <w:u w:val="single" w:color="auto"/>
          <w:color w:val="auto"/>
        </w:rPr>
        <w:t>Termination and Reduction of Commitments</w:t>
      </w:r>
      <w:r>
        <w:rPr>
          <w:rFonts w:ascii="Times New Roman" w:cs="Times New Roman" w:eastAsia="Times New Roman" w:hAnsi="Times New Roman"/>
          <w:sz w:val="19"/>
          <w:szCs w:val="19"/>
          <w:color w:val="auto"/>
        </w:rPr>
        <w:t>.</w:t>
      </w:r>
    </w:p>
    <w:p>
      <w:pPr>
        <w:ind w:left="1280" w:hanging="636"/>
        <w:spacing w:after="0"/>
        <w:tabs>
          <w:tab w:leader="none" w:pos="1280" w:val="left"/>
        </w:tabs>
        <w:numPr>
          <w:ilvl w:val="0"/>
          <w:numId w:val="21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Unless previously terminated, the Commitments shall terminate in full at the end of the Availability Period.</w:t>
      </w:r>
    </w:p>
    <w:p>
      <w:pPr>
        <w:spacing w:after="0" w:line="166" w:lineRule="exact"/>
        <w:rPr>
          <w:rFonts w:ascii="Times New Roman" w:cs="Times New Roman" w:eastAsia="Times New Roman" w:hAnsi="Times New Roman"/>
          <w:sz w:val="20"/>
          <w:szCs w:val="20"/>
          <w:color w:val="010000"/>
        </w:rPr>
      </w:pPr>
    </w:p>
    <w:p>
      <w:pPr>
        <w:jc w:val="both"/>
        <w:ind w:firstLine="644"/>
        <w:spacing w:after="0" w:line="222" w:lineRule="auto"/>
        <w:tabs>
          <w:tab w:leader="none" w:pos="1284" w:val="left"/>
        </w:tabs>
        <w:numPr>
          <w:ilvl w:val="0"/>
          <w:numId w:val="21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The Company may at any time or from time to time terminate or reduce any Tranche of the Commitments;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each reduction of any Tranche of the Commitments shall be in an amount that is an integral multiple of $5,000,000 and not less than $5,000,000. Unless previously terminated, the Commitments shall (x) be reduced to $0 upon the funding of the Loans on the Closing Date and (y) automatically terminate at the end of the Availability Period.</w:t>
      </w:r>
    </w:p>
    <w:p>
      <w:pPr>
        <w:spacing w:after="0" w:line="175" w:lineRule="exact"/>
        <w:rPr>
          <w:rFonts w:ascii="Times New Roman" w:cs="Times New Roman" w:eastAsia="Times New Roman" w:hAnsi="Times New Roman"/>
          <w:sz w:val="20"/>
          <w:szCs w:val="20"/>
          <w:color w:val="010000"/>
        </w:rPr>
      </w:pPr>
    </w:p>
    <w:p>
      <w:pPr>
        <w:jc w:val="both"/>
        <w:ind w:firstLine="644"/>
        <w:spacing w:after="0" w:line="242" w:lineRule="auto"/>
        <w:tabs>
          <w:tab w:leader="none" w:pos="1286" w:val="left"/>
        </w:tabs>
        <w:numPr>
          <w:ilvl w:val="0"/>
          <w:numId w:val="21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The Company shall notify the Administrative Agent of any election to terminate or reduce the Commitments under paragraph (b) of this Section at least three (3) Business Days prior to the effective date of such termination or reduction, specifying such election and the effective date thereof. Promptly following receipt of any notice, the Administrative Agent shall advise the Lenders of the contents thereof. Each notice delivered by the Company pursuant to this Section shall be irrevocable;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notice of termination of the Commitments delivered by the Company may state that such notice is conditioned upon the effectiveness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color w:val="auto"/>
        </w:rPr>
        <w:t>36</w:t>
      </w:r>
    </w:p>
    <w:p>
      <w:pPr>
        <w:sectPr>
          <w:pgSz w:w="11900" w:h="16838" w:orient="portrait"/>
          <w:cols w:equalWidth="0" w:num="1">
            <w:col w:w="10580"/>
          </w:cols>
          <w:pgMar w:left="980" w:top="1399" w:right="339" w:bottom="1440" w:gutter="0" w:footer="0" w:header="0"/>
        </w:sectPr>
      </w:pPr>
    </w:p>
    <w:bookmarkStart w:id="209" w:name="page210"/>
    <w:bookmarkEnd w:id="209"/>
    <w:p>
      <w:pPr>
        <w:jc w:val="both"/>
        <w:spacing w:after="0" w:line="249" w:lineRule="auto"/>
        <w:rPr>
          <w:sz w:val="20"/>
          <w:szCs w:val="20"/>
          <w:color w:val="auto"/>
        </w:rPr>
      </w:pPr>
      <w:r>
        <w:rPr>
          <w:rFonts w:ascii="Times New Roman" w:cs="Times New Roman" w:eastAsia="Times New Roman" w:hAnsi="Times New Roman"/>
          <w:sz w:val="20"/>
          <w:szCs w:val="20"/>
          <w:color w:val="auto"/>
        </w:rPr>
        <w:t>other credit facilities or other transactions specified therein, in which case such notice may be revoked by the Company (by notice to the Administrative Agent on or prior to the specified effective date) if such condition is not satisfied. Any termination or reduction of the Commitments shall be permanent. With respect to each Tranche, each reduction of the Commitments thereunder shall be made ratably among the Lenders in accordance with their respective Commitments under such Tranche.</w:t>
      </w:r>
    </w:p>
    <w:p>
      <w:pPr>
        <w:spacing w:after="0" w:line="166" w:lineRule="exact"/>
        <w:rPr>
          <w:sz w:val="20"/>
          <w:szCs w:val="20"/>
          <w:color w:val="auto"/>
        </w:rPr>
      </w:pPr>
    </w:p>
    <w:p>
      <w:pPr>
        <w:jc w:val="both"/>
        <w:ind w:firstLine="644"/>
        <w:spacing w:after="0" w:line="255" w:lineRule="auto"/>
        <w:tabs>
          <w:tab w:leader="none" w:pos="1284" w:val="left"/>
        </w:tabs>
        <w:numPr>
          <w:ilvl w:val="0"/>
          <w:numId w:val="21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The Commitments will be automatically reduced in an aggregate amount equal to (I) 100% of the Net Cash Proceeds actually received by the Company or any of its Subsidiaries (including in escrow, provided that there are no conditions to the release of such proceeds from such escrow that are more onerous than the conditions set forth in Section 4.02) from any Debt Incurrence, Equity Issuance or (to the extent in excess of $75,000,000 and to the extent that such proceeds are not reinvested (or committed to be reinvested) in the business of the Company or any of its Subsidiaries within 6 months after receipt of such proceeds) Prepayment Asset Sale and (II) 100% of the committed amount of any Qualifying Facility (such reduction to occur automatically upon the effectiveness of definitive documentation for such Qualifying Facility and receipt by the Administrative Agent of a notice from the Borrower that such credit facility constitutes a Qualifying Facility), in an aggregate amount up to $2,500,000,000. The Company will deliver the Administrative Agent prompt written notice of any commitment reduction required under this Section 2.09(d). Any reduction in Commitments pursuant to this Section 2.09(d) may be allocated among each Tranche as determined by the Company;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 such reduction shall be applied ratably to the Commitments in the applicable Tranche.</w:t>
      </w:r>
    </w:p>
    <w:p>
      <w:pPr>
        <w:spacing w:after="0" w:line="174" w:lineRule="exact"/>
        <w:rPr>
          <w:sz w:val="20"/>
          <w:szCs w:val="20"/>
          <w:color w:val="auto"/>
        </w:rPr>
      </w:pPr>
    </w:p>
    <w:p>
      <w:pPr>
        <w:ind w:left="640"/>
        <w:spacing w:after="0"/>
        <w:tabs>
          <w:tab w:leader="none" w:pos="1920" w:val="left"/>
        </w:tabs>
        <w:rPr>
          <w:sz w:val="20"/>
          <w:szCs w:val="20"/>
          <w:color w:val="auto"/>
        </w:rPr>
      </w:pPr>
      <w:r>
        <w:rPr>
          <w:rFonts w:ascii="Times New Roman" w:cs="Times New Roman" w:eastAsia="Times New Roman" w:hAnsi="Times New Roman"/>
          <w:sz w:val="20"/>
          <w:szCs w:val="20"/>
          <w:color w:val="010000"/>
        </w:rPr>
        <w:t>Section 2.10.</w:t>
      </w:r>
      <w:r>
        <w:rPr>
          <w:sz w:val="20"/>
          <w:szCs w:val="20"/>
          <w:color w:val="auto"/>
        </w:rPr>
        <w:tab/>
      </w:r>
      <w:r>
        <w:rPr>
          <w:rFonts w:ascii="Times New Roman" w:cs="Times New Roman" w:eastAsia="Times New Roman" w:hAnsi="Times New Roman"/>
          <w:sz w:val="19"/>
          <w:szCs w:val="19"/>
          <w:u w:val="single" w:color="auto"/>
          <w:color w:val="auto"/>
        </w:rPr>
        <w:t>Repayment of Loans; Evidence of Debt</w:t>
      </w:r>
      <w:r>
        <w:rPr>
          <w:rFonts w:ascii="Times New Roman" w:cs="Times New Roman" w:eastAsia="Times New Roman" w:hAnsi="Times New Roman"/>
          <w:sz w:val="19"/>
          <w:szCs w:val="19"/>
          <w:color w:val="auto"/>
        </w:rPr>
        <w:t>.</w:t>
      </w:r>
    </w:p>
    <w:p>
      <w:pPr>
        <w:spacing w:after="0" w:line="22" w:lineRule="exact"/>
        <w:rPr>
          <w:sz w:val="20"/>
          <w:szCs w:val="20"/>
          <w:color w:val="auto"/>
        </w:rPr>
      </w:pPr>
    </w:p>
    <w:p>
      <w:pPr>
        <w:ind w:right="20" w:firstLine="644"/>
        <w:spacing w:after="0" w:line="246" w:lineRule="auto"/>
        <w:tabs>
          <w:tab w:leader="none" w:pos="1286" w:val="left"/>
        </w:tabs>
        <w:numPr>
          <w:ilvl w:val="0"/>
          <w:numId w:val="21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Company hereby unconditionally promises to pay to the Administrative Agent for the account of each Lender the then unpaid principal amount of each Loan made to such Company on the Maturity Date in the currency of such Loan.</w:t>
      </w:r>
    </w:p>
    <w:p>
      <w:pPr>
        <w:spacing w:after="0" w:line="168" w:lineRule="exact"/>
        <w:rPr>
          <w:rFonts w:ascii="Times New Roman" w:cs="Times New Roman" w:eastAsia="Times New Roman" w:hAnsi="Times New Roman"/>
          <w:sz w:val="20"/>
          <w:szCs w:val="20"/>
          <w:color w:val="010000"/>
        </w:rPr>
      </w:pPr>
    </w:p>
    <w:p>
      <w:pPr>
        <w:jc w:val="both"/>
        <w:ind w:firstLine="644"/>
        <w:spacing w:after="0" w:line="254" w:lineRule="auto"/>
        <w:tabs>
          <w:tab w:leader="none" w:pos="1284" w:val="left"/>
        </w:tabs>
        <w:numPr>
          <w:ilvl w:val="0"/>
          <w:numId w:val="21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Lender shall maintain in accordance with its usual practice an account or accounts evidencing the indebtedness of the Company to such Lender resulting from each Loan made by such Lender, including the amounts of principal and interest payable and paid to such Lender from time to time hereunder.</w:t>
      </w:r>
    </w:p>
    <w:p>
      <w:pPr>
        <w:spacing w:after="0" w:line="174" w:lineRule="exact"/>
        <w:rPr>
          <w:rFonts w:ascii="Times New Roman" w:cs="Times New Roman" w:eastAsia="Times New Roman" w:hAnsi="Times New Roman"/>
          <w:sz w:val="20"/>
          <w:szCs w:val="20"/>
          <w:color w:val="010000"/>
        </w:rPr>
      </w:pPr>
    </w:p>
    <w:p>
      <w:pPr>
        <w:jc w:val="both"/>
        <w:ind w:firstLine="644"/>
        <w:spacing w:after="0" w:line="249" w:lineRule="auto"/>
        <w:tabs>
          <w:tab w:leader="none" w:pos="1286" w:val="left"/>
        </w:tabs>
        <w:numPr>
          <w:ilvl w:val="0"/>
          <w:numId w:val="21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Administrative Agent shall maintain accounts in which it shall record (i) the amount of each Loan made hereunder, the Tranche and Type thereof and the Interest Period applicable thereto, (ii) the amount of any principal or interest due and payable or to become due and payable from the Company to each Lender hereunder and (iii) the amount of any sum received by the Administrative Agent hereunder for the account of the Lenders and each Lender’s share thereof.</w:t>
      </w:r>
    </w:p>
    <w:p>
      <w:pPr>
        <w:spacing w:after="0" w:line="166" w:lineRule="exact"/>
        <w:rPr>
          <w:rFonts w:ascii="Times New Roman" w:cs="Times New Roman" w:eastAsia="Times New Roman" w:hAnsi="Times New Roman"/>
          <w:sz w:val="20"/>
          <w:szCs w:val="20"/>
          <w:color w:val="010000"/>
        </w:rPr>
      </w:pPr>
    </w:p>
    <w:p>
      <w:pPr>
        <w:jc w:val="both"/>
        <w:ind w:firstLine="644"/>
        <w:spacing w:after="0" w:line="249" w:lineRule="auto"/>
        <w:tabs>
          <w:tab w:leader="none" w:pos="1284" w:val="left"/>
        </w:tabs>
        <w:numPr>
          <w:ilvl w:val="0"/>
          <w:numId w:val="21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The entries made in the accounts maintained pursuant to paragraph (b) or (c) of this Section shall be </w:t>
      </w:r>
      <w:r>
        <w:rPr>
          <w:rFonts w:ascii="Times New Roman" w:cs="Times New Roman" w:eastAsia="Times New Roman" w:hAnsi="Times New Roman"/>
          <w:sz w:val="20"/>
          <w:szCs w:val="20"/>
          <w:u w:val="single" w:color="auto"/>
          <w:color w:val="auto"/>
        </w:rPr>
        <w:t>prima facie</w:t>
      </w:r>
      <w:r>
        <w:rPr>
          <w:rFonts w:ascii="Times New Roman" w:cs="Times New Roman" w:eastAsia="Times New Roman" w:hAnsi="Times New Roman"/>
          <w:sz w:val="20"/>
          <w:szCs w:val="20"/>
          <w:color w:val="auto"/>
        </w:rPr>
        <w:t xml:space="preserve"> evidence of the existence and amounts of the obligations recorded therein;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failure of any Lender or the Administrative Agent to maintain such accounts or any error therein shall not in any manner affect the obligation of the Company to repay the Loans in accordance with the terms of this Agreement.</w:t>
      </w:r>
    </w:p>
    <w:p>
      <w:pPr>
        <w:spacing w:after="0" w:line="179" w:lineRule="exact"/>
        <w:rPr>
          <w:rFonts w:ascii="Times New Roman" w:cs="Times New Roman" w:eastAsia="Times New Roman" w:hAnsi="Times New Roman"/>
          <w:sz w:val="20"/>
          <w:szCs w:val="20"/>
          <w:color w:val="010000"/>
        </w:rPr>
      </w:pPr>
    </w:p>
    <w:p>
      <w:pPr>
        <w:jc w:val="both"/>
        <w:ind w:firstLine="644"/>
        <w:spacing w:after="0" w:line="254" w:lineRule="auto"/>
        <w:tabs>
          <w:tab w:leader="none" w:pos="1286" w:val="left"/>
        </w:tabs>
        <w:numPr>
          <w:ilvl w:val="0"/>
          <w:numId w:val="21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Any Lender may request that Loans made by it to the Company be evidenced by a promissory note. In such event, the Company shall prepare, execute and deliver to such Lender a promissory note payable to such Lender (or, if requested by such Lender, to such Lender and its registered assigns) and in the form attached hereto as </w:t>
      </w:r>
      <w:r>
        <w:rPr>
          <w:rFonts w:ascii="Times New Roman" w:cs="Times New Roman" w:eastAsia="Times New Roman" w:hAnsi="Times New Roman"/>
          <w:sz w:val="20"/>
          <w:szCs w:val="20"/>
          <w:u w:val="single" w:color="auto"/>
          <w:color w:val="auto"/>
        </w:rPr>
        <w:t>Exhibit H</w:t>
      </w:r>
      <w:r>
        <w:rPr>
          <w:rFonts w:ascii="Times New Roman" w:cs="Times New Roman" w:eastAsia="Times New Roman" w:hAnsi="Times New Roman"/>
          <w:sz w:val="20"/>
          <w:szCs w:val="20"/>
          <w:color w:val="auto"/>
        </w:rPr>
        <w:t>. Thereafter, the Loans evidenced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color w:val="auto"/>
        </w:rPr>
        <w:t>37</w:t>
      </w:r>
    </w:p>
    <w:p>
      <w:pPr>
        <w:sectPr>
          <w:pgSz w:w="11900" w:h="16838" w:orient="portrait"/>
          <w:cols w:equalWidth="0" w:num="1">
            <w:col w:w="10580"/>
          </w:cols>
          <w:pgMar w:left="980" w:top="1413" w:right="339" w:bottom="1440" w:gutter="0" w:footer="0" w:header="0"/>
        </w:sectPr>
      </w:pPr>
    </w:p>
    <w:bookmarkStart w:id="210" w:name="page211"/>
    <w:bookmarkEnd w:id="210"/>
    <w:p>
      <w:pPr>
        <w:spacing w:after="0" w:line="269" w:lineRule="auto"/>
        <w:rPr>
          <w:sz w:val="20"/>
          <w:szCs w:val="20"/>
          <w:color w:val="auto"/>
        </w:rPr>
      </w:pPr>
      <w:r>
        <w:rPr>
          <w:rFonts w:ascii="Times New Roman" w:cs="Times New Roman" w:eastAsia="Times New Roman" w:hAnsi="Times New Roman"/>
          <w:sz w:val="20"/>
          <w:szCs w:val="20"/>
          <w:color w:val="auto"/>
        </w:rPr>
        <w:t xml:space="preserve">by such promissory note and interest thereon shall at all times (including after assignment pursuant to </w:t>
      </w:r>
      <w:r>
        <w:rPr>
          <w:rFonts w:ascii="Times New Roman" w:cs="Times New Roman" w:eastAsia="Times New Roman" w:hAnsi="Times New Roman"/>
          <w:sz w:val="20"/>
          <w:szCs w:val="20"/>
          <w:u w:val="single" w:color="auto"/>
          <w:color w:val="auto"/>
        </w:rPr>
        <w:t>Section 9.04</w:t>
      </w:r>
      <w:r>
        <w:rPr>
          <w:rFonts w:ascii="Times New Roman" w:cs="Times New Roman" w:eastAsia="Times New Roman" w:hAnsi="Times New Roman"/>
          <w:sz w:val="20"/>
          <w:szCs w:val="20"/>
          <w:color w:val="auto"/>
        </w:rPr>
        <w:t>) be represented by one or more promissory notes in such form.</w:t>
      </w:r>
    </w:p>
    <w:p>
      <w:pPr>
        <w:spacing w:after="0" w:line="159" w:lineRule="exact"/>
        <w:rPr>
          <w:sz w:val="20"/>
          <w:szCs w:val="20"/>
          <w:color w:val="auto"/>
        </w:rPr>
      </w:pPr>
    </w:p>
    <w:p>
      <w:pPr>
        <w:ind w:left="640"/>
        <w:spacing w:after="0"/>
        <w:tabs>
          <w:tab w:leader="none" w:pos="1920" w:val="left"/>
        </w:tabs>
        <w:rPr>
          <w:sz w:val="20"/>
          <w:szCs w:val="20"/>
          <w:color w:val="auto"/>
        </w:rPr>
      </w:pPr>
      <w:r>
        <w:rPr>
          <w:rFonts w:ascii="Times New Roman" w:cs="Times New Roman" w:eastAsia="Times New Roman" w:hAnsi="Times New Roman"/>
          <w:sz w:val="20"/>
          <w:szCs w:val="20"/>
          <w:color w:val="010000"/>
        </w:rPr>
        <w:t>Section 2.11.</w:t>
      </w:r>
      <w:r>
        <w:rPr>
          <w:sz w:val="20"/>
          <w:szCs w:val="20"/>
          <w:color w:val="auto"/>
        </w:rPr>
        <w:tab/>
      </w:r>
      <w:r>
        <w:rPr>
          <w:rFonts w:ascii="Times New Roman" w:cs="Times New Roman" w:eastAsia="Times New Roman" w:hAnsi="Times New Roman"/>
          <w:sz w:val="19"/>
          <w:szCs w:val="19"/>
          <w:u w:val="single" w:color="auto"/>
          <w:color w:val="auto"/>
        </w:rPr>
        <w:t>Prepayment of Loans</w:t>
      </w:r>
      <w:r>
        <w:rPr>
          <w:rFonts w:ascii="Times New Roman" w:cs="Times New Roman" w:eastAsia="Times New Roman" w:hAnsi="Times New Roman"/>
          <w:sz w:val="19"/>
          <w:szCs w:val="19"/>
          <w:color w:val="auto"/>
        </w:rPr>
        <w:t>.</w:t>
      </w:r>
    </w:p>
    <w:p>
      <w:pPr>
        <w:spacing w:after="0" w:line="22" w:lineRule="exact"/>
        <w:rPr>
          <w:sz w:val="20"/>
          <w:szCs w:val="20"/>
          <w:color w:val="auto"/>
        </w:rPr>
      </w:pPr>
    </w:p>
    <w:p>
      <w:pPr>
        <w:jc w:val="both"/>
        <w:ind w:firstLine="644"/>
        <w:spacing w:after="0" w:line="251" w:lineRule="auto"/>
        <w:tabs>
          <w:tab w:leader="none" w:pos="1286" w:val="left"/>
        </w:tabs>
        <w:numPr>
          <w:ilvl w:val="0"/>
          <w:numId w:val="21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Optional Prepayments</w:t>
      </w:r>
      <w:r>
        <w:rPr>
          <w:rFonts w:ascii="Times New Roman" w:cs="Times New Roman" w:eastAsia="Times New Roman" w:hAnsi="Times New Roman"/>
          <w:sz w:val="19"/>
          <w:szCs w:val="19"/>
          <w:color w:val="auto"/>
        </w:rPr>
        <w:t xml:space="preserve">. The Company shall have the right at any time and from time to time to prepay any Borrowing in whole or in part, subject to prior notice in accordance with the provisions of this Section 2.11(a). The Company shall notify the Administrative Agent by written notice of any prepayment hereunder (i) in the case of prepayment of a Term SOFR Borrowing, not later than 11:00 a.m., New York City time, three (3) Business Days before the date of prepayment or (ii) in the case of prepayment of an ABR Borrowing, not later than 11:00 a.m., New York City time, on the date of prepayment. Each such notice shall be irrevocable and shall specify the prepayment date and the principal amount of each Borrowing or portion thereof to be prepaid;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a notice of prepayment is given in connection with a conditional notice of termination of the Commitments as contemplated by Section 2.09, then such notice of prepayment may be revoked if such notice of termination is revoked in accordance with Section 2.09. Promptly following receipt of any such notice relating to a Borrowing, the Administrative Agent shall advise the Lenders of the contents thereof. Each partial prepayment of any Borrowing shall be in an amount that would be permitted in the case of an advance of a Borrowing of the same Type as provided in Section 2.02. Each prepayment of a Borrowing shall be applied ratably to the Loans in the applicable Tranche included in the prepaid Borrowing. Prepayments shall be accompanied by (i) accrued interest to the extent required by Section 2.13 and (ii) break funding payments required by Section 2.16.</w:t>
      </w:r>
    </w:p>
    <w:p>
      <w:pPr>
        <w:spacing w:after="0" w:line="180" w:lineRule="exact"/>
        <w:rPr>
          <w:rFonts w:ascii="Times New Roman" w:cs="Times New Roman" w:eastAsia="Times New Roman" w:hAnsi="Times New Roman"/>
          <w:sz w:val="19"/>
          <w:szCs w:val="19"/>
          <w:color w:val="010000"/>
        </w:rPr>
      </w:pPr>
    </w:p>
    <w:p>
      <w:pPr>
        <w:jc w:val="both"/>
        <w:ind w:firstLine="644"/>
        <w:spacing w:after="0" w:line="250" w:lineRule="auto"/>
        <w:tabs>
          <w:tab w:leader="none" w:pos="1284" w:val="left"/>
        </w:tabs>
        <w:numPr>
          <w:ilvl w:val="0"/>
          <w:numId w:val="21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Mandatory Prepayments.</w:t>
      </w:r>
      <w:r>
        <w:rPr>
          <w:rFonts w:ascii="Times New Roman" w:cs="Times New Roman" w:eastAsia="Times New Roman" w:hAnsi="Times New Roman"/>
          <w:sz w:val="20"/>
          <w:szCs w:val="20"/>
          <w:color w:val="auto"/>
        </w:rPr>
        <w:t xml:space="preserve"> Loans will be required to be prepaid within five (5) Business Days following the receipt of the applicable proceeds, in an aggregate amount equal to 100% of the Net Cash Proceeds actually received by the Company or any of its Subsidiaries (including in escrow, provided that there are no conditions to the release of such proceeds from such escrow that are more onerous than the conditions set forth in Section 4.02) from any Debt Incurrence, Equity Issuance or (to the extent in excess of $75,000,000 and to the extent that such proceeds are not reinvested (or committed to be reinvested) in the business of the Company or any of its Subsidiaries within 6 months after receipt of such proceeds) Prepayment Asset Sale in an aggregate amount up to $2,500,000,000. The Company will deliver to the Administrative Agent, within three (3) Business Days following the receipt of the applicable proceeds, written notice of any mandatory prepayment required under this Section 2.11(b). Any prepayment of Loans pursuant to this Section 2.11(b)(i) may be allocated among each Tranche as determined by the Company;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prepayment shall be applied ratably to the Loans in the applicable Tranche. Prepayments shall be accompanied by (i) accrued interest to the extent required by Section 2.13 and (ii) break funding payments required by Section 2.16.</w:t>
      </w:r>
    </w:p>
    <w:p>
      <w:pPr>
        <w:spacing w:after="0" w:line="186" w:lineRule="exact"/>
        <w:rPr>
          <w:sz w:val="20"/>
          <w:szCs w:val="20"/>
          <w:color w:val="auto"/>
        </w:rPr>
      </w:pPr>
    </w:p>
    <w:p>
      <w:pPr>
        <w:ind w:left="640"/>
        <w:spacing w:after="0"/>
        <w:tabs>
          <w:tab w:leader="none" w:pos="1920" w:val="left"/>
        </w:tabs>
        <w:rPr>
          <w:sz w:val="20"/>
          <w:szCs w:val="20"/>
          <w:color w:val="auto"/>
        </w:rPr>
      </w:pPr>
      <w:r>
        <w:rPr>
          <w:rFonts w:ascii="Times New Roman" w:cs="Times New Roman" w:eastAsia="Times New Roman" w:hAnsi="Times New Roman"/>
          <w:sz w:val="20"/>
          <w:szCs w:val="20"/>
          <w:color w:val="010000"/>
        </w:rPr>
        <w:t>Section 2.12.</w:t>
      </w:r>
      <w:r>
        <w:rPr>
          <w:sz w:val="20"/>
          <w:szCs w:val="20"/>
          <w:color w:val="auto"/>
        </w:rPr>
        <w:tab/>
      </w:r>
      <w:r>
        <w:rPr>
          <w:rFonts w:ascii="Times New Roman" w:cs="Times New Roman" w:eastAsia="Times New Roman" w:hAnsi="Times New Roman"/>
          <w:sz w:val="20"/>
          <w:szCs w:val="20"/>
          <w:u w:val="single" w:color="auto"/>
          <w:color w:val="auto"/>
        </w:rPr>
        <w:t>Fees</w:t>
      </w:r>
      <w:r>
        <w:rPr>
          <w:rFonts w:ascii="Times New Roman" w:cs="Times New Roman" w:eastAsia="Times New Roman" w:hAnsi="Times New Roman"/>
          <w:sz w:val="20"/>
          <w:szCs w:val="20"/>
          <w:color w:val="auto"/>
        </w:rPr>
        <w:t>.</w:t>
      </w:r>
    </w:p>
    <w:p>
      <w:pPr>
        <w:spacing w:after="0" w:line="28" w:lineRule="exact"/>
        <w:rPr>
          <w:sz w:val="20"/>
          <w:szCs w:val="20"/>
          <w:color w:val="auto"/>
        </w:rPr>
      </w:pPr>
    </w:p>
    <w:p>
      <w:pPr>
        <w:jc w:val="both"/>
        <w:ind w:firstLine="953"/>
        <w:spacing w:after="0" w:line="250" w:lineRule="auto"/>
        <w:rPr>
          <w:sz w:val="20"/>
          <w:szCs w:val="20"/>
          <w:color w:val="auto"/>
        </w:rPr>
      </w:pPr>
      <w:r>
        <w:rPr>
          <w:rFonts w:ascii="Times New Roman" w:cs="Times New Roman" w:eastAsia="Times New Roman" w:hAnsi="Times New Roman"/>
          <w:sz w:val="20"/>
          <w:szCs w:val="20"/>
          <w:color w:val="auto"/>
        </w:rPr>
        <w:t>The Company shall pay to the Administrative Agent, for the ratable account of each Lender, a commitment fee (the “</w:t>
      </w:r>
      <w:r>
        <w:rPr>
          <w:rFonts w:ascii="Times New Roman" w:cs="Times New Roman" w:eastAsia="Times New Roman" w:hAnsi="Times New Roman"/>
          <w:sz w:val="20"/>
          <w:szCs w:val="20"/>
          <w:u w:val="single" w:color="auto"/>
          <w:color w:val="auto"/>
        </w:rPr>
        <w:t>Commitment Fee</w:t>
      </w:r>
      <w:r>
        <w:rPr>
          <w:rFonts w:ascii="Times New Roman" w:cs="Times New Roman" w:eastAsia="Times New Roman" w:hAnsi="Times New Roman"/>
          <w:sz w:val="20"/>
          <w:szCs w:val="20"/>
          <w:color w:val="auto"/>
        </w:rPr>
        <w:t>”) in Dollars calculated at a rate per annum equal to the applicable Commitment Fee Rate multiplied by the daily undrawn Commitment of such Lender during the period from and including the date that is 120 days after the Effective Date to but excluding the Closing Date (or, if earlier, the date on which the Commitments are terminated in full), which fee shall be earned, due and payable on such date. All Commitment Fees shall be computed on the basis of a year of 360 days and shall be payable for the actual number of days elapsed.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color w:val="auto"/>
        </w:rPr>
        <w:t>38</w:t>
      </w:r>
    </w:p>
    <w:p>
      <w:pPr>
        <w:sectPr>
          <w:pgSz w:w="11900" w:h="16838" w:orient="portrait"/>
          <w:cols w:equalWidth="0" w:num="1">
            <w:col w:w="10580"/>
          </w:cols>
          <w:pgMar w:left="980" w:top="1413" w:right="339" w:bottom="1440" w:gutter="0" w:footer="0" w:header="0"/>
        </w:sectPr>
      </w:pPr>
    </w:p>
    <w:bookmarkStart w:id="211" w:name="page212"/>
    <w:bookmarkEnd w:id="211"/>
    <w:p>
      <w:pPr>
        <w:jc w:val="both"/>
        <w:ind w:left="660" w:firstLine="644"/>
        <w:spacing w:after="0" w:line="253" w:lineRule="auto"/>
        <w:tabs>
          <w:tab w:leader="none" w:pos="1946" w:val="left"/>
        </w:tabs>
        <w:numPr>
          <w:ilvl w:val="0"/>
          <w:numId w:val="21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Company shall pay to the Administrative Agent, for the ratable account of each Lender, a duration fee (the “</w:t>
      </w:r>
      <w:r>
        <w:rPr>
          <w:rFonts w:ascii="Times New Roman" w:cs="Times New Roman" w:eastAsia="Times New Roman" w:hAnsi="Times New Roman"/>
          <w:sz w:val="20"/>
          <w:szCs w:val="20"/>
          <w:u w:val="single" w:color="auto"/>
          <w:color w:val="auto"/>
        </w:rPr>
        <w:t>Duration Fee</w:t>
      </w:r>
      <w:r>
        <w:rPr>
          <w:rFonts w:ascii="Times New Roman" w:cs="Times New Roman" w:eastAsia="Times New Roman" w:hAnsi="Times New Roman"/>
          <w:sz w:val="20"/>
          <w:szCs w:val="20"/>
          <w:color w:val="auto"/>
        </w:rPr>
        <w:t>”) in Dollars in an amount equal to 0.10% of the aggregate principal amount of any Commitment or Loan in excess of $1,500,000,000 outstanding at 5:00 p.m., New York City time, on the date that is 180 days after May 5, 2026, which Duration Fee shall be fully earned, due and payable on such date (or, if such date is not a Business Day, such Duration Fee shall be payable on the immediately succeeding Business Day following such date).</w:t>
      </w:r>
    </w:p>
    <w:p>
      <w:pPr>
        <w:spacing w:after="0" w:line="191" w:lineRule="exact"/>
        <w:rPr>
          <w:rFonts w:ascii="Times New Roman" w:cs="Times New Roman" w:eastAsia="Times New Roman" w:hAnsi="Times New Roman"/>
          <w:sz w:val="20"/>
          <w:szCs w:val="20"/>
          <w:color w:val="010000"/>
        </w:rPr>
      </w:pPr>
    </w:p>
    <w:p>
      <w:pPr>
        <w:ind w:left="660" w:right="20" w:firstLine="644"/>
        <w:spacing w:after="0" w:line="283" w:lineRule="auto"/>
        <w:tabs>
          <w:tab w:leader="none" w:pos="1944" w:val="left"/>
        </w:tabs>
        <w:numPr>
          <w:ilvl w:val="0"/>
          <w:numId w:val="21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Company agrees to pay to the Administrative Agent, for its own account, fees payable in the amounts and at the times as specified in the Fee Letter.</w:t>
      </w:r>
    </w:p>
    <w:p>
      <w:pPr>
        <w:spacing w:after="0" w:line="146" w:lineRule="exact"/>
        <w:rPr>
          <w:rFonts w:ascii="Times New Roman" w:cs="Times New Roman" w:eastAsia="Times New Roman" w:hAnsi="Times New Roman"/>
          <w:sz w:val="20"/>
          <w:szCs w:val="20"/>
          <w:color w:val="010000"/>
        </w:rPr>
      </w:pPr>
    </w:p>
    <w:p>
      <w:pPr>
        <w:jc w:val="both"/>
        <w:ind w:left="660" w:firstLine="644"/>
        <w:spacing w:after="0" w:line="261" w:lineRule="auto"/>
        <w:tabs>
          <w:tab w:leader="none" w:pos="1946" w:val="left"/>
        </w:tabs>
        <w:numPr>
          <w:ilvl w:val="0"/>
          <w:numId w:val="21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All fees payable hereunder shall be paid on the dates due, in Dollars (except as otherwise expressly provided in this </w:t>
      </w:r>
      <w:r>
        <w:rPr>
          <w:rFonts w:ascii="Times New Roman" w:cs="Times New Roman" w:eastAsia="Times New Roman" w:hAnsi="Times New Roman"/>
          <w:sz w:val="20"/>
          <w:szCs w:val="20"/>
          <w:u w:val="single" w:color="auto"/>
          <w:color w:val="auto"/>
        </w:rPr>
        <w:t>Section 2.12</w:t>
      </w:r>
      <w:r>
        <w:rPr>
          <w:rFonts w:ascii="Times New Roman" w:cs="Times New Roman" w:eastAsia="Times New Roman" w:hAnsi="Times New Roman"/>
          <w:sz w:val="20"/>
          <w:szCs w:val="20"/>
          <w:color w:val="auto"/>
        </w:rPr>
        <w:t>) and immediately available funds, to the Administrative Agent for distribution to the Lenders. Fees paid shall not be refundable under any circumstances.</w:t>
      </w:r>
    </w:p>
    <w:p>
      <w:pPr>
        <w:spacing w:after="0" w:line="181" w:lineRule="exact"/>
        <w:rPr>
          <w:sz w:val="20"/>
          <w:szCs w:val="20"/>
          <w:color w:val="auto"/>
        </w:rPr>
      </w:pPr>
    </w:p>
    <w:p>
      <w:pPr>
        <w:ind w:firstLine="1296"/>
        <w:spacing w:after="0" w:line="258" w:lineRule="auto"/>
        <w:rPr>
          <w:sz w:val="20"/>
          <w:szCs w:val="20"/>
          <w:color w:val="auto"/>
        </w:rPr>
      </w:pPr>
      <w:r>
        <w:rPr>
          <w:rFonts w:ascii="Times New Roman" w:cs="Times New Roman" w:eastAsia="Times New Roman" w:hAnsi="Times New Roman"/>
          <w:sz w:val="20"/>
          <w:szCs w:val="20"/>
          <w:color w:val="010000"/>
        </w:rPr>
        <w:t xml:space="preserve">Section 2.13. </w:t>
      </w:r>
      <w:r>
        <w:rPr>
          <w:rFonts w:ascii="Times New Roman" w:cs="Times New Roman" w:eastAsia="Times New Roman" w:hAnsi="Times New Roman"/>
          <w:sz w:val="20"/>
          <w:szCs w:val="20"/>
          <w:u w:val="single" w:color="auto"/>
          <w:color w:val="000000"/>
        </w:rPr>
        <w:t>Interest</w:t>
      </w:r>
      <w:r>
        <w:rPr>
          <w:rFonts w:ascii="Times New Roman" w:cs="Times New Roman" w:eastAsia="Times New Roman" w:hAnsi="Times New Roman"/>
          <w:sz w:val="20"/>
          <w:szCs w:val="20"/>
          <w:color w:val="000000"/>
        </w:rPr>
        <w:t>. The Loans comprising each ABR Borrowing shall bear interest at the Alternate Base Rate</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u w:val="single" w:color="auto"/>
          <w:color w:val="000000"/>
        </w:rPr>
        <w:t>plus</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the</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Applicable Rate.</w:t>
      </w:r>
    </w:p>
    <w:p>
      <w:pPr>
        <w:ind w:left="660" w:firstLine="644"/>
        <w:spacing w:after="0" w:line="260" w:lineRule="auto"/>
        <w:tabs>
          <w:tab w:leader="none" w:pos="1946" w:val="left"/>
        </w:tabs>
        <w:numPr>
          <w:ilvl w:val="0"/>
          <w:numId w:val="21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The Loans comprising each Term SOFR Borrowing shall bear interest at the Adjusted Term SOFR Rate for the Interest Period in effect for such Borrowing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Applicable Rate.</w:t>
      </w:r>
    </w:p>
    <w:p>
      <w:pPr>
        <w:spacing w:after="0" w:line="168" w:lineRule="exact"/>
        <w:rPr>
          <w:rFonts w:ascii="Times New Roman" w:cs="Times New Roman" w:eastAsia="Times New Roman" w:hAnsi="Times New Roman"/>
          <w:sz w:val="20"/>
          <w:szCs w:val="20"/>
          <w:color w:val="010000"/>
        </w:rPr>
      </w:pPr>
    </w:p>
    <w:p>
      <w:pPr>
        <w:jc w:val="both"/>
        <w:ind w:left="660" w:firstLine="644"/>
        <w:spacing w:after="0" w:line="257" w:lineRule="auto"/>
        <w:tabs>
          <w:tab w:leader="none" w:pos="1944" w:val="left"/>
        </w:tabs>
        <w:numPr>
          <w:ilvl w:val="0"/>
          <w:numId w:val="21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Notwithstanding the foregoing, if any principal of or interest on any Loan or any fee or other amount payable by the Company hereunder is not paid when due, whether at stated maturity, upon acceleration or otherwise, such overdue amount shall bear interest, after as well as before judgment, at a rate per annum equal to (i) in the case of overdue principal of any Loan, 2% plus the rate otherwise applicable to such Loan as provided in the preceding paragraphs of this Section or (ii) in the case of any other amount, 2% plus the rate applicable to ABR Loans as provided in paragraph (a) of this Section.</w:t>
      </w:r>
    </w:p>
    <w:p>
      <w:pPr>
        <w:spacing w:after="0" w:line="172" w:lineRule="exact"/>
        <w:rPr>
          <w:rFonts w:ascii="Times New Roman" w:cs="Times New Roman" w:eastAsia="Times New Roman" w:hAnsi="Times New Roman"/>
          <w:sz w:val="20"/>
          <w:szCs w:val="20"/>
          <w:color w:val="010000"/>
        </w:rPr>
      </w:pPr>
    </w:p>
    <w:p>
      <w:pPr>
        <w:jc w:val="both"/>
        <w:ind w:left="660" w:firstLine="644"/>
        <w:spacing w:after="0" w:line="257" w:lineRule="auto"/>
        <w:tabs>
          <w:tab w:leader="none" w:pos="1946" w:val="left"/>
        </w:tabs>
        <w:numPr>
          <w:ilvl w:val="0"/>
          <w:numId w:val="21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Accrued interest on each Loan shall be payable in arrears on each Interest Payment Date for such Loan;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interest accrued pursuant to paragraph (c) of this Section shall be payable on demand, (ii) in the event of any repayment or prepayment of any Loan, accrued interest on the principal amount repaid or prepaid shall be payable on the date of such repayment or prepayment and (iii) in the event of any conversion of any Term SOFR Loan prior to the end of the current Interest Period therefor, accrued interest on such Loan shall be payable on the effective date of such conversion.</w:t>
      </w:r>
    </w:p>
    <w:p>
      <w:pPr>
        <w:spacing w:after="0" w:line="172" w:lineRule="exact"/>
        <w:rPr>
          <w:rFonts w:ascii="Times New Roman" w:cs="Times New Roman" w:eastAsia="Times New Roman" w:hAnsi="Times New Roman"/>
          <w:sz w:val="20"/>
          <w:szCs w:val="20"/>
          <w:color w:val="010000"/>
        </w:rPr>
      </w:pPr>
    </w:p>
    <w:p>
      <w:pPr>
        <w:jc w:val="both"/>
        <w:ind w:left="660" w:firstLine="644"/>
        <w:spacing w:after="0" w:line="269" w:lineRule="auto"/>
        <w:tabs>
          <w:tab w:leader="none" w:pos="1944" w:val="left"/>
        </w:tabs>
        <w:numPr>
          <w:ilvl w:val="0"/>
          <w:numId w:val="21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All interest hereunder shall be computed on the basis of a year of 360 days, except that interest computed by reference to the Alternate Base Rate at times when the Alternate Base Rate is based on the Prime Rate shall be computed on the basis of a year of 365 days (or 366 days in a leap year). In each case interest shall be payable for the actual number of days elapsed (including the first day but excluding the last day). All interest hereunder on any Loan shall be computed on a daily basis based upon the outstanding principal amount of such Loan as of the applicable date of determination. A determination of the Alternate Base Rate and Term SOFR shall be determined by the Administrative Agent, and such determination shall be conclusive absent manifest error.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ectPr>
          <w:pgSz w:w="11900" w:h="16838" w:orient="portrait"/>
          <w:cols w:equalWidth="0" w:num="1">
            <w:col w:w="11240"/>
          </w:cols>
          <w:pgMar w:left="320" w:top="1413" w:right="339" w:bottom="1440" w:gutter="0" w:footer="0" w:header="0"/>
        </w:sectPr>
      </w:pPr>
    </w:p>
    <w:bookmarkStart w:id="212" w:name="page213"/>
    <w:bookmarkEnd w:id="212"/>
    <w:p>
      <w:pPr>
        <w:ind w:left="1300"/>
        <w:spacing w:after="0"/>
        <w:tabs>
          <w:tab w:leader="none" w:pos="2620" w:val="left"/>
        </w:tabs>
        <w:rPr>
          <w:sz w:val="20"/>
          <w:szCs w:val="20"/>
          <w:color w:val="auto"/>
        </w:rPr>
      </w:pPr>
      <w:r>
        <w:rPr>
          <w:rFonts w:ascii="Times New Roman" w:cs="Times New Roman" w:eastAsia="Times New Roman" w:hAnsi="Times New Roman"/>
          <w:sz w:val="20"/>
          <w:szCs w:val="20"/>
          <w:color w:val="010000"/>
        </w:rPr>
        <w:t>Section 2.14.</w:t>
      </w:r>
      <w:r>
        <w:rPr>
          <w:sz w:val="20"/>
          <w:szCs w:val="20"/>
          <w:color w:val="auto"/>
        </w:rPr>
        <w:tab/>
      </w:r>
      <w:r>
        <w:rPr>
          <w:rFonts w:ascii="Times New Roman" w:cs="Times New Roman" w:eastAsia="Times New Roman" w:hAnsi="Times New Roman"/>
          <w:sz w:val="19"/>
          <w:szCs w:val="19"/>
          <w:u w:val="single" w:color="auto"/>
          <w:color w:val="auto"/>
        </w:rPr>
        <w:t>Alternate Rate of Interest</w:t>
      </w:r>
      <w:r>
        <w:rPr>
          <w:rFonts w:ascii="Times New Roman" w:cs="Times New Roman" w:eastAsia="Times New Roman" w:hAnsi="Times New Roman"/>
          <w:sz w:val="19"/>
          <w:szCs w:val="19"/>
          <w:color w:val="auto"/>
        </w:rPr>
        <w:t>.</w:t>
      </w:r>
    </w:p>
    <w:p>
      <w:pPr>
        <w:spacing w:after="0" w:line="28" w:lineRule="exact"/>
        <w:rPr>
          <w:sz w:val="20"/>
          <w:szCs w:val="20"/>
          <w:color w:val="auto"/>
        </w:rPr>
      </w:pPr>
    </w:p>
    <w:p>
      <w:pPr>
        <w:ind w:left="1940" w:hanging="636"/>
        <w:spacing w:after="0"/>
        <w:tabs>
          <w:tab w:leader="none" w:pos="1940" w:val="left"/>
        </w:tabs>
        <w:numPr>
          <w:ilvl w:val="0"/>
          <w:numId w:val="21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Subject to clauses (b), (c), (d), (e) and (f) of this Section 2.14, if:</w:t>
      </w:r>
    </w:p>
    <w:p>
      <w:pPr>
        <w:spacing w:after="0" w:line="200" w:lineRule="exact"/>
        <w:rPr>
          <w:rFonts w:ascii="Times New Roman" w:cs="Times New Roman" w:eastAsia="Times New Roman" w:hAnsi="Times New Roman"/>
          <w:sz w:val="20"/>
          <w:szCs w:val="20"/>
          <w:color w:val="010000"/>
        </w:rPr>
      </w:pPr>
    </w:p>
    <w:p>
      <w:pPr>
        <w:jc w:val="both"/>
        <w:ind w:left="1300" w:firstLine="652"/>
        <w:spacing w:after="0" w:line="257" w:lineRule="auto"/>
        <w:tabs>
          <w:tab w:leader="none" w:pos="2594" w:val="left"/>
        </w:tabs>
        <w:numPr>
          <w:ilvl w:val="1"/>
          <w:numId w:val="21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Administrative Agent reasonably determines (which determination shall be conclusive and binding absent manifest error) (A) prior to the commencement of any Interest Period for a Term SOFR Borrowing, that adequate and reasonable means do not exist for ascertaining Term SOFR (including because the Relevant Screen Rate is not available or published on a current basis) for such Interest Period or (B) at any time, that adequate and reasonable means do not exist for ascertaining the applicable Daily Simple SOFR; or</w:t>
      </w:r>
    </w:p>
    <w:p>
      <w:pPr>
        <w:spacing w:after="0" w:line="172" w:lineRule="exact"/>
        <w:rPr>
          <w:rFonts w:ascii="Times New Roman" w:cs="Times New Roman" w:eastAsia="Times New Roman" w:hAnsi="Times New Roman"/>
          <w:sz w:val="20"/>
          <w:szCs w:val="20"/>
          <w:color w:val="010000"/>
        </w:rPr>
      </w:pPr>
    </w:p>
    <w:p>
      <w:pPr>
        <w:jc w:val="both"/>
        <w:ind w:left="1300" w:firstLine="652"/>
        <w:spacing w:after="0" w:line="257" w:lineRule="auto"/>
        <w:tabs>
          <w:tab w:leader="none" w:pos="2595" w:val="left"/>
        </w:tabs>
        <w:numPr>
          <w:ilvl w:val="1"/>
          <w:numId w:val="21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Administrative Agent is advised by the Required Lenders that (A) prior to the commencement of any Interest Period for a Term SOFR Borrowing, Term SOFR, for such Interest Period will not adequately and fairly reflect the cost to such Lenders of making or maintaining their Loans included in such Borrowing for such Interest Period or (B) at any time, Daily Simple SOFR will not adequately and fairly reflect the cost to such Lenders of making or maintaining their Loans included in such Borrowing;</w:t>
      </w:r>
    </w:p>
    <w:p>
      <w:pPr>
        <w:spacing w:after="0" w:line="17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then the Administrative Agent shall give notice thereof to the Company and the Lenders by telephone, telecopy or electronic mail as promptly as practicable thereafter and, until (i) the Administrative Agent notifies the Company and the Lenders that the circumstances giving rise to such notice no longer exist with respect to the relevant Benchmark and (ii) the Company delivers a new Interest Election Request in accordance with the terms of Section 2.08 or a new Borrowing Request in accordance with the terms of Section 2.03, any Interest Election Request that requests the conversion of any Borrowing to, or continuation of any Borrowing as, a Term SOFR Borrowing and any Borrowing Request that requests a Term SOFR Borrowing shall instead be deemed to be an Interest Election Request or a Borrowing Request, as applicable, for (a) a Daily Simple SOFR Borrowing so long as Daily Simple SOFR is not also the subject of Section 2.14(a)(i) or (ii) above or (b) an ABR Borrowing if Daily Simple SOFR also is the subject of Section 2.14(a)(i) or (ii) above. Furthermore, if any Term SOFR Loan is outstanding on the date of the Company’s receipt of the notice from the Administrative Agent referred to in this Section 2.14(a) with respect to a Relevant Rate applicable to such Term SOFR Loan, then until (i) the Administrative Agent notifies the Company and the Lenders that the circumstances giving rise to such notice no longer exist with respect to the relevant Benchmark and (ii) the Company delivers a new Interest Election Request in accordance with the terms of Section 2.08 or a new Borrowing Request in accordance with the terms of Section 2.03, any Term SOFR Loan shall on the last day of the Interest Period applicable to such Loan, be converted by the Administrative Agent to, and shall constitute, (a) a Daily Simple SOFR Borrowing so long as the Daily Simple SOFR is not also the subject of Section 2.14(a)(i) or (ii) above or (b) an ABR Loan if Daily Simple SOFR also is the subject of Section 2.14(a)(i) or (ii) above, on such day.</w:t>
      </w:r>
    </w:p>
    <w:p>
      <w:pPr>
        <w:spacing w:after="0" w:line="175" w:lineRule="exact"/>
        <w:rPr>
          <w:sz w:val="20"/>
          <w:szCs w:val="20"/>
          <w:color w:val="auto"/>
        </w:rPr>
      </w:pPr>
    </w:p>
    <w:p>
      <w:pPr>
        <w:jc w:val="both"/>
        <w:ind w:left="660" w:firstLine="644"/>
        <w:spacing w:after="0" w:line="215" w:lineRule="auto"/>
        <w:tabs>
          <w:tab w:leader="none" w:pos="1944" w:val="left"/>
        </w:tabs>
        <w:numPr>
          <w:ilvl w:val="0"/>
          <w:numId w:val="22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Notwithstanding anything to the contrary herein or in any other Loan Document, if a Benchmark Transition Event and its related Benchmark Replacement Date have occurred prior to the Reference Time in respect of any setting of the then-current Benchmark, then (x) if a Benchmark Replacement is determined in accordance with clause (1) of the definition of “Benchmark Replacement” for such Benchmark Replacement Date, such Benchmark Replacement will replace such Benchmark (including any related adjustments)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(2) of the definition of “Benchmark Replacement” for such Benchmark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ectPr>
          <w:pgSz w:w="11900" w:h="16838" w:orient="portrait"/>
          <w:cols w:equalWidth="0" w:num="1">
            <w:col w:w="11240"/>
          </w:cols>
          <w:pgMar w:left="320" w:top="1413" w:right="33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20"/>
          <w:szCs w:val="20"/>
          <w:color w:val="auto"/>
        </w:rPr>
        <w:t>Replacement Date, such Benchmark Replacement will replace such Benchmark (including any related adjustments) for all purposes</w:t>
      </w:r>
    </w:p>
    <w:p>
      <w:pPr>
        <w:spacing w:after="0" w:line="215" w:lineRule="auto"/>
        <w:rPr>
          <w:sz w:val="20"/>
          <w:szCs w:val="20"/>
          <w:color w:val="auto"/>
        </w:rPr>
      </w:pPr>
      <w:r>
        <w:rPr>
          <w:rFonts w:ascii="Times New Roman" w:cs="Times New Roman" w:eastAsia="Times New Roman" w:hAnsi="Times New Roman"/>
          <w:sz w:val="19"/>
          <w:szCs w:val="19"/>
          <w:color w:val="auto"/>
        </w:rPr>
        <w:t>hereunder and under any Loan Document in respect of any Benchmark setting at or after 5:00 p.m., New York City time, on the fifth (5th) Business Day after the date notice of such Benchmark Replacement is provided to the Lenders without any amendment to, or</w:t>
      </w:r>
    </w:p>
    <w:p>
      <w:pPr>
        <w:spacing w:after="0" w:line="222" w:lineRule="auto"/>
        <w:rPr>
          <w:sz w:val="20"/>
          <w:szCs w:val="20"/>
          <w:color w:val="auto"/>
        </w:rPr>
      </w:pPr>
      <w:r>
        <w:rPr>
          <w:rFonts w:ascii="Times New Roman" w:cs="Times New Roman" w:eastAsia="Times New Roman" w:hAnsi="Times New Roman"/>
          <w:sz w:val="19"/>
          <w:szCs w:val="19"/>
          <w:color w:val="auto"/>
        </w:rPr>
        <w:t>further action or consent of any other party to, this Agreement or any other Loan Document so long as the Administrative Agent has</w:t>
      </w:r>
    </w:p>
    <w:p>
      <w:pPr>
        <w:ind w:right="20"/>
        <w:spacing w:after="0" w:line="221" w:lineRule="auto"/>
        <w:rPr>
          <w:sz w:val="20"/>
          <w:szCs w:val="20"/>
          <w:color w:val="auto"/>
        </w:rPr>
      </w:pPr>
      <w:r>
        <w:rPr>
          <w:rFonts w:ascii="Times New Roman" w:cs="Times New Roman" w:eastAsia="Times New Roman" w:hAnsi="Times New Roman"/>
          <w:sz w:val="20"/>
          <w:szCs w:val="20"/>
          <w:color w:val="auto"/>
        </w:rPr>
        <w:t>not received, by such time, written notice of objection to such Benchmark Replacement from Lenders comprising the Required Lenders.</w:t>
      </w:r>
    </w:p>
    <w:p>
      <w:pPr>
        <w:spacing w:after="0" w:line="162" w:lineRule="exact"/>
        <w:rPr>
          <w:sz w:val="20"/>
          <w:szCs w:val="20"/>
          <w:color w:val="auto"/>
        </w:rPr>
      </w:pPr>
    </w:p>
    <w:p>
      <w:pPr>
        <w:jc w:val="both"/>
        <w:ind w:firstLine="644"/>
        <w:spacing w:after="0" w:line="234" w:lineRule="auto"/>
        <w:tabs>
          <w:tab w:leader="none" w:pos="1286" w:val="left"/>
        </w:tabs>
        <w:numPr>
          <w:ilvl w:val="0"/>
          <w:numId w:val="22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(i) Notwithstanding anything to the contrary herein or in any other Loan Document,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spacing w:after="0" w:line="160" w:lineRule="exact"/>
        <w:rPr>
          <w:rFonts w:ascii="Times New Roman" w:cs="Times New Roman" w:eastAsia="Times New Roman" w:hAnsi="Times New Roman"/>
          <w:sz w:val="19"/>
          <w:szCs w:val="19"/>
          <w:color w:val="010000"/>
        </w:rPr>
      </w:pPr>
    </w:p>
    <w:p>
      <w:pPr>
        <w:jc w:val="both"/>
        <w:ind w:firstLine="644"/>
        <w:spacing w:after="0" w:line="213" w:lineRule="auto"/>
        <w:tabs>
          <w:tab w:leader="none" w:pos="1284" w:val="left"/>
        </w:tabs>
        <w:numPr>
          <w:ilvl w:val="0"/>
          <w:numId w:val="22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Administrative Agent will promptly notify the Company and the Lenders of (i) any occurrence of a Benchmark Transition Event, (ii) the implementation of any Benchmark Replacement, (iii) the effectiveness of any Benchmark Replacement Conforming Changes, (iv) the removal or reinstatement of any tenor of a Benchmark pursuant to clause (e) below and (v) the commencement or conclusion of any Benchmark Unavailability Period. Any determination, decision or election that may be made by the Administrative Agent or, if applicable, any Lender (or group of Lenders) pursuant to this Section 2.14,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2.14.</w:t>
      </w:r>
    </w:p>
    <w:p>
      <w:pPr>
        <w:spacing w:after="0" w:line="147" w:lineRule="exact"/>
        <w:rPr>
          <w:rFonts w:ascii="Times New Roman" w:cs="Times New Roman" w:eastAsia="Times New Roman" w:hAnsi="Times New Roman"/>
          <w:sz w:val="20"/>
          <w:szCs w:val="20"/>
          <w:color w:val="010000"/>
        </w:rPr>
      </w:pPr>
    </w:p>
    <w:p>
      <w:pPr>
        <w:jc w:val="both"/>
        <w:ind w:firstLine="644"/>
        <w:spacing w:after="0" w:line="212" w:lineRule="auto"/>
        <w:tabs>
          <w:tab w:leader="none" w:pos="1286" w:val="left"/>
        </w:tabs>
        <w:numPr>
          <w:ilvl w:val="0"/>
          <w:numId w:val="22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Notwithstanding anything to the contrary herein or in any other Loan Document, at any time (including in connection with the implementation of a Benchmark Replacement), (i) if the then-current Benchmark is a term rate (including Term SOFR)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spacing w:after="0" w:line="168" w:lineRule="exact"/>
        <w:rPr>
          <w:rFonts w:ascii="Times New Roman" w:cs="Times New Roman" w:eastAsia="Times New Roman" w:hAnsi="Times New Roman"/>
          <w:sz w:val="20"/>
          <w:szCs w:val="20"/>
          <w:color w:val="010000"/>
        </w:rPr>
      </w:pPr>
    </w:p>
    <w:p>
      <w:pPr>
        <w:jc w:val="both"/>
        <w:ind w:firstLine="644"/>
        <w:spacing w:after="0" w:line="212" w:lineRule="auto"/>
        <w:tabs>
          <w:tab w:leader="none" w:pos="1291" w:val="left"/>
        </w:tabs>
        <w:numPr>
          <w:ilvl w:val="0"/>
          <w:numId w:val="22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Upon the Company’s receipt of notice of the commencement of a Benchmark Unavailability Period, the Company may revoke any request for (i) a Term SOFR Borrowing, conversion to or continuation of Term SOFR Loans to be made, converted or continued and, failing that, the Company will be deemed to have converted any request for a Term SOFR Borrowing into a request for a Borrowing of or conversion to (A) solely with respect to any such request for a Term SOFR Borrowing, a Daily Simple SOFR Borrowing so long as Daily Simple SOFR is not the subject of a Benchmark Transition Event or (B) an ABR Borrowing if Daily Simple SOFR is the subject of a Benchmark Transition Event. During any Benchmark Unavailability Period or at any time that a tenor for the then-current Benchmark is not an Available Tenor, the component of the Alternate Base Rate based upon the then-current Benchmark or such tenor for such Benchmark, as applicable, will not be used in any determination of the Alternate Base Rate. Furthermore, if any Term SOFR Loan is outstanding on the date of the Company’s receipt of notice of the commencement of a Benchmark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color w:val="auto"/>
        </w:rPr>
        <w:t>41</w:t>
      </w:r>
    </w:p>
    <w:p>
      <w:pPr>
        <w:sectPr>
          <w:pgSz w:w="11900" w:h="16838" w:orient="portrait"/>
          <w:cols w:equalWidth="0" w:num="1">
            <w:col w:w="10580"/>
          </w:cols>
          <w:pgMar w:left="980" w:top="1394" w:right="339" w:bottom="1440" w:gutter="0" w:footer="0" w:header="0"/>
        </w:sectPr>
      </w:pPr>
    </w:p>
    <w:bookmarkStart w:id="214" w:name="page215"/>
    <w:bookmarkEnd w:id="214"/>
    <w:p>
      <w:pPr>
        <w:ind w:left="660"/>
        <w:spacing w:after="0"/>
        <w:rPr>
          <w:sz w:val="20"/>
          <w:szCs w:val="20"/>
          <w:color w:val="auto"/>
        </w:rPr>
      </w:pPr>
      <w:r>
        <w:rPr>
          <w:rFonts w:ascii="Times New Roman" w:cs="Times New Roman" w:eastAsia="Times New Roman" w:hAnsi="Times New Roman"/>
          <w:sz w:val="20"/>
          <w:szCs w:val="20"/>
          <w:color w:val="auto"/>
        </w:rPr>
        <w:t>Unavailability Period with respect to a Relevant Rate applicable to such Term SOFR Loan, then until such time as a Benchmark</w:t>
      </w:r>
    </w:p>
    <w:p>
      <w:pPr>
        <w:ind w:left="660" w:right="20"/>
        <w:spacing w:after="0" w:line="204" w:lineRule="auto"/>
        <w:rPr>
          <w:sz w:val="20"/>
          <w:szCs w:val="20"/>
          <w:color w:val="auto"/>
        </w:rPr>
      </w:pPr>
      <w:r>
        <w:rPr>
          <w:rFonts w:ascii="Times New Roman" w:cs="Times New Roman" w:eastAsia="Times New Roman" w:hAnsi="Times New Roman"/>
          <w:sz w:val="20"/>
          <w:szCs w:val="20"/>
          <w:color w:val="auto"/>
        </w:rPr>
        <w:t>Replacement is implemented pursuant to this Section 2.14, any Term SOFR Loan shall on the last day of the Interest Period applicable to such Loan, be converted by the Administrative Agent to, and shall constitute, (A) a Daily Simple SOFR Borrowing so</w:t>
      </w:r>
    </w:p>
    <w:p>
      <w:pPr>
        <w:spacing w:after="0" w:line="1" w:lineRule="exact"/>
        <w:rPr>
          <w:sz w:val="20"/>
          <w:szCs w:val="20"/>
          <w:color w:val="auto"/>
        </w:rPr>
      </w:pPr>
    </w:p>
    <w:p>
      <w:pPr>
        <w:ind w:left="660"/>
        <w:spacing w:after="0" w:line="228" w:lineRule="auto"/>
        <w:rPr>
          <w:sz w:val="20"/>
          <w:szCs w:val="20"/>
          <w:color w:val="auto"/>
        </w:rPr>
      </w:pPr>
      <w:r>
        <w:rPr>
          <w:rFonts w:ascii="Times New Roman" w:cs="Times New Roman" w:eastAsia="Times New Roman" w:hAnsi="Times New Roman"/>
          <w:sz w:val="20"/>
          <w:szCs w:val="20"/>
          <w:color w:val="auto"/>
        </w:rPr>
        <w:t>long as Daily Simple SOFR is not the subject of a Benchmark Transition Event or (B) an ABR Loan if Daily Simple SOFR is the subject of a Benchmark Transition Event.</w:t>
      </w:r>
    </w:p>
    <w:p>
      <w:pPr>
        <w:spacing w:after="0" w:line="143"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0"/>
          <w:szCs w:val="20"/>
          <w:color w:val="010000"/>
        </w:rPr>
        <w:t>Section 2.15.</w:t>
      </w:r>
      <w:r>
        <w:rPr>
          <w:sz w:val="20"/>
          <w:szCs w:val="20"/>
          <w:color w:val="auto"/>
        </w:rPr>
        <w:tab/>
      </w:r>
      <w:r>
        <w:rPr>
          <w:rFonts w:ascii="Times New Roman" w:cs="Times New Roman" w:eastAsia="Times New Roman" w:hAnsi="Times New Roman"/>
          <w:sz w:val="19"/>
          <w:szCs w:val="19"/>
          <w:u w:val="single" w:color="auto"/>
          <w:color w:val="auto"/>
        </w:rPr>
        <w:t>Increased Costs</w:t>
      </w:r>
      <w:r>
        <w:rPr>
          <w:rFonts w:ascii="Times New Roman" w:cs="Times New Roman" w:eastAsia="Times New Roman" w:hAnsi="Times New Roman"/>
          <w:sz w:val="19"/>
          <w:szCs w:val="19"/>
          <w:color w:val="auto"/>
        </w:rPr>
        <w:t>. If any Change in Law shall:</w:t>
      </w:r>
    </w:p>
    <w:p>
      <w:pPr>
        <w:jc w:val="both"/>
        <w:ind w:left="1300" w:firstLine="652"/>
        <w:spacing w:after="0" w:line="218" w:lineRule="auto"/>
        <w:tabs>
          <w:tab w:leader="none" w:pos="2594" w:val="left"/>
        </w:tabs>
        <w:numPr>
          <w:ilvl w:val="1"/>
          <w:numId w:val="22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impose, modify or deem applicable any reserve, special deposit, liquidity or similar requirement (including any compulsory loan requirement, insurance charge or other assessment) against assets of, deposits with or for the account of, or credit extended by, any Lender;</w:t>
      </w:r>
    </w:p>
    <w:p>
      <w:pPr>
        <w:spacing w:after="0" w:line="161" w:lineRule="exact"/>
        <w:rPr>
          <w:rFonts w:ascii="Times New Roman" w:cs="Times New Roman" w:eastAsia="Times New Roman" w:hAnsi="Times New Roman"/>
          <w:sz w:val="20"/>
          <w:szCs w:val="20"/>
          <w:color w:val="010000"/>
        </w:rPr>
      </w:pPr>
    </w:p>
    <w:p>
      <w:pPr>
        <w:ind w:left="1300" w:firstLine="652"/>
        <w:spacing w:after="0"/>
        <w:tabs>
          <w:tab w:leader="none" w:pos="2595" w:val="left"/>
        </w:tabs>
        <w:numPr>
          <w:ilvl w:val="1"/>
          <w:numId w:val="22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impose on any Lender any other condition, cost or expense (other than Taxes) affecting this Agreement or Loans made by such Lender; or</w:t>
      </w:r>
    </w:p>
    <w:p>
      <w:pPr>
        <w:spacing w:after="0" w:line="147" w:lineRule="exact"/>
        <w:rPr>
          <w:rFonts w:ascii="Times New Roman" w:cs="Times New Roman" w:eastAsia="Times New Roman" w:hAnsi="Times New Roman"/>
          <w:sz w:val="20"/>
          <w:szCs w:val="20"/>
          <w:color w:val="010000"/>
        </w:rPr>
      </w:pPr>
    </w:p>
    <w:p>
      <w:pPr>
        <w:jc w:val="both"/>
        <w:ind w:left="1300" w:firstLine="652"/>
        <w:spacing w:after="0" w:line="222" w:lineRule="auto"/>
        <w:tabs>
          <w:tab w:leader="none" w:pos="2596" w:val="left"/>
        </w:tabs>
        <w:numPr>
          <w:ilvl w:val="1"/>
          <w:numId w:val="22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subject any Recipient to any Taxes on its loans, loan principal, letters of credit, commitments, or other obligations, or its deposits, reserves, other liabilities or capital attributable thereto (other than (A) Indemnified Taxes,</w:t>
      </w:r>
    </w:p>
    <w:p>
      <w:pPr>
        <w:spacing w:after="0" w:line="1" w:lineRule="exact"/>
        <w:rPr>
          <w:rFonts w:ascii="Times New Roman" w:cs="Times New Roman" w:eastAsia="Times New Roman" w:hAnsi="Times New Roman"/>
          <w:sz w:val="20"/>
          <w:szCs w:val="20"/>
          <w:color w:val="010000"/>
        </w:rPr>
      </w:pPr>
    </w:p>
    <w:p>
      <w:pPr>
        <w:ind w:left="1620" w:hanging="316"/>
        <w:spacing w:after="0"/>
        <w:tabs>
          <w:tab w:leader="none" w:pos="1620" w:val="left"/>
        </w:tabs>
        <w:numPr>
          <w:ilvl w:val="0"/>
          <w:numId w:val="2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Excluded Taxes and (C) Connection Income Taxes);</w:t>
      </w:r>
    </w:p>
    <w:p>
      <w:pPr>
        <w:spacing w:after="0" w:line="16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and the result of any of the foregoing shall be to increase the cost to such Lender or such other Recipient of making, continuing, converting or maintaining any Loan or of maintaining its obligation to make any such Loan or to reduce the amount of any sum received or receivable by such Lender or such other Recipient hereunder, whether of principal, interest or otherwise, then the Company will pay to such Lender or such other Recipient, as the case may be, such additional amount or amounts as will compensate such Lender or such other Recipient, as the case may be, for such additional costs incurred or reduction suffered.</w:t>
      </w:r>
    </w:p>
    <w:p>
      <w:pPr>
        <w:spacing w:after="0" w:line="159" w:lineRule="exact"/>
        <w:rPr>
          <w:sz w:val="20"/>
          <w:szCs w:val="20"/>
          <w:color w:val="auto"/>
        </w:rPr>
      </w:pPr>
    </w:p>
    <w:p>
      <w:pPr>
        <w:jc w:val="both"/>
        <w:ind w:left="660" w:firstLine="644"/>
        <w:spacing w:after="0" w:line="215" w:lineRule="auto"/>
        <w:tabs>
          <w:tab w:leader="none" w:pos="1946" w:val="left"/>
        </w:tabs>
        <w:numPr>
          <w:ilvl w:val="1"/>
          <w:numId w:val="22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If any Lender determines that any Change in Law regarding capital or liquidity requirements has or would have the effect of reducing the rate of return on such Lender’s capital or on the capital of such Lender’s holding company, if any, as a consequence of this Agreement or the Loans made by such Lender to a level below that which such Lender or such Lender’s holding company could have achieved but for such Change in Law (taking into consideration such Lender’s policies and the policies of such Lender’s holding company with respect to capital adequacy and liquidity), then from time to time the Company will pay to such Lender such additional amount or amounts as will compensate such Lender or such Lender’s holding company for any such reduction suffered.</w:t>
      </w:r>
    </w:p>
    <w:p>
      <w:pPr>
        <w:spacing w:after="0" w:line="164" w:lineRule="exact"/>
        <w:rPr>
          <w:rFonts w:ascii="Times New Roman" w:cs="Times New Roman" w:eastAsia="Times New Roman" w:hAnsi="Times New Roman"/>
          <w:sz w:val="20"/>
          <w:szCs w:val="20"/>
          <w:color w:val="010000"/>
        </w:rPr>
      </w:pPr>
    </w:p>
    <w:p>
      <w:pPr>
        <w:jc w:val="both"/>
        <w:ind w:left="660" w:firstLine="644"/>
        <w:spacing w:after="0" w:line="214" w:lineRule="auto"/>
        <w:tabs>
          <w:tab w:leader="none" w:pos="1944" w:val="left"/>
        </w:tabs>
        <w:numPr>
          <w:ilvl w:val="1"/>
          <w:numId w:val="22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 certificate of a Lender setting forth the amount or amounts necessary to compensate such Lender or its holding company, as the case may be, as specified in paragraph (a) or (b) of this Section shall be delivered to the Company and shall be conclusive absent manifest error. The Company shall pay such Lender the amount shown as due on any such certificate within ten</w:t>
      </w:r>
    </w:p>
    <w:p>
      <w:pPr>
        <w:ind w:left="1040" w:hanging="384"/>
        <w:spacing w:after="0"/>
        <w:tabs>
          <w:tab w:leader="none" w:pos="1040" w:val="left"/>
        </w:tabs>
        <w:numPr>
          <w:ilvl w:val="0"/>
          <w:numId w:val="2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days after receipt thereof.</w:t>
      </w:r>
    </w:p>
    <w:p>
      <w:pPr>
        <w:spacing w:after="0" w:line="153" w:lineRule="exact"/>
        <w:rPr>
          <w:rFonts w:ascii="Times New Roman" w:cs="Times New Roman" w:eastAsia="Times New Roman" w:hAnsi="Times New Roman"/>
          <w:sz w:val="20"/>
          <w:szCs w:val="20"/>
          <w:color w:val="auto"/>
        </w:rPr>
      </w:pPr>
    </w:p>
    <w:p>
      <w:pPr>
        <w:jc w:val="both"/>
        <w:ind w:left="660" w:firstLine="644"/>
        <w:spacing w:after="0" w:line="218" w:lineRule="auto"/>
        <w:tabs>
          <w:tab w:leader="none" w:pos="1946" w:val="left"/>
        </w:tabs>
        <w:numPr>
          <w:ilvl w:val="1"/>
          <w:numId w:val="22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Failure or delay on the part of any Lender to demand compensation pursuant to this Section shall not constitute a waiver of such Lender’s right to demand such compensation;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Company shall not be required to compensate a Lender pursuant to this Section for any increased costs or reductions incurred more than 270 days prior to the date that such Lender notifies the Company of the Change in Law giving rise to such increased costs or reductions and of such Lender’s intention to claim compensation therefor;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if the Change in Law giving rise to such increased costs or reductions is retroactive, then the 270-day period referred to above shall be extended to include the period of retroactive effect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ectPr>
          <w:pgSz w:w="11900" w:h="16838" w:orient="portrait"/>
          <w:cols w:equalWidth="0" w:num="1">
            <w:col w:w="11240"/>
          </w:cols>
          <w:pgMar w:left="320" w:top="1394" w:right="339" w:bottom="1440" w:gutter="0" w:footer="0" w:header="0"/>
        </w:sectPr>
      </w:pPr>
    </w:p>
    <w:bookmarkStart w:id="215" w:name="page216"/>
    <w:bookmarkEnd w:id="215"/>
    <w:p>
      <w:pPr>
        <w:jc w:val="both"/>
        <w:ind w:firstLine="1296"/>
        <w:spacing w:after="0" w:line="259" w:lineRule="auto"/>
        <w:rPr>
          <w:sz w:val="20"/>
          <w:szCs w:val="20"/>
          <w:color w:val="auto"/>
        </w:rPr>
      </w:pPr>
      <w:r>
        <w:rPr>
          <w:rFonts w:ascii="Times New Roman" w:cs="Times New Roman" w:eastAsia="Times New Roman" w:hAnsi="Times New Roman"/>
          <w:sz w:val="20"/>
          <w:szCs w:val="20"/>
          <w:color w:val="010000"/>
        </w:rPr>
        <w:t xml:space="preserve">Section 2.16. </w:t>
      </w:r>
      <w:r>
        <w:rPr>
          <w:rFonts w:ascii="Times New Roman" w:cs="Times New Roman" w:eastAsia="Times New Roman" w:hAnsi="Times New Roman"/>
          <w:sz w:val="20"/>
          <w:szCs w:val="20"/>
          <w:u w:val="single" w:color="auto"/>
          <w:color w:val="000000"/>
        </w:rPr>
        <w:t>Break Funding Payments</w:t>
      </w:r>
      <w:r>
        <w:rPr>
          <w:rFonts w:ascii="Times New Roman" w:cs="Times New Roman" w:eastAsia="Times New Roman" w:hAnsi="Times New Roman"/>
          <w:sz w:val="20"/>
          <w:szCs w:val="20"/>
          <w:color w:val="000000"/>
        </w:rPr>
        <w:t>. With respect to Term SOFR Loans, in the event of (i) the payment of any principal</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of any Term SOFR Loan other than on the last day of an Interest Period applicable thereto (including as a result of an Event of Default or as a result of any prepayment pursuant to Section 2.11), (ii) the conversion of any Term SOFR Loan other than on the last day of the Interest Period applicable thereto, (iii) the failure to borrow, convert, continue or prepay any Term SOFR Loan on the date specified in any notice delivered pursuant hereto (regardless of whether such notice may be revoked under Section 2.11(a) and is revoked in accordance therewith) or (iv) the assignment of any Term SOFR Loan other than on the last day of the Interest Period applicable thereto as a result of a request by the Company pursuant to Section 2.20 or Section 9.02(d), then, in any such event, the Company shall compensate each Lender for the loss, cost and expense attributable to such event. A certificate of any Lender setting forth any amount or amounts that such Lender is entitled to receive pursuant to this Section shall be delivered to the Company and shall be conclusive absent manifest error. The Company shall pay such Lender the amount shown as due on any such certificate within ten (10) days after receipt thereof.</w:t>
      </w:r>
    </w:p>
    <w:p>
      <w:pPr>
        <w:spacing w:after="0" w:line="4" w:lineRule="exact"/>
        <w:rPr>
          <w:sz w:val="20"/>
          <w:szCs w:val="20"/>
          <w:color w:val="auto"/>
        </w:rPr>
      </w:pPr>
    </w:p>
    <w:p>
      <w:pPr>
        <w:jc w:val="both"/>
        <w:ind w:firstLine="1296"/>
        <w:spacing w:after="0" w:line="272" w:lineRule="auto"/>
        <w:rPr>
          <w:sz w:val="20"/>
          <w:szCs w:val="20"/>
          <w:color w:val="auto"/>
        </w:rPr>
      </w:pPr>
      <w:r>
        <w:rPr>
          <w:rFonts w:ascii="Times New Roman" w:cs="Times New Roman" w:eastAsia="Times New Roman" w:hAnsi="Times New Roman"/>
          <w:sz w:val="19"/>
          <w:szCs w:val="19"/>
          <w:color w:val="010000"/>
        </w:rPr>
        <w:t xml:space="preserve">Section 2.17. </w:t>
      </w:r>
      <w:r>
        <w:rPr>
          <w:rFonts w:ascii="Times New Roman" w:cs="Times New Roman" w:eastAsia="Times New Roman" w:hAnsi="Times New Roman"/>
          <w:sz w:val="19"/>
          <w:szCs w:val="19"/>
          <w:u w:val="single" w:color="auto"/>
          <w:color w:val="000000"/>
        </w:rPr>
        <w:t>Taxes</w:t>
      </w:r>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u w:val="single" w:color="auto"/>
          <w:color w:val="000000"/>
        </w:rPr>
        <w:t>Payments Free of Taxes</w:t>
      </w:r>
      <w:r>
        <w:rPr>
          <w:rFonts w:ascii="Times New Roman" w:cs="Times New Roman" w:eastAsia="Times New Roman" w:hAnsi="Times New Roman"/>
          <w:sz w:val="19"/>
          <w:szCs w:val="19"/>
          <w:color w:val="000000"/>
        </w:rPr>
        <w:t>. Any and all payments by or on account of any obligation of the Borrower</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Borrower shall be increased as necessary so that after such deduction or withholding has been made (including such deductions and withholdings applicable to additional sums payable under this Section 2.17) the applicable Recipient receives an amount equal to the sum it would have received had no such deduction or withholding been made.</w:t>
      </w:r>
    </w:p>
    <w:p>
      <w:pPr>
        <w:spacing w:after="0" w:line="4" w:lineRule="exact"/>
        <w:rPr>
          <w:sz w:val="20"/>
          <w:szCs w:val="20"/>
          <w:color w:val="auto"/>
        </w:rPr>
      </w:pPr>
    </w:p>
    <w:p>
      <w:pPr>
        <w:ind w:left="660" w:firstLine="644"/>
        <w:spacing w:after="0" w:line="267" w:lineRule="auto"/>
        <w:tabs>
          <w:tab w:leader="none" w:pos="1946" w:val="left"/>
        </w:tabs>
        <w:numPr>
          <w:ilvl w:val="0"/>
          <w:numId w:val="22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Payment of Other Taxes by the Company. The Company shall timely pay to the relevant Governmental Authority in accordance with applicable law, or at the option of the Administrative Agent timely reimburse it for, Other Taxes.</w:t>
      </w:r>
    </w:p>
    <w:p>
      <w:pPr>
        <w:spacing w:after="0" w:line="188" w:lineRule="exact"/>
        <w:rPr>
          <w:rFonts w:ascii="Times New Roman" w:cs="Times New Roman" w:eastAsia="Times New Roman" w:hAnsi="Times New Roman"/>
          <w:sz w:val="20"/>
          <w:szCs w:val="20"/>
          <w:color w:val="010000"/>
        </w:rPr>
      </w:pPr>
    </w:p>
    <w:p>
      <w:pPr>
        <w:jc w:val="both"/>
        <w:ind w:left="660" w:firstLine="644"/>
        <w:spacing w:after="0" w:line="268" w:lineRule="auto"/>
        <w:tabs>
          <w:tab w:leader="none" w:pos="1944" w:val="left"/>
        </w:tabs>
        <w:numPr>
          <w:ilvl w:val="0"/>
          <w:numId w:val="22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Evidence of Payments</w:t>
      </w:r>
      <w:r>
        <w:rPr>
          <w:rFonts w:ascii="Times New Roman" w:cs="Times New Roman" w:eastAsia="Times New Roman" w:hAnsi="Times New Roman"/>
          <w:sz w:val="20"/>
          <w:szCs w:val="20"/>
          <w:color w:val="auto"/>
        </w:rPr>
        <w:t>. As soon as practicable after any payment of Taxes by the Company to a Governmental Authority pursuant to this Section 2.17, the Company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74" w:lineRule="exact"/>
        <w:rPr>
          <w:rFonts w:ascii="Times New Roman" w:cs="Times New Roman" w:eastAsia="Times New Roman" w:hAnsi="Times New Roman"/>
          <w:sz w:val="20"/>
          <w:szCs w:val="20"/>
          <w:color w:val="010000"/>
        </w:rPr>
      </w:pPr>
    </w:p>
    <w:p>
      <w:pPr>
        <w:jc w:val="both"/>
        <w:ind w:left="660" w:firstLine="644"/>
        <w:spacing w:after="0" w:line="263" w:lineRule="auto"/>
        <w:tabs>
          <w:tab w:leader="none" w:pos="1946" w:val="left"/>
        </w:tabs>
        <w:numPr>
          <w:ilvl w:val="0"/>
          <w:numId w:val="22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Indemnification by the Company</w:t>
      </w:r>
      <w:r>
        <w:rPr>
          <w:rFonts w:ascii="Times New Roman" w:cs="Times New Roman" w:eastAsia="Times New Roman" w:hAnsi="Times New Roman"/>
          <w:sz w:val="20"/>
          <w:szCs w:val="20"/>
          <w:color w:val="auto"/>
        </w:rPr>
        <w:t>. The Company shall indemnify each Recipient, within 10 days after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Company by a Lender (with a copy to the Administrative Agent), or by the Administrative Agent on its own behalf or on behalf of a Lender, shall be conclusive absent manifest error.</w:t>
      </w:r>
    </w:p>
    <w:p>
      <w:pPr>
        <w:spacing w:after="0" w:line="179" w:lineRule="exact"/>
        <w:rPr>
          <w:rFonts w:ascii="Times New Roman" w:cs="Times New Roman" w:eastAsia="Times New Roman" w:hAnsi="Times New Roman"/>
          <w:sz w:val="20"/>
          <w:szCs w:val="20"/>
          <w:color w:val="010000"/>
        </w:rPr>
      </w:pPr>
    </w:p>
    <w:p>
      <w:pPr>
        <w:ind w:left="660" w:firstLine="644"/>
        <w:spacing w:after="0" w:line="297" w:lineRule="auto"/>
        <w:tabs>
          <w:tab w:leader="none" w:pos="1944" w:val="left"/>
        </w:tabs>
        <w:numPr>
          <w:ilvl w:val="0"/>
          <w:numId w:val="22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Indemnification by the Lenders</w:t>
      </w:r>
      <w:r>
        <w:rPr>
          <w:rFonts w:ascii="Times New Roman" w:cs="Times New Roman" w:eastAsia="Times New Roman" w:hAnsi="Times New Roman"/>
          <w:sz w:val="20"/>
          <w:szCs w:val="20"/>
          <w:color w:val="auto"/>
        </w:rPr>
        <w:t>. Each Lender shall severally indemnify the Administrative Agent, within 10 days after demand therefor, for (i) any Indemnified Taxes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ectPr>
          <w:pgSz w:w="11900" w:h="16838" w:orient="portrait"/>
          <w:cols w:equalWidth="0" w:num="1">
            <w:col w:w="11240"/>
          </w:cols>
          <w:pgMar w:left="320" w:top="1426" w:right="339" w:bottom="1440" w:gutter="0" w:footer="0" w:header="0"/>
        </w:sectPr>
      </w:pPr>
    </w:p>
    <w:bookmarkStart w:id="216" w:name="page217"/>
    <w:bookmarkEnd w:id="216"/>
    <w:p>
      <w:pPr>
        <w:jc w:val="both"/>
        <w:ind w:left="4"/>
        <w:spacing w:after="0" w:line="261" w:lineRule="auto"/>
        <w:rPr>
          <w:sz w:val="20"/>
          <w:szCs w:val="20"/>
          <w:color w:val="auto"/>
        </w:rPr>
      </w:pPr>
      <w:r>
        <w:rPr>
          <w:rFonts w:ascii="Times New Roman" w:cs="Times New Roman" w:eastAsia="Times New Roman" w:hAnsi="Times New Roman"/>
          <w:sz w:val="20"/>
          <w:szCs w:val="20"/>
          <w:color w:val="auto"/>
        </w:rPr>
        <w:t>attributable to such Lender (but only to the extent that the Company has not already indemnified the Administrative Agent for such Indemnified Taxes and without limiting the obligation of the Company to do so), (ii) any Taxes attributable to such Lender’s failure to comply with the provisions of Section 9.04(c)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paragraph (e).</w:t>
      </w:r>
    </w:p>
    <w:p>
      <w:pPr>
        <w:spacing w:after="0" w:line="185" w:lineRule="exact"/>
        <w:rPr>
          <w:sz w:val="20"/>
          <w:szCs w:val="20"/>
          <w:color w:val="auto"/>
        </w:rPr>
      </w:pPr>
    </w:p>
    <w:p>
      <w:pPr>
        <w:jc w:val="both"/>
        <w:ind w:left="4" w:firstLine="644"/>
        <w:spacing w:after="0" w:line="273" w:lineRule="auto"/>
        <w:tabs>
          <w:tab w:leader="none" w:pos="1290" w:val="left"/>
        </w:tabs>
        <w:numPr>
          <w:ilvl w:val="1"/>
          <w:numId w:val="22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Status of Lenders</w:t>
      </w:r>
      <w:r>
        <w:rPr>
          <w:rFonts w:ascii="Times New Roman" w:cs="Times New Roman" w:eastAsia="Times New Roman" w:hAnsi="Times New Roman"/>
          <w:sz w:val="19"/>
          <w:szCs w:val="19"/>
          <w:color w:val="auto"/>
        </w:rPr>
        <w:t>. (i) Any Lender that is entitled to an exemption from or reduction of withholding Tax with respect to payments made under any Loan Document shall deliver to the Company and the Administrative Agent, at the time or times reasonably requested by the Company or the Administrative Agent, such properly completed and executed documentation reasonably requested by the Company or the Administrative Agent as will permit such payments to be made without withholding or at a reduced rate of withholding. In addition, any Lender, if reasonably requested by the Company or the Administrative Agent, shall deliver such other documentation prescribed by applicable law or reasonably requested by the Company or the Administrative Agent as will enable the Company or the Administrative Agent to determine whether or not such Lender is subject to backup withholding or information reporting requirements for Tax purposes. Notwithstanding anything to the contrary in the preceding two sentences, the completion, execution and submission of such documentation (other than such documentation set forth in Section 2.17(f)(ii)(A), (ii)</w:t>
      </w:r>
    </w:p>
    <w:p>
      <w:pPr>
        <w:spacing w:after="0" w:line="6" w:lineRule="exact"/>
        <w:rPr>
          <w:rFonts w:ascii="Times New Roman" w:cs="Times New Roman" w:eastAsia="Times New Roman" w:hAnsi="Times New Roman"/>
          <w:sz w:val="19"/>
          <w:szCs w:val="19"/>
          <w:color w:val="010000"/>
        </w:rPr>
      </w:pPr>
    </w:p>
    <w:p>
      <w:pPr>
        <w:jc w:val="both"/>
        <w:ind w:left="4" w:hanging="4"/>
        <w:spacing w:after="0" w:line="267" w:lineRule="auto"/>
        <w:tabs>
          <w:tab w:leader="none" w:pos="324" w:val="left"/>
        </w:tabs>
        <w:numPr>
          <w:ilvl w:val="0"/>
          <w:numId w:val="2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and (ii)(D)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75" w:lineRule="exact"/>
        <w:rPr>
          <w:rFonts w:ascii="Times New Roman" w:cs="Times New Roman" w:eastAsia="Times New Roman" w:hAnsi="Times New Roman"/>
          <w:sz w:val="20"/>
          <w:szCs w:val="20"/>
          <w:color w:val="auto"/>
        </w:rPr>
      </w:pPr>
    </w:p>
    <w:p>
      <w:pPr>
        <w:ind w:left="1944" w:hanging="648"/>
        <w:spacing w:after="0"/>
        <w:tabs>
          <w:tab w:leader="none" w:pos="1944" w:val="left"/>
        </w:tabs>
        <w:numPr>
          <w:ilvl w:val="2"/>
          <w:numId w:val="2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(ii)  Without limiting the generality of the foregoing:</w:t>
      </w:r>
    </w:p>
    <w:p>
      <w:pPr>
        <w:spacing w:after="0" w:line="242" w:lineRule="exact"/>
        <w:rPr>
          <w:rFonts w:ascii="Times New Roman" w:cs="Times New Roman" w:eastAsia="Times New Roman" w:hAnsi="Times New Roman"/>
          <w:sz w:val="20"/>
          <w:szCs w:val="20"/>
          <w:color w:val="auto"/>
        </w:rPr>
      </w:pPr>
    </w:p>
    <w:p>
      <w:pPr>
        <w:jc w:val="both"/>
        <w:ind w:left="1304" w:firstLine="640"/>
        <w:spacing w:after="0" w:line="268" w:lineRule="auto"/>
        <w:tabs>
          <w:tab w:leader="none" w:pos="2591" w:val="left"/>
        </w:tabs>
        <w:numPr>
          <w:ilvl w:val="3"/>
          <w:numId w:val="22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Lender that is a U.S. Person shall deliver to the Company and the Administrative Agent on or prior to the date on which such Lender becomes a Lender under this Agreement (and from time to time thereafter upon the reasonable request of the Company or the Administrative Agent), executed copies of IRS Form W-9 certifying that such Lender is exempt from U.S. federal backup withholding tax;</w:t>
      </w:r>
    </w:p>
    <w:p>
      <w:pPr>
        <w:spacing w:after="0" w:line="174" w:lineRule="exact"/>
        <w:rPr>
          <w:rFonts w:ascii="Times New Roman" w:cs="Times New Roman" w:eastAsia="Times New Roman" w:hAnsi="Times New Roman"/>
          <w:sz w:val="20"/>
          <w:szCs w:val="20"/>
          <w:color w:val="010000"/>
        </w:rPr>
      </w:pPr>
    </w:p>
    <w:p>
      <w:pPr>
        <w:jc w:val="both"/>
        <w:ind w:left="1304" w:firstLine="640"/>
        <w:spacing w:after="0" w:line="268" w:lineRule="auto"/>
        <w:tabs>
          <w:tab w:leader="none" w:pos="2594" w:val="left"/>
        </w:tabs>
        <w:numPr>
          <w:ilvl w:val="3"/>
          <w:numId w:val="22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Foreign Lender shall, to the extent it is legally entitled to do so, deliver to the Company and the Administrative Agent (in such number of copies as shall be requested by the recipient) on or prior to the date on which such Foreign Lender becomes a Lender under this Agreement (and from time to time thereafter upon the reasonable request of the Company or the Administrative Agent), whichever of the following is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0"/>
          <w:szCs w:val="20"/>
          <w:color w:val="auto"/>
        </w:rPr>
        <w:t>44</w:t>
      </w:r>
    </w:p>
    <w:p>
      <w:pPr>
        <w:sectPr>
          <w:pgSz w:w="11900" w:h="16838" w:orient="portrait"/>
          <w:cols w:equalWidth="0" w:num="1">
            <w:col w:w="10584"/>
          </w:cols>
          <w:pgMar w:left="976" w:top="1426" w:right="339" w:bottom="1440" w:gutter="0" w:footer="0" w:header="0"/>
        </w:sectPr>
      </w:pPr>
    </w:p>
    <w:bookmarkStart w:id="217" w:name="page218"/>
    <w:bookmarkEnd w:id="217"/>
    <w:p>
      <w:pPr>
        <w:jc w:val="both"/>
        <w:ind w:left="840" w:firstLine="1288"/>
        <w:spacing w:after="0" w:line="265" w:lineRule="auto"/>
        <w:tabs>
          <w:tab w:leader="none" w:pos="2416" w:val="left"/>
        </w:tabs>
        <w:numPr>
          <w:ilvl w:val="1"/>
          <w:numId w:val="2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Foreign Lender claiming the benefits of an income tax treaty to which the United States is a party (x) with respect to payments of interest under any Loan Document, executed copies of IRS Form W-8BEN or IRS Form W-8BEN-E establishing an exemption from, or reduction of, U.S. federal withholding Tax pursuant to the “interest” article of such tax treaty and (y) with respect to any other applicable payments under any Loan Document, IRS Form W-8BEN or IRS Form W-8BEN-E establishing an exemption from, or reduction of, U.S. federal withholding Tax pursuant to the “business profits” or “other income” article of such tax treaty;</w:t>
      </w:r>
    </w:p>
    <w:p>
      <w:pPr>
        <w:spacing w:after="0" w:line="204" w:lineRule="exact"/>
        <w:rPr>
          <w:rFonts w:ascii="Times New Roman" w:cs="Times New Roman" w:eastAsia="Times New Roman" w:hAnsi="Times New Roman"/>
          <w:sz w:val="20"/>
          <w:szCs w:val="20"/>
          <w:color w:val="auto"/>
        </w:rPr>
      </w:pPr>
    </w:p>
    <w:p>
      <w:pPr>
        <w:ind w:left="840" w:firstLine="1288"/>
        <w:spacing w:after="0" w:line="283" w:lineRule="auto"/>
        <w:tabs>
          <w:tab w:leader="none" w:pos="2416" w:val="left"/>
        </w:tabs>
        <w:numPr>
          <w:ilvl w:val="1"/>
          <w:numId w:val="2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Foreign Lender claiming that its extension of credit will generate U.S. effectively connected income, executed copies of IRS Form W-8ECI;</w:t>
      </w:r>
    </w:p>
    <w:p>
      <w:pPr>
        <w:spacing w:after="0" w:line="200" w:lineRule="exact"/>
        <w:rPr>
          <w:rFonts w:ascii="Times New Roman" w:cs="Times New Roman" w:eastAsia="Times New Roman" w:hAnsi="Times New Roman"/>
          <w:sz w:val="20"/>
          <w:szCs w:val="20"/>
          <w:color w:val="auto"/>
        </w:rPr>
      </w:pPr>
    </w:p>
    <w:p>
      <w:pPr>
        <w:jc w:val="both"/>
        <w:ind w:left="840" w:firstLine="1288"/>
        <w:spacing w:after="0" w:line="262" w:lineRule="auto"/>
        <w:tabs>
          <w:tab w:leader="none" w:pos="2447" w:val="left"/>
        </w:tabs>
        <w:numPr>
          <w:ilvl w:val="1"/>
          <w:numId w:val="2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a Foreign Lender claiming the benefits of the exemption for portfolio interest under Section 881(c) of the Code, (x) a certificate substantially in the form of </w:t>
      </w:r>
      <w:r>
        <w:rPr>
          <w:rFonts w:ascii="Times New Roman" w:cs="Times New Roman" w:eastAsia="Times New Roman" w:hAnsi="Times New Roman"/>
          <w:sz w:val="20"/>
          <w:szCs w:val="20"/>
          <w:u w:val="single" w:color="auto"/>
          <w:color w:val="auto"/>
        </w:rPr>
        <w:t>Exhibit G-1</w:t>
      </w:r>
      <w:r>
        <w:rPr>
          <w:rFonts w:ascii="Times New Roman" w:cs="Times New Roman" w:eastAsia="Times New Roman" w:hAnsi="Times New Roman"/>
          <w:sz w:val="20"/>
          <w:szCs w:val="20"/>
          <w:color w:val="auto"/>
        </w:rPr>
        <w:t xml:space="preserve"> to the effect that such Foreign Lender is not a “bank” within the meaning of Section 881(c)(3)(A) of the Code, a “10 percent shareholder” of the Company within the meaning of Section 881(c)(3)(B) of the Code, or a “controlled foreign corporation” described in Section 881(c)(3)(C) of the Code (a “</w:t>
      </w:r>
      <w:r>
        <w:rPr>
          <w:rFonts w:ascii="Times New Roman" w:cs="Times New Roman" w:eastAsia="Times New Roman" w:hAnsi="Times New Roman"/>
          <w:sz w:val="20"/>
          <w:szCs w:val="20"/>
          <w:u w:val="single" w:color="auto"/>
          <w:color w:val="auto"/>
        </w:rPr>
        <w:t>U.S. Tax Compliance Certificate</w:t>
      </w:r>
      <w:r>
        <w:rPr>
          <w:rFonts w:ascii="Times New Roman" w:cs="Times New Roman" w:eastAsia="Times New Roman" w:hAnsi="Times New Roman"/>
          <w:sz w:val="20"/>
          <w:szCs w:val="20"/>
          <w:color w:val="auto"/>
        </w:rPr>
        <w:t>”) and (y) executed copies of IRS Form W-8BEN or IRS Form W-8BEN-E; or</w:t>
      </w:r>
    </w:p>
    <w:p>
      <w:pPr>
        <w:spacing w:after="0" w:line="221" w:lineRule="exact"/>
        <w:rPr>
          <w:rFonts w:ascii="Times New Roman" w:cs="Times New Roman" w:eastAsia="Times New Roman" w:hAnsi="Times New Roman"/>
          <w:sz w:val="20"/>
          <w:szCs w:val="20"/>
          <w:color w:val="auto"/>
        </w:rPr>
      </w:pPr>
    </w:p>
    <w:p>
      <w:pPr>
        <w:jc w:val="both"/>
        <w:ind w:left="840" w:firstLine="1288"/>
        <w:spacing w:after="0" w:line="263" w:lineRule="auto"/>
        <w:tabs>
          <w:tab w:leader="none" w:pos="2444" w:val="left"/>
        </w:tabs>
        <w:numPr>
          <w:ilvl w:val="1"/>
          <w:numId w:val="2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a Foreign Lender is not the beneficial owner, executed copies of IRS Form W-8IMY, accompanied by IRS Form W-8ECI, IRS Form W-8BEN or IRS Form W-8BEN-E, a U.S. Tax Compliance Certificate substantially in the form of </w:t>
      </w:r>
      <w:r>
        <w:rPr>
          <w:rFonts w:ascii="Times New Roman" w:cs="Times New Roman" w:eastAsia="Times New Roman" w:hAnsi="Times New Roman"/>
          <w:sz w:val="20"/>
          <w:szCs w:val="20"/>
          <w:u w:val="single" w:color="auto"/>
          <w:color w:val="auto"/>
        </w:rPr>
        <w:t>Exhibit G-2</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Exhibit G-3</w:t>
      </w:r>
      <w:r>
        <w:rPr>
          <w:rFonts w:ascii="Times New Roman" w:cs="Times New Roman" w:eastAsia="Times New Roman" w:hAnsi="Times New Roman"/>
          <w:sz w:val="20"/>
          <w:szCs w:val="20"/>
          <w:color w:val="auto"/>
        </w:rPr>
        <w:t xml:space="preserve">, IRS Form W-9, and/or other certification documents from each beneficial owner, as applicable;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 w:cs="Times New Roman" w:eastAsia="Times New Roman" w:hAnsi="Times New Roman"/>
          <w:sz w:val="20"/>
          <w:szCs w:val="20"/>
          <w:u w:val="single" w:color="auto"/>
          <w:color w:val="auto"/>
        </w:rPr>
        <w:t>Exhibit G-4</w:t>
      </w:r>
      <w:r>
        <w:rPr>
          <w:rFonts w:ascii="Times New Roman" w:cs="Times New Roman" w:eastAsia="Times New Roman" w:hAnsi="Times New Roman"/>
          <w:sz w:val="20"/>
          <w:szCs w:val="20"/>
          <w:color w:val="auto"/>
        </w:rPr>
        <w:t xml:space="preserve"> on behalf of each such direct and indirect partner;</w:t>
      </w:r>
    </w:p>
    <w:p>
      <w:pPr>
        <w:spacing w:after="0" w:line="206" w:lineRule="exact"/>
        <w:rPr>
          <w:rFonts w:ascii="Times New Roman" w:cs="Times New Roman" w:eastAsia="Times New Roman" w:hAnsi="Times New Roman"/>
          <w:sz w:val="20"/>
          <w:szCs w:val="20"/>
          <w:color w:val="auto"/>
        </w:rPr>
      </w:pPr>
    </w:p>
    <w:p>
      <w:pPr>
        <w:jc w:val="both"/>
        <w:ind w:left="840" w:firstLine="640"/>
        <w:spacing w:after="0" w:line="263" w:lineRule="auto"/>
        <w:tabs>
          <w:tab w:leader="none" w:pos="2130" w:val="left"/>
        </w:tabs>
        <w:numPr>
          <w:ilvl w:val="0"/>
          <w:numId w:val="23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Foreign Lender shall, to the extent it is legally entitled to do so, deliver to the Company and the Administrative Agent (in such number of copies as shall be requested by the recipient) on or prior to the date on which such Foreign Lender becomes a Lender under this Agreement (and from time to time thereafter upon the reasonable request of the Company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Company or the Administrative Agent to determine the withholding or deduction required to be made; and</w:t>
      </w:r>
    </w:p>
    <w:p>
      <w:pPr>
        <w:spacing w:after="0" w:line="179" w:lineRule="exact"/>
        <w:rPr>
          <w:rFonts w:ascii="Times New Roman" w:cs="Times New Roman" w:eastAsia="Times New Roman" w:hAnsi="Times New Roman"/>
          <w:sz w:val="20"/>
          <w:szCs w:val="20"/>
          <w:color w:val="010000"/>
        </w:rPr>
      </w:pPr>
    </w:p>
    <w:p>
      <w:pPr>
        <w:ind w:left="840" w:firstLine="640"/>
        <w:spacing w:after="0" w:line="297" w:lineRule="auto"/>
        <w:tabs>
          <w:tab w:leader="none" w:pos="2127" w:val="left"/>
        </w:tabs>
        <w:numPr>
          <w:ilvl w:val="0"/>
          <w:numId w:val="23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if a payment made to a Lender under any Loan Document would be subject to U.S. federal withholding Tax imposed by FATCA if such Lender</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45</w:t>
      </w:r>
    </w:p>
    <w:p>
      <w:pPr>
        <w:sectPr>
          <w:pgSz w:w="11900" w:h="16838" w:orient="portrait"/>
          <w:cols w:equalWidth="0" w:num="1">
            <w:col w:w="10120"/>
          </w:cols>
          <w:pgMar w:left="1440" w:top="1426" w:right="339" w:bottom="1440" w:gutter="0" w:footer="0" w:header="0"/>
        </w:sectPr>
      </w:pPr>
    </w:p>
    <w:bookmarkStart w:id="218" w:name="page219"/>
    <w:bookmarkEnd w:id="218"/>
    <w:p>
      <w:pPr>
        <w:jc w:val="both"/>
        <w:ind w:left="1960"/>
        <w:spacing w:after="0" w:line="274" w:lineRule="auto"/>
        <w:rPr>
          <w:sz w:val="20"/>
          <w:szCs w:val="20"/>
          <w:color w:val="auto"/>
        </w:rPr>
      </w:pPr>
      <w:r>
        <w:rPr>
          <w:rFonts w:ascii="Times New Roman" w:cs="Times New Roman" w:eastAsia="Times New Roman" w:hAnsi="Times New Roman"/>
          <w:sz w:val="19"/>
          <w:szCs w:val="19"/>
          <w:color w:val="auto"/>
        </w:rPr>
        <w:t>were to fail to comply with the applicable reporting requirements of FATCA (including those contained in Section 1471(b) or 1472(b) of the Code, as applicable), such Lender shall deliver to the Company and the Administrative Agent at the time or times prescribed by law and at such time or times reasonably requested by the Company or the Administrative Agent such documentation prescribed by applicable law (including as prescribed by Section 1471(b)</w:t>
      </w:r>
    </w:p>
    <w:p>
      <w:pPr>
        <w:spacing w:after="0" w:line="3" w:lineRule="exact"/>
        <w:rPr>
          <w:sz w:val="20"/>
          <w:szCs w:val="20"/>
          <w:color w:val="auto"/>
        </w:rPr>
      </w:pPr>
    </w:p>
    <w:p>
      <w:pPr>
        <w:jc w:val="both"/>
        <w:ind w:left="1960"/>
        <w:spacing w:after="0" w:line="264" w:lineRule="auto"/>
        <w:rPr>
          <w:sz w:val="20"/>
          <w:szCs w:val="20"/>
          <w:color w:val="auto"/>
        </w:rPr>
      </w:pPr>
      <w:r>
        <w:rPr>
          <w:rFonts w:ascii="Times New Roman" w:cs="Times New Roman" w:eastAsia="Times New Roman" w:hAnsi="Times New Roman"/>
          <w:sz w:val="20"/>
          <w:szCs w:val="20"/>
          <w:color w:val="auto"/>
        </w:rPr>
        <w:t>(3)(C)(i) of the Code) and such additional documentation reasonably requested by the Company or the Administrative Agent as may be necessary for the Company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spacing w:after="0" w:line="178"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0"/>
          <w:szCs w:val="20"/>
          <w:color w:val="auto"/>
        </w:rPr>
        <w:t>Each Lender agrees that if any form or certification it previously delivered expires or becomes obsolete or inaccurate in any respect, it shall update such form or certification or promptly notify the Company and the Administrative Agent in writing of its legal inability to do so.</w:t>
      </w:r>
    </w:p>
    <w:p>
      <w:pPr>
        <w:spacing w:after="0" w:line="168" w:lineRule="exact"/>
        <w:rPr>
          <w:sz w:val="20"/>
          <w:szCs w:val="20"/>
          <w:color w:val="auto"/>
        </w:rPr>
      </w:pPr>
    </w:p>
    <w:p>
      <w:pPr>
        <w:jc w:val="both"/>
        <w:ind w:left="660" w:firstLine="644"/>
        <w:spacing w:after="0" w:line="260" w:lineRule="auto"/>
        <w:tabs>
          <w:tab w:leader="none" w:pos="1951" w:val="left"/>
        </w:tabs>
        <w:numPr>
          <w:ilvl w:val="0"/>
          <w:numId w:val="23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Treatment of Certain Refunds</w:t>
      </w:r>
      <w:r>
        <w:rPr>
          <w:rFonts w:ascii="Times New Roman" w:cs="Times New Roman" w:eastAsia="Times New Roman" w:hAnsi="Times New Roman"/>
          <w:sz w:val="20"/>
          <w:szCs w:val="20"/>
          <w:color w:val="auto"/>
        </w:rPr>
        <w:t>. If any party determines, in its sole discretion exercised in good faith, that it has received a refund of any Taxes as to which it has been indemnified pursuant to this Section 2.17 (including by the payment of additional amounts pursuant to this Section 2.17), it shall pay to the indemnifying party an amount equal to such refund (but only to the extent of indemnity payments made under this Section 2.17 with respect to the Indemnified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(g) (plus any penalties, interest or other charges imposed by the relevant Governmental Authority) in the event that such indemnified party is required to repay such refund to such Governmental Authority. Notwithstanding anything to the contrary in this paragraph (g), in no event will the indemnified party be required to pay any amount to an indemnifying party pursuant to this paragraph (g)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191" w:lineRule="exact"/>
        <w:rPr>
          <w:rFonts w:ascii="Times New Roman" w:cs="Times New Roman" w:eastAsia="Times New Roman" w:hAnsi="Times New Roman"/>
          <w:sz w:val="20"/>
          <w:szCs w:val="20"/>
          <w:color w:val="010000"/>
        </w:rPr>
      </w:pPr>
    </w:p>
    <w:p>
      <w:pPr>
        <w:jc w:val="both"/>
        <w:ind w:left="660" w:firstLine="644"/>
        <w:spacing w:after="0" w:line="275" w:lineRule="auto"/>
        <w:tabs>
          <w:tab w:leader="none" w:pos="1944" w:val="left"/>
        </w:tabs>
        <w:numPr>
          <w:ilvl w:val="0"/>
          <w:numId w:val="23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Survival</w:t>
      </w:r>
      <w:r>
        <w:rPr>
          <w:rFonts w:ascii="Times New Roman" w:cs="Times New Roman" w:eastAsia="Times New Roman" w:hAnsi="Times New Roman"/>
          <w:sz w:val="20"/>
          <w:szCs w:val="20"/>
          <w:color w:val="auto"/>
        </w:rPr>
        <w:t>. Each party’s obligations under this Section 2.17 shall survive the resignation or replacement of the Administrative Agent or any assignment of rights by, or the replacement of, a Lender, the termination of the Commitments and the repayment, satisfaction or discharge of all obligations under any Loan Document.</w:t>
      </w:r>
    </w:p>
    <w:p>
      <w:pPr>
        <w:spacing w:after="0" w:line="167" w:lineRule="exact"/>
        <w:rPr>
          <w:rFonts w:ascii="Times New Roman" w:cs="Times New Roman" w:eastAsia="Times New Roman" w:hAnsi="Times New Roman"/>
          <w:sz w:val="20"/>
          <w:szCs w:val="20"/>
          <w:color w:val="010000"/>
        </w:rPr>
      </w:pPr>
    </w:p>
    <w:p>
      <w:pPr>
        <w:ind w:left="1940" w:hanging="636"/>
        <w:spacing w:after="0"/>
        <w:tabs>
          <w:tab w:leader="none" w:pos="1940" w:val="left"/>
        </w:tabs>
        <w:numPr>
          <w:ilvl w:val="0"/>
          <w:numId w:val="23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Defined Terms</w:t>
      </w:r>
      <w:r>
        <w:rPr>
          <w:rFonts w:ascii="Times New Roman" w:cs="Times New Roman" w:eastAsia="Times New Roman" w:hAnsi="Times New Roman"/>
          <w:sz w:val="20"/>
          <w:szCs w:val="20"/>
          <w:color w:val="auto"/>
        </w:rPr>
        <w:t>. For purposes of this Section 2.17, the term “applicable law” includes FATCA.</w:t>
      </w:r>
    </w:p>
    <w:p>
      <w:pPr>
        <w:spacing w:after="0" w:line="229"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0"/>
          <w:szCs w:val="20"/>
          <w:color w:val="010000"/>
        </w:rPr>
        <w:t>Section 2.18.</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Intentionally Omitted</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ectPr>
          <w:pgSz w:w="11900" w:h="16838" w:orient="portrait"/>
          <w:cols w:equalWidth="0" w:num="1">
            <w:col w:w="11240"/>
          </w:cols>
          <w:pgMar w:left="320" w:top="1426" w:right="339" w:bottom="1440" w:gutter="0" w:footer="0" w:header="0"/>
        </w:sectPr>
      </w:pPr>
    </w:p>
    <w:bookmarkStart w:id="219" w:name="page220"/>
    <w:bookmarkEnd w:id="219"/>
    <w:p>
      <w:pPr>
        <w:ind w:left="180"/>
        <w:spacing w:after="0"/>
        <w:tabs>
          <w:tab w:leader="none" w:pos="1460" w:val="left"/>
        </w:tabs>
        <w:rPr>
          <w:sz w:val="20"/>
          <w:szCs w:val="20"/>
          <w:color w:val="auto"/>
        </w:rPr>
      </w:pPr>
      <w:r>
        <w:rPr>
          <w:rFonts w:ascii="Times New Roman" w:cs="Times New Roman" w:eastAsia="Times New Roman" w:hAnsi="Times New Roman"/>
          <w:sz w:val="20"/>
          <w:szCs w:val="20"/>
          <w:color w:val="010000"/>
        </w:rPr>
        <w:t>Section 2.19.</w:t>
      </w:r>
      <w:r>
        <w:rPr>
          <w:sz w:val="20"/>
          <w:szCs w:val="20"/>
          <w:color w:val="auto"/>
        </w:rPr>
        <w:tab/>
      </w:r>
      <w:r>
        <w:rPr>
          <w:rFonts w:ascii="Times New Roman" w:cs="Times New Roman" w:eastAsia="Times New Roman" w:hAnsi="Times New Roman"/>
          <w:sz w:val="19"/>
          <w:szCs w:val="19"/>
          <w:u w:val="single" w:color="auto"/>
          <w:color w:val="auto"/>
        </w:rPr>
        <w:t>Payments Generally; Pro Rata Treatment; Sharing of Set-offs</w:t>
      </w:r>
      <w:r>
        <w:rPr>
          <w:rFonts w:ascii="Times New Roman" w:cs="Times New Roman" w:eastAsia="Times New Roman" w:hAnsi="Times New Roman"/>
          <w:sz w:val="19"/>
          <w:szCs w:val="19"/>
          <w:color w:val="auto"/>
        </w:rPr>
        <w:t>.</w:t>
      </w:r>
    </w:p>
    <w:p>
      <w:pPr>
        <w:spacing w:after="0" w:line="28" w:lineRule="exact"/>
        <w:rPr>
          <w:sz w:val="20"/>
          <w:szCs w:val="20"/>
          <w:color w:val="auto"/>
        </w:rPr>
      </w:pPr>
    </w:p>
    <w:p>
      <w:pPr>
        <w:jc w:val="both"/>
        <w:ind w:left="-460" w:firstLine="644"/>
        <w:spacing w:after="0" w:line="260" w:lineRule="auto"/>
        <w:tabs>
          <w:tab w:leader="none" w:pos="826" w:val="left"/>
        </w:tabs>
        <w:numPr>
          <w:ilvl w:val="0"/>
          <w:numId w:val="23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Company shall make each payment or prepayment required to be made by it hereunder (whether of principal, interest, or fees, or of amounts payable under Section 2.15, 2.16 or 2.17, or otherwise) prior to 12:00 noon, New York City time on the date when due or the date fixed for any prepayment hereunder, in immediately available funds, without set-off, recoupment or counterclaim. Any amounts received after such time on any date may, in the discretion of the Administrative Agent, be deemed to have been received on the next succeeding Business Day for purposes of calculating interest thereon. All such payments shall be made (i) in Dollars and (ii) to the Administrative Agent at its applicable office or office as described in Section 9.01, except that payments pursuant to Sections 2.15, 2.16, 2.17, and 9.03 shall be made directly to the Persons entitled thereto. The Administrative Agent shall distribute any such payments denominated in the same currency received by it for the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w:t>
      </w:r>
    </w:p>
    <w:p>
      <w:pPr>
        <w:spacing w:after="0" w:line="187" w:lineRule="exact"/>
        <w:rPr>
          <w:rFonts w:ascii="Times New Roman" w:cs="Times New Roman" w:eastAsia="Times New Roman" w:hAnsi="Times New Roman"/>
          <w:sz w:val="20"/>
          <w:szCs w:val="20"/>
          <w:color w:val="010000"/>
        </w:rPr>
      </w:pPr>
    </w:p>
    <w:p>
      <w:pPr>
        <w:jc w:val="both"/>
        <w:ind w:left="-460" w:firstLine="644"/>
        <w:spacing w:after="0" w:line="264" w:lineRule="auto"/>
        <w:tabs>
          <w:tab w:leader="none" w:pos="824" w:val="left"/>
        </w:tabs>
        <w:numPr>
          <w:ilvl w:val="0"/>
          <w:numId w:val="23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If at any time insufficient funds are received by and available to the Administrative Agent to pay fully all amounts of principal, interest and fees then due hereunder with respect to the Company, such funds shall be applied (i) first, towards payment of interest and fees then due hereunder, ratably among the parties entitled thereto in accordance with the amounts of interest and fees then due to such parties by the Company, and (ii) second, towards payment of principal then due hereunder, ratably among the parties entitled thereto in accordance with the amounts of principal then due to such parties by the Company.</w:t>
      </w:r>
    </w:p>
    <w:p>
      <w:pPr>
        <w:spacing w:after="0" w:line="193" w:lineRule="exact"/>
        <w:rPr>
          <w:rFonts w:ascii="Times New Roman" w:cs="Times New Roman" w:eastAsia="Times New Roman" w:hAnsi="Times New Roman"/>
          <w:sz w:val="20"/>
          <w:szCs w:val="20"/>
          <w:color w:val="010000"/>
        </w:rPr>
      </w:pPr>
    </w:p>
    <w:p>
      <w:pPr>
        <w:jc w:val="both"/>
        <w:ind w:left="-460" w:firstLine="644"/>
        <w:spacing w:after="0" w:line="261" w:lineRule="auto"/>
        <w:tabs>
          <w:tab w:leader="none" w:pos="826" w:val="left"/>
        </w:tabs>
        <w:numPr>
          <w:ilvl w:val="0"/>
          <w:numId w:val="23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At the election of the Administrative Agent, all payments of principal, interest, fees, premiums, reimbursable expenses (including, without limitation, all reimbursement for fees and expenses pursuant to Section 9.03), and other sums payable under the Loan Documents, may be paid from the proceeds of Borrowings made hereunder to the Company whether made following a request by the Company pursuant to Section 2.03 or a deemed request as provided in this Section or may be deducted from any deposit account of the Company maintained with the Administrative Agent. The Company hereby irrevocably authorizes (i) the Administrative Agent to make a Borrowing for the purpose of paying each payment of principal, interest and fees as it becomes due hereunder or any other amount due under the Loan Documents and agrees that all such amounts charged shall constitute Loans and that all such Borrowings shall be deemed to have been requested pursuant to Section 2.03 and (ii) the Administrative Agent to charge any deposit account of the Company maintained with the Administrative Agent for each payment of principal, interest and fees as it becomes due hereunder or any other amount due under the Loan Documents.</w:t>
      </w:r>
    </w:p>
    <w:p>
      <w:pPr>
        <w:spacing w:after="0" w:line="185" w:lineRule="exact"/>
        <w:rPr>
          <w:rFonts w:ascii="Times New Roman" w:cs="Times New Roman" w:eastAsia="Times New Roman" w:hAnsi="Times New Roman"/>
          <w:sz w:val="20"/>
          <w:szCs w:val="20"/>
          <w:color w:val="010000"/>
        </w:rPr>
      </w:pPr>
    </w:p>
    <w:p>
      <w:pPr>
        <w:jc w:val="both"/>
        <w:ind w:left="-460" w:firstLine="644"/>
        <w:spacing w:after="0" w:line="281" w:lineRule="auto"/>
        <w:tabs>
          <w:tab w:leader="none" w:pos="824" w:val="left"/>
        </w:tabs>
        <w:numPr>
          <w:ilvl w:val="0"/>
          <w:numId w:val="23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If any Lender shall, by exercising any right of set-off or counterclaim or otherwise, obtain payment in respect of any principal of or interest on any of its Loans resulting in such Lender receiving payment of a greater proportion of the aggregate amount of its Loans and accrued interest thereon than the proportion received by any other Lender with respect to the Company, then the Lender receiving such greater proportion with respect to the Company shall purchase (for cash at face value) participations in the Loans of other Lenders to the extent necessary so that the benefit of all such payments shall be shared by the Lenders ratably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47</w:t>
      </w:r>
    </w:p>
    <w:p>
      <w:pPr>
        <w:sectPr>
          <w:pgSz w:w="11900" w:h="16838" w:orient="portrait"/>
          <w:cols w:equalWidth="0" w:num="1">
            <w:col w:w="10120"/>
          </w:cols>
          <w:pgMar w:left="1440" w:top="1426" w:right="339" w:bottom="1440" w:gutter="0" w:footer="0" w:header="0"/>
        </w:sectPr>
      </w:pPr>
    </w:p>
    <w:bookmarkStart w:id="220" w:name="page221"/>
    <w:bookmarkEnd w:id="220"/>
    <w:p>
      <w:pPr>
        <w:jc w:val="both"/>
        <w:ind w:left="660"/>
        <w:spacing w:after="0" w:line="261" w:lineRule="auto"/>
        <w:rPr>
          <w:sz w:val="20"/>
          <w:szCs w:val="20"/>
          <w:color w:val="auto"/>
        </w:rPr>
      </w:pPr>
      <w:r>
        <w:rPr>
          <w:rFonts w:ascii="Times New Roman" w:cs="Times New Roman" w:eastAsia="Times New Roman" w:hAnsi="Times New Roman"/>
          <w:sz w:val="20"/>
          <w:szCs w:val="20"/>
          <w:color w:val="auto"/>
        </w:rPr>
        <w:t xml:space="preserve">accordance with the aggregate amount of principal of and accrued interest on their respective Loans with respect to the Company;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the Company pursuant to and in accordance with the express terms of this Agreement or any payment obtained by a Lender as consideration for the assignment of or sale of a participation in any of its Loans to any assignee or participant, other than to the Company or any Subsidiary or Affiliate thereof (as to which the provisions of this paragraph shall apply). The Company consents to the foregoing and agrees, to the extent it may effectively do so under applicable law, that any Lender acquiring a participation pursuant to the foregoing arrangements may exercise against the Company rights of set-off and counterclaim with respect to such participation as fully as if such Lender were a direct creditor of the Company in the amount of such participation.</w:t>
      </w:r>
    </w:p>
    <w:p>
      <w:pPr>
        <w:spacing w:after="0" w:line="158" w:lineRule="exact"/>
        <w:rPr>
          <w:sz w:val="20"/>
          <w:szCs w:val="20"/>
          <w:color w:val="auto"/>
        </w:rPr>
      </w:pPr>
    </w:p>
    <w:p>
      <w:pPr>
        <w:jc w:val="both"/>
        <w:ind w:left="660" w:firstLine="644"/>
        <w:spacing w:after="0" w:line="215" w:lineRule="auto"/>
        <w:tabs>
          <w:tab w:leader="none" w:pos="1946" w:val="left"/>
        </w:tabs>
        <w:numPr>
          <w:ilvl w:val="0"/>
          <w:numId w:val="23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Unless the Administrative Agent shall have received notice from the Company prior to the date on which any payment is due to the Administrative Agent for the account of the Lenders hereunder that the Company will not make such payment, the Administrative Agent may assume that the Company has made such payment on such date in accordance herewith and may, in reliance upon such assumption, distribute to the Lenders the amount due. In such event, if the Company has not in fact made such payment, then each of the Lenders severally agrees to repay to the Administrative Agent forthwith on demand the amount so distributed to such Lender with interest thereon, for each day from and including the date such amount is distributed to it to but excluding the date of payment to the Administrative Agent, at the applicable Overnight Rate.</w:t>
      </w:r>
    </w:p>
    <w:p>
      <w:pPr>
        <w:spacing w:after="0" w:line="164" w:lineRule="exact"/>
        <w:rPr>
          <w:rFonts w:ascii="Times New Roman" w:cs="Times New Roman" w:eastAsia="Times New Roman" w:hAnsi="Times New Roman"/>
          <w:sz w:val="20"/>
          <w:szCs w:val="20"/>
          <w:color w:val="010000"/>
        </w:rPr>
      </w:pPr>
    </w:p>
    <w:p>
      <w:pPr>
        <w:jc w:val="both"/>
        <w:ind w:left="660" w:firstLine="644"/>
        <w:spacing w:after="0" w:line="215" w:lineRule="auto"/>
        <w:tabs>
          <w:tab w:leader="none" w:pos="1951" w:val="left"/>
        </w:tabs>
        <w:numPr>
          <w:ilvl w:val="0"/>
          <w:numId w:val="23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If any Lender shall fail to make any payment required to be made by it pursuant to Section 2.07(b), 2.19(e) or 9.03(c), then the Administrative Agent may, in its discretion (notwithstanding any contrary provision hereof), (i) apply any amounts thereafter received by the Administrative Agent for the account of such Lender and for the benefit of the Administrative Agent to satisfy such Lender’s obligations under such Sections until all such unsatisfied obligations are fully paid and/or (ii) hold any such amounts in a segregated account over which the Administrative Agent shall have exclusive control as cash collateral for, and application to, any future funding obligations of such Lender under such Sections; in the case of each of clauses (i) and (ii) above, in any order as determined by the Administrative Agent in its discretion.</w:t>
      </w:r>
    </w:p>
    <w:p>
      <w:pPr>
        <w:spacing w:after="0" w:line="151" w:lineRule="exact"/>
        <w:rPr>
          <w:sz w:val="20"/>
          <w:szCs w:val="20"/>
          <w:color w:val="auto"/>
        </w:rPr>
      </w:pPr>
    </w:p>
    <w:p>
      <w:pPr>
        <w:ind w:firstLine="1296"/>
        <w:spacing w:after="0" w:line="222" w:lineRule="auto"/>
        <w:rPr>
          <w:sz w:val="20"/>
          <w:szCs w:val="20"/>
          <w:color w:val="auto"/>
        </w:rPr>
      </w:pPr>
      <w:r>
        <w:rPr>
          <w:rFonts w:ascii="Times New Roman" w:cs="Times New Roman" w:eastAsia="Times New Roman" w:hAnsi="Times New Roman"/>
          <w:sz w:val="20"/>
          <w:szCs w:val="20"/>
          <w:color w:val="010000"/>
        </w:rPr>
        <w:t xml:space="preserve">Section 2.20. </w:t>
      </w:r>
      <w:r>
        <w:rPr>
          <w:rFonts w:ascii="Times New Roman" w:cs="Times New Roman" w:eastAsia="Times New Roman" w:hAnsi="Times New Roman"/>
          <w:sz w:val="20"/>
          <w:szCs w:val="20"/>
          <w:u w:val="single" w:color="auto"/>
          <w:color w:val="000000"/>
        </w:rPr>
        <w:t>Mitigation Obligations; Replacement of Lenders</w:t>
      </w:r>
      <w:r>
        <w:rPr>
          <w:rFonts w:ascii="Times New Roman" w:cs="Times New Roman" w:eastAsia="Times New Roman" w:hAnsi="Times New Roman"/>
          <w:sz w:val="20"/>
          <w:szCs w:val="20"/>
          <w:color w:val="000000"/>
        </w:rPr>
        <w:t>. If any Lender requests compensation under Section 2.15,</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or if the Company is required to pay any Indemnified Taxes or additional amounts to any Lender or any Governmental Authority for the</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account of any Lender pursuant to Section 2.17, then such Lender shall use reasonable efforts to designate a different lending office for funding or booking its Loans hereunder or to assign its rights and obligations hereunder to another of its offices, branches or affiliates, if, in</w:t>
      </w:r>
    </w:p>
    <w:p>
      <w:pPr>
        <w:spacing w:after="0" w:line="223" w:lineRule="auto"/>
        <w:rPr>
          <w:sz w:val="20"/>
          <w:szCs w:val="20"/>
          <w:color w:val="auto"/>
        </w:rPr>
      </w:pPr>
      <w:r>
        <w:rPr>
          <w:rFonts w:ascii="Times New Roman" w:cs="Times New Roman" w:eastAsia="Times New Roman" w:hAnsi="Times New Roman"/>
          <w:sz w:val="19"/>
          <w:szCs w:val="19"/>
          <w:color w:val="auto"/>
        </w:rPr>
        <w:t>the judgment of such Lender, such designation or assignment (i) would eliminate or reduce amounts payable pursuant to Section 2.15 or 2.17,</w:t>
      </w:r>
    </w:p>
    <w:p>
      <w:pPr>
        <w:spacing w:after="0" w:line="215" w:lineRule="auto"/>
        <w:rPr>
          <w:sz w:val="20"/>
          <w:szCs w:val="20"/>
          <w:color w:val="auto"/>
        </w:rPr>
      </w:pPr>
      <w:r>
        <w:rPr>
          <w:rFonts w:ascii="Times New Roman" w:cs="Times New Roman" w:eastAsia="Times New Roman" w:hAnsi="Times New Roman"/>
          <w:sz w:val="19"/>
          <w:szCs w:val="19"/>
          <w:color w:val="auto"/>
        </w:rPr>
        <w:t>as the case may be, in the future and (ii) would not subject such Lender to any unreimbursed cost or expense and would not otherwise be disadvantageous to such Lender. The Company hereby agrees to pay all reasonable costs and expenses incurred by any Lender in connection</w:t>
      </w:r>
    </w:p>
    <w:p>
      <w:pPr>
        <w:spacing w:after="0" w:line="225" w:lineRule="auto"/>
        <w:rPr>
          <w:sz w:val="20"/>
          <w:szCs w:val="20"/>
          <w:color w:val="auto"/>
        </w:rPr>
      </w:pPr>
      <w:r>
        <w:rPr>
          <w:rFonts w:ascii="Times New Roman" w:cs="Times New Roman" w:eastAsia="Times New Roman" w:hAnsi="Times New Roman"/>
          <w:sz w:val="20"/>
          <w:szCs w:val="20"/>
          <w:color w:val="auto"/>
        </w:rPr>
        <w:t>with any such designation or assignment.</w:t>
      </w:r>
    </w:p>
    <w:p>
      <w:pPr>
        <w:jc w:val="both"/>
        <w:ind w:firstLine="1304"/>
        <w:spacing w:after="0" w:line="247" w:lineRule="auto"/>
        <w:tabs>
          <w:tab w:leader="none" w:pos="1934" w:val="left"/>
        </w:tabs>
        <w:numPr>
          <w:ilvl w:val="0"/>
          <w:numId w:val="23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If (i) any Lender requests compensation under Section 2.15, (ii) the Company is required to pay any Indemnified Taxes or additional amounts to any Lender or any Governmental Authority for the account of any Lender pursuant to Section 2.17 or (iii) any Lender becomes a Defaulting Lender, then the Company may, at its sole expense and effort, upon notice to such Lender and the Administrative Agent, require such Lender to assign and delegate, without recourse (in accordance with and subject to the restrictions contained in Section 9.04), all its interests, rights (other than its existing rights to payments pursuant to Sections 2.15 or 2.17) and obligations under the Loan Documents to an assignee that shall assume such obligations (which assignee may be another Lender, if a Lender accepts such assignment); provided that (i) the Company shall have received the prior written consent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48</w:t>
      </w:r>
    </w:p>
    <w:p>
      <w:pPr>
        <w:sectPr>
          <w:pgSz w:w="11900" w:h="16838" w:orient="portrait"/>
          <w:cols w:equalWidth="0" w:num="1">
            <w:col w:w="11240"/>
          </w:cols>
          <w:pgMar w:left="320" w:top="1426" w:right="339" w:bottom="1440" w:gutter="0" w:footer="0" w:header="0"/>
        </w:sectPr>
      </w:pPr>
    </w:p>
    <w:bookmarkStart w:id="221" w:name="page222"/>
    <w:bookmarkEnd w:id="221"/>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Administrative Agent, which consent shall not unreasonably be withheld, (ii) such Lender shall have received payment of an amount equal to the outstanding principal of its Loans, accrued interest thereon, accrued fees and all other amounts payable to it hereunder, from the assignee (to the extent of such outstanding principal and accrued interest and fees) or the Company (in the case of all other amounts) and (iii) in the case of any such assignment resulting from a claim for compensation under Section 2.15 or payments required to be made pursuant to Section 2.17, such assignment will result in a reduction in such compensation or payments. A Lender shall not be required to make any such assignment and delegation if, prior thereto, as a result of a waiver by such Lender or otherwise, the circumstances entitling the Company to require such assignment and delegation cease to apply. Each party hereto agrees that (a) an assignment required pursuant to this paragraph may be effected pursuant to an Assignment and Assumption executed by the Company, the Administrative Agent and the assignee (or, to the extent applicable, an agreement incorporating an Assignment and Assumption by reference pursuant to an Approved Electronic Platform as to which the Administrative Agent and such parties are participants), and (b) the Lender required to make such assignment need not be a party thereto in order for such assignment to be effective and shall be deemed to have consented to and be bound by the terms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following the effectiveness of any such assignment, the other parties to such assignment agree to execute and deliver such documents necessary to evidence such assignment as reasonably requested by the applicable Lender, provided that any such documents shall be without recourse to or warranty by the parties thereto.</w:t>
      </w:r>
    </w:p>
    <w:p>
      <w:pPr>
        <w:spacing w:after="0" w:line="164"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0"/>
          <w:szCs w:val="20"/>
          <w:color w:val="010000"/>
        </w:rPr>
        <w:t>Section 2.21.</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Intentionally Omitted</w:t>
      </w:r>
      <w:r>
        <w:rPr>
          <w:rFonts w:ascii="Times New Roman" w:cs="Times New Roman" w:eastAsia="Times New Roman" w:hAnsi="Times New Roman"/>
          <w:sz w:val="19"/>
          <w:szCs w:val="19"/>
          <w:color w:val="auto"/>
        </w:rPr>
        <w:t>].</w:t>
      </w:r>
    </w:p>
    <w:p>
      <w:pPr>
        <w:ind w:left="1300"/>
        <w:spacing w:after="0" w:line="237" w:lineRule="auto"/>
        <w:tabs>
          <w:tab w:leader="none" w:pos="2580" w:val="left"/>
        </w:tabs>
        <w:rPr>
          <w:sz w:val="20"/>
          <w:szCs w:val="20"/>
          <w:color w:val="auto"/>
        </w:rPr>
      </w:pPr>
      <w:r>
        <w:rPr>
          <w:rFonts w:ascii="Times New Roman" w:cs="Times New Roman" w:eastAsia="Times New Roman" w:hAnsi="Times New Roman"/>
          <w:sz w:val="20"/>
          <w:szCs w:val="20"/>
          <w:color w:val="010000"/>
        </w:rPr>
        <w:t>Section 2.22.</w:t>
      </w:r>
      <w:r>
        <w:rPr>
          <w:sz w:val="20"/>
          <w:szCs w:val="20"/>
          <w:color w:val="auto"/>
        </w:rPr>
        <w:tab/>
      </w:r>
      <w:r>
        <w:rPr>
          <w:rFonts w:ascii="Times New Roman" w:cs="Times New Roman" w:eastAsia="Times New Roman" w:hAnsi="Times New Roman"/>
          <w:sz w:val="19"/>
          <w:szCs w:val="19"/>
          <w:u w:val="single" w:color="auto"/>
          <w:color w:val="auto"/>
        </w:rPr>
        <w:t>[Intentionally Omitted]</w:t>
      </w:r>
      <w:r>
        <w:rPr>
          <w:rFonts w:ascii="Times New Roman" w:cs="Times New Roman" w:eastAsia="Times New Roman" w:hAnsi="Times New Roman"/>
          <w:sz w:val="19"/>
          <w:szCs w:val="19"/>
          <w:color w:val="auto"/>
        </w:rPr>
        <w:t>.</w:t>
      </w:r>
    </w:p>
    <w:p>
      <w:pPr>
        <w:jc w:val="both"/>
        <w:ind w:firstLine="1296"/>
        <w:spacing w:after="0" w:line="227" w:lineRule="auto"/>
        <w:rPr>
          <w:sz w:val="20"/>
          <w:szCs w:val="20"/>
          <w:color w:val="auto"/>
        </w:rPr>
      </w:pPr>
      <w:r>
        <w:rPr>
          <w:rFonts w:ascii="Times New Roman" w:cs="Times New Roman" w:eastAsia="Times New Roman" w:hAnsi="Times New Roman"/>
          <w:sz w:val="20"/>
          <w:szCs w:val="20"/>
          <w:color w:val="010000"/>
        </w:rPr>
        <w:t xml:space="preserve">Section 2.23. </w:t>
      </w:r>
      <w:r>
        <w:rPr>
          <w:rFonts w:ascii="Times New Roman" w:cs="Times New Roman" w:eastAsia="Times New Roman" w:hAnsi="Times New Roman"/>
          <w:sz w:val="20"/>
          <w:szCs w:val="20"/>
          <w:u w:val="single" w:color="auto"/>
          <w:color w:val="000000"/>
        </w:rPr>
        <w:t>Judgment Currency</w:t>
      </w:r>
      <w:r>
        <w:rPr>
          <w:rFonts w:ascii="Times New Roman" w:cs="Times New Roman" w:eastAsia="Times New Roman" w:hAnsi="Times New Roman"/>
          <w:sz w:val="20"/>
          <w:szCs w:val="20"/>
          <w:color w:val="000000"/>
        </w:rPr>
        <w:t>. If for the purposes of obtaining judgment in any court it is necessary to convert a sum</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due from the Company hereunder in the currency expressed to be payable herein (the “</w:t>
      </w:r>
      <w:r>
        <w:rPr>
          <w:rFonts w:ascii="Times New Roman" w:cs="Times New Roman" w:eastAsia="Times New Roman" w:hAnsi="Times New Roman"/>
          <w:sz w:val="20"/>
          <w:szCs w:val="20"/>
          <w:u w:val="single" w:color="auto"/>
          <w:color w:val="000000"/>
        </w:rPr>
        <w:t>specified currency</w:t>
      </w:r>
      <w:r>
        <w:rPr>
          <w:rFonts w:ascii="Times New Roman" w:cs="Times New Roman" w:eastAsia="Times New Roman" w:hAnsi="Times New Roman"/>
          <w:sz w:val="20"/>
          <w:szCs w:val="20"/>
          <w:color w:val="000000"/>
        </w:rPr>
        <w:t>”) into another currency, the parties hereto agree, to the fullest extent that they may effectively do so, that the rate of exchange used shall be that at which in accordance with normal banking procedures the Administrative Agent could purchase the specified currency with such other currency at the Administrative Agent’s main New York City office on the Business Day preceding that on which final, non-appealable judgment is given. The obligations of the Company in respect of any sum due to any Lender or the Administrative Agent hereunder shall, notwithstanding any judgment in a currency other than the specified currency, be discharged only to the extent that on the Business Day following receipt by such Lender or the Administrative Agent (as the case may be) of any sum adjudged to be so due in such other currency such Lender or the Administrative Agent (as the case may be) may in accordance with normal, reasonable banking procedures purchase the specified currency with such other currency. If the amount of the specified currency so purchased is less than the sum originally due to such Lender or the Administrative Agent, as the case may be, in the specified currency, the Company agrees, to the fullest extent that it may effectively do so, as a separate obligation and notwithstanding any such judgment, to indemnify such Lender or the Administrative Agent, as the case may be, against such loss, and if the amount of the specified currency so purchased exceeds (a) the sum originally due to any Lender or the Administrative Agent, as the case may be, in the specified currency and (b) any amounts shared with other Lenders as a result of allocations of such excess as a disproportionate payment to such Lender under Section 2.19, such Lender or the Administrative Agent, as the case may be, agrees to remit such excess to the Company.</w:t>
      </w:r>
    </w:p>
    <w:p>
      <w:pPr>
        <w:ind w:left="1300"/>
        <w:spacing w:after="0"/>
        <w:tabs>
          <w:tab w:leader="none" w:pos="2580" w:val="left"/>
        </w:tabs>
        <w:rPr>
          <w:sz w:val="20"/>
          <w:szCs w:val="20"/>
          <w:color w:val="auto"/>
        </w:rPr>
      </w:pPr>
      <w:r>
        <w:rPr>
          <w:rFonts w:ascii="Times New Roman" w:cs="Times New Roman" w:eastAsia="Times New Roman" w:hAnsi="Times New Roman"/>
          <w:sz w:val="20"/>
          <w:szCs w:val="20"/>
          <w:color w:val="010000"/>
        </w:rPr>
        <w:t>Section 2.24.</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Intentionally Omitted</w:t>
      </w:r>
      <w:r>
        <w:rPr>
          <w:rFonts w:ascii="Times New Roman" w:cs="Times New Roman" w:eastAsia="Times New Roman" w:hAnsi="Times New Roman"/>
          <w:sz w:val="19"/>
          <w:szCs w:val="19"/>
          <w:color w:val="auto"/>
        </w:rPr>
        <w:t>].</w:t>
      </w:r>
    </w:p>
    <w:p>
      <w:pPr>
        <w:jc w:val="both"/>
        <w:ind w:firstLine="1296"/>
        <w:spacing w:after="0" w:line="225" w:lineRule="auto"/>
        <w:rPr>
          <w:sz w:val="20"/>
          <w:szCs w:val="20"/>
          <w:color w:val="auto"/>
        </w:rPr>
      </w:pPr>
      <w:r>
        <w:rPr>
          <w:rFonts w:ascii="Times New Roman" w:cs="Times New Roman" w:eastAsia="Times New Roman" w:hAnsi="Times New Roman"/>
          <w:sz w:val="20"/>
          <w:szCs w:val="20"/>
          <w:color w:val="010000"/>
        </w:rPr>
        <w:t xml:space="preserve">Section 2.25. </w:t>
      </w:r>
      <w:r>
        <w:rPr>
          <w:rFonts w:ascii="Times New Roman" w:cs="Times New Roman" w:eastAsia="Times New Roman" w:hAnsi="Times New Roman"/>
          <w:sz w:val="20"/>
          <w:szCs w:val="20"/>
          <w:u w:val="single" w:color="auto"/>
          <w:color w:val="000000"/>
        </w:rPr>
        <w:t>Defaulting Lenders</w:t>
      </w:r>
      <w:r>
        <w:rPr>
          <w:rFonts w:ascii="Times New Roman" w:cs="Times New Roman" w:eastAsia="Times New Roman" w:hAnsi="Times New Roman"/>
          <w:sz w:val="20"/>
          <w:szCs w:val="20"/>
          <w:color w:val="000000"/>
        </w:rPr>
        <w:t>. Notwithstanding any provision of this Agreement to the contrary, if any Lender</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becomes a Defaulting Lender, then the following provisions shall apply for so long as such Lender is a Defaulting Lender:</w:t>
      </w:r>
    </w:p>
    <w:p>
      <w:pPr>
        <w:spacing w:after="0" w:line="1" w:lineRule="exact"/>
        <w:rPr>
          <w:sz w:val="20"/>
          <w:szCs w:val="20"/>
          <w:color w:val="auto"/>
        </w:rPr>
      </w:pPr>
    </w:p>
    <w:p>
      <w:pPr>
        <w:ind w:left="1940" w:hanging="636"/>
        <w:spacing w:after="0"/>
        <w:tabs>
          <w:tab w:leader="none" w:pos="1940" w:val="left"/>
        </w:tabs>
        <w:numPr>
          <w:ilvl w:val="0"/>
          <w:numId w:val="23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fees shall cease to accrue on the Commitment of such Defaulting Lender pursuant to Section 2.12(a);</w:t>
      </w:r>
    </w:p>
    <w:p>
      <w:pPr>
        <w:spacing w:after="0" w:line="193" w:lineRule="exact"/>
        <w:rPr>
          <w:rFonts w:ascii="Times New Roman" w:cs="Times New Roman" w:eastAsia="Times New Roman" w:hAnsi="Times New Roman"/>
          <w:sz w:val="20"/>
          <w:szCs w:val="20"/>
          <w:color w:val="010000"/>
        </w:rPr>
      </w:pPr>
    </w:p>
    <w:p>
      <w:pPr>
        <w:ind w:left="660" w:right="20" w:firstLine="644"/>
        <w:spacing w:after="0" w:line="283" w:lineRule="auto"/>
        <w:tabs>
          <w:tab w:leader="none" w:pos="1944" w:val="left"/>
        </w:tabs>
        <w:numPr>
          <w:ilvl w:val="0"/>
          <w:numId w:val="23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payment of principal, interest, fees or other amounts received by the Administrative Agent for the account of such Defaulting Lender (whether voluntary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49</w:t>
      </w:r>
    </w:p>
    <w:p>
      <w:pPr>
        <w:sectPr>
          <w:pgSz w:w="11900" w:h="16838" w:orient="portrait"/>
          <w:cols w:equalWidth="0" w:num="1">
            <w:col w:w="11240"/>
          </w:cols>
          <w:pgMar w:left="320" w:top="1413" w:right="339" w:bottom="1440" w:gutter="0" w:footer="0" w:header="0"/>
        </w:sectPr>
      </w:pPr>
    </w:p>
    <w:bookmarkStart w:id="222" w:name="page223"/>
    <w:bookmarkEnd w:id="222"/>
    <w:p>
      <w:pPr>
        <w:jc w:val="both"/>
        <w:ind w:left="660"/>
        <w:spacing w:after="0" w:line="259" w:lineRule="auto"/>
        <w:rPr>
          <w:sz w:val="20"/>
          <w:szCs w:val="20"/>
          <w:color w:val="auto"/>
        </w:rPr>
      </w:pPr>
      <w:r>
        <w:rPr>
          <w:rFonts w:ascii="Times New Roman" w:cs="Times New Roman" w:eastAsia="Times New Roman" w:hAnsi="Times New Roman"/>
          <w:sz w:val="20"/>
          <w:szCs w:val="20"/>
          <w:color w:val="auto"/>
        </w:rPr>
        <w:t xml:space="preserve">mandatory, at maturity, pursuant to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 xml:space="preserve"> or otherwise) or received by the Administrative Agent from a Defaulting Lender pursuant to Section 9.08 shall be applied at such time or times as may be determined by the Administrative Agent as follows: </w:t>
      </w: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xml:space="preserve">, to the payment of any amounts owing by such Defaulting Lender to the Administrative Agent hereunder; </w:t>
      </w: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xml:space="preserve">, [intentionally omitted]; </w:t>
      </w:r>
      <w:r>
        <w:rPr>
          <w:rFonts w:ascii="Times New Roman" w:cs="Times New Roman" w:eastAsia="Times New Roman" w:hAnsi="Times New Roman"/>
          <w:sz w:val="20"/>
          <w:szCs w:val="20"/>
          <w:u w:val="single" w:color="auto"/>
          <w:color w:val="auto"/>
        </w:rPr>
        <w:t>third</w:t>
      </w:r>
      <w:r>
        <w:rPr>
          <w:rFonts w:ascii="Times New Roman" w:cs="Times New Roman" w:eastAsia="Times New Roman" w:hAnsi="Times New Roman"/>
          <w:sz w:val="20"/>
          <w:szCs w:val="20"/>
          <w:color w:val="auto"/>
        </w:rPr>
        <w:t xml:space="preserve">, [intentionally omitted]; </w:t>
      </w:r>
      <w:r>
        <w:rPr>
          <w:rFonts w:ascii="Times New Roman" w:cs="Times New Roman" w:eastAsia="Times New Roman" w:hAnsi="Times New Roman"/>
          <w:sz w:val="20"/>
          <w:szCs w:val="20"/>
          <w:u w:val="single" w:color="auto"/>
          <w:color w:val="auto"/>
        </w:rPr>
        <w:t>fourth</w:t>
      </w:r>
      <w:r>
        <w:rPr>
          <w:rFonts w:ascii="Times New Roman" w:cs="Times New Roman" w:eastAsia="Times New Roman" w:hAnsi="Times New Roman"/>
          <w:sz w:val="20"/>
          <w:szCs w:val="20"/>
          <w:color w:val="auto"/>
        </w:rPr>
        <w:t xml:space="preserve">, as the Company may request (so long as no Default or Event of Default exists), to the funding of any Loan in respect of which such Defaulting Lender has failed to fund its portion thereof as required by this Agreement, as determined by the Administrative Agent; </w:t>
      </w:r>
      <w:r>
        <w:rPr>
          <w:rFonts w:ascii="Times New Roman" w:cs="Times New Roman" w:eastAsia="Times New Roman" w:hAnsi="Times New Roman"/>
          <w:sz w:val="20"/>
          <w:szCs w:val="20"/>
          <w:u w:val="single" w:color="auto"/>
          <w:color w:val="auto"/>
        </w:rPr>
        <w:t>fifth</w:t>
      </w:r>
      <w:r>
        <w:rPr>
          <w:rFonts w:ascii="Times New Roman" w:cs="Times New Roman" w:eastAsia="Times New Roman" w:hAnsi="Times New Roman"/>
          <w:sz w:val="20"/>
          <w:szCs w:val="20"/>
          <w:color w:val="auto"/>
        </w:rPr>
        <w:t xml:space="preserve">, if so determined by the Administrative Agent and the Company, to be held in a deposit account and released pro rata in order to satisfy such Defaulting Lender’s potential future funding obligations with respect to Loans under this Agreement; </w:t>
      </w:r>
      <w:r>
        <w:rPr>
          <w:rFonts w:ascii="Times New Roman" w:cs="Times New Roman" w:eastAsia="Times New Roman" w:hAnsi="Times New Roman"/>
          <w:sz w:val="20"/>
          <w:szCs w:val="20"/>
          <w:u w:val="single" w:color="auto"/>
          <w:color w:val="auto"/>
        </w:rPr>
        <w:t>sixth</w:t>
      </w:r>
      <w:r>
        <w:rPr>
          <w:rFonts w:ascii="Times New Roman" w:cs="Times New Roman" w:eastAsia="Times New Roman" w:hAnsi="Times New Roman"/>
          <w:sz w:val="20"/>
          <w:szCs w:val="20"/>
          <w:color w:val="auto"/>
        </w:rPr>
        <w:t xml:space="preserve">, to the payment of any amounts owing to the Lenders as a result of any judgment of a court of competent jurisdiction obtained by any Lender against such Defaulting Lender as a result of such Defaulting Lender’s breach of its obligations under this Agreement or under any other Loan Document; </w:t>
      </w:r>
      <w:r>
        <w:rPr>
          <w:rFonts w:ascii="Times New Roman" w:cs="Times New Roman" w:eastAsia="Times New Roman" w:hAnsi="Times New Roman"/>
          <w:sz w:val="20"/>
          <w:szCs w:val="20"/>
          <w:u w:val="single" w:color="auto"/>
          <w:color w:val="auto"/>
        </w:rPr>
        <w:t>seventh</w:t>
      </w:r>
      <w:r>
        <w:rPr>
          <w:rFonts w:ascii="Times New Roman" w:cs="Times New Roman" w:eastAsia="Times New Roman" w:hAnsi="Times New Roman"/>
          <w:sz w:val="20"/>
          <w:szCs w:val="20"/>
          <w:color w:val="auto"/>
        </w:rPr>
        <w:t xml:space="preserve">, so long as no Default or Event of Default exists, to the payment of any amounts owing to the Company as a result of any judgment of a court of competent jurisdiction obtained by the Company against such Defaulting Lender as a result of such Defaulting Lender’s breach of its obligations under this Agreement or under any other Loan Document; and </w:t>
      </w:r>
      <w:r>
        <w:rPr>
          <w:rFonts w:ascii="Times New Roman" w:cs="Times New Roman" w:eastAsia="Times New Roman" w:hAnsi="Times New Roman"/>
          <w:sz w:val="20"/>
          <w:szCs w:val="20"/>
          <w:u w:val="single" w:color="auto"/>
          <w:color w:val="auto"/>
        </w:rPr>
        <w:t>eighth</w:t>
      </w:r>
      <w:r>
        <w:rPr>
          <w:rFonts w:ascii="Times New Roman" w:cs="Times New Roman" w:eastAsia="Times New Roman" w:hAnsi="Times New Roman"/>
          <w:sz w:val="20"/>
          <w:szCs w:val="20"/>
          <w:color w:val="auto"/>
        </w:rPr>
        <w:t>, to such Defaulting Lender or as otherwise directed by a court of competent jurisdiction; provided that if (x) such payment is a payment of the principal amount of any Loans in respect of which such Defaulting Lender has not fully funded its appropriate share, and (y) such Loans were made at a time when the conditions set forth in Section 4.02 were satisfied or waived, such payment shall be applied solely to pay the Loans of all non-Defaulting Lenders on a pro rata basis prior to being applied to the payment of any Loans of such Defaulting Lender until such time as all Loans are held by the Lenders pro rata in accordance with the Commitments without giving effect to clause (d) below. Any payments, prepayments or other amounts paid or payable to a Defaulting Lender that are applied (or held) to pay amounts owed by a Defaulting Lender or to post cash collateral pursuant to this Section shall be deemed paid to and redirected by such Defaulting Lender, and each Lender irrevocably consents hereto;</w:t>
      </w:r>
    </w:p>
    <w:p>
      <w:pPr>
        <w:spacing w:after="0" w:line="202" w:lineRule="exact"/>
        <w:rPr>
          <w:sz w:val="20"/>
          <w:szCs w:val="20"/>
          <w:color w:val="auto"/>
        </w:rPr>
      </w:pPr>
    </w:p>
    <w:p>
      <w:pPr>
        <w:jc w:val="both"/>
        <w:ind w:left="660" w:firstLine="644"/>
        <w:spacing w:after="0" w:line="264" w:lineRule="auto"/>
        <w:tabs>
          <w:tab w:leader="none" w:pos="1946" w:val="left"/>
        </w:tabs>
        <w:numPr>
          <w:ilvl w:val="1"/>
          <w:numId w:val="23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the Commitments or Loans of such Defaulting Lender shall not be included in determining whether the Required Lenders have taken or may take any action hereunder (including any consent to any amendment, waiver or other modification pursuant to Section 9.02);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any amendment, waiver or other modification requiring the consent of all Lenders or all Lenders directly affected thereby shall not, except as otherwise provided in Section 9.02, require the consent of such Defaulting Lender in accordance with the terms hereof;</w:t>
      </w:r>
    </w:p>
    <w:p>
      <w:pPr>
        <w:spacing w:after="0" w:line="193" w:lineRule="exact"/>
        <w:rPr>
          <w:rFonts w:ascii="Times New Roman" w:cs="Times New Roman" w:eastAsia="Times New Roman" w:hAnsi="Times New Roman"/>
          <w:sz w:val="20"/>
          <w:szCs w:val="20"/>
          <w:color w:val="010000"/>
        </w:rPr>
      </w:pPr>
    </w:p>
    <w:p>
      <w:pPr>
        <w:jc w:val="both"/>
        <w:ind w:firstLine="8"/>
        <w:spacing w:after="0" w:line="268" w:lineRule="auto"/>
        <w:tabs>
          <w:tab w:leader="none" w:pos="636" w:val="left"/>
        </w:tabs>
        <w:numPr>
          <w:ilvl w:val="0"/>
          <w:numId w:val="2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the Administrative Agent and the Company agree that a Defaulting Lender has adequately remedied all matters that caused such Lender to be a Defaulting Lender, then on such date such Lender shall purchase at par such of the Loans of the other Lenders as the Administrative Agent shall determine may be necessary in order for such Lender to hold such Loans in accordance with its Applicable Percentage.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50</w:t>
      </w:r>
    </w:p>
    <w:p>
      <w:pPr>
        <w:sectPr>
          <w:pgSz w:w="11900" w:h="16838" w:orient="portrait"/>
          <w:cols w:equalWidth="0" w:num="1">
            <w:col w:w="11240"/>
          </w:cols>
          <w:pgMar w:left="320" w:top="1426" w:right="339" w:bottom="1440" w:gutter="0" w:footer="0" w:header="0"/>
        </w:sectPr>
      </w:pPr>
    </w:p>
    <w:bookmarkStart w:id="223" w:name="page224"/>
    <w:bookmarkEnd w:id="223"/>
    <w:p>
      <w:pPr>
        <w:jc w:val="center"/>
        <w:ind w:right="200"/>
        <w:spacing w:after="0"/>
        <w:rPr>
          <w:sz w:val="20"/>
          <w:szCs w:val="20"/>
          <w:color w:val="auto"/>
        </w:rPr>
      </w:pPr>
      <w:r>
        <w:rPr>
          <w:rFonts w:ascii="Times New Roman" w:cs="Times New Roman" w:eastAsia="Times New Roman" w:hAnsi="Times New Roman"/>
          <w:sz w:val="20"/>
          <w:szCs w:val="20"/>
          <w:color w:val="010000"/>
        </w:rPr>
        <w:t>ARTICLE III</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Representations and Warranties</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The Company represents and warrants to the Lenders on each of the Effective Date and the Closing Date that:</w:t>
      </w:r>
    </w:p>
    <w:p>
      <w:pPr>
        <w:spacing w:after="0" w:line="202"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0"/>
          <w:szCs w:val="20"/>
          <w:color w:val="010000"/>
        </w:rPr>
        <w:t xml:space="preserve">Section 3.01. </w:t>
      </w:r>
      <w:r>
        <w:rPr>
          <w:rFonts w:ascii="Times New Roman" w:cs="Times New Roman" w:eastAsia="Times New Roman" w:hAnsi="Times New Roman"/>
          <w:sz w:val="20"/>
          <w:szCs w:val="20"/>
          <w:u w:val="single" w:color="auto"/>
          <w:color w:val="000000"/>
        </w:rPr>
        <w:t>Organization; Powers; Subsidiaries</w:t>
      </w:r>
      <w:r>
        <w:rPr>
          <w:rFonts w:ascii="Times New Roman" w:cs="Times New Roman" w:eastAsia="Times New Roman" w:hAnsi="Times New Roman"/>
          <w:sz w:val="20"/>
          <w:szCs w:val="20"/>
          <w:color w:val="000000"/>
        </w:rPr>
        <w:t>. Each of the Company and its Subsidiaries is duly organized, validly</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 xml:space="preserve">existing and in good standing (to the extent such concept is applicable in the relevant jurisdiction) under the laws of the jurisdiction of its organization, has all requisite power and authority to carry on its business as now conducted and, except where the failure to do so, individually or in the aggregate, could not reasonably be expected to result in a Material Adverse Effect, is qualified to do business in, and is in good standing (to the extent such concept is applicable) in, every jurisdiction where such qualification is required. </w:t>
      </w:r>
      <w:r>
        <w:rPr>
          <w:rFonts w:ascii="Times New Roman" w:cs="Times New Roman" w:eastAsia="Times New Roman" w:hAnsi="Times New Roman"/>
          <w:sz w:val="20"/>
          <w:szCs w:val="20"/>
          <w:u w:val="single" w:color="auto"/>
          <w:color w:val="000000"/>
        </w:rPr>
        <w:t>Schedule 3.01</w:t>
      </w:r>
      <w:r>
        <w:rPr>
          <w:rFonts w:ascii="Times New Roman" w:cs="Times New Roman" w:eastAsia="Times New Roman" w:hAnsi="Times New Roman"/>
          <w:sz w:val="20"/>
          <w:szCs w:val="20"/>
          <w:color w:val="000000"/>
        </w:rPr>
        <w:t xml:space="preserve"> hereto identifies each Subsidiary as of the Effective Date, noting whether such Subsidiary is a Significant Subsidiary, the jurisdiction of its incorporation or organization, as the case may be, the percentage of issued and outstanding shares of each class of its capital stock or other equity interests owned by the Company and the other Subsidiaries and, if such percentage is not 100% (excluding directors’ qualifying shares as required by law), a description of each class issued and outstanding.</w:t>
      </w:r>
    </w:p>
    <w:p>
      <w:pPr>
        <w:spacing w:after="0" w:line="6" w:lineRule="exact"/>
        <w:rPr>
          <w:sz w:val="20"/>
          <w:szCs w:val="20"/>
          <w:color w:val="auto"/>
        </w:rPr>
      </w:pPr>
    </w:p>
    <w:p>
      <w:pPr>
        <w:jc w:val="both"/>
        <w:ind w:firstLine="1296"/>
        <w:spacing w:after="0" w:line="204" w:lineRule="auto"/>
        <w:rPr>
          <w:sz w:val="20"/>
          <w:szCs w:val="20"/>
          <w:color w:val="auto"/>
        </w:rPr>
      </w:pPr>
      <w:r>
        <w:rPr>
          <w:rFonts w:ascii="Times New Roman" w:cs="Times New Roman" w:eastAsia="Times New Roman" w:hAnsi="Times New Roman"/>
          <w:sz w:val="20"/>
          <w:szCs w:val="20"/>
          <w:color w:val="010000"/>
        </w:rPr>
        <w:t xml:space="preserve">Section 3.02. </w:t>
      </w:r>
      <w:r>
        <w:rPr>
          <w:rFonts w:ascii="Times New Roman" w:cs="Times New Roman" w:eastAsia="Times New Roman" w:hAnsi="Times New Roman"/>
          <w:sz w:val="20"/>
          <w:szCs w:val="20"/>
          <w:u w:val="single" w:color="auto"/>
          <w:color w:val="000000"/>
        </w:rPr>
        <w:t>Authorization; Enforceability</w:t>
      </w:r>
      <w:r>
        <w:rPr>
          <w:rFonts w:ascii="Times New Roman" w:cs="Times New Roman" w:eastAsia="Times New Roman" w:hAnsi="Times New Roman"/>
          <w:sz w:val="20"/>
          <w:szCs w:val="20"/>
          <w:color w:val="000000"/>
        </w:rPr>
        <w:t>. The Transactions are within the Company’s organizational powers and have</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been duly authorized by all necessary organizational actions and, if required, actions by equity holders. The Loan Documents to which the</w:t>
      </w:r>
    </w:p>
    <w:p>
      <w:pPr>
        <w:spacing w:after="0" w:line="211" w:lineRule="auto"/>
        <w:rPr>
          <w:sz w:val="20"/>
          <w:szCs w:val="20"/>
          <w:color w:val="auto"/>
        </w:rPr>
      </w:pPr>
      <w:r>
        <w:rPr>
          <w:rFonts w:ascii="Times New Roman" w:cs="Times New Roman" w:eastAsia="Times New Roman" w:hAnsi="Times New Roman"/>
          <w:sz w:val="20"/>
          <w:szCs w:val="20"/>
          <w:color w:val="auto"/>
        </w:rPr>
        <w:t>Company is a party have been duly executed and delivered by the Company and constitute a legal, valid and binding obligation of the</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Company, enforceable in accordance with its terms, subject to applicable bankruptcy, insolvency, reorganization, moratorium or other laws affecting creditors’ rights generally and subject to general principles of equity, regardless of whether considered in a proceeding in equity or</w:t>
      </w:r>
    </w:p>
    <w:p>
      <w:pPr>
        <w:spacing w:after="0" w:line="211" w:lineRule="auto"/>
        <w:rPr>
          <w:sz w:val="20"/>
          <w:szCs w:val="20"/>
          <w:color w:val="auto"/>
        </w:rPr>
      </w:pPr>
      <w:r>
        <w:rPr>
          <w:rFonts w:ascii="Times New Roman" w:cs="Times New Roman" w:eastAsia="Times New Roman" w:hAnsi="Times New Roman"/>
          <w:sz w:val="20"/>
          <w:szCs w:val="20"/>
          <w:color w:val="auto"/>
        </w:rPr>
        <w:t>at law.</w:t>
      </w:r>
    </w:p>
    <w:p>
      <w:pPr>
        <w:spacing w:after="0" w:line="1" w:lineRule="exact"/>
        <w:rPr>
          <w:sz w:val="20"/>
          <w:szCs w:val="20"/>
          <w:color w:val="auto"/>
        </w:rPr>
      </w:pPr>
    </w:p>
    <w:p>
      <w:pPr>
        <w:jc w:val="both"/>
        <w:ind w:firstLine="1296"/>
        <w:spacing w:after="0" w:line="204" w:lineRule="auto"/>
        <w:rPr>
          <w:sz w:val="20"/>
          <w:szCs w:val="20"/>
          <w:color w:val="auto"/>
        </w:rPr>
      </w:pPr>
      <w:r>
        <w:rPr>
          <w:rFonts w:ascii="Times New Roman" w:cs="Times New Roman" w:eastAsia="Times New Roman" w:hAnsi="Times New Roman"/>
          <w:sz w:val="20"/>
          <w:szCs w:val="20"/>
          <w:color w:val="010000"/>
        </w:rPr>
        <w:t xml:space="preserve">Section 3.03. </w:t>
      </w:r>
      <w:r>
        <w:rPr>
          <w:rFonts w:ascii="Times New Roman" w:cs="Times New Roman" w:eastAsia="Times New Roman" w:hAnsi="Times New Roman"/>
          <w:sz w:val="20"/>
          <w:szCs w:val="20"/>
          <w:u w:val="single" w:color="auto"/>
          <w:color w:val="000000"/>
        </w:rPr>
        <w:t>Governmental Approvals; No Conflicts</w:t>
      </w:r>
      <w:r>
        <w:rPr>
          <w:rFonts w:ascii="Times New Roman" w:cs="Times New Roman" w:eastAsia="Times New Roman" w:hAnsi="Times New Roman"/>
          <w:sz w:val="20"/>
          <w:szCs w:val="20"/>
          <w:color w:val="000000"/>
        </w:rPr>
        <w:t>. The Transactions (a) do not require any consent or approval of,</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registration or filing with, or any other action by, any Governmental Authority, except such as have been obtained or made and are in full</w:t>
      </w:r>
    </w:p>
    <w:p>
      <w:pPr>
        <w:spacing w:after="0" w:line="211" w:lineRule="auto"/>
        <w:rPr>
          <w:sz w:val="20"/>
          <w:szCs w:val="20"/>
          <w:color w:val="auto"/>
        </w:rPr>
      </w:pPr>
      <w:r>
        <w:rPr>
          <w:rFonts w:ascii="Times New Roman" w:cs="Times New Roman" w:eastAsia="Times New Roman" w:hAnsi="Times New Roman"/>
          <w:sz w:val="20"/>
          <w:szCs w:val="20"/>
          <w:color w:val="auto"/>
        </w:rPr>
        <w:t>force and effect, (b) will not violate any applicable law or regulation or the charter, by-laws or other organizational documents of the</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Company or any of its Subsidiaries or any order of any Governmental Authority, (c) will not violate or result in a default under any indenture, agreement or other instrument binding upon the Company or any of its Subsidiaries or its assets, or give rise to a right thereunder to require</w:t>
      </w:r>
    </w:p>
    <w:p>
      <w:pPr>
        <w:jc w:val="both"/>
        <w:spacing w:after="0" w:line="204" w:lineRule="auto"/>
        <w:rPr>
          <w:sz w:val="20"/>
          <w:szCs w:val="20"/>
          <w:color w:val="auto"/>
        </w:rPr>
      </w:pPr>
      <w:r>
        <w:rPr>
          <w:rFonts w:ascii="Times New Roman" w:cs="Times New Roman" w:eastAsia="Times New Roman" w:hAnsi="Times New Roman"/>
          <w:sz w:val="20"/>
          <w:szCs w:val="20"/>
          <w:color w:val="auto"/>
        </w:rPr>
        <w:t>any payment to be made by the Company or any of its Subsidiaries, and (d) will not result in the creation or imposition of any Lien on any asset of the Company or any of its Subsidiaries. Each Subsidiary organized under the laws of England and Wales represents and warrants to</w:t>
      </w:r>
    </w:p>
    <w:p>
      <w:pPr>
        <w:spacing w:after="0" w:line="211" w:lineRule="auto"/>
        <w:rPr>
          <w:sz w:val="20"/>
          <w:szCs w:val="20"/>
          <w:color w:val="auto"/>
        </w:rPr>
      </w:pPr>
      <w:r>
        <w:rPr>
          <w:rFonts w:ascii="Times New Roman" w:cs="Times New Roman" w:eastAsia="Times New Roman" w:hAnsi="Times New Roman"/>
          <w:sz w:val="20"/>
          <w:szCs w:val="20"/>
          <w:color w:val="auto"/>
        </w:rPr>
        <w:t>the Lenders that its centre of main interest (as that term is used in Article 3(1) of the Regulation, as it has effect in the United Kingdom</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pursuant to the Insolvency (Amendment) (EU Exit) Regulations 2019 (as amended)) is in England and Wales and it has no Establishment in any other jurisdiction. Each Subsidiary organized under the laws of the Netherlands represents and warrants to the Lenders that its centre of</w:t>
      </w:r>
    </w:p>
    <w:p>
      <w:pPr>
        <w:spacing w:after="0" w:line="223" w:lineRule="auto"/>
        <w:rPr>
          <w:sz w:val="20"/>
          <w:szCs w:val="20"/>
          <w:color w:val="auto"/>
        </w:rPr>
      </w:pPr>
      <w:r>
        <w:rPr>
          <w:rFonts w:ascii="Times New Roman" w:cs="Times New Roman" w:eastAsia="Times New Roman" w:hAnsi="Times New Roman"/>
          <w:sz w:val="19"/>
          <w:szCs w:val="19"/>
          <w:color w:val="auto"/>
        </w:rPr>
        <w:t>main interest (as that term is used in Article 3(1) of the Regulation) is in the Netherlands and it has no Establishment in any other jurisdiction.</w:t>
      </w:r>
    </w:p>
    <w:p>
      <w:pPr>
        <w:jc w:val="both"/>
        <w:spacing w:after="0" w:line="215" w:lineRule="auto"/>
        <w:rPr>
          <w:sz w:val="20"/>
          <w:szCs w:val="20"/>
          <w:color w:val="auto"/>
        </w:rPr>
      </w:pPr>
      <w:r>
        <w:rPr>
          <w:rFonts w:ascii="Times New Roman" w:cs="Times New Roman" w:eastAsia="Times New Roman" w:hAnsi="Times New Roman"/>
          <w:sz w:val="19"/>
          <w:szCs w:val="19"/>
          <w:color w:val="auto"/>
        </w:rPr>
        <w:t>Each Subsidiary organized under the laws of Germany represents and warrants to the Lenders that it maintains its centre of main interests (as defined in Council Regulation (EC) No 1346/2000 of 29 May 2000 on insolvency proceedings (as amended or superseded from time to time,</w:t>
      </w:r>
    </w:p>
    <w:p>
      <w:pPr>
        <w:jc w:val="both"/>
        <w:spacing w:after="0" w:line="211" w:lineRule="auto"/>
        <w:rPr>
          <w:sz w:val="20"/>
          <w:szCs w:val="20"/>
          <w:color w:val="auto"/>
        </w:rPr>
      </w:pPr>
      <w:r>
        <w:rPr>
          <w:rFonts w:ascii="Times New Roman" w:cs="Times New Roman" w:eastAsia="Times New Roman" w:hAnsi="Times New Roman"/>
          <w:sz w:val="20"/>
          <w:szCs w:val="20"/>
          <w:color w:val="auto"/>
        </w:rPr>
        <w:t>e.g., pursuant to Regulation (EU) No 2015/848 of the European Parliament and of the Council of 20 May 2015 on insolvency proceedings)) in Germany.</w:t>
      </w:r>
    </w:p>
    <w:p>
      <w:pPr>
        <w:spacing w:after="0" w:line="1" w:lineRule="exact"/>
        <w:rPr>
          <w:sz w:val="20"/>
          <w:szCs w:val="20"/>
          <w:color w:val="auto"/>
        </w:rPr>
      </w:pPr>
    </w:p>
    <w:p>
      <w:pPr>
        <w:jc w:val="both"/>
        <w:ind w:firstLine="1296"/>
        <w:spacing w:after="0"/>
        <w:rPr>
          <w:sz w:val="20"/>
          <w:szCs w:val="20"/>
          <w:color w:val="auto"/>
        </w:rPr>
      </w:pPr>
      <w:r>
        <w:rPr>
          <w:rFonts w:ascii="Times New Roman" w:cs="Times New Roman" w:eastAsia="Times New Roman" w:hAnsi="Times New Roman"/>
          <w:sz w:val="20"/>
          <w:szCs w:val="20"/>
          <w:color w:val="010000"/>
        </w:rPr>
        <w:t xml:space="preserve">Section 3.04. </w:t>
      </w:r>
      <w:r>
        <w:rPr>
          <w:rFonts w:ascii="Times New Roman" w:cs="Times New Roman" w:eastAsia="Times New Roman" w:hAnsi="Times New Roman"/>
          <w:sz w:val="20"/>
          <w:szCs w:val="20"/>
          <w:u w:val="single" w:color="auto"/>
          <w:color w:val="000000"/>
        </w:rPr>
        <w:t>Financial Condition; No Material Adverse Change</w:t>
      </w:r>
      <w:r>
        <w:rPr>
          <w:rFonts w:ascii="Times New Roman" w:cs="Times New Roman" w:eastAsia="Times New Roman" w:hAnsi="Times New Roman"/>
          <w:sz w:val="20"/>
          <w:szCs w:val="20"/>
          <w:color w:val="000000"/>
        </w:rPr>
        <w:t>. The Company has heretofore furnished to the Lenders its</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consolidated balance sheet and statements of income, stockholders equity and cash flows (i) as of and for the fiscal year ended December 31, 2025 reported on by Ernst &amp; Young LLP, independent public accountants, and (ii) as of and for the fiscal quarters and the portion of the fiscal year ended March 31, 2026, certified by its chief financial officer. Such financial statements present fairly, in all material respects, the financial position and results of operations and cash flows of the Company and its consolidated Subsidiaries as of such dates and for such period in accordance with</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51</w:t>
      </w:r>
    </w:p>
    <w:p>
      <w:pPr>
        <w:sectPr>
          <w:pgSz w:w="11900" w:h="16838" w:orient="portrait"/>
          <w:cols w:equalWidth="0" w:num="1">
            <w:col w:w="11240"/>
          </w:cols>
          <w:pgMar w:left="320" w:top="1426" w:right="33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20"/>
          <w:szCs w:val="20"/>
          <w:color w:val="auto"/>
        </w:rPr>
        <w:t>GAAP, subject to year-end audit adjustments and the absence of footnotes in the case of the statements referred to in clause (ii) above.</w:t>
      </w:r>
    </w:p>
    <w:p>
      <w:pPr>
        <w:spacing w:after="0" w:line="22" w:lineRule="exact"/>
        <w:rPr>
          <w:sz w:val="20"/>
          <w:szCs w:val="20"/>
          <w:color w:val="auto"/>
        </w:rPr>
      </w:pPr>
    </w:p>
    <w:p>
      <w:pPr>
        <w:ind w:left="660" w:right="20" w:firstLine="644"/>
        <w:spacing w:after="0" w:line="246" w:lineRule="auto"/>
        <w:tabs>
          <w:tab w:leader="none" w:pos="1946" w:val="left"/>
        </w:tabs>
        <w:numPr>
          <w:ilvl w:val="0"/>
          <w:numId w:val="23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Since December 31, 2025, there has been no material adverse change in, or a material adverse effect upon, the operations, business, properties, or financial condition of the Company and the Subsidiaries taken as a whole.</w:t>
      </w:r>
    </w:p>
    <w:p>
      <w:pPr>
        <w:spacing w:after="0" w:line="182" w:lineRule="exact"/>
        <w:rPr>
          <w:sz w:val="20"/>
          <w:szCs w:val="20"/>
          <w:color w:val="auto"/>
        </w:rPr>
      </w:pPr>
    </w:p>
    <w:p>
      <w:pPr>
        <w:jc w:val="both"/>
        <w:ind w:firstLine="1296"/>
        <w:spacing w:after="0" w:line="241" w:lineRule="auto"/>
        <w:rPr>
          <w:sz w:val="20"/>
          <w:szCs w:val="20"/>
          <w:color w:val="auto"/>
        </w:rPr>
      </w:pPr>
      <w:r>
        <w:rPr>
          <w:rFonts w:ascii="Times New Roman" w:cs="Times New Roman" w:eastAsia="Times New Roman" w:hAnsi="Times New Roman"/>
          <w:sz w:val="20"/>
          <w:szCs w:val="20"/>
          <w:color w:val="010000"/>
        </w:rPr>
        <w:t xml:space="preserve">Section 3.05. </w:t>
      </w:r>
      <w:r>
        <w:rPr>
          <w:rFonts w:ascii="Times New Roman" w:cs="Times New Roman" w:eastAsia="Times New Roman" w:hAnsi="Times New Roman"/>
          <w:sz w:val="20"/>
          <w:szCs w:val="20"/>
          <w:u w:val="single" w:color="auto"/>
          <w:color w:val="000000"/>
        </w:rPr>
        <w:t>Properties</w:t>
      </w:r>
      <w:r>
        <w:rPr>
          <w:rFonts w:ascii="Times New Roman" w:cs="Times New Roman" w:eastAsia="Times New Roman" w:hAnsi="Times New Roman"/>
          <w:sz w:val="20"/>
          <w:szCs w:val="20"/>
          <w:color w:val="000000"/>
        </w:rPr>
        <w:t>. Each of the Company and its Subsidiaries has good title to (or, in the case of real property located</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in Germany, it is the sole legal and beneficial (</w:t>
      </w:r>
      <w:r>
        <w:rPr>
          <w:rFonts w:ascii="Times New Roman" w:cs="Times New Roman" w:eastAsia="Times New Roman" w:hAnsi="Times New Roman"/>
          <w:sz w:val="20"/>
          <w:szCs w:val="20"/>
          <w:i w:val="1"/>
          <w:iCs w:val="1"/>
          <w:color w:val="000000"/>
        </w:rPr>
        <w:t>wirtschaftlicher</w:t>
      </w:r>
      <w:r>
        <w:rPr>
          <w:rFonts w:ascii="Times New Roman" w:cs="Times New Roman" w:eastAsia="Times New Roman" w:hAnsi="Times New Roman"/>
          <w:sz w:val="20"/>
          <w:szCs w:val="20"/>
          <w:color w:val="000000"/>
        </w:rPr>
        <w:t>) owner of), or valid leasehold interests in, all its real and personal property material to its business, except for minor defects in title that do not interfere with its ability to conduct its business as currently conducted or to utilize such properties for their intended purposes.</w:t>
      </w:r>
    </w:p>
    <w:p>
      <w:pPr>
        <w:spacing w:after="0" w:line="3" w:lineRule="exact"/>
        <w:rPr>
          <w:sz w:val="20"/>
          <w:szCs w:val="20"/>
          <w:color w:val="auto"/>
        </w:rPr>
      </w:pPr>
    </w:p>
    <w:p>
      <w:pPr>
        <w:jc w:val="both"/>
        <w:ind w:firstLine="1296"/>
        <w:spacing w:after="0" w:line="237" w:lineRule="auto"/>
        <w:rPr>
          <w:sz w:val="20"/>
          <w:szCs w:val="20"/>
          <w:color w:val="auto"/>
        </w:rPr>
      </w:pPr>
      <w:r>
        <w:rPr>
          <w:rFonts w:ascii="Times New Roman" w:cs="Times New Roman" w:eastAsia="Times New Roman" w:hAnsi="Times New Roman"/>
          <w:sz w:val="20"/>
          <w:szCs w:val="20"/>
          <w:color w:val="010000"/>
        </w:rPr>
        <w:t xml:space="preserve">Section 3.06. </w:t>
      </w:r>
      <w:r>
        <w:rPr>
          <w:rFonts w:ascii="Times New Roman" w:cs="Times New Roman" w:eastAsia="Times New Roman" w:hAnsi="Times New Roman"/>
          <w:sz w:val="20"/>
          <w:szCs w:val="20"/>
          <w:u w:val="single" w:color="auto"/>
          <w:color w:val="000000"/>
        </w:rPr>
        <w:t>Litigation, Environmental and Labor Matters</w:t>
      </w:r>
      <w:r>
        <w:rPr>
          <w:rFonts w:ascii="Times New Roman" w:cs="Times New Roman" w:eastAsia="Times New Roman" w:hAnsi="Times New Roman"/>
          <w:sz w:val="20"/>
          <w:szCs w:val="20"/>
          <w:color w:val="000000"/>
        </w:rPr>
        <w:t>. There are no actions, suits or proceedings by or before any</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arbitrator or Governmental Authority pending against or, to the knowledge of the Company, threatened against or affecting the Company or any of its Subsidiaries (i) as to which there is a reasonable possibility of an adverse determination and that, if adversely determined, could reasonably be expected, individually or in the aggregate, to result in a Material Adverse Effect or (ii) that could have a material adverse effect on the rights or remedies of the Administrative Agent or the Lenders or on the ability of the Company to perform its obligations to them hereunder and under the other Loan Documents to which it is, or will be, a party.</w:t>
      </w:r>
    </w:p>
    <w:p>
      <w:pPr>
        <w:spacing w:after="0" w:line="1" w:lineRule="exact"/>
        <w:rPr>
          <w:sz w:val="20"/>
          <w:szCs w:val="20"/>
          <w:color w:val="auto"/>
        </w:rPr>
      </w:pPr>
    </w:p>
    <w:p>
      <w:pPr>
        <w:jc w:val="both"/>
        <w:ind w:left="660" w:firstLine="644"/>
        <w:spacing w:after="0" w:line="239" w:lineRule="auto"/>
        <w:tabs>
          <w:tab w:leader="none" w:pos="1946" w:val="left"/>
        </w:tabs>
        <w:numPr>
          <w:ilvl w:val="1"/>
          <w:numId w:val="23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Except with respect to any matters that, individually or in the aggregate, could not reasonably be expected to result in a Material Adverse Effect, neither the Company nor any of its Subsidiaries (i) has failed to comply with any Environmental Law or to obtain, maintain or comply with any permit, license or other approval required under any Environmental Law, (ii) has become subject to any Environmental Liability, (iii) has received notice of any claim with respect to any Environmental Liability or</w:t>
      </w:r>
    </w:p>
    <w:p>
      <w:pPr>
        <w:spacing w:after="0" w:line="1" w:lineRule="exact"/>
        <w:rPr>
          <w:rFonts w:ascii="Times New Roman" w:cs="Times New Roman" w:eastAsia="Times New Roman" w:hAnsi="Times New Roman"/>
          <w:sz w:val="20"/>
          <w:szCs w:val="20"/>
          <w:color w:val="010000"/>
        </w:rPr>
      </w:pPr>
    </w:p>
    <w:p>
      <w:pPr>
        <w:ind w:left="1000" w:hanging="344"/>
        <w:spacing w:after="0"/>
        <w:tabs>
          <w:tab w:leader="none" w:pos="1000" w:val="left"/>
        </w:tabs>
        <w:numPr>
          <w:ilvl w:val="0"/>
          <w:numId w:val="2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knows of any basis for any Environmental Liability.</w:t>
      </w:r>
    </w:p>
    <w:p>
      <w:pPr>
        <w:spacing w:after="0" w:line="180" w:lineRule="exact"/>
        <w:rPr>
          <w:sz w:val="20"/>
          <w:szCs w:val="20"/>
          <w:color w:val="auto"/>
        </w:rPr>
      </w:pPr>
    </w:p>
    <w:p>
      <w:pPr>
        <w:jc w:val="both"/>
        <w:ind w:firstLine="1296"/>
        <w:spacing w:after="0" w:line="245" w:lineRule="auto"/>
        <w:rPr>
          <w:sz w:val="20"/>
          <w:szCs w:val="20"/>
          <w:color w:val="auto"/>
        </w:rPr>
      </w:pPr>
      <w:r>
        <w:rPr>
          <w:rFonts w:ascii="Times New Roman" w:cs="Times New Roman" w:eastAsia="Times New Roman" w:hAnsi="Times New Roman"/>
          <w:sz w:val="20"/>
          <w:szCs w:val="20"/>
          <w:color w:val="010000"/>
        </w:rPr>
        <w:t xml:space="preserve">Section 3.07. </w:t>
      </w:r>
      <w:r>
        <w:rPr>
          <w:rFonts w:ascii="Times New Roman" w:cs="Times New Roman" w:eastAsia="Times New Roman" w:hAnsi="Times New Roman"/>
          <w:sz w:val="20"/>
          <w:szCs w:val="20"/>
          <w:u w:val="single" w:color="auto"/>
          <w:color w:val="000000"/>
        </w:rPr>
        <w:t>Compliance with Laws and Agreements</w:t>
      </w:r>
      <w:r>
        <w:rPr>
          <w:rFonts w:ascii="Times New Roman" w:cs="Times New Roman" w:eastAsia="Times New Roman" w:hAnsi="Times New Roman"/>
          <w:sz w:val="20"/>
          <w:szCs w:val="20"/>
          <w:color w:val="000000"/>
        </w:rPr>
        <w:t>. Each of the Company and its Subsidiaries is in compliance with all</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laws, regulations and orders of any Governmental Authority applicable to it or its property and all indentures, agreements and other instruments binding upon it or its property, except where the failure to do so, individually or in the aggregate, could not reasonably be expected to result in a Material Adverse Effect.</w:t>
      </w:r>
    </w:p>
    <w:p>
      <w:pPr>
        <w:spacing w:after="0" w:line="1" w:lineRule="exact"/>
        <w:rPr>
          <w:sz w:val="20"/>
          <w:szCs w:val="20"/>
          <w:color w:val="auto"/>
        </w:rPr>
      </w:pPr>
    </w:p>
    <w:p>
      <w:pPr>
        <w:jc w:val="both"/>
        <w:ind w:firstLine="1304"/>
        <w:spacing w:after="0" w:line="238" w:lineRule="auto"/>
        <w:tabs>
          <w:tab w:leader="none" w:pos="1934" w:val="left"/>
        </w:tabs>
        <w:numPr>
          <w:ilvl w:val="0"/>
          <w:numId w:val="24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Company (i) is not a person whose property or interest in property is blocked or subject to blocking pursuant to Section 1 of Executive Order 13224 of September 23, 2001 Blocking Property and Prohibiting Transactions With Persons Who Commit, Threaten to Commit, or Support Terrorism (66 Fed. Reg. 49079 (2001)), (ii) does not engage in any dealings or transactions prohibited by Section 2 of such executive order, or is otherwise associated with any such person in any manner violative of Section 2, or (iii) is not a person on the list of Specially Designated Nationals and Blocked Persons or subject to the limitations or prohibitions under any other U.S. Department of Treasury’s Office of Foreign Assets Control regulation or executive order.</w:t>
      </w:r>
    </w:p>
    <w:p>
      <w:pPr>
        <w:spacing w:after="0" w:line="189" w:lineRule="exact"/>
        <w:rPr>
          <w:rFonts w:ascii="Times New Roman" w:cs="Times New Roman" w:eastAsia="Times New Roman" w:hAnsi="Times New Roman"/>
          <w:sz w:val="20"/>
          <w:szCs w:val="20"/>
          <w:color w:val="010000"/>
        </w:rPr>
      </w:pPr>
    </w:p>
    <w:p>
      <w:pPr>
        <w:jc w:val="both"/>
        <w:ind w:firstLine="1304"/>
        <w:spacing w:after="0" w:line="242" w:lineRule="auto"/>
        <w:tabs>
          <w:tab w:leader="none" w:pos="1932" w:val="left"/>
        </w:tabs>
        <w:numPr>
          <w:ilvl w:val="0"/>
          <w:numId w:val="24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Company is in compliance, in all material respects, with (i) the Trading with the Enemy Act, as amended, and each of the foreign assets control regulations of the United States Treasury Department (31 CFR, Subtitle B, Chapter V, as amended) and any other enabling legislation or executive order relating thereto, and (ii) the Patriot Act. No part of the proceeds of the Loans will be used, directly or indirectly,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52</w:t>
      </w:r>
    </w:p>
    <w:p>
      <w:pPr>
        <w:sectPr>
          <w:pgSz w:w="11900" w:h="16838" w:orient="portrait"/>
          <w:cols w:equalWidth="0" w:num="1">
            <w:col w:w="11240"/>
          </w:cols>
          <w:pgMar w:left="320" w:top="1413" w:right="339" w:bottom="1440" w:gutter="0" w:footer="0" w:header="0"/>
        </w:sectPr>
      </w:pPr>
    </w:p>
    <w:bookmarkStart w:id="225" w:name="page226"/>
    <w:bookmarkEnd w:id="225"/>
    <w:p>
      <w:pPr>
        <w:jc w:val="both"/>
        <w:ind w:firstLine="1296"/>
        <w:spacing w:after="0" w:line="261" w:lineRule="auto"/>
        <w:rPr>
          <w:sz w:val="20"/>
          <w:szCs w:val="20"/>
          <w:color w:val="auto"/>
        </w:rPr>
      </w:pPr>
      <w:r>
        <w:rPr>
          <w:rFonts w:ascii="Times New Roman" w:cs="Times New Roman" w:eastAsia="Times New Roman" w:hAnsi="Times New Roman"/>
          <w:sz w:val="20"/>
          <w:szCs w:val="20"/>
          <w:color w:val="010000"/>
        </w:rPr>
        <w:t xml:space="preserve">Section 3.08. </w:t>
      </w:r>
      <w:r>
        <w:rPr>
          <w:rFonts w:ascii="Times New Roman" w:cs="Times New Roman" w:eastAsia="Times New Roman" w:hAnsi="Times New Roman"/>
          <w:sz w:val="20"/>
          <w:szCs w:val="20"/>
          <w:u w:val="single" w:color="auto"/>
          <w:color w:val="000000"/>
        </w:rPr>
        <w:t>Investment Company Status</w:t>
      </w:r>
      <w:r>
        <w:rPr>
          <w:rFonts w:ascii="Times New Roman" w:cs="Times New Roman" w:eastAsia="Times New Roman" w:hAnsi="Times New Roman"/>
          <w:sz w:val="20"/>
          <w:szCs w:val="20"/>
          <w:color w:val="000000"/>
        </w:rPr>
        <w:t>. The Company is not an “investment company” as defined in, or subject to</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regulation under, the Investment Company Act of 1940.</w:t>
      </w:r>
    </w:p>
    <w:p>
      <w:pPr>
        <w:spacing w:after="0" w:line="1" w:lineRule="exact"/>
        <w:rPr>
          <w:sz w:val="20"/>
          <w:szCs w:val="20"/>
          <w:color w:val="auto"/>
        </w:rPr>
      </w:pPr>
    </w:p>
    <w:p>
      <w:pPr>
        <w:jc w:val="both"/>
        <w:ind w:firstLine="1296"/>
        <w:spacing w:after="0" w:line="260" w:lineRule="auto"/>
        <w:rPr>
          <w:sz w:val="20"/>
          <w:szCs w:val="20"/>
          <w:color w:val="auto"/>
        </w:rPr>
      </w:pPr>
      <w:r>
        <w:rPr>
          <w:rFonts w:ascii="Times New Roman" w:cs="Times New Roman" w:eastAsia="Times New Roman" w:hAnsi="Times New Roman"/>
          <w:sz w:val="20"/>
          <w:szCs w:val="20"/>
          <w:color w:val="010000"/>
        </w:rPr>
        <w:t xml:space="preserve">Section 3.09. </w:t>
      </w:r>
      <w:r>
        <w:rPr>
          <w:rFonts w:ascii="Times New Roman" w:cs="Times New Roman" w:eastAsia="Times New Roman" w:hAnsi="Times New Roman"/>
          <w:sz w:val="20"/>
          <w:szCs w:val="20"/>
          <w:u w:val="single" w:color="auto"/>
          <w:color w:val="000000"/>
        </w:rPr>
        <w:t>Taxes</w:t>
      </w:r>
      <w:r>
        <w:rPr>
          <w:rFonts w:ascii="Times New Roman" w:cs="Times New Roman" w:eastAsia="Times New Roman" w:hAnsi="Times New Roman"/>
          <w:sz w:val="20"/>
          <w:szCs w:val="20"/>
          <w:color w:val="000000"/>
        </w:rPr>
        <w:t>. Each of the Company and its Subsidiaries has timely filed or caused to be filed all Tax returns and</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reports required to have been filed and has paid or caused to be paid all Taxes required to have been paid by it, except (a) Taxes that are being contested in good faith by appropriate proceedings and for which the Company or such Subsidiary, as applicable, has set aside on its books adequate reserves or (b) to the extent that the failure to do so could not reasonably be expected to result in a Material Adverse Effect.</w:t>
      </w:r>
    </w:p>
    <w:p>
      <w:pPr>
        <w:spacing w:after="0" w:line="2"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0"/>
          <w:szCs w:val="20"/>
          <w:color w:val="010000"/>
        </w:rPr>
        <w:t>Section 3.10.</w:t>
      </w:r>
      <w:r>
        <w:rPr>
          <w:sz w:val="20"/>
          <w:szCs w:val="20"/>
          <w:color w:val="auto"/>
        </w:rPr>
        <w:tab/>
      </w:r>
      <w:r>
        <w:rPr>
          <w:rFonts w:ascii="Times New Roman" w:cs="Times New Roman" w:eastAsia="Times New Roman" w:hAnsi="Times New Roman"/>
          <w:sz w:val="19"/>
          <w:szCs w:val="19"/>
          <w:u w:val="single" w:color="auto"/>
          <w:color w:val="auto"/>
        </w:rPr>
        <w:t>ERISA; Non-U.S. Pension Plans</w:t>
      </w:r>
      <w:r>
        <w:rPr>
          <w:rFonts w:ascii="Times New Roman" w:cs="Times New Roman" w:eastAsia="Times New Roman" w:hAnsi="Times New Roman"/>
          <w:sz w:val="19"/>
          <w:szCs w:val="19"/>
          <w:color w:val="auto"/>
        </w:rPr>
        <w:t>.</w:t>
      </w:r>
    </w:p>
    <w:p>
      <w:pPr>
        <w:spacing w:after="0" w:line="13" w:lineRule="exact"/>
        <w:rPr>
          <w:sz w:val="20"/>
          <w:szCs w:val="20"/>
          <w:color w:val="auto"/>
        </w:rPr>
      </w:pPr>
    </w:p>
    <w:p>
      <w:pPr>
        <w:ind w:firstLine="1304"/>
        <w:spacing w:after="0" w:line="281" w:lineRule="auto"/>
        <w:tabs>
          <w:tab w:leader="none" w:pos="1934" w:val="left"/>
        </w:tabs>
        <w:numPr>
          <w:ilvl w:val="0"/>
          <w:numId w:val="24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No ERISA Event has occurred or is reasonably expected to occur that, when taken together with all other such ERISA Events for which liability is reasonably expected to occur, could reasonably be expected to result in a Material Adverse Effect.</w:t>
      </w:r>
    </w:p>
    <w:p>
      <w:pPr>
        <w:spacing w:after="0" w:line="161" w:lineRule="exact"/>
        <w:rPr>
          <w:rFonts w:ascii="Times New Roman" w:cs="Times New Roman" w:eastAsia="Times New Roman" w:hAnsi="Times New Roman"/>
          <w:sz w:val="20"/>
          <w:szCs w:val="20"/>
          <w:color w:val="010000"/>
        </w:rPr>
      </w:pPr>
    </w:p>
    <w:p>
      <w:pPr>
        <w:jc w:val="both"/>
        <w:ind w:firstLine="1304"/>
        <w:spacing w:after="0" w:line="274" w:lineRule="auto"/>
        <w:tabs>
          <w:tab w:leader="none" w:pos="1932" w:val="left"/>
        </w:tabs>
        <w:numPr>
          <w:ilvl w:val="0"/>
          <w:numId w:val="24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Each Non-U.S. Pension Plan is in compliance with all requirements of law applicable thereto and the respective requirements of the governing documents for such plan except to the extent such non-compliance could not reasonably be expected to result in a Material Adverse Effect. With respect to each Non-U.S. Pension Plan, none of the Company, its Affiliates or any of their directors, officers, employees or agents has engaged in a transaction, or other act or omission (including entering into this Agreement and any act done or to be done in connection with this Agreement), that has subjected, or could reasonably be expected to subject, the Company or any of its Subsidiaries, directly or indirectly, to any penalty (including any tax or civil penalty), fine, claim or other liability (including any liability under a contribution notice or financial support direction (as those terms are defined in the United Kingdom Pensions Act 2004) or in relation to the exercise of any Criminal Pension Power), or any liability or amount payable under section 75 or 75A of the United Kingdom Pensions Act 1995), that could reasonably be expected, individually or in the aggregate, to have a Material Adverse Effect and there are no facts or circumstances which may give rise to any such penalty, fine, claim, or other liability. With respect to each Non-U.S. Pension Plan, reserves have been established in the financial statements furnished to Lenders in respect of any unfunded liabilities in accordance with applicable law or, where required, in accordance with ordinary accounting practices in the jurisdiction in which such Non-U.S. Pension Plan is maintained. The aggregate unfunded liabilities with respect to such Non-U.S. Pension Plans could not reasonably be expected to result in a Material Adverse Effect before the date that, in relation to a Non-U.S. Pension Plan, if, (i) the entire debt is triggered under Section 75 or section 75A of the United Kingdom Pensions Act 1995 or (ii) a contribution notice or financial support direction is issued or any Criminal Pension Power is exercised in respect of any Non-U.S. Pension Plan. There are no actions, suits or claims (other than routine claims for benefits) pending against or, to the knowledge of the Company, threatened in writing against the Company or any of its Subsidiaries with respect to any Non-U.S. Pension Plan which could reasonably be expected, individually or in the aggregate, to result in a Material Adverse Effect.</w:t>
      </w:r>
    </w:p>
    <w:p>
      <w:pPr>
        <w:spacing w:after="0" w:line="181" w:lineRule="exact"/>
        <w:rPr>
          <w:sz w:val="20"/>
          <w:szCs w:val="20"/>
          <w:color w:val="auto"/>
        </w:rPr>
      </w:pPr>
    </w:p>
    <w:p>
      <w:pPr>
        <w:jc w:val="both"/>
        <w:ind w:firstLine="1296"/>
        <w:spacing w:after="0" w:line="273" w:lineRule="auto"/>
        <w:rPr>
          <w:sz w:val="20"/>
          <w:szCs w:val="20"/>
          <w:color w:val="auto"/>
        </w:rPr>
      </w:pPr>
      <w:r>
        <w:rPr>
          <w:rFonts w:ascii="Times New Roman" w:cs="Times New Roman" w:eastAsia="Times New Roman" w:hAnsi="Times New Roman"/>
          <w:sz w:val="20"/>
          <w:szCs w:val="20"/>
          <w:color w:val="010000"/>
        </w:rPr>
        <w:t xml:space="preserve">Section 3.11. </w:t>
      </w:r>
      <w:r>
        <w:rPr>
          <w:rFonts w:ascii="Times New Roman" w:cs="Times New Roman" w:eastAsia="Times New Roman" w:hAnsi="Times New Roman"/>
          <w:sz w:val="20"/>
          <w:szCs w:val="20"/>
          <w:u w:val="single" w:color="auto"/>
          <w:color w:val="000000"/>
        </w:rPr>
        <w:t>Disclosure</w:t>
      </w:r>
      <w:r>
        <w:rPr>
          <w:rFonts w:ascii="Times New Roman" w:cs="Times New Roman" w:eastAsia="Times New Roman" w:hAnsi="Times New Roman"/>
          <w:sz w:val="20"/>
          <w:szCs w:val="20"/>
          <w:color w:val="000000"/>
        </w:rPr>
        <w:t>. The Company has disclosed (directly or through disclosure in its reports filed with the SEC) to</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the Lenders all agreements, instruments and corporate or other restrictions to which it or any of its Subsidiaries is subject, and all other matters known to it, that, individually or in the aggregate, could reasonably be expected to result in a Material Adverse Effect. Neither the Lender Presentation nor any of the other reports, financial statements, certificates or other information furnished by or on behalf of the Company or any Subsidiary to the Administrative Agent or any Lender in connection with the negotiation of this Agreement or delivered hereunder (as modified or supplemented by other information so furnished) contains any material misstatement of fact or omits to</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53</w:t>
      </w:r>
    </w:p>
    <w:p>
      <w:pPr>
        <w:sectPr>
          <w:pgSz w:w="11900" w:h="16838" w:orient="portrait"/>
          <w:cols w:equalWidth="0" w:num="1">
            <w:col w:w="11240"/>
          </w:cols>
          <w:pgMar w:left="320" w:top="1426" w:right="339" w:bottom="1440" w:gutter="0" w:footer="0" w:header="0"/>
        </w:sectPr>
      </w:pPr>
    </w:p>
    <w:bookmarkStart w:id="226" w:name="page227"/>
    <w:bookmarkEnd w:id="226"/>
    <w:p>
      <w:pPr>
        <w:jc w:val="both"/>
        <w:spacing w:after="0" w:line="268" w:lineRule="auto"/>
        <w:rPr>
          <w:sz w:val="20"/>
          <w:szCs w:val="20"/>
          <w:color w:val="auto"/>
        </w:rPr>
      </w:pPr>
      <w:r>
        <w:rPr>
          <w:rFonts w:ascii="Times New Roman" w:cs="Times New Roman" w:eastAsia="Times New Roman" w:hAnsi="Times New Roman"/>
          <w:sz w:val="20"/>
          <w:szCs w:val="20"/>
          <w:color w:val="auto"/>
        </w:rPr>
        <w:t xml:space="preserve">state any material fact necessary to make the statements therein, in the light of the circumstances under which they were made, not misleading;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with respect to projected financial information, the Company represent only that such information was prepared in good faith based upon assumptions believed to be reasonable at the time. As of the Effective Date, to the best knowledge of the Company, the information included in the Beneficial Ownership Certification provided on or prior to the Effective Date to any Lender in connection with this Agreement is true and correct in all respects.</w:t>
      </w:r>
    </w:p>
    <w:p>
      <w:pPr>
        <w:jc w:val="both"/>
        <w:ind w:firstLine="1296"/>
        <w:spacing w:after="0" w:line="267" w:lineRule="auto"/>
        <w:rPr>
          <w:sz w:val="20"/>
          <w:szCs w:val="20"/>
          <w:color w:val="auto"/>
        </w:rPr>
      </w:pPr>
      <w:r>
        <w:rPr>
          <w:rFonts w:ascii="Times New Roman" w:cs="Times New Roman" w:eastAsia="Times New Roman" w:hAnsi="Times New Roman"/>
          <w:sz w:val="20"/>
          <w:szCs w:val="20"/>
          <w:color w:val="010000"/>
        </w:rPr>
        <w:t xml:space="preserve">Section 3.12. </w:t>
      </w:r>
      <w:r>
        <w:rPr>
          <w:rFonts w:ascii="Times New Roman" w:cs="Times New Roman" w:eastAsia="Times New Roman" w:hAnsi="Times New Roman"/>
          <w:sz w:val="20"/>
          <w:szCs w:val="20"/>
          <w:u w:val="single" w:color="auto"/>
          <w:color w:val="000000"/>
        </w:rPr>
        <w:t>Federal Reserve Regulations</w:t>
      </w:r>
      <w:r>
        <w:rPr>
          <w:rFonts w:ascii="Times New Roman" w:cs="Times New Roman" w:eastAsia="Times New Roman" w:hAnsi="Times New Roman"/>
          <w:sz w:val="20"/>
          <w:szCs w:val="20"/>
          <w:color w:val="000000"/>
        </w:rPr>
        <w:t>. No part of the proceeds of any Loan have been used or will be used, whether</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directly or indirectly, for any purpose that entails a violation of any of the Regulations of the Board, including Regulations T, U and X.</w:t>
      </w:r>
    </w:p>
    <w:p>
      <w:pPr>
        <w:spacing w:after="0" w:line="1" w:lineRule="exact"/>
        <w:rPr>
          <w:sz w:val="20"/>
          <w:szCs w:val="20"/>
          <w:color w:val="auto"/>
        </w:rPr>
      </w:pPr>
    </w:p>
    <w:p>
      <w:pPr>
        <w:jc w:val="both"/>
        <w:ind w:firstLine="1296"/>
        <w:spacing w:after="0" w:line="274" w:lineRule="auto"/>
        <w:rPr>
          <w:sz w:val="20"/>
          <w:szCs w:val="20"/>
          <w:color w:val="auto"/>
        </w:rPr>
      </w:pPr>
      <w:r>
        <w:rPr>
          <w:rFonts w:ascii="Times New Roman" w:cs="Times New Roman" w:eastAsia="Times New Roman" w:hAnsi="Times New Roman"/>
          <w:sz w:val="20"/>
          <w:szCs w:val="20"/>
          <w:color w:val="010000"/>
        </w:rPr>
        <w:t xml:space="preserve">Section 3.13. </w:t>
      </w:r>
      <w:r>
        <w:rPr>
          <w:rFonts w:ascii="Times New Roman" w:cs="Times New Roman" w:eastAsia="Times New Roman" w:hAnsi="Times New Roman"/>
          <w:sz w:val="20"/>
          <w:szCs w:val="20"/>
          <w:u w:val="single" w:color="auto"/>
          <w:color w:val="000000"/>
        </w:rPr>
        <w:t>Liens</w:t>
      </w:r>
      <w:r>
        <w:rPr>
          <w:rFonts w:ascii="Times New Roman" w:cs="Times New Roman" w:eastAsia="Times New Roman" w:hAnsi="Times New Roman"/>
          <w:sz w:val="20"/>
          <w:szCs w:val="20"/>
          <w:color w:val="000000"/>
        </w:rPr>
        <w:t>. There are no Liens on any of the real or personal properties of the Company or any Subsidiary except</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for Liens permitted by Section 6.02.</w:t>
      </w:r>
    </w:p>
    <w:p>
      <w:pPr>
        <w:spacing w:after="0" w:line="1"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0"/>
          <w:szCs w:val="20"/>
          <w:color w:val="010000"/>
        </w:rPr>
        <w:t>Section 3.14.</w:t>
      </w:r>
      <w:r>
        <w:rPr>
          <w:sz w:val="20"/>
          <w:szCs w:val="20"/>
          <w:color w:val="auto"/>
        </w:rPr>
        <w:tab/>
      </w:r>
      <w:r>
        <w:rPr>
          <w:rFonts w:ascii="Times New Roman" w:cs="Times New Roman" w:eastAsia="Times New Roman" w:hAnsi="Times New Roman"/>
          <w:sz w:val="19"/>
          <w:szCs w:val="19"/>
          <w:u w:val="single" w:color="auto"/>
          <w:color w:val="auto"/>
        </w:rPr>
        <w:t>No Default</w:t>
      </w:r>
      <w:r>
        <w:rPr>
          <w:rFonts w:ascii="Times New Roman" w:cs="Times New Roman" w:eastAsia="Times New Roman" w:hAnsi="Times New Roman"/>
          <w:sz w:val="19"/>
          <w:szCs w:val="19"/>
          <w:color w:val="auto"/>
        </w:rPr>
        <w:t>. No Default or Event of Default has occurred and is continuing.</w:t>
      </w:r>
    </w:p>
    <w:p>
      <w:pPr>
        <w:spacing w:after="0" w:line="27"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0"/>
          <w:szCs w:val="20"/>
          <w:color w:val="010000"/>
        </w:rPr>
        <w:t>Section 3.15.</w:t>
      </w:r>
      <w:r>
        <w:rPr>
          <w:sz w:val="20"/>
          <w:szCs w:val="20"/>
          <w:color w:val="auto"/>
        </w:rPr>
        <w:tab/>
      </w:r>
      <w:r>
        <w:rPr>
          <w:rFonts w:ascii="Times New Roman" w:cs="Times New Roman" w:eastAsia="Times New Roman" w:hAnsi="Times New Roman"/>
          <w:sz w:val="19"/>
          <w:szCs w:val="19"/>
          <w:u w:val="single" w:color="auto"/>
          <w:color w:val="auto"/>
        </w:rPr>
        <w:t>Anti-Corruption Laws and Sanctions and Export Controls</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84" w:lineRule="exact"/>
        <w:rPr>
          <w:sz w:val="20"/>
          <w:szCs w:val="20"/>
          <w:color w:val="auto"/>
        </w:rPr>
      </w:pPr>
    </w:p>
    <w:p>
      <w:pPr>
        <w:jc w:val="both"/>
        <w:ind w:left="660" w:firstLine="644"/>
        <w:spacing w:after="0" w:line="271" w:lineRule="auto"/>
        <w:tabs>
          <w:tab w:leader="none" w:pos="1946" w:val="left"/>
        </w:tabs>
        <w:numPr>
          <w:ilvl w:val="0"/>
          <w:numId w:val="24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Company has implemented and maintains in effect policies and procedures designed to ensure compliance by the Company, its Subsidiaries and their respective directors, officers, employees and agents with Anti-Corruption Laws, Export Controls and applicable Sanctions, and the Company, its Subsidiaries and their respective officers and directors and to the knowledge of the Company its employees and agents, are in compliance with Anti-Corruption Laws, Export Controls and applicable Sanctions in all material respects. None of (a) the Company, any Subsidiary or, to the knowledge of the Company or such Subsidiary any of their respective directors, officers or employees, or (b) to the knowledge of the Company, any agent of the Company or any Subsidiary that will act in any capacity in connection with or benefit from the credit facility established hereby, is a Sanctioned Person. No Borrowing, use of proceeds directly or indirectly or other Transactions will violate Anti-Corruption Laws or Sanctions applicable to any party hereto.</w:t>
      </w:r>
    </w:p>
    <w:p>
      <w:pPr>
        <w:spacing w:after="0" w:line="187"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0"/>
          <w:szCs w:val="20"/>
          <w:color w:val="010000"/>
        </w:rPr>
        <w:t>Section 3.16.</w:t>
      </w:r>
      <w:r>
        <w:rPr>
          <w:sz w:val="20"/>
          <w:szCs w:val="20"/>
          <w:color w:val="auto"/>
        </w:rPr>
        <w:tab/>
      </w:r>
      <w:r>
        <w:rPr>
          <w:rFonts w:ascii="Times New Roman" w:cs="Times New Roman" w:eastAsia="Times New Roman" w:hAnsi="Times New Roman"/>
          <w:sz w:val="19"/>
          <w:szCs w:val="19"/>
          <w:u w:val="single" w:color="auto"/>
          <w:color w:val="auto"/>
        </w:rPr>
        <w:t>Affected Financial Institutions</w:t>
      </w:r>
      <w:r>
        <w:rPr>
          <w:rFonts w:ascii="Times New Roman" w:cs="Times New Roman" w:eastAsia="Times New Roman" w:hAnsi="Times New Roman"/>
          <w:sz w:val="19"/>
          <w:szCs w:val="19"/>
          <w:color w:val="auto"/>
        </w:rPr>
        <w:t>. The Company is not an Affected Financial Institution.</w:t>
      </w:r>
    </w:p>
    <w:p>
      <w:pPr>
        <w:spacing w:after="0" w:line="200" w:lineRule="exact"/>
        <w:rPr>
          <w:sz w:val="20"/>
          <w:szCs w:val="20"/>
          <w:color w:val="auto"/>
        </w:rPr>
      </w:pPr>
    </w:p>
    <w:p>
      <w:pPr>
        <w:spacing w:after="0" w:line="286" w:lineRule="exact"/>
        <w:rPr>
          <w:sz w:val="20"/>
          <w:szCs w:val="20"/>
          <w:color w:val="auto"/>
        </w:rPr>
      </w:pPr>
    </w:p>
    <w:p>
      <w:pPr>
        <w:jc w:val="both"/>
        <w:ind w:firstLine="1296"/>
        <w:spacing w:after="0" w:line="274" w:lineRule="auto"/>
        <w:rPr>
          <w:sz w:val="20"/>
          <w:szCs w:val="20"/>
          <w:color w:val="auto"/>
        </w:rPr>
      </w:pPr>
      <w:r>
        <w:rPr>
          <w:rFonts w:ascii="Times New Roman" w:cs="Times New Roman" w:eastAsia="Times New Roman" w:hAnsi="Times New Roman"/>
          <w:sz w:val="20"/>
          <w:szCs w:val="20"/>
          <w:color w:val="010000"/>
        </w:rPr>
        <w:t xml:space="preserve">Section 3.17. </w:t>
      </w:r>
      <w:r>
        <w:rPr>
          <w:rFonts w:ascii="Times New Roman" w:cs="Times New Roman" w:eastAsia="Times New Roman" w:hAnsi="Times New Roman"/>
          <w:sz w:val="20"/>
          <w:szCs w:val="20"/>
          <w:u w:val="single" w:color="auto"/>
          <w:color w:val="000000"/>
        </w:rPr>
        <w:t>Outbound Investment Rules</w:t>
      </w:r>
      <w:r>
        <w:rPr>
          <w:rFonts w:ascii="Times New Roman" w:cs="Times New Roman" w:eastAsia="Times New Roman" w:hAnsi="Times New Roman"/>
          <w:sz w:val="20"/>
          <w:szCs w:val="20"/>
          <w:color w:val="000000"/>
        </w:rPr>
        <w:t>. Neither the Company nor any of its Subsidiaries is a “covered foreign person’”</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as that term is used in the Outbound Investment Rules. Neither the Company nor any of its Subsidiaries currently engages, or has any present intention to engage in the future, directly or indirectly, in (i) a “covered activity” or a “covered transaction”, as each such term is defined in the Outbound Investment Rules, (ii) any activity or transaction that would constitute a “covered activity” or a “covered transaction”, as each such term is defined in the Outbound Investment Rules, if the Company or such Subsidiary were a U.S. Person or (iii) any other activity that would cause the Administrative Agent or any Lender to be in violation of the Outbound Investment Rules or cause the Administrative Agent or any Lender to be legally prohibited by the Outbound Investment Rules from performing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54</w:t>
      </w:r>
    </w:p>
    <w:p>
      <w:pPr>
        <w:sectPr>
          <w:pgSz w:w="11900" w:h="16838" w:orient="portrait"/>
          <w:cols w:equalWidth="0" w:num="1">
            <w:col w:w="11240"/>
          </w:cols>
          <w:pgMar w:left="320" w:top="1426" w:right="339" w:bottom="1440" w:gutter="0" w:footer="0" w:header="0"/>
        </w:sectPr>
      </w:pPr>
    </w:p>
    <w:bookmarkStart w:id="227" w:name="page228"/>
    <w:bookmarkEnd w:id="227"/>
    <w:p>
      <w:pPr>
        <w:jc w:val="both"/>
        <w:ind w:firstLine="1296"/>
        <w:spacing w:after="0" w:line="283" w:lineRule="auto"/>
        <w:rPr>
          <w:sz w:val="20"/>
          <w:szCs w:val="20"/>
          <w:color w:val="auto"/>
        </w:rPr>
      </w:pPr>
      <w:r>
        <w:rPr>
          <w:rFonts w:ascii="Times New Roman" w:cs="Times New Roman" w:eastAsia="Times New Roman" w:hAnsi="Times New Roman"/>
          <w:sz w:val="19"/>
          <w:szCs w:val="19"/>
          <w:color w:val="010000"/>
        </w:rPr>
        <w:t xml:space="preserve">Section 3.18. </w:t>
      </w:r>
      <w:r>
        <w:rPr>
          <w:rFonts w:ascii="Times New Roman" w:cs="Times New Roman" w:eastAsia="Times New Roman" w:hAnsi="Times New Roman"/>
          <w:sz w:val="19"/>
          <w:szCs w:val="19"/>
          <w:u w:val="single" w:color="auto"/>
          <w:color w:val="000000"/>
        </w:rPr>
        <w:t>Solvency</w:t>
      </w:r>
      <w:r>
        <w:rPr>
          <w:rFonts w:ascii="Times New Roman" w:cs="Times New Roman" w:eastAsia="Times New Roman" w:hAnsi="Times New Roman"/>
          <w:sz w:val="19"/>
          <w:szCs w:val="19"/>
          <w:color w:val="000000"/>
        </w:rPr>
        <w:t>. As of the Closing Date, after giving effect to the Transactions (including the making of the Loans</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under this Agreement on the Closing Date and the application of the proceeds thereof), (a) the fair value of the assets of the Company and its Subsidiaries, on a consolidated basis, exceeds their debts and liabilities, subordinated, contingent or otherwise, on a consolidated basis, (b) the present fair saleable value of the property of the Company and its Subsidiaries, on a consolidated basis, is greater than the amount that will be required to pay the probable liability, on a consolidated basis, of their debts and other liabilities, subordinated, contingent or otherwise, on a consolidated basis, as such debts and other liabilities become absolute and matured, (c) the Company and its Subsidiaries, on a consolidated basis, are able to pay their debts and liabilities, subordinated, contingent or otherwise, on a consolidated basis, as such liabilities become absolute and matured and (d) the Company and its Subsidiaries, on a consolidated basis, are not engaged in, and are not about to engage in, business for which they have unreasonably small capital. For purposes of this Section 3.18, the amount of any contingent liability at any time will be computed as the amount that would reasonably be expected to become an actual and matured liability.</w:t>
      </w:r>
    </w:p>
    <w:p>
      <w:pPr>
        <w:spacing w:after="0" w:line="4"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0"/>
          <w:szCs w:val="20"/>
          <w:color w:val="010000"/>
        </w:rPr>
        <w:t xml:space="preserve">Section 3.19. </w:t>
      </w:r>
      <w:r>
        <w:rPr>
          <w:rFonts w:ascii="Times New Roman" w:cs="Times New Roman" w:eastAsia="Times New Roman" w:hAnsi="Times New Roman"/>
          <w:sz w:val="20"/>
          <w:szCs w:val="20"/>
          <w:u w:val="single" w:color="auto"/>
          <w:color w:val="000000"/>
        </w:rPr>
        <w:t>Use of Proceeds</w:t>
      </w:r>
      <w:r>
        <w:rPr>
          <w:rFonts w:ascii="Times New Roman" w:cs="Times New Roman" w:eastAsia="Times New Roman" w:hAnsi="Times New Roman"/>
          <w:sz w:val="20"/>
          <w:szCs w:val="20"/>
          <w:color w:val="000000"/>
        </w:rPr>
        <w:t>. The Company will use the proceeds of any Loan funded on the Closing Date for (i) the</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payment of the consideration pursuant to the terms of the Indicor Acquisition Agreement, (ii) the Indicor Refinancing and (iii) the payment of fees, costs and expenses related to the Transactions. The Company will not, directly or directly, use any part of the proceeds of any Loan in violation of the United States Foreign Corrupt Practices Act of 1977, as amended, any Anti-Corruption Laws, any Anti-Money Laundering Laws and any Sanctions applicable to any party hereto.</w:t>
      </w:r>
    </w:p>
    <w:p>
      <w:pPr>
        <w:spacing w:after="0" w:line="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color w:val="010000"/>
        </w:rPr>
        <w:t>ARTICLE IV</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Conditions</w:t>
      </w:r>
    </w:p>
    <w:p>
      <w:pPr>
        <w:spacing w:after="0" w:line="229"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20"/>
          <w:szCs w:val="20"/>
          <w:color w:val="010000"/>
        </w:rPr>
        <w:t xml:space="preserve">Section 4.01. </w:t>
      </w:r>
      <w:r>
        <w:rPr>
          <w:rFonts w:ascii="Times New Roman" w:cs="Times New Roman" w:eastAsia="Times New Roman" w:hAnsi="Times New Roman"/>
          <w:sz w:val="20"/>
          <w:szCs w:val="20"/>
          <w:u w:val="single" w:color="auto"/>
          <w:color w:val="000000"/>
        </w:rPr>
        <w:t>Effective Date</w:t>
      </w:r>
      <w:r>
        <w:rPr>
          <w:rFonts w:ascii="Times New Roman" w:cs="Times New Roman" w:eastAsia="Times New Roman" w:hAnsi="Times New Roman"/>
          <w:sz w:val="20"/>
          <w:szCs w:val="20"/>
          <w:color w:val="000000"/>
        </w:rPr>
        <w:t>. This Agreement shall become effective on and as of the first date on which each of the</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following conditions precedent is satisfied (or waived in accordance with Section 9.02):</w:t>
      </w:r>
    </w:p>
    <w:p>
      <w:pPr>
        <w:spacing w:after="0" w:line="1" w:lineRule="exact"/>
        <w:rPr>
          <w:sz w:val="20"/>
          <w:szCs w:val="20"/>
          <w:color w:val="auto"/>
        </w:rPr>
      </w:pPr>
    </w:p>
    <w:p>
      <w:pPr>
        <w:jc w:val="both"/>
        <w:ind w:left="660" w:firstLine="644"/>
        <w:spacing w:after="0" w:line="260" w:lineRule="auto"/>
        <w:tabs>
          <w:tab w:leader="none" w:pos="1946" w:val="left"/>
        </w:tabs>
        <w:numPr>
          <w:ilvl w:val="0"/>
          <w:numId w:val="24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The Administrative Agent (or its counsel) shall have received (i) from each party hereto either (A) a counterpart of this Agreement signed on behalf of such party or (B) written evidence satisfactory to the Administrative Agent (which may include telecopy or electronic transmission of a signed signature page of this Agreement) that such party has signed a counterpart of this Agreement and (ii) duly executed copies of the Loan Documents and such other legal opinions, certificates, documents, instruments and agreements as the Administrative Agent shall reasonably request in connection with the Transactions, all in form and substance satisfactory to the Administrative Agent and its counsel and as further described in the list of closing documents attached as </w:t>
      </w:r>
      <w:r>
        <w:rPr>
          <w:rFonts w:ascii="Times New Roman" w:cs="Times New Roman" w:eastAsia="Times New Roman" w:hAnsi="Times New Roman"/>
          <w:sz w:val="20"/>
          <w:szCs w:val="20"/>
          <w:u w:val="single" w:color="auto"/>
          <w:color w:val="auto"/>
        </w:rPr>
        <w:t>Exhibit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E</w:t>
      </w:r>
      <w:r>
        <w:rPr>
          <w:rFonts w:ascii="Times New Roman" w:cs="Times New Roman" w:eastAsia="Times New Roman" w:hAnsi="Times New Roman"/>
          <w:sz w:val="20"/>
          <w:szCs w:val="20"/>
          <w:color w:val="auto"/>
        </w:rPr>
        <w:t>.</w:t>
      </w:r>
    </w:p>
    <w:p>
      <w:pPr>
        <w:spacing w:after="0" w:line="157" w:lineRule="exact"/>
        <w:rPr>
          <w:rFonts w:ascii="Times New Roman" w:cs="Times New Roman" w:eastAsia="Times New Roman" w:hAnsi="Times New Roman"/>
          <w:sz w:val="20"/>
          <w:szCs w:val="20"/>
          <w:color w:val="010000"/>
        </w:rPr>
      </w:pPr>
    </w:p>
    <w:p>
      <w:pPr>
        <w:jc w:val="both"/>
        <w:ind w:left="660" w:firstLine="644"/>
        <w:spacing w:after="0" w:line="222" w:lineRule="auto"/>
        <w:tabs>
          <w:tab w:leader="none" w:pos="1944" w:val="left"/>
        </w:tabs>
        <w:numPr>
          <w:ilvl w:val="0"/>
          <w:numId w:val="24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The Administrative Agent shall have received a favorable written opinion (addressed to the Administrative Agent and the Lenders and dated the Effective Date) of Morgan, Lewis &amp; Bockius LLP, counsel for the Company, substantially in the form of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covering such matters relating to the Company, the Loan Documents or the Transactions as the Administrative Agent shall reasonably request. The Company hereby requests such counsel to deliver such opinion.</w:t>
      </w:r>
    </w:p>
    <w:p>
      <w:pPr>
        <w:spacing w:after="0" w:line="161" w:lineRule="exact"/>
        <w:rPr>
          <w:rFonts w:ascii="Times New Roman" w:cs="Times New Roman" w:eastAsia="Times New Roman" w:hAnsi="Times New Roman"/>
          <w:sz w:val="20"/>
          <w:szCs w:val="20"/>
          <w:color w:val="010000"/>
        </w:rPr>
      </w:pPr>
    </w:p>
    <w:p>
      <w:pPr>
        <w:jc w:val="both"/>
        <w:ind w:left="660" w:firstLine="644"/>
        <w:spacing w:after="0" w:line="226" w:lineRule="auto"/>
        <w:tabs>
          <w:tab w:leader="none" w:pos="1946" w:val="left"/>
        </w:tabs>
        <w:numPr>
          <w:ilvl w:val="0"/>
          <w:numId w:val="24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Administrative Agent shall have received such documents and certificates as the Administrative Agent or its counsel may reasonably request relating to the organization, existence and good standing of the Company, the authorization of the Transactions and any other legal matters relating to the Company, the Loan Documents or the Transactions, all in form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55</w:t>
      </w:r>
    </w:p>
    <w:p>
      <w:pPr>
        <w:sectPr>
          <w:pgSz w:w="11900" w:h="16838" w:orient="portrait"/>
          <w:cols w:equalWidth="0" w:num="1">
            <w:col w:w="11240"/>
          </w:cols>
          <w:pgMar w:left="320" w:top="1426" w:right="339" w:bottom="1440" w:gutter="0" w:footer="0" w:header="0"/>
        </w:sectPr>
      </w:pPr>
    </w:p>
    <w:bookmarkStart w:id="228" w:name="page229"/>
    <w:bookmarkEnd w:id="228"/>
    <w:p>
      <w:pPr>
        <w:ind w:left="660"/>
        <w:spacing w:after="0"/>
        <w:rPr>
          <w:sz w:val="20"/>
          <w:szCs w:val="20"/>
          <w:color w:val="auto"/>
        </w:rPr>
      </w:pPr>
      <w:r>
        <w:rPr>
          <w:rFonts w:ascii="Times New Roman" w:cs="Times New Roman" w:eastAsia="Times New Roman" w:hAnsi="Times New Roman"/>
          <w:sz w:val="20"/>
          <w:szCs w:val="20"/>
          <w:color w:val="auto"/>
        </w:rPr>
        <w:t xml:space="preserve">substance satisfactory to the Administrative Agent and its counsel and as further described in the list of closing documents attached as </w:t>
      </w:r>
      <w:r>
        <w:rPr>
          <w:rFonts w:ascii="Times New Roman" w:cs="Times New Roman" w:eastAsia="Times New Roman" w:hAnsi="Times New Roman"/>
          <w:sz w:val="20"/>
          <w:szCs w:val="20"/>
          <w:u w:val="single" w:color="auto"/>
          <w:color w:val="auto"/>
        </w:rPr>
        <w:t>Exhibit E</w:t>
      </w:r>
      <w:r>
        <w:rPr>
          <w:rFonts w:ascii="Times New Roman" w:cs="Times New Roman" w:eastAsia="Times New Roman" w:hAnsi="Times New Roman"/>
          <w:sz w:val="20"/>
          <w:szCs w:val="20"/>
          <w:color w:val="auto"/>
        </w:rPr>
        <w:t>.</w:t>
      </w:r>
    </w:p>
    <w:p>
      <w:pPr>
        <w:spacing w:after="0" w:line="148" w:lineRule="exact"/>
        <w:rPr>
          <w:sz w:val="20"/>
          <w:szCs w:val="20"/>
          <w:color w:val="auto"/>
        </w:rPr>
      </w:pPr>
    </w:p>
    <w:p>
      <w:pPr>
        <w:ind w:left="660" w:right="20" w:firstLine="644"/>
        <w:spacing w:after="0"/>
        <w:tabs>
          <w:tab w:leader="none" w:pos="1944" w:val="left"/>
        </w:tabs>
        <w:numPr>
          <w:ilvl w:val="0"/>
          <w:numId w:val="24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Administrative Agent shall have received a certificate, dated the Effective Date and signed by the President, a Vice President or a Financial Officer of the Company, confirming compliance with the condition set forth in paragraphs (i) and (j).</w:t>
      </w:r>
    </w:p>
    <w:p>
      <w:pPr>
        <w:spacing w:after="0" w:line="161" w:lineRule="exact"/>
        <w:rPr>
          <w:rFonts w:ascii="Times New Roman" w:cs="Times New Roman" w:eastAsia="Times New Roman" w:hAnsi="Times New Roman"/>
          <w:sz w:val="20"/>
          <w:szCs w:val="20"/>
          <w:color w:val="010000"/>
        </w:rPr>
      </w:pPr>
    </w:p>
    <w:p>
      <w:pPr>
        <w:jc w:val="both"/>
        <w:ind w:left="660" w:firstLine="644"/>
        <w:spacing w:after="0" w:line="213" w:lineRule="auto"/>
        <w:tabs>
          <w:tab w:leader="none" w:pos="1946" w:val="left"/>
        </w:tabs>
        <w:numPr>
          <w:ilvl w:val="0"/>
          <w:numId w:val="24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 The Administrative Agent, and any Lender that has so requested, shall have received, at least ten (10) days prior to the Effective Date, all documentation and other information regarding the Company requested in connection with applicable “know your customer” and Anti-Money Laundering Laws, including the Patriot Act, to the extent requested in writing, of the Company at least ten (10) days prior to the Effective Date and (ii) to the extent the Company qualifies as a “legal entity customer” under the Beneficial Ownership Regulation, at least ten (10) days prior to the Effective Date, any Lender that has requested, in a written notice to the Company at least ten (10) days prior to the Effective Date, a Beneficial Ownership Certification in relation to the Company, shall have received such Beneficial Ownership Certification (provided that, upon the execution and delivery by such Lender of its signature page to this Agreement, the condition set forth in this clause (e) shall be deemed to be satisfied).</w:t>
      </w:r>
    </w:p>
    <w:p>
      <w:pPr>
        <w:spacing w:after="0" w:line="162" w:lineRule="exact"/>
        <w:rPr>
          <w:rFonts w:ascii="Times New Roman" w:cs="Times New Roman" w:eastAsia="Times New Roman" w:hAnsi="Times New Roman"/>
          <w:sz w:val="20"/>
          <w:szCs w:val="20"/>
          <w:color w:val="010000"/>
        </w:rPr>
      </w:pPr>
    </w:p>
    <w:p>
      <w:pPr>
        <w:ind w:left="660" w:right="20" w:firstLine="644"/>
        <w:spacing w:after="0"/>
        <w:tabs>
          <w:tab w:leader="none" w:pos="1951" w:val="left"/>
        </w:tabs>
        <w:numPr>
          <w:ilvl w:val="0"/>
          <w:numId w:val="24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Administrative Agent shall have received any promissory notes requested by any Lender at least three (3) Business Days in advance of the Effective Date.</w:t>
      </w:r>
    </w:p>
    <w:p>
      <w:pPr>
        <w:spacing w:after="0" w:line="147" w:lineRule="exact"/>
        <w:rPr>
          <w:rFonts w:ascii="Times New Roman" w:cs="Times New Roman" w:eastAsia="Times New Roman" w:hAnsi="Times New Roman"/>
          <w:sz w:val="20"/>
          <w:szCs w:val="20"/>
          <w:color w:val="010000"/>
        </w:rPr>
      </w:pPr>
    </w:p>
    <w:p>
      <w:pPr>
        <w:jc w:val="both"/>
        <w:ind w:left="660" w:firstLine="644"/>
        <w:spacing w:after="0" w:line="230" w:lineRule="auto"/>
        <w:tabs>
          <w:tab w:leader="none" w:pos="1944" w:val="left"/>
        </w:tabs>
        <w:numPr>
          <w:ilvl w:val="0"/>
          <w:numId w:val="24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Administrative Agent with respect to the Indicor Bridge Facility shall have received a written notice from the Company that this Agreement and the Commitments hereunder qualify as a “Qualifying Facility” and the commitments under the Indicor Bridge Facility shall be automatically reduced pursuant to the terms of the Indicor Bridge Facility.</w:t>
      </w:r>
    </w:p>
    <w:p>
      <w:pPr>
        <w:spacing w:after="0" w:line="148" w:lineRule="exact"/>
        <w:rPr>
          <w:rFonts w:ascii="Times New Roman" w:cs="Times New Roman" w:eastAsia="Times New Roman" w:hAnsi="Times New Roman"/>
          <w:sz w:val="20"/>
          <w:szCs w:val="20"/>
          <w:color w:val="010000"/>
        </w:rPr>
      </w:pPr>
    </w:p>
    <w:p>
      <w:pPr>
        <w:jc w:val="both"/>
        <w:ind w:left="660" w:firstLine="644"/>
        <w:spacing w:after="0" w:line="226" w:lineRule="auto"/>
        <w:tabs>
          <w:tab w:leader="none" w:pos="1944" w:val="left"/>
        </w:tabs>
        <w:numPr>
          <w:ilvl w:val="0"/>
          <w:numId w:val="24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Administrative Agent shall have been paid all fees and other amounts due and payable on or prior to the Effective Date, including, to the extent invoiced, reimbursement or payment of all out-of-pocket expenses required to be reimbursed or paid by the Company hereunder.</w:t>
      </w:r>
    </w:p>
    <w:p>
      <w:pPr>
        <w:spacing w:after="0" w:line="160" w:lineRule="exact"/>
        <w:rPr>
          <w:rFonts w:ascii="Times New Roman" w:cs="Times New Roman" w:eastAsia="Times New Roman" w:hAnsi="Times New Roman"/>
          <w:sz w:val="20"/>
          <w:szCs w:val="20"/>
          <w:color w:val="010000"/>
        </w:rPr>
      </w:pPr>
    </w:p>
    <w:p>
      <w:pPr>
        <w:jc w:val="both"/>
        <w:ind w:left="660" w:firstLine="644"/>
        <w:spacing w:after="0" w:line="220" w:lineRule="auto"/>
        <w:tabs>
          <w:tab w:leader="none" w:pos="1954" w:val="left"/>
        </w:tabs>
        <w:numPr>
          <w:ilvl w:val="0"/>
          <w:numId w:val="24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representations and warranties of the Company set forth in this Agreement are true and correct in all material respects (or, in the case of any representation or warranty qualified by materiality or Material Adverse Effect, in all respects) on and as of the Effective Date (except to the extent any such representation or warranty expressly relates to any earlier and/or specified date, in which case such representation and warranty shall be true and correct in all material respects (or, in the case of any representation or warranty qualified by material or Material Adverse Effect, in all respects) as of such earlier and/or specified date)</w:t>
      </w:r>
    </w:p>
    <w:p>
      <w:pPr>
        <w:spacing w:after="0" w:line="147" w:lineRule="exact"/>
        <w:rPr>
          <w:rFonts w:ascii="Times New Roman" w:cs="Times New Roman" w:eastAsia="Times New Roman" w:hAnsi="Times New Roman"/>
          <w:sz w:val="20"/>
          <w:szCs w:val="20"/>
          <w:color w:val="010000"/>
        </w:rPr>
      </w:pPr>
    </w:p>
    <w:p>
      <w:pPr>
        <w:ind w:left="1940" w:hanging="636"/>
        <w:spacing w:after="0"/>
        <w:tabs>
          <w:tab w:leader="none" w:pos="1940" w:val="left"/>
        </w:tabs>
        <w:numPr>
          <w:ilvl w:val="0"/>
          <w:numId w:val="24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No Default or Event of Default exists.</w:t>
      </w:r>
    </w:p>
    <w:p>
      <w:pPr>
        <w:spacing w:after="0" w:line="189" w:lineRule="exact"/>
        <w:rPr>
          <w:sz w:val="20"/>
          <w:szCs w:val="20"/>
          <w:color w:val="auto"/>
        </w:rPr>
      </w:pPr>
    </w:p>
    <w:p>
      <w:pPr>
        <w:ind w:firstLine="1296"/>
        <w:spacing w:after="0" w:line="215" w:lineRule="auto"/>
        <w:rPr>
          <w:sz w:val="20"/>
          <w:szCs w:val="20"/>
          <w:color w:val="auto"/>
        </w:rPr>
      </w:pPr>
      <w:r>
        <w:rPr>
          <w:rFonts w:ascii="Times New Roman" w:cs="Times New Roman" w:eastAsia="Times New Roman" w:hAnsi="Times New Roman"/>
          <w:sz w:val="20"/>
          <w:szCs w:val="20"/>
          <w:color w:val="010000"/>
        </w:rPr>
        <w:t xml:space="preserve">Section 4.02. </w:t>
      </w:r>
      <w:r>
        <w:rPr>
          <w:rFonts w:ascii="Times New Roman" w:cs="Times New Roman" w:eastAsia="Times New Roman" w:hAnsi="Times New Roman"/>
          <w:sz w:val="20"/>
          <w:szCs w:val="20"/>
          <w:u w:val="single" w:color="auto"/>
          <w:color w:val="000000"/>
        </w:rPr>
        <w:t>Closing Date</w:t>
      </w:r>
      <w:r>
        <w:rPr>
          <w:rFonts w:ascii="Times New Roman" w:cs="Times New Roman" w:eastAsia="Times New Roman" w:hAnsi="Times New Roman"/>
          <w:sz w:val="20"/>
          <w:szCs w:val="20"/>
          <w:color w:val="000000"/>
        </w:rPr>
        <w:t>. The obligation of each Lender to make the Loans hereunder on the Closing Date is subject to</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the satisfaction of the following conditions:</w:t>
      </w:r>
    </w:p>
    <w:p>
      <w:pPr>
        <w:spacing w:after="0" w:line="1" w:lineRule="exact"/>
        <w:rPr>
          <w:sz w:val="20"/>
          <w:szCs w:val="20"/>
          <w:color w:val="auto"/>
        </w:rPr>
      </w:pPr>
    </w:p>
    <w:p>
      <w:pPr>
        <w:ind w:left="1940" w:hanging="636"/>
        <w:spacing w:after="0"/>
        <w:tabs>
          <w:tab w:leader="none" w:pos="1940" w:val="left"/>
        </w:tabs>
        <w:numPr>
          <w:ilvl w:val="0"/>
          <w:numId w:val="24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Effective Date shall have occurred.</w:t>
      </w:r>
    </w:p>
    <w:p>
      <w:pPr>
        <w:spacing w:after="0" w:line="180" w:lineRule="exact"/>
        <w:rPr>
          <w:rFonts w:ascii="Times New Roman" w:cs="Times New Roman" w:eastAsia="Times New Roman" w:hAnsi="Times New Roman"/>
          <w:sz w:val="20"/>
          <w:szCs w:val="20"/>
          <w:color w:val="010000"/>
        </w:rPr>
      </w:pPr>
    </w:p>
    <w:p>
      <w:pPr>
        <w:jc w:val="both"/>
        <w:ind w:left="660" w:firstLine="644"/>
        <w:spacing w:after="0" w:line="251" w:lineRule="auto"/>
        <w:tabs>
          <w:tab w:leader="none" w:pos="1944" w:val="left"/>
        </w:tabs>
        <w:numPr>
          <w:ilvl w:val="0"/>
          <w:numId w:val="24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The Indicor Acquisition shall be consummated substantially concurrently with the Borrowing of the Loans hereunder in accordance with the Indicor Acquisition Agreement without giving effect to any amendment, modification, supplement or waiver by the Company thereto or consents by the Company thereunder that are in the aggregate (when taken as a whole) materially adverse to the Lenders, in their respective capacities as such, without the consent of the Lenders (such consent not to be unreasonably withheld, conditioned or delayed);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changes to the purchase price shall not be deemed to be materially adverse to the interests of the Lenders if such purchase price changes do not exceed 10% in the aggregate and, in the case of a purchase price decrease, shall reduce the commitments hereunder on a dollar-for-dollar basis (which reduction shall be allocated to a reduction of Tranche A, Tranche B and/or Tranche C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56</w:t>
      </w:r>
    </w:p>
    <w:p>
      <w:pPr>
        <w:sectPr>
          <w:pgSz w:w="11900" w:h="16838" w:orient="portrait"/>
          <w:cols w:equalWidth="0" w:num="1">
            <w:col w:w="11240"/>
          </w:cols>
          <w:pgMar w:left="320" w:top="1399" w:right="339" w:bottom="1440" w:gutter="0" w:footer="0" w:header="0"/>
        </w:sectPr>
      </w:pPr>
    </w:p>
    <w:bookmarkStart w:id="229" w:name="page230"/>
    <w:bookmarkEnd w:id="229"/>
    <w:p>
      <w:pPr>
        <w:jc w:val="both"/>
        <w:spacing w:after="0" w:line="260" w:lineRule="auto"/>
        <w:rPr>
          <w:sz w:val="20"/>
          <w:szCs w:val="20"/>
          <w:color w:val="auto"/>
        </w:rPr>
      </w:pPr>
      <w:r>
        <w:rPr>
          <w:rFonts w:ascii="Times New Roman" w:cs="Times New Roman" w:eastAsia="Times New Roman" w:hAnsi="Times New Roman"/>
          <w:sz w:val="20"/>
          <w:szCs w:val="20"/>
          <w:color w:val="auto"/>
        </w:rPr>
        <w:t xml:space="preserve">the amounts specified by the Company); </w:t>
      </w:r>
      <w:r>
        <w:rPr>
          <w:rFonts w:ascii="Times New Roman" w:cs="Times New Roman" w:eastAsia="Times New Roman" w:hAnsi="Times New Roman"/>
          <w:sz w:val="20"/>
          <w:szCs w:val="20"/>
          <w:i w:val="1"/>
          <w:iCs w:val="1"/>
          <w:color w:val="auto"/>
        </w:rPr>
        <w:t>provided further</w:t>
      </w:r>
      <w:r>
        <w:rPr>
          <w:rFonts w:ascii="Times New Roman" w:cs="Times New Roman" w:eastAsia="Times New Roman" w:hAnsi="Times New Roman"/>
          <w:sz w:val="20"/>
          <w:szCs w:val="20"/>
          <w:color w:val="auto"/>
        </w:rPr>
        <w:t>, that (x) a decrease in the purchase price shall be deemed to be materially adverse to the interests of the Lenders if such purchase price decrease exceeds 10% in the aggregate and (y) an increase in the purchase price shall be deemed to be materially adverse to the Lenders if (I) such purchase price increase exceeds 10% in the aggregate or (II) such purchase price increase is funded with third-party debt for borrowed money.</w:t>
      </w:r>
    </w:p>
    <w:p>
      <w:pPr>
        <w:spacing w:after="0" w:line="168" w:lineRule="exact"/>
        <w:rPr>
          <w:sz w:val="20"/>
          <w:szCs w:val="20"/>
          <w:color w:val="auto"/>
        </w:rPr>
      </w:pPr>
    </w:p>
    <w:p>
      <w:pPr>
        <w:jc w:val="both"/>
        <w:ind w:firstLine="644"/>
        <w:spacing w:after="0" w:line="268" w:lineRule="auto"/>
        <w:tabs>
          <w:tab w:leader="none" w:pos="1286" w:val="left"/>
        </w:tabs>
        <w:numPr>
          <w:ilvl w:val="0"/>
          <w:numId w:val="24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On or after May 5, 2026, no Material Adverse Effect (as defined in the Indicor Acquisition Agreement on May 5, 2026) shall have occurred, nor shall any event or events have occurred that, individually or in the aggregate, with or without the lapse of time, could reasonably be expected to result in a Material Adverse Effect (as so defined).</w:t>
      </w:r>
    </w:p>
    <w:p>
      <w:pPr>
        <w:spacing w:after="0" w:line="161" w:lineRule="exact"/>
        <w:rPr>
          <w:rFonts w:ascii="Times New Roman" w:cs="Times New Roman" w:eastAsia="Times New Roman" w:hAnsi="Times New Roman"/>
          <w:sz w:val="20"/>
          <w:szCs w:val="20"/>
          <w:color w:val="010000"/>
        </w:rPr>
      </w:pPr>
    </w:p>
    <w:p>
      <w:pPr>
        <w:jc w:val="both"/>
        <w:ind w:firstLine="644"/>
        <w:spacing w:after="0" w:line="250" w:lineRule="auto"/>
        <w:tabs>
          <w:tab w:leader="none" w:pos="1284" w:val="left"/>
        </w:tabs>
        <w:numPr>
          <w:ilvl w:val="0"/>
          <w:numId w:val="24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Administrative Agent shall have received with respect to the Company: (a)(x) audited consolidated balance sheets as of December 31, 2025 and 2024, the related consolidated statements of income, comprehensive income, stockholders’ equity and cash flows for each of the three years in the period ended December 31, 2025, and the related notes and (y) audited consolidated balance sheets and related consolidated statements of income, comprehensive income, stockholders’ equity and cash flows for each subsequent fiscal year ended at least 60 days prior to the Closing Date, and the related notes and (b) unaudited consolidated statement of income, condensed consolidated statement of comprehensive income, the consolidated balance sheet, the consolidated statement of stockholders’ equity, the condensed consolidated statement of cash flows and the related notes for each subsequent fiscal quarter ended at least 40 days prior to the Closing Date, in each case, which are prepared in accordance with GAAP; it being understood that, with respect to such financial information for each such fiscal year and fiscal quarter, such condition shall be deemed satisfied through the filing by the Company of its annual report on Form 10-K or quarterly report on Form 10-Q with respect to such fiscal year or fiscal quarter.</w:t>
      </w:r>
    </w:p>
    <w:p>
      <w:pPr>
        <w:spacing w:after="0" w:line="199" w:lineRule="exact"/>
        <w:rPr>
          <w:rFonts w:ascii="Times New Roman" w:cs="Times New Roman" w:eastAsia="Times New Roman" w:hAnsi="Times New Roman"/>
          <w:sz w:val="20"/>
          <w:szCs w:val="20"/>
          <w:color w:val="010000"/>
        </w:rPr>
      </w:pPr>
    </w:p>
    <w:p>
      <w:pPr>
        <w:jc w:val="both"/>
        <w:ind w:firstLine="644"/>
        <w:spacing w:after="0" w:line="251" w:lineRule="auto"/>
        <w:tabs>
          <w:tab w:leader="none" w:pos="1286" w:val="left"/>
        </w:tabs>
        <w:numPr>
          <w:ilvl w:val="0"/>
          <w:numId w:val="24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Administrative Agent shall have received with respect to the Group Companies (as defined in the Indicor Acquisition Agreement): (a) the unaudited combined statements of profit and loss for the Group Companies for the twelve (12)-month periods ended December 31, 2025 and December 31, 2024, (b) the unaudited combined balance sheet of the Group Companies dated as of each of December 31, 2025 and December 31, 2024 and (c) to the extent received from the Sellers (as defined in the Indicor Acquisition Agreement), the unaudited combined statements of profit and loss and combined balance sheets for each subsequent fiscal quarter ended at least 40 days (or, in the case of the fourth quarter of the fiscal year, at least 60 days) prior to the Closing Date.</w:t>
      </w:r>
    </w:p>
    <w:p>
      <w:pPr>
        <w:spacing w:after="0" w:line="192" w:lineRule="exact"/>
        <w:rPr>
          <w:rFonts w:ascii="Times New Roman" w:cs="Times New Roman" w:eastAsia="Times New Roman" w:hAnsi="Times New Roman"/>
          <w:sz w:val="20"/>
          <w:szCs w:val="20"/>
          <w:color w:val="010000"/>
        </w:rPr>
      </w:pPr>
    </w:p>
    <w:p>
      <w:pPr>
        <w:jc w:val="both"/>
        <w:ind w:firstLine="644"/>
        <w:spacing w:after="0" w:line="261" w:lineRule="auto"/>
        <w:tabs>
          <w:tab w:leader="none" w:pos="1291" w:val="left"/>
        </w:tabs>
        <w:numPr>
          <w:ilvl w:val="0"/>
          <w:numId w:val="24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The Administrative Agent shall have received (i) a duly executed Borrowing Request complying with the terms of Section 2.03 and (ii) a solvency certificate from the chief financial officer of the Company in the form attached hereto as </w:t>
      </w:r>
      <w:r>
        <w:rPr>
          <w:rFonts w:ascii="Times New Roman" w:cs="Times New Roman" w:eastAsia="Times New Roman" w:hAnsi="Times New Roman"/>
          <w:sz w:val="20"/>
          <w:szCs w:val="20"/>
          <w:u w:val="single" w:color="auto"/>
          <w:color w:val="auto"/>
        </w:rPr>
        <w:t>Exhibit I</w:t>
      </w:r>
      <w:r>
        <w:rPr>
          <w:rFonts w:ascii="Times New Roman" w:cs="Times New Roman" w:eastAsia="Times New Roman" w:hAnsi="Times New Roman"/>
          <w:sz w:val="20"/>
          <w:szCs w:val="20"/>
          <w:color w:val="auto"/>
        </w:rPr>
        <w:t xml:space="preserve"> certifying that the Company and its Subsidiaries, on a consolidated basis after giving effect to the Transactions, are solvent.</w:t>
      </w:r>
    </w:p>
    <w:p>
      <w:pPr>
        <w:spacing w:after="0" w:line="181" w:lineRule="exact"/>
        <w:rPr>
          <w:rFonts w:ascii="Times New Roman" w:cs="Times New Roman" w:eastAsia="Times New Roman" w:hAnsi="Times New Roman"/>
          <w:sz w:val="20"/>
          <w:szCs w:val="20"/>
          <w:color w:val="010000"/>
        </w:rPr>
      </w:pPr>
    </w:p>
    <w:p>
      <w:pPr>
        <w:jc w:val="both"/>
        <w:ind w:firstLine="644"/>
        <w:spacing w:after="0" w:line="254" w:lineRule="auto"/>
        <w:tabs>
          <w:tab w:leader="none" w:pos="1284" w:val="left"/>
        </w:tabs>
        <w:numPr>
          <w:ilvl w:val="0"/>
          <w:numId w:val="24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(a) The Indicor Acquisition Agreement Representations and the Indicor Specified Representations shall be accurate in all material respects on and as of the Closing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to the extent the Indicor Acquisition Agreement Representations and the Specified Representations specifically refer to an earlier date, they shall be accurate in all material respects as of such earlier date and (b) no Event of Default under (1) paragraphs (a) and (b) of Article VII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color w:val="auto"/>
        </w:rPr>
        <w:t>57</w:t>
      </w:r>
    </w:p>
    <w:p>
      <w:pPr>
        <w:sectPr>
          <w:pgSz w:w="11900" w:h="16838" w:orient="portrait"/>
          <w:cols w:equalWidth="0" w:num="1">
            <w:col w:w="10580"/>
          </w:cols>
          <w:pgMar w:left="980" w:top="1409" w:right="339" w:bottom="1440" w:gutter="0" w:footer="0" w:header="0"/>
        </w:sectPr>
      </w:pPr>
    </w:p>
    <w:bookmarkStart w:id="230" w:name="page231"/>
    <w:bookmarkEnd w:id="230"/>
    <w:p>
      <w:pPr>
        <w:ind w:left="660"/>
        <w:spacing w:after="0" w:line="283" w:lineRule="auto"/>
        <w:rPr>
          <w:sz w:val="20"/>
          <w:szCs w:val="20"/>
          <w:color w:val="auto"/>
        </w:rPr>
      </w:pPr>
      <w:r>
        <w:rPr>
          <w:rFonts w:ascii="Times New Roman" w:cs="Times New Roman" w:eastAsia="Times New Roman" w:hAnsi="Times New Roman"/>
          <w:sz w:val="20"/>
          <w:szCs w:val="20"/>
          <w:color w:val="auto"/>
        </w:rPr>
        <w:t>and (2) paragraphs (h), (i), (j), (k) or (l) of Article VII (in each case, with respect to the Company only) shall have occurred and be continuing on and as of the Closing Date.</w:t>
      </w:r>
    </w:p>
    <w:p>
      <w:pPr>
        <w:spacing w:after="0" w:line="133" w:lineRule="exact"/>
        <w:rPr>
          <w:sz w:val="20"/>
          <w:szCs w:val="20"/>
          <w:color w:val="auto"/>
        </w:rPr>
      </w:pPr>
    </w:p>
    <w:p>
      <w:pPr>
        <w:ind w:left="660" w:firstLine="644"/>
        <w:spacing w:after="0"/>
        <w:tabs>
          <w:tab w:leader="none" w:pos="1944" w:val="left"/>
        </w:tabs>
        <w:numPr>
          <w:ilvl w:val="0"/>
          <w:numId w:val="24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Administrative Agent shall have received a certificate from a Financial Officer certifying as to the satisfaction of the conditions precedent contained in this Section 4.02(b), (c), (g) and (j).</w:t>
      </w:r>
    </w:p>
    <w:p>
      <w:pPr>
        <w:spacing w:after="0" w:line="161" w:lineRule="exact"/>
        <w:rPr>
          <w:rFonts w:ascii="Times New Roman" w:cs="Times New Roman" w:eastAsia="Times New Roman" w:hAnsi="Times New Roman"/>
          <w:sz w:val="20"/>
          <w:szCs w:val="20"/>
          <w:color w:val="010000"/>
        </w:rPr>
      </w:pPr>
    </w:p>
    <w:p>
      <w:pPr>
        <w:ind w:left="660" w:right="20" w:firstLine="644"/>
        <w:spacing w:after="0" w:line="233" w:lineRule="auto"/>
        <w:tabs>
          <w:tab w:leader="none" w:pos="1954" w:val="left"/>
        </w:tabs>
        <w:numPr>
          <w:ilvl w:val="0"/>
          <w:numId w:val="24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Company shall have paid all fees and expenses due and, in the case of expenses and legal fees, to the extent invoiced in reasonable detail at least two business days prior to the Closing Date and required to be paid on the Closing Date.</w:t>
      </w:r>
    </w:p>
    <w:p>
      <w:pPr>
        <w:spacing w:after="0" w:line="160" w:lineRule="exact"/>
        <w:rPr>
          <w:rFonts w:ascii="Times New Roman" w:cs="Times New Roman" w:eastAsia="Times New Roman" w:hAnsi="Times New Roman"/>
          <w:sz w:val="20"/>
          <w:szCs w:val="20"/>
          <w:color w:val="010000"/>
        </w:rPr>
      </w:pPr>
    </w:p>
    <w:p>
      <w:pPr>
        <w:ind w:left="1940" w:hanging="636"/>
        <w:spacing w:after="0"/>
        <w:tabs>
          <w:tab w:leader="none" w:pos="1940" w:val="left"/>
        </w:tabs>
        <w:numPr>
          <w:ilvl w:val="0"/>
          <w:numId w:val="24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Indicor Refinancing shall have occurred concurrently with the funding of such Loans.</w:t>
      </w:r>
    </w:p>
    <w:p>
      <w:pPr>
        <w:spacing w:after="0" w:line="175"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20"/>
          <w:szCs w:val="20"/>
          <w:color w:val="010000"/>
        </w:rPr>
        <w:t>ARTICLE V</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Affirmative Covenants</w:t>
      </w:r>
    </w:p>
    <w:p>
      <w:pPr>
        <w:spacing w:after="0" w:line="189" w:lineRule="exact"/>
        <w:rPr>
          <w:sz w:val="20"/>
          <w:szCs w:val="20"/>
          <w:color w:val="auto"/>
        </w:rPr>
      </w:pPr>
    </w:p>
    <w:p>
      <w:pPr>
        <w:ind w:firstLine="1296"/>
        <w:spacing w:after="0" w:line="283" w:lineRule="auto"/>
        <w:rPr>
          <w:sz w:val="20"/>
          <w:szCs w:val="20"/>
          <w:color w:val="auto"/>
        </w:rPr>
      </w:pPr>
      <w:r>
        <w:rPr>
          <w:rFonts w:ascii="Times New Roman" w:cs="Times New Roman" w:eastAsia="Times New Roman" w:hAnsi="Times New Roman"/>
          <w:sz w:val="20"/>
          <w:szCs w:val="20"/>
          <w:color w:val="auto"/>
        </w:rPr>
        <w:t>Until the Commitments have expired or been terminated and the principal of and interest on each Loan and all fees payable hereunder shall have been paid in full, the Company covenants and agrees with the Lenders that:</w:t>
      </w:r>
    </w:p>
    <w:p>
      <w:pPr>
        <w:spacing w:after="0" w:line="119" w:lineRule="exact"/>
        <w:rPr>
          <w:sz w:val="20"/>
          <w:szCs w:val="20"/>
          <w:color w:val="auto"/>
        </w:rPr>
      </w:pPr>
    </w:p>
    <w:p>
      <w:pPr>
        <w:ind w:left="1300"/>
        <w:spacing w:after="0"/>
        <w:tabs>
          <w:tab w:leader="none" w:pos="2600" w:val="left"/>
        </w:tabs>
        <w:rPr>
          <w:sz w:val="20"/>
          <w:szCs w:val="20"/>
          <w:color w:val="auto"/>
        </w:rPr>
      </w:pPr>
      <w:r>
        <w:rPr>
          <w:rFonts w:ascii="Times New Roman" w:cs="Times New Roman" w:eastAsia="Times New Roman" w:hAnsi="Times New Roman"/>
          <w:sz w:val="20"/>
          <w:szCs w:val="20"/>
          <w:color w:val="010000"/>
        </w:rPr>
        <w:t>Section 5.01.</w:t>
      </w:r>
      <w:r>
        <w:rPr>
          <w:sz w:val="20"/>
          <w:szCs w:val="20"/>
          <w:color w:val="auto"/>
        </w:rPr>
        <w:tab/>
      </w:r>
      <w:r>
        <w:rPr>
          <w:rFonts w:ascii="Times New Roman" w:cs="Times New Roman" w:eastAsia="Times New Roman" w:hAnsi="Times New Roman"/>
          <w:sz w:val="20"/>
          <w:szCs w:val="20"/>
          <w:u w:val="single" w:color="auto"/>
          <w:color w:val="auto"/>
        </w:rPr>
        <w:t>Financial Statements and Other Information</w:t>
      </w:r>
      <w:r>
        <w:rPr>
          <w:rFonts w:ascii="Times New Roman" w:cs="Times New Roman" w:eastAsia="Times New Roman" w:hAnsi="Times New Roman"/>
          <w:sz w:val="20"/>
          <w:szCs w:val="20"/>
          <w:color w:val="auto"/>
        </w:rPr>
        <w:t>. The Company will furnish to the Administrative Agent and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each Lender:</w:t>
      </w:r>
    </w:p>
    <w:p>
      <w:pPr>
        <w:spacing w:after="0" w:line="6" w:lineRule="exact"/>
        <w:rPr>
          <w:sz w:val="20"/>
          <w:szCs w:val="20"/>
          <w:color w:val="auto"/>
        </w:rPr>
      </w:pPr>
    </w:p>
    <w:p>
      <w:pPr>
        <w:jc w:val="both"/>
        <w:ind w:left="660" w:firstLine="644"/>
        <w:spacing w:after="0" w:line="249" w:lineRule="auto"/>
        <w:tabs>
          <w:tab w:leader="none" w:pos="1946" w:val="left"/>
        </w:tabs>
        <w:numPr>
          <w:ilvl w:val="0"/>
          <w:numId w:val="24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within ninety (90) days after the end of each fiscal year of the Company (or, if earlier, by the date that the Annual Report on Form 10-K of the Company for such fiscal year would be required to be filed under the rules and regulations of the SEC, giving effect to any automatic extension available thereunder for the filing of such form), its audited consolidated balance sheet and related statements of operations, stockholders’ equity and cash flows as of the end of and for such year, setting forth in each case in comparative form the figures for the previous fiscal year, all reported on by Ernst &amp; Young LLP or other independent public accountants of recognized national standing (without a “going concern” or like qualification or exception and without any qualification or exception as to the scope of such audit) to the effect that such consolidated financial statements present fairly in all material respects the financial condition and results of operations of the Company and its consolidated Subsidiaries on a consolidated basis in accordance with GAAP consistently applied;</w:t>
      </w:r>
    </w:p>
    <w:p>
      <w:pPr>
        <w:spacing w:after="0" w:line="179" w:lineRule="exact"/>
        <w:rPr>
          <w:rFonts w:ascii="Times New Roman" w:cs="Times New Roman" w:eastAsia="Times New Roman" w:hAnsi="Times New Roman"/>
          <w:sz w:val="20"/>
          <w:szCs w:val="20"/>
          <w:color w:val="010000"/>
        </w:rPr>
      </w:pPr>
    </w:p>
    <w:p>
      <w:pPr>
        <w:jc w:val="both"/>
        <w:ind w:left="660" w:firstLine="644"/>
        <w:spacing w:after="0" w:line="252" w:lineRule="auto"/>
        <w:tabs>
          <w:tab w:leader="none" w:pos="1944" w:val="left"/>
        </w:tabs>
        <w:numPr>
          <w:ilvl w:val="0"/>
          <w:numId w:val="24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within forty-five (45) days after the end of each of the first three fiscal quarters of each fiscal year of the Company (or, if earlier, by the date that the Quarterly Report on Form 10-Q of the Company for such fiscal quarter would be required to be filed under the rules and regulations of the SEC, giving effect to any automatic extension available thereunder for the filing of such form), its consolidated balance sheet and related statements of operations, stockholders’ equity and cash flows as of the end of and for such fiscal quarter and the then elapsed portion of the fiscal year, setting forth in each case in comparative form the figures for the corresponding period or periods of (or, in the case of the balance sheet, as of the end of) the previous fiscal year, all certified by one of its Financial Officers as presenting fairly in all material respects the financial condition and results of operations of the Company and its consolidated Subsidiaries on a consolidated basis in accordance with GAAP consistently applied, subject to normal year-end audit adjustments and the absence of footnotes;</w:t>
      </w:r>
    </w:p>
    <w:p>
      <w:pPr>
        <w:spacing w:after="0" w:line="189" w:lineRule="exact"/>
        <w:rPr>
          <w:rFonts w:ascii="Times New Roman" w:cs="Times New Roman" w:eastAsia="Times New Roman" w:hAnsi="Times New Roman"/>
          <w:sz w:val="20"/>
          <w:szCs w:val="20"/>
          <w:color w:val="010000"/>
        </w:rPr>
      </w:pPr>
    </w:p>
    <w:p>
      <w:pPr>
        <w:ind w:left="660" w:firstLine="644"/>
        <w:spacing w:after="0" w:line="269" w:lineRule="auto"/>
        <w:tabs>
          <w:tab w:leader="none" w:pos="1946" w:val="left"/>
        </w:tabs>
        <w:numPr>
          <w:ilvl w:val="0"/>
          <w:numId w:val="24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concurrently with any delivery of financial statements under clause (a) or (b) above, a certificate of a Financial Officer of the Company (i) certifying as to whether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58</w:t>
      </w:r>
    </w:p>
    <w:p>
      <w:pPr>
        <w:sectPr>
          <w:pgSz w:w="11900" w:h="16838" w:orient="portrait"/>
          <w:cols w:equalWidth="0" w:num="1">
            <w:col w:w="11240"/>
          </w:cols>
          <w:pgMar w:left="320" w:top="1413" w:right="339" w:bottom="1440" w:gutter="0" w:footer="0" w:header="0"/>
        </w:sectPr>
      </w:pPr>
    </w:p>
    <w:bookmarkStart w:id="231" w:name="page232"/>
    <w:bookmarkEnd w:id="231"/>
    <w:p>
      <w:pPr>
        <w:jc w:val="both"/>
        <w:ind w:left="660"/>
        <w:spacing w:after="0" w:line="253" w:lineRule="auto"/>
        <w:rPr>
          <w:sz w:val="20"/>
          <w:szCs w:val="20"/>
          <w:color w:val="auto"/>
        </w:rPr>
      </w:pPr>
      <w:r>
        <w:rPr>
          <w:rFonts w:ascii="Times New Roman" w:cs="Times New Roman" w:eastAsia="Times New Roman" w:hAnsi="Times New Roman"/>
          <w:sz w:val="20"/>
          <w:szCs w:val="20"/>
          <w:color w:val="auto"/>
        </w:rPr>
        <w:t>Default has occurred and, if a Default has occurred, specifying the details thereof and any action taken or proposed to be taken with respect thereto, (ii) setting forth reasonably detailed calculations demonstrating compliance with Section 6.07 and (iii) stating whether any change in GAAP or in the application thereof has occurred since the date of the audited financial statements referred to in Section 3.04 and, if any such change has occurred, specifying the effect of such change on the financial statements accompanying such certificate;</w:t>
      </w:r>
    </w:p>
    <w:p>
      <w:pPr>
        <w:spacing w:after="0" w:line="192" w:lineRule="exact"/>
        <w:rPr>
          <w:sz w:val="20"/>
          <w:szCs w:val="20"/>
          <w:color w:val="auto"/>
        </w:rPr>
      </w:pPr>
    </w:p>
    <w:p>
      <w:pPr>
        <w:jc w:val="both"/>
        <w:ind w:left="660" w:firstLine="644"/>
        <w:spacing w:after="0" w:line="261" w:lineRule="auto"/>
        <w:tabs>
          <w:tab w:leader="none" w:pos="1944" w:val="left"/>
        </w:tabs>
        <w:numPr>
          <w:ilvl w:val="0"/>
          <w:numId w:val="25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concurrently with any delivery of financial statements under clause (a) above, a certificate of the accounting firm that reported on such financial statements stating whether they obtained knowledge during the course of their examination of such financial statements of any Default (which certificate may be limited to the extent required by accounting rules or guidelines);</w:t>
      </w:r>
    </w:p>
    <w:p>
      <w:pPr>
        <w:spacing w:after="0" w:line="181" w:lineRule="exact"/>
        <w:rPr>
          <w:rFonts w:ascii="Times New Roman" w:cs="Times New Roman" w:eastAsia="Times New Roman" w:hAnsi="Times New Roman"/>
          <w:sz w:val="20"/>
          <w:szCs w:val="20"/>
          <w:color w:val="010000"/>
        </w:rPr>
      </w:pPr>
    </w:p>
    <w:p>
      <w:pPr>
        <w:jc w:val="both"/>
        <w:ind w:left="660" w:firstLine="644"/>
        <w:spacing w:after="0" w:line="258" w:lineRule="auto"/>
        <w:tabs>
          <w:tab w:leader="none" w:pos="1946" w:val="left"/>
        </w:tabs>
        <w:numPr>
          <w:ilvl w:val="0"/>
          <w:numId w:val="25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promptly after the same become publicly available, copies of all periodic and other reports, proxy statements and other materials filed by the Company or any Subsidiary with the SEC, or any Governmental Authority succeeding to any or all of the functions of said Commission, or with any national securities exchange, or distributed by the Company to its shareholders generally, as the case may be; and</w:t>
      </w:r>
    </w:p>
    <w:p>
      <w:pPr>
        <w:spacing w:after="0" w:line="185" w:lineRule="exact"/>
        <w:rPr>
          <w:rFonts w:ascii="Times New Roman" w:cs="Times New Roman" w:eastAsia="Times New Roman" w:hAnsi="Times New Roman"/>
          <w:sz w:val="20"/>
          <w:szCs w:val="20"/>
          <w:color w:val="010000"/>
        </w:rPr>
      </w:pPr>
    </w:p>
    <w:p>
      <w:pPr>
        <w:jc w:val="both"/>
        <w:ind w:left="660" w:firstLine="644"/>
        <w:spacing w:after="0" w:line="264" w:lineRule="auto"/>
        <w:tabs>
          <w:tab w:leader="none" w:pos="1951" w:val="left"/>
        </w:tabs>
        <w:numPr>
          <w:ilvl w:val="0"/>
          <w:numId w:val="25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promptly following any request therefor, (x) such other information regarding the operations, business affairs and financial condition of the Company or any Subsidiary, or compliance with the terms of this Agreement, as the Administrative Agent or any Lender (through the Administrative Agent) may reasonably request and (y) information and documentation reasonably requested by the Administrative Agent or any Lender for purposes of compliance with applicable “know your customer” and Anti-Money Laundering Laws, including the Patriot Act and the Beneficial Ownership Regulation.</w:t>
      </w:r>
    </w:p>
    <w:p>
      <w:pPr>
        <w:spacing w:after="0" w:line="193" w:lineRule="exact"/>
        <w:rPr>
          <w:sz w:val="20"/>
          <w:szCs w:val="20"/>
          <w:color w:val="auto"/>
        </w:rPr>
      </w:pPr>
    </w:p>
    <w:p>
      <w:pPr>
        <w:jc w:val="both"/>
        <w:ind w:left="660"/>
        <w:spacing w:after="0" w:line="264" w:lineRule="auto"/>
        <w:rPr>
          <w:sz w:val="20"/>
          <w:szCs w:val="20"/>
          <w:color w:val="auto"/>
        </w:rPr>
      </w:pPr>
      <w:r>
        <w:rPr>
          <w:rFonts w:ascii="Times New Roman" w:cs="Times New Roman" w:eastAsia="Times New Roman" w:hAnsi="Times New Roman"/>
          <w:sz w:val="20"/>
          <w:szCs w:val="20"/>
          <w:color w:val="auto"/>
        </w:rPr>
        <w:t>Documents required to be delivered pursuant to clauses (a) and (b) of this Section 5.01 may be delivered electronically and if so delivered, shall be deemed to have been delivered on the date on which such documents are filed for public availability on the SEC’s Electronic Data Gathering and Retrieval System. Notwithstanding anything contained herein, in every instance the Company shall be required to provide paper copies of the compliance certificates required by clause (c) of this Section 5.01 to the Administrative Agent.</w:t>
      </w:r>
    </w:p>
    <w:p>
      <w:pPr>
        <w:spacing w:after="0" w:line="180" w:lineRule="exact"/>
        <w:rPr>
          <w:sz w:val="20"/>
          <w:szCs w:val="20"/>
          <w:color w:val="auto"/>
        </w:rPr>
      </w:pPr>
    </w:p>
    <w:p>
      <w:pPr>
        <w:ind w:right="20" w:firstLine="1296"/>
        <w:spacing w:after="0" w:line="268" w:lineRule="auto"/>
        <w:rPr>
          <w:sz w:val="20"/>
          <w:szCs w:val="20"/>
          <w:color w:val="auto"/>
        </w:rPr>
      </w:pPr>
      <w:r>
        <w:rPr>
          <w:rFonts w:ascii="Times New Roman" w:cs="Times New Roman" w:eastAsia="Times New Roman" w:hAnsi="Times New Roman"/>
          <w:sz w:val="20"/>
          <w:szCs w:val="20"/>
          <w:color w:val="010000"/>
        </w:rPr>
        <w:t xml:space="preserve">Section 5.02. </w:t>
      </w:r>
      <w:r>
        <w:rPr>
          <w:rFonts w:ascii="Times New Roman" w:cs="Times New Roman" w:eastAsia="Times New Roman" w:hAnsi="Times New Roman"/>
          <w:sz w:val="20"/>
          <w:szCs w:val="20"/>
          <w:u w:val="single" w:color="auto"/>
          <w:color w:val="000000"/>
        </w:rPr>
        <w:t>Notices of Material Events</w:t>
      </w:r>
      <w:r>
        <w:rPr>
          <w:rFonts w:ascii="Times New Roman" w:cs="Times New Roman" w:eastAsia="Times New Roman" w:hAnsi="Times New Roman"/>
          <w:sz w:val="20"/>
          <w:szCs w:val="20"/>
          <w:color w:val="000000"/>
        </w:rPr>
        <w:t>. The Company will furnish to the Administrative Agent and each Lender prompt</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written notice of the following:</w:t>
      </w:r>
    </w:p>
    <w:p>
      <w:pPr>
        <w:spacing w:after="0" w:line="1" w:lineRule="exact"/>
        <w:rPr>
          <w:sz w:val="20"/>
          <w:szCs w:val="20"/>
          <w:color w:val="auto"/>
        </w:rPr>
      </w:pPr>
    </w:p>
    <w:p>
      <w:pPr>
        <w:ind w:left="1940" w:hanging="636"/>
        <w:spacing w:after="0"/>
        <w:tabs>
          <w:tab w:leader="none" w:pos="1940" w:val="left"/>
        </w:tabs>
        <w:numPr>
          <w:ilvl w:val="1"/>
          <w:numId w:val="25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occurrence of any Default;</w:t>
      </w:r>
    </w:p>
    <w:p>
      <w:pPr>
        <w:spacing w:after="0" w:line="213" w:lineRule="exact"/>
        <w:rPr>
          <w:rFonts w:ascii="Times New Roman" w:cs="Times New Roman" w:eastAsia="Times New Roman" w:hAnsi="Times New Roman"/>
          <w:sz w:val="20"/>
          <w:szCs w:val="20"/>
          <w:color w:val="010000"/>
        </w:rPr>
      </w:pPr>
    </w:p>
    <w:p>
      <w:pPr>
        <w:jc w:val="both"/>
        <w:ind w:left="660" w:firstLine="644"/>
        <w:spacing w:after="0" w:line="275" w:lineRule="auto"/>
        <w:tabs>
          <w:tab w:leader="none" w:pos="1944" w:val="left"/>
        </w:tabs>
        <w:numPr>
          <w:ilvl w:val="1"/>
          <w:numId w:val="25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filing or commencement of any action, suit or proceeding by or before any arbitrator or Governmental Authority against or affecting the Company or any Affiliate thereof that could reasonably be expected to result in a Material Adverse Effect; and</w:t>
      </w:r>
    </w:p>
    <w:p>
      <w:pPr>
        <w:spacing w:after="0" w:line="167" w:lineRule="exact"/>
        <w:rPr>
          <w:rFonts w:ascii="Times New Roman" w:cs="Times New Roman" w:eastAsia="Times New Roman" w:hAnsi="Times New Roman"/>
          <w:sz w:val="20"/>
          <w:szCs w:val="20"/>
          <w:color w:val="010000"/>
        </w:rPr>
      </w:pPr>
    </w:p>
    <w:p>
      <w:pPr>
        <w:ind w:left="1940" w:hanging="636"/>
        <w:spacing w:after="0"/>
        <w:tabs>
          <w:tab w:leader="none" w:pos="1940" w:val="left"/>
        </w:tabs>
        <w:numPr>
          <w:ilvl w:val="1"/>
          <w:numId w:val="25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 the occurrence of any ERISA Event that could reasonably be expected to result in a Material Adverse Effect or</w:t>
      </w:r>
    </w:p>
    <w:p>
      <w:pPr>
        <w:spacing w:after="0" w:line="28" w:lineRule="exact"/>
        <w:rPr>
          <w:rFonts w:ascii="Times New Roman" w:cs="Times New Roman" w:eastAsia="Times New Roman" w:hAnsi="Times New Roman"/>
          <w:sz w:val="20"/>
          <w:szCs w:val="20"/>
          <w:color w:val="010000"/>
        </w:rPr>
      </w:pPr>
    </w:p>
    <w:p>
      <w:pPr>
        <w:ind w:left="940" w:hanging="284"/>
        <w:spacing w:after="0"/>
        <w:tabs>
          <w:tab w:leader="none" w:pos="940" w:val="left"/>
        </w:tabs>
        <w:numPr>
          <w:ilvl w:val="0"/>
          <w:numId w:val="2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occurrence of any of the following to the extent the same could reasonably be expected to result in a Material Adverse Effect:</w:t>
      </w:r>
    </w:p>
    <w:p>
      <w:pPr>
        <w:spacing w:after="0" w:line="38" w:lineRule="exact"/>
        <w:rPr>
          <w:rFonts w:ascii="Times New Roman" w:cs="Times New Roman" w:eastAsia="Times New Roman" w:hAnsi="Times New Roman"/>
          <w:sz w:val="19"/>
          <w:szCs w:val="19"/>
          <w:color w:val="auto"/>
        </w:rPr>
      </w:pPr>
    </w:p>
    <w:p>
      <w:pPr>
        <w:jc w:val="both"/>
        <w:ind w:left="660"/>
        <w:spacing w:after="0" w:line="267"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(A) threatened in writing or actual issuance by the Pensions Regulator of a financial support direction or a contribution notice (as those terms are defined in the United Kingdom Pensions Act 2004) or threatened in writing or actual exercise of any Criminal Pension Power by the Pensions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59</w:t>
      </w:r>
    </w:p>
    <w:p>
      <w:pPr>
        <w:sectPr>
          <w:pgSz w:w="11900" w:h="16838" w:orient="portrait"/>
          <w:cols w:equalWidth="0" w:num="1">
            <w:col w:w="11240"/>
          </w:cols>
          <w:pgMar w:left="320" w:top="1413" w:right="339" w:bottom="1440" w:gutter="0" w:footer="0" w:header="0"/>
        </w:sectPr>
      </w:pPr>
    </w:p>
    <w:bookmarkStart w:id="232" w:name="page233"/>
    <w:bookmarkEnd w:id="232"/>
    <w:p>
      <w:pPr>
        <w:jc w:val="both"/>
        <w:ind w:left="660"/>
        <w:spacing w:after="0" w:line="268" w:lineRule="auto"/>
        <w:rPr>
          <w:sz w:val="20"/>
          <w:szCs w:val="20"/>
          <w:color w:val="auto"/>
        </w:rPr>
      </w:pPr>
      <w:r>
        <w:rPr>
          <w:rFonts w:ascii="Times New Roman" w:cs="Times New Roman" w:eastAsia="Times New Roman" w:hAnsi="Times New Roman"/>
          <w:sz w:val="20"/>
          <w:szCs w:val="20"/>
          <w:color w:val="auto"/>
        </w:rPr>
        <w:t>Regulator or the CPS in relation to any Non-U.S. Pension Plan, (B) any amount is due to any Non-U.S. Pension Plan pursuant to Section 75 or 75A of the United Kingdom Pensions Act 1995, (C) an amount becomes payable under section 75 or 75A of the United Kingdom Pensions Act 1995 to any Non-U.S. Pension Plan and/or (D) the occurrence of a Notifiable Event in relation to any Non-U.S. Pension Plan.</w:t>
      </w:r>
    </w:p>
    <w:p>
      <w:pPr>
        <w:spacing w:after="0" w:line="17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Each notice delivered under this Section (i) shall be in writing, (ii) shall contain a heading or a reference line that reads “Notice under Section 5.02 of the Ametek Term Loan Credit Agreement dated June 9, 2026” and (iii) shall be accompanied by a statement of a Financial Officer or other executive officer of the Company setting forth the details of the event or development requiring such notice and any action taken or proposed to be taken with respect thereto.</w:t>
      </w:r>
    </w:p>
    <w:p>
      <w:pPr>
        <w:spacing w:after="0" w:line="188" w:lineRule="exact"/>
        <w:rPr>
          <w:sz w:val="20"/>
          <w:szCs w:val="20"/>
          <w:color w:val="auto"/>
        </w:rPr>
      </w:pPr>
    </w:p>
    <w:p>
      <w:pPr>
        <w:jc w:val="both"/>
        <w:ind w:firstLine="1296"/>
        <w:spacing w:after="0" w:line="272" w:lineRule="auto"/>
        <w:rPr>
          <w:sz w:val="20"/>
          <w:szCs w:val="20"/>
          <w:color w:val="auto"/>
        </w:rPr>
      </w:pPr>
      <w:r>
        <w:rPr>
          <w:rFonts w:ascii="Times New Roman" w:cs="Times New Roman" w:eastAsia="Times New Roman" w:hAnsi="Times New Roman"/>
          <w:sz w:val="19"/>
          <w:szCs w:val="19"/>
          <w:color w:val="010000"/>
        </w:rPr>
        <w:t xml:space="preserve">Section 5.03. </w:t>
      </w:r>
      <w:r>
        <w:rPr>
          <w:rFonts w:ascii="Times New Roman" w:cs="Times New Roman" w:eastAsia="Times New Roman" w:hAnsi="Times New Roman"/>
          <w:sz w:val="19"/>
          <w:szCs w:val="19"/>
          <w:u w:val="single" w:color="auto"/>
          <w:color w:val="000000"/>
        </w:rPr>
        <w:t>Existence; Conduct of Business</w:t>
      </w:r>
      <w:r>
        <w:rPr>
          <w:rFonts w:ascii="Times New Roman" w:cs="Times New Roman" w:eastAsia="Times New Roman" w:hAnsi="Times New Roman"/>
          <w:sz w:val="19"/>
          <w:szCs w:val="19"/>
          <w:color w:val="000000"/>
        </w:rPr>
        <w:t>. The Company will, and will cause each of its Subsidiaries to, do or cause to</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 xml:space="preserve">be done all things necessary to preserve, renew and keep in full force and effect its legal existence and the rights, qualifications, licenses, permits, privileges, franchises, governmental authorizations and intellectual property rights material to the conduct of its business, and maintain all requisite authority to conduct its business in each jurisdiction in which its business is conducted; </w:t>
      </w:r>
      <w:r>
        <w:rPr>
          <w:rFonts w:ascii="Times New Roman" w:cs="Times New Roman" w:eastAsia="Times New Roman" w:hAnsi="Times New Roman"/>
          <w:sz w:val="19"/>
          <w:szCs w:val="19"/>
          <w:u w:val="single" w:color="auto"/>
          <w:color w:val="000000"/>
        </w:rPr>
        <w:t>provided</w:t>
      </w:r>
      <w:r>
        <w:rPr>
          <w:rFonts w:ascii="Times New Roman" w:cs="Times New Roman" w:eastAsia="Times New Roman" w:hAnsi="Times New Roman"/>
          <w:sz w:val="19"/>
          <w:szCs w:val="19"/>
          <w:color w:val="000000"/>
        </w:rPr>
        <w:t xml:space="preserve"> that the foregoing shall not prohibit any merger, consolidation, amalgamation, Division, liquidation or dissolution permitted under this Agreement. Each Subsidiary organized under the laws of England and Wales shall cause its registered office and centre of main interests ((as that term is used in Article 3(1) of the Regulation, as it has effect in the United Kingdom pursuant to the Insolvency (Amendment) (EU Exit) Regulations 2019 (as amended)) is in England and Wales and shall have an Establishment situated solely in England and Wales. Each Subsidiary organized under the laws of the Netherlands shall cause its registered office and centre of main interests (as that term is used in Article 3(1) of the Regulation) to be situated solely in the Netherlands and shall have an Establishment situated solely in the Netherlands. Each Subsidiary organized under the laws of Germany shall cause its centre of main interests (as defined in Council Regulation (EC) No 1346/2000 of 29 May 2000 on insolvency proceedings (as amended or superseded from time to time, e.g., pursuant to Regulation (EU) No 2015/848 of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European Parliament and of the Council of 20 May 2015 on insolvency proceedings)) to be situated in Germany.</w:t>
      </w:r>
    </w:p>
    <w:p>
      <w:pPr>
        <w:spacing w:after="0" w:line="20" w:lineRule="exact"/>
        <w:rPr>
          <w:sz w:val="20"/>
          <w:szCs w:val="20"/>
          <w:color w:val="auto"/>
        </w:rPr>
      </w:pPr>
    </w:p>
    <w:p>
      <w:pPr>
        <w:jc w:val="both"/>
        <w:ind w:firstLine="1296"/>
        <w:spacing w:after="0" w:line="260" w:lineRule="auto"/>
        <w:rPr>
          <w:sz w:val="20"/>
          <w:szCs w:val="20"/>
          <w:color w:val="auto"/>
        </w:rPr>
      </w:pPr>
      <w:r>
        <w:rPr>
          <w:rFonts w:ascii="Times New Roman" w:cs="Times New Roman" w:eastAsia="Times New Roman" w:hAnsi="Times New Roman"/>
          <w:sz w:val="19"/>
          <w:szCs w:val="19"/>
          <w:color w:val="010000"/>
        </w:rPr>
        <w:t xml:space="preserve">Section 5.04. </w:t>
      </w:r>
      <w:r>
        <w:rPr>
          <w:rFonts w:ascii="Times New Roman" w:cs="Times New Roman" w:eastAsia="Times New Roman" w:hAnsi="Times New Roman"/>
          <w:sz w:val="19"/>
          <w:szCs w:val="19"/>
          <w:u w:val="single" w:color="auto"/>
          <w:color w:val="000000"/>
        </w:rPr>
        <w:t>Payment of Obligations</w:t>
      </w:r>
      <w:r>
        <w:rPr>
          <w:rFonts w:ascii="Times New Roman" w:cs="Times New Roman" w:eastAsia="Times New Roman" w:hAnsi="Times New Roman"/>
          <w:sz w:val="19"/>
          <w:szCs w:val="19"/>
          <w:color w:val="000000"/>
        </w:rPr>
        <w:t>. The Company will, and will cause each of its Subsidiaries to, pay its obligations</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under the terms of each mortgage indenture, security agreement and other debt instrument that, if not paid, could result in a Material Adverse Effect before the same shall become in default, except where (a) the validity or amount thereof is being contested in good faith by appropriate proceedings, (b) the Company or such Subsidiary has set aside on its books adequate reserves with respect thereto in accordance with GAAP and (c) the failure to make payment pending such contest could not reasonably be expected to result in a Material Adverse Effect. The Company will, and will cause each of its Subsidiaries to, pay and discharge all material Taxes imposed upon it or its properties prior to the date on which penalties attach thereto, except where (a) the validity or amount thereof is being contested in good faith by appropriate proceedings, (b) the Company or such Subsidiary has set aside on its books adequate reserves with respect thereto in accordance with GAAP and (c) the failure to make payment pending such contest could not reasonably be expected to result in a Material Adverse Effect.</w:t>
      </w:r>
    </w:p>
    <w:p>
      <w:pPr>
        <w:spacing w:after="0" w:line="3"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0"/>
          <w:szCs w:val="20"/>
          <w:color w:val="010000"/>
        </w:rPr>
        <w:t xml:space="preserve">Section 5.05. </w:t>
      </w:r>
      <w:r>
        <w:rPr>
          <w:rFonts w:ascii="Times New Roman" w:cs="Times New Roman" w:eastAsia="Times New Roman" w:hAnsi="Times New Roman"/>
          <w:sz w:val="20"/>
          <w:szCs w:val="20"/>
          <w:u w:val="single" w:color="auto"/>
          <w:color w:val="000000"/>
        </w:rPr>
        <w:t>Maintenance of Properties; Insurance</w:t>
      </w:r>
      <w:r>
        <w:rPr>
          <w:rFonts w:ascii="Times New Roman" w:cs="Times New Roman" w:eastAsia="Times New Roman" w:hAnsi="Times New Roman"/>
          <w:sz w:val="20"/>
          <w:szCs w:val="20"/>
          <w:color w:val="000000"/>
        </w:rPr>
        <w:t>. The Company will, and will cause each of its Subsidiaries to, (a) keep</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and maintain all property material to the conduct of its business in good working order and condition, ordinary wear and tear excepted, except where the failure to maintain such property could not reasonably be expected to result in a Material Adverse Effect and (b) maintain insurance in such amounts and against such risks as are customarily maintained by companies engaged in the same or similar businesses operating in the same or similar locations, provided that the Company and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60</w:t>
      </w:r>
    </w:p>
    <w:p>
      <w:pPr>
        <w:sectPr>
          <w:pgSz w:w="11900" w:h="16838" w:orient="portrait"/>
          <w:cols w:equalWidth="0" w:num="1">
            <w:col w:w="11240"/>
          </w:cols>
          <w:pgMar w:left="320" w:top="1426" w:right="339" w:bottom="1440" w:gutter="0" w:footer="0" w:header="0"/>
        </w:sectPr>
      </w:pPr>
    </w:p>
    <w:bookmarkStart w:id="233" w:name="page234"/>
    <w:bookmarkEnd w:id="233"/>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its Subsidiaries may self-insure against such risks and in such amounts as are usually self-insured by companies engaged in the same or similar businesses operating in the same or similar locations.</w:t>
      </w:r>
    </w:p>
    <w:p>
      <w:pPr>
        <w:jc w:val="both"/>
        <w:ind w:firstLine="1296"/>
        <w:spacing w:after="0" w:line="247" w:lineRule="auto"/>
        <w:rPr>
          <w:sz w:val="20"/>
          <w:szCs w:val="20"/>
          <w:color w:val="auto"/>
        </w:rPr>
      </w:pPr>
      <w:r>
        <w:rPr>
          <w:rFonts w:ascii="Times New Roman" w:cs="Times New Roman" w:eastAsia="Times New Roman" w:hAnsi="Times New Roman"/>
          <w:sz w:val="20"/>
          <w:szCs w:val="20"/>
          <w:color w:val="010000"/>
        </w:rPr>
        <w:t xml:space="preserve">Section 5.06. </w:t>
      </w:r>
      <w:r>
        <w:rPr>
          <w:rFonts w:ascii="Times New Roman" w:cs="Times New Roman" w:eastAsia="Times New Roman" w:hAnsi="Times New Roman"/>
          <w:sz w:val="20"/>
          <w:szCs w:val="20"/>
          <w:u w:val="single" w:color="auto"/>
          <w:color w:val="000000"/>
        </w:rPr>
        <w:t>Books and Records; Inspection Rights</w:t>
      </w:r>
      <w:r>
        <w:rPr>
          <w:rFonts w:ascii="Times New Roman" w:cs="Times New Roman" w:eastAsia="Times New Roman" w:hAnsi="Times New Roman"/>
          <w:sz w:val="20"/>
          <w:szCs w:val="20"/>
          <w:color w:val="000000"/>
        </w:rPr>
        <w:t>. The Company will, and will cause each of its Subsidiaries to, keep</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proper books of record and account in which full, true and correct entries are made of all dealings and transactions in relation to its business and activities. The Company will, and will cause each of its Subsidiaries to, permit any representatives designated by the Administrative Agent, upon reasonable prior notice, periodically (but no more frequently than annually unless an Event of Default shall be continuing) to visit and inspect its properties, to examine and make extracts from its books and records, and to discuss its affairs, finances and condition with its officers and independent accountants, all at such reasonable times and as often as reasonably requested. The Company acknowledges that the Administrative Agent, after exercising its rights of inspection, may prepare and distribute to the Lenders certain reports pertaining to the Company and its Subsidiaries’ assets for internal use by the Administrative Agent and the Lenders.</w:t>
      </w:r>
    </w:p>
    <w:p>
      <w:pPr>
        <w:spacing w:after="0" w:line="3"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0"/>
          <w:szCs w:val="20"/>
          <w:color w:val="010000"/>
        </w:rPr>
        <w:t>Section 5.07.</w:t>
      </w:r>
      <w:r>
        <w:rPr>
          <w:sz w:val="20"/>
          <w:szCs w:val="20"/>
          <w:color w:val="auto"/>
        </w:rPr>
        <w:tab/>
      </w:r>
      <w:r>
        <w:rPr>
          <w:rFonts w:ascii="Times New Roman" w:cs="Times New Roman" w:eastAsia="Times New Roman" w:hAnsi="Times New Roman"/>
          <w:sz w:val="19"/>
          <w:szCs w:val="19"/>
          <w:u w:val="single" w:color="auto"/>
          <w:color w:val="auto"/>
        </w:rPr>
        <w:t xml:space="preserve">Compliance with Laws </w:t>
      </w:r>
      <w:r>
        <w:rPr>
          <w:rFonts w:ascii="Times New Roman" w:cs="Times New Roman" w:eastAsia="Times New Roman" w:hAnsi="Times New Roman"/>
          <w:sz w:val="19"/>
          <w:szCs w:val="19"/>
          <w:color w:val="auto"/>
        </w:rPr>
        <w:t>.</w:t>
      </w:r>
    </w:p>
    <w:p>
      <w:pPr>
        <w:spacing w:after="0" w:line="6" w:lineRule="exact"/>
        <w:rPr>
          <w:sz w:val="20"/>
          <w:szCs w:val="20"/>
          <w:color w:val="auto"/>
        </w:rPr>
      </w:pPr>
    </w:p>
    <w:p>
      <w:pPr>
        <w:jc w:val="both"/>
        <w:ind w:left="660" w:firstLine="644"/>
        <w:spacing w:after="0" w:line="212" w:lineRule="auto"/>
        <w:tabs>
          <w:tab w:leader="none" w:pos="1946" w:val="left"/>
        </w:tabs>
        <w:numPr>
          <w:ilvl w:val="0"/>
          <w:numId w:val="25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Company will, and will cause each of its Subsidiaries to, comply with all laws, rules, regulations and orders of any Governmental Authority applicable to it or its property (including without limitation Environmental Laws), except where the failure to so comply could not reasonably be expected to result in a Material Adverse Effect. The Company will maintain in effect and enforce policies and procedures designed to ensure compliance by the Company, its Subsidiaries and their respective directors, officers, employees and agents with Anti-Corruption Laws, Export Controls and applicable Sanctions.</w:t>
      </w:r>
    </w:p>
    <w:p>
      <w:pPr>
        <w:spacing w:after="0" w:line="164" w:lineRule="exact"/>
        <w:rPr>
          <w:sz w:val="20"/>
          <w:szCs w:val="20"/>
          <w:color w:val="auto"/>
        </w:rPr>
      </w:pPr>
    </w:p>
    <w:p>
      <w:pPr>
        <w:ind w:firstLine="1296"/>
        <w:spacing w:after="0" w:line="215" w:lineRule="auto"/>
        <w:rPr>
          <w:sz w:val="20"/>
          <w:szCs w:val="20"/>
          <w:color w:val="auto"/>
        </w:rPr>
      </w:pPr>
      <w:r>
        <w:rPr>
          <w:rFonts w:ascii="Times New Roman" w:cs="Times New Roman" w:eastAsia="Times New Roman" w:hAnsi="Times New Roman"/>
          <w:sz w:val="20"/>
          <w:szCs w:val="20"/>
          <w:color w:val="010000"/>
        </w:rPr>
        <w:t xml:space="preserve">Section 5.08. </w:t>
      </w:r>
      <w:r>
        <w:rPr>
          <w:rFonts w:ascii="Times New Roman" w:cs="Times New Roman" w:eastAsia="Times New Roman" w:hAnsi="Times New Roman"/>
          <w:sz w:val="20"/>
          <w:szCs w:val="20"/>
          <w:u w:val="single" w:color="auto"/>
          <w:color w:val="000000"/>
        </w:rPr>
        <w:t>Use of Proceeds</w:t>
      </w:r>
      <w:r>
        <w:rPr>
          <w:rFonts w:ascii="Times New Roman" w:cs="Times New Roman" w:eastAsia="Times New Roman" w:hAnsi="Times New Roman"/>
          <w:sz w:val="20"/>
          <w:szCs w:val="20"/>
          <w:color w:val="000000"/>
        </w:rPr>
        <w:t>. The proceeds of the Loans will be used only for (i) the payment of the consideration</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pursuant to the terms of the Indicor Acquisition Agreement, (ii) the Indicor Refinancing and (iii) the payment of fees, costs and expenses</w:t>
      </w:r>
    </w:p>
    <w:p>
      <w:pPr>
        <w:spacing w:after="0" w:line="1" w:lineRule="exact"/>
        <w:rPr>
          <w:sz w:val="20"/>
          <w:szCs w:val="20"/>
          <w:color w:val="auto"/>
        </w:rPr>
      </w:pPr>
    </w:p>
    <w:p>
      <w:pPr>
        <w:ind w:right="20"/>
        <w:spacing w:after="0" w:line="204" w:lineRule="auto"/>
        <w:rPr>
          <w:sz w:val="20"/>
          <w:szCs w:val="20"/>
          <w:color w:val="auto"/>
        </w:rPr>
      </w:pPr>
      <w:r>
        <w:rPr>
          <w:rFonts w:ascii="Times New Roman" w:cs="Times New Roman" w:eastAsia="Times New Roman" w:hAnsi="Times New Roman"/>
          <w:sz w:val="20"/>
          <w:szCs w:val="20"/>
          <w:color w:val="auto"/>
        </w:rPr>
        <w:t>related to the Transactions. No part of the proceeds of any Loan will be used, whether directly or indirectly, for any purpose that entails a violation of any of the Regulations of the Board, including Regulations T, U and X.</w:t>
      </w:r>
    </w:p>
    <w:p>
      <w:pPr>
        <w:spacing w:after="0" w:line="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0"/>
          <w:szCs w:val="20"/>
          <w:color w:val="010000"/>
        </w:rPr>
        <w:t>ARTICLE VI</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Negative Covenants</w:t>
      </w:r>
    </w:p>
    <w:p>
      <w:pPr>
        <w:spacing w:after="0" w:line="189" w:lineRule="exact"/>
        <w:rPr>
          <w:sz w:val="20"/>
          <w:szCs w:val="20"/>
          <w:color w:val="auto"/>
        </w:rPr>
      </w:pPr>
    </w:p>
    <w:p>
      <w:pPr>
        <w:ind w:firstLine="1296"/>
        <w:spacing w:after="0" w:line="283" w:lineRule="auto"/>
        <w:rPr>
          <w:sz w:val="20"/>
          <w:szCs w:val="20"/>
          <w:color w:val="auto"/>
        </w:rPr>
      </w:pPr>
      <w:r>
        <w:rPr>
          <w:rFonts w:ascii="Times New Roman" w:cs="Times New Roman" w:eastAsia="Times New Roman" w:hAnsi="Times New Roman"/>
          <w:sz w:val="20"/>
          <w:szCs w:val="20"/>
          <w:color w:val="auto"/>
        </w:rPr>
        <w:t>Until the Commitments have expired or terminated and the principal of and interest on each Loan and all fees payable hereunder have been paid in full, the Company covenants and agrees, as to itself and its Subsidiaries, as applicable, with the Lenders that:</w:t>
      </w:r>
    </w:p>
    <w:p>
      <w:pPr>
        <w:spacing w:after="0" w:line="106" w:lineRule="exact"/>
        <w:rPr>
          <w:sz w:val="20"/>
          <w:szCs w:val="20"/>
          <w:color w:val="auto"/>
        </w:rPr>
      </w:pPr>
    </w:p>
    <w:p>
      <w:pPr>
        <w:ind w:firstLine="1296"/>
        <w:spacing w:after="0" w:line="215" w:lineRule="auto"/>
        <w:rPr>
          <w:sz w:val="20"/>
          <w:szCs w:val="20"/>
          <w:color w:val="auto"/>
        </w:rPr>
      </w:pPr>
      <w:r>
        <w:rPr>
          <w:rFonts w:ascii="Times New Roman" w:cs="Times New Roman" w:eastAsia="Times New Roman" w:hAnsi="Times New Roman"/>
          <w:sz w:val="20"/>
          <w:szCs w:val="20"/>
          <w:color w:val="010000"/>
        </w:rPr>
        <w:t xml:space="preserve">Section 6.01. </w:t>
      </w:r>
      <w:r>
        <w:rPr>
          <w:rFonts w:ascii="Times New Roman" w:cs="Times New Roman" w:eastAsia="Times New Roman" w:hAnsi="Times New Roman"/>
          <w:sz w:val="20"/>
          <w:szCs w:val="20"/>
          <w:u w:val="single" w:color="auto"/>
          <w:color w:val="000000"/>
        </w:rPr>
        <w:t>Indebtedness</w:t>
      </w:r>
      <w:r>
        <w:rPr>
          <w:rFonts w:ascii="Times New Roman" w:cs="Times New Roman" w:eastAsia="Times New Roman" w:hAnsi="Times New Roman"/>
          <w:sz w:val="20"/>
          <w:szCs w:val="20"/>
          <w:color w:val="000000"/>
        </w:rPr>
        <w:t>. The Company will not, and will not permit any Subsidiary to create, incur, assume or permit</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to exist any Indebtedness, except:</w:t>
      </w:r>
    </w:p>
    <w:p>
      <w:pPr>
        <w:spacing w:after="0" w:line="1" w:lineRule="exact"/>
        <w:rPr>
          <w:sz w:val="20"/>
          <w:szCs w:val="20"/>
          <w:color w:val="auto"/>
        </w:rPr>
      </w:pPr>
    </w:p>
    <w:p>
      <w:pPr>
        <w:ind w:left="1940" w:hanging="636"/>
        <w:spacing w:after="0"/>
        <w:tabs>
          <w:tab w:leader="none" w:pos="1940" w:val="left"/>
        </w:tabs>
        <w:numPr>
          <w:ilvl w:val="0"/>
          <w:numId w:val="25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Obligations;</w:t>
      </w:r>
    </w:p>
    <w:p>
      <w:pPr>
        <w:spacing w:after="0" w:line="166" w:lineRule="exact"/>
        <w:rPr>
          <w:rFonts w:ascii="Times New Roman" w:cs="Times New Roman" w:eastAsia="Times New Roman" w:hAnsi="Times New Roman"/>
          <w:sz w:val="20"/>
          <w:szCs w:val="20"/>
          <w:color w:val="010000"/>
        </w:rPr>
      </w:pPr>
    </w:p>
    <w:p>
      <w:pPr>
        <w:jc w:val="both"/>
        <w:ind w:left="660" w:firstLine="644"/>
        <w:spacing w:after="0" w:line="226" w:lineRule="auto"/>
        <w:tabs>
          <w:tab w:leader="none" w:pos="1944" w:val="left"/>
        </w:tabs>
        <w:numPr>
          <w:ilvl w:val="0"/>
          <w:numId w:val="25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Indebtedness existing on the date hereof and set forth in </w:t>
      </w:r>
      <w:r>
        <w:rPr>
          <w:rFonts w:ascii="Times New Roman" w:cs="Times New Roman" w:eastAsia="Times New Roman" w:hAnsi="Times New Roman"/>
          <w:sz w:val="20"/>
          <w:szCs w:val="20"/>
          <w:u w:val="single" w:color="auto"/>
          <w:color w:val="auto"/>
        </w:rPr>
        <w:t>Schedule 6.01</w:t>
      </w:r>
      <w:r>
        <w:rPr>
          <w:rFonts w:ascii="Times New Roman" w:cs="Times New Roman" w:eastAsia="Times New Roman" w:hAnsi="Times New Roman"/>
          <w:sz w:val="20"/>
          <w:szCs w:val="20"/>
          <w:color w:val="auto"/>
        </w:rPr>
        <w:t xml:space="preserve"> and refinancings, extensions, renewals and replacements of any such Indebtedness with Indebtedness of a similar type that does not increase the outstanding principal amount thereof;</w:t>
      </w:r>
    </w:p>
    <w:p>
      <w:pPr>
        <w:spacing w:after="0" w:line="160" w:lineRule="exact"/>
        <w:rPr>
          <w:rFonts w:ascii="Times New Roman" w:cs="Times New Roman" w:eastAsia="Times New Roman" w:hAnsi="Times New Roman"/>
          <w:sz w:val="20"/>
          <w:szCs w:val="20"/>
          <w:color w:val="010000"/>
        </w:rPr>
      </w:pPr>
    </w:p>
    <w:p>
      <w:pPr>
        <w:ind w:left="1940" w:hanging="636"/>
        <w:spacing w:after="0"/>
        <w:tabs>
          <w:tab w:leader="none" w:pos="1940" w:val="left"/>
        </w:tabs>
        <w:numPr>
          <w:ilvl w:val="0"/>
          <w:numId w:val="25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Indebtedness of the Company to any Subsidiary and of any Subsidiary to the Company or any other Subsidiary;</w:t>
      </w:r>
    </w:p>
    <w:p>
      <w:pPr>
        <w:spacing w:after="0" w:line="188" w:lineRule="exact"/>
        <w:rPr>
          <w:rFonts w:ascii="Times New Roman" w:cs="Times New Roman" w:eastAsia="Times New Roman" w:hAnsi="Times New Roman"/>
          <w:sz w:val="20"/>
          <w:szCs w:val="20"/>
          <w:color w:val="010000"/>
        </w:rPr>
      </w:pPr>
    </w:p>
    <w:p>
      <w:pPr>
        <w:ind w:left="660" w:firstLine="644"/>
        <w:spacing w:after="0" w:line="233" w:lineRule="auto"/>
        <w:tabs>
          <w:tab w:leader="none" w:pos="1944" w:val="left"/>
        </w:tabs>
        <w:numPr>
          <w:ilvl w:val="0"/>
          <w:numId w:val="25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Guarantees by the Company of Indebtedness of any Subsidiary and by any Subsidiary of Indebtedness of the Company or any other Subsidiary;</w:t>
      </w:r>
    </w:p>
    <w:p>
      <w:pPr>
        <w:spacing w:after="0" w:line="160" w:lineRule="exact"/>
        <w:rPr>
          <w:rFonts w:ascii="Times New Roman" w:cs="Times New Roman" w:eastAsia="Times New Roman" w:hAnsi="Times New Roman"/>
          <w:sz w:val="20"/>
          <w:szCs w:val="20"/>
          <w:color w:val="010000"/>
        </w:rPr>
      </w:pPr>
    </w:p>
    <w:p>
      <w:pPr>
        <w:jc w:val="both"/>
        <w:ind w:left="660" w:firstLine="644"/>
        <w:spacing w:after="0" w:line="217" w:lineRule="auto"/>
        <w:tabs>
          <w:tab w:leader="none" w:pos="1946" w:val="left"/>
        </w:tabs>
        <w:numPr>
          <w:ilvl w:val="0"/>
          <w:numId w:val="25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(i) Indebtedness of the Company or any Subsidiary incurred to finance the acquisition, construction or improvement of any assets, including Capital Lease Obligations;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such Indebtedness is incurred prior to or within one-hundred eighty (180) days after such acquisition or the completion of such construction or improvement and (B) the principal amount of such Indebtedness does not exceed the cost of acquiring, constructing or improving such fixed or capital assets; and (ii) any refinancings, extensions, renewals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61</w:t>
      </w:r>
    </w:p>
    <w:p>
      <w:pPr>
        <w:sectPr>
          <w:pgSz w:w="11900" w:h="16838" w:orient="portrait"/>
          <w:cols w:equalWidth="0" w:num="1">
            <w:col w:w="11240"/>
          </w:cols>
          <w:pgMar w:left="320" w:top="1413" w:right="33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20"/>
          <w:szCs w:val="20"/>
          <w:color w:val="auto"/>
        </w:rPr>
        <w:t xml:space="preserve">replacements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amount of such Indebtedness is not increased at the time of such refinancing, extension,</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renewal or replacement except by an amount equal to any premium or other amount paid, and fees and expenses incurred, in connection therewith;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the aggregate principal amount of Indebtedness permitted under this </w:t>
      </w:r>
      <w:r>
        <w:rPr>
          <w:rFonts w:ascii="Times New Roman" w:cs="Times New Roman" w:eastAsia="Times New Roman" w:hAnsi="Times New Roman"/>
          <w:sz w:val="20"/>
          <w:szCs w:val="20"/>
          <w:u w:val="single" w:color="auto"/>
          <w:color w:val="auto"/>
        </w:rPr>
        <w:t>clause (e)</w:t>
      </w:r>
      <w:r>
        <w:rPr>
          <w:rFonts w:ascii="Times New Roman" w:cs="Times New Roman" w:eastAsia="Times New Roman" w:hAnsi="Times New Roman"/>
          <w:sz w:val="20"/>
          <w:szCs w:val="20"/>
          <w:color w:val="auto"/>
        </w:rPr>
        <w:t>, when</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combined with the aggregate principal amount of Indebtedness and other obligations incurred pursuant to </w:t>
      </w:r>
      <w:r>
        <w:rPr>
          <w:rFonts w:ascii="Times New Roman" w:cs="Times New Roman" w:eastAsia="Times New Roman" w:hAnsi="Times New Roman"/>
          <w:sz w:val="20"/>
          <w:szCs w:val="20"/>
          <w:u w:val="single" w:color="auto"/>
          <w:color w:val="auto"/>
        </w:rPr>
        <w:t>Section 6.01(m)</w:t>
      </w:r>
      <w:r>
        <w:rPr>
          <w:rFonts w:ascii="Times New Roman" w:cs="Times New Roman" w:eastAsia="Times New Roman" w:hAnsi="Times New Roman"/>
          <w:sz w:val="20"/>
          <w:szCs w:val="20"/>
          <w:color w:val="auto"/>
        </w:rPr>
        <w:t>, shall not</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in the aggregate exceed 15% of Consolidated Total Assets of the Company (determined by reference to the Company’s most recently delivered Financials or, if prior to the date of delivery of the first Financials to be delivered pursuant hereto, the most recent financial</w:t>
      </w:r>
    </w:p>
    <w:p>
      <w:pPr>
        <w:spacing w:after="0"/>
        <w:rPr>
          <w:sz w:val="20"/>
          <w:szCs w:val="20"/>
          <w:color w:val="auto"/>
        </w:rPr>
      </w:pPr>
      <w:r>
        <w:rPr>
          <w:rFonts w:ascii="Times New Roman" w:cs="Times New Roman" w:eastAsia="Times New Roman" w:hAnsi="Times New Roman"/>
          <w:sz w:val="20"/>
          <w:szCs w:val="20"/>
          <w:color w:val="auto"/>
        </w:rPr>
        <w:t xml:space="preserve">statements referred to in </w:t>
      </w:r>
      <w:r>
        <w:rPr>
          <w:rFonts w:ascii="Times New Roman" w:cs="Times New Roman" w:eastAsia="Times New Roman" w:hAnsi="Times New Roman"/>
          <w:sz w:val="20"/>
          <w:szCs w:val="20"/>
          <w:u w:val="single" w:color="auto"/>
          <w:color w:val="auto"/>
        </w:rPr>
        <w:t>Section 3.04(a)</w:t>
      </w:r>
      <w:r>
        <w:rPr>
          <w:rFonts w:ascii="Times New Roman" w:cs="Times New Roman" w:eastAsia="Times New Roman" w:hAnsi="Times New Roman"/>
          <w:sz w:val="20"/>
          <w:szCs w:val="20"/>
          <w:color w:val="auto"/>
        </w:rPr>
        <w:t>) at any time of determination;</w:t>
      </w:r>
    </w:p>
    <w:p>
      <w:pPr>
        <w:spacing w:after="0" w:line="167" w:lineRule="exact"/>
        <w:rPr>
          <w:sz w:val="20"/>
          <w:szCs w:val="20"/>
          <w:color w:val="auto"/>
        </w:rPr>
      </w:pPr>
    </w:p>
    <w:p>
      <w:pPr>
        <w:jc w:val="both"/>
        <w:ind w:firstLine="644"/>
        <w:spacing w:after="0" w:line="213" w:lineRule="auto"/>
        <w:tabs>
          <w:tab w:leader="none" w:pos="1291" w:val="left"/>
        </w:tabs>
        <w:numPr>
          <w:ilvl w:val="0"/>
          <w:numId w:val="25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Indebtedness of any Person that becomes a Subsidiary (or of any Person not previously a Subsidiary that is merged, consolidated or amalgamated with or into a Subsidiary in a transaction permitted hereunder) after the Effective Date or Indebtedness of any Person assumed by any Subsidiary in connection with an acquisition of assets by such Subsidiary in an acquisition consummated after the Effective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Indebtedness exists at the time such Person becomes a Subsidiary (or is so merged, consolidated or amalgamated) or such assets are acquired and is not created in contemplation of or in connection with such Person becoming a Subsidiary (or such merger, consolidation or amalgamation) or such assets being acquired; and any refinancings, extensions, renewals and replacements of any such Indebtedness that do not increase the outstanding principal amount thereof at the time of such refinancing, extension, renewal or replacement except by an amount equal to any premium or other amount paid, and fees and expenses incurred, in connection therewith;</w:t>
      </w:r>
    </w:p>
    <w:p>
      <w:pPr>
        <w:spacing w:after="0" w:line="161" w:lineRule="exact"/>
        <w:rPr>
          <w:rFonts w:ascii="Times New Roman" w:cs="Times New Roman" w:eastAsia="Times New Roman" w:hAnsi="Times New Roman"/>
          <w:sz w:val="20"/>
          <w:szCs w:val="20"/>
          <w:color w:val="010000"/>
        </w:rPr>
      </w:pPr>
    </w:p>
    <w:p>
      <w:pPr>
        <w:jc w:val="both"/>
        <w:ind w:firstLine="644"/>
        <w:spacing w:after="0" w:line="213" w:lineRule="auto"/>
        <w:tabs>
          <w:tab w:leader="none" w:pos="1284" w:val="left"/>
        </w:tabs>
        <w:numPr>
          <w:ilvl w:val="0"/>
          <w:numId w:val="25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(i) Indebtedness pursuant to Permitted Receivables Facilities;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aggregate outstanding amount of Attributable Receivables Indebtedness thereunder shall not exceed the greater of (A) $125,000,000 and (B) 15% of Consolidated Total Assets of the Company and its Subsidiaries (determined by reference to the Company’s most recently delivered Financials or, if prior to the date of delivery of the first Financials to be delivered pursuant hereto, the most recent financial statements referred to in Section 3.04(a)) at such time and (ii) Indebtedness owing to the Company or any other Subsidiary that is a transferor of Permitted Receivables Facility Assets in connection with a Permitted Receivables Facility to the extent such Indebtedness is on account of customary indebtedness incurred to finance a portion of the purchase price of Permitted Receivables Facility Assets in connection with such Permitted Receivables Facility;</w:t>
      </w:r>
    </w:p>
    <w:p>
      <w:pPr>
        <w:spacing w:after="0" w:line="162" w:lineRule="exact"/>
        <w:rPr>
          <w:rFonts w:ascii="Times New Roman" w:cs="Times New Roman" w:eastAsia="Times New Roman" w:hAnsi="Times New Roman"/>
          <w:sz w:val="20"/>
          <w:szCs w:val="20"/>
          <w:color w:val="010000"/>
        </w:rPr>
      </w:pPr>
    </w:p>
    <w:p>
      <w:pPr>
        <w:ind w:left="1280" w:hanging="636"/>
        <w:spacing w:after="0"/>
        <w:tabs>
          <w:tab w:leader="none" w:pos="1280" w:val="left"/>
        </w:tabs>
        <w:numPr>
          <w:ilvl w:val="0"/>
          <w:numId w:val="25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Indebtedness of the Company or any Subsidiary as an account party in respect of trade letters of credit;</w:t>
      </w:r>
    </w:p>
    <w:p>
      <w:pPr>
        <w:spacing w:after="0" w:line="175" w:lineRule="exact"/>
        <w:rPr>
          <w:rFonts w:ascii="Times New Roman" w:cs="Times New Roman" w:eastAsia="Times New Roman" w:hAnsi="Times New Roman"/>
          <w:sz w:val="20"/>
          <w:szCs w:val="20"/>
          <w:color w:val="010000"/>
        </w:rPr>
      </w:pPr>
    </w:p>
    <w:p>
      <w:pPr>
        <w:ind w:left="1280" w:hanging="636"/>
        <w:spacing w:after="0"/>
        <w:tabs>
          <w:tab w:leader="none" w:pos="1280" w:val="left"/>
        </w:tabs>
        <w:numPr>
          <w:ilvl w:val="0"/>
          <w:numId w:val="25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Indebtedness under any Swap Agreement permitted by Section 6.04;</w:t>
      </w:r>
    </w:p>
    <w:p>
      <w:pPr>
        <w:spacing w:after="0" w:line="188" w:lineRule="exact"/>
        <w:rPr>
          <w:rFonts w:ascii="Times New Roman" w:cs="Times New Roman" w:eastAsia="Times New Roman" w:hAnsi="Times New Roman"/>
          <w:sz w:val="20"/>
          <w:szCs w:val="20"/>
          <w:color w:val="010000"/>
        </w:rPr>
      </w:pPr>
    </w:p>
    <w:p>
      <w:pPr>
        <w:ind w:left="1280" w:hanging="636"/>
        <w:spacing w:after="0"/>
        <w:tabs>
          <w:tab w:leader="none" w:pos="1280" w:val="left"/>
        </w:tabs>
        <w:numPr>
          <w:ilvl w:val="0"/>
          <w:numId w:val="25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Indebtedness of the Company consisting of borrowings against the cash value of COLI Policies;</w:t>
      </w:r>
    </w:p>
    <w:p>
      <w:pPr>
        <w:spacing w:after="0" w:line="188" w:lineRule="exact"/>
        <w:rPr>
          <w:rFonts w:ascii="Times New Roman" w:cs="Times New Roman" w:eastAsia="Times New Roman" w:hAnsi="Times New Roman"/>
          <w:sz w:val="20"/>
          <w:szCs w:val="20"/>
          <w:color w:val="010000"/>
        </w:rPr>
      </w:pPr>
    </w:p>
    <w:p>
      <w:pPr>
        <w:ind w:left="1280" w:hanging="636"/>
        <w:spacing w:after="0"/>
        <w:tabs>
          <w:tab w:leader="none" w:pos="1280" w:val="left"/>
        </w:tabs>
        <w:numPr>
          <w:ilvl w:val="0"/>
          <w:numId w:val="25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Indebtedness of the Company or any Subsidiary which constitutes Permitted Earn-Out Indebtedness;</w:t>
      </w:r>
    </w:p>
    <w:p>
      <w:pPr>
        <w:spacing w:after="0" w:line="175" w:lineRule="exact"/>
        <w:rPr>
          <w:rFonts w:ascii="Times New Roman" w:cs="Times New Roman" w:eastAsia="Times New Roman" w:hAnsi="Times New Roman"/>
          <w:sz w:val="20"/>
          <w:szCs w:val="20"/>
          <w:color w:val="010000"/>
        </w:rPr>
      </w:pPr>
    </w:p>
    <w:p>
      <w:pPr>
        <w:ind w:left="1280" w:hanging="636"/>
        <w:spacing w:after="0"/>
        <w:tabs>
          <w:tab w:leader="none" w:pos="1280" w:val="left"/>
        </w:tabs>
        <w:numPr>
          <w:ilvl w:val="0"/>
          <w:numId w:val="25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Indebtedness of the Company that is not secured by any Lien on any property or asset of the Company;</w:t>
      </w:r>
    </w:p>
    <w:p>
      <w:pPr>
        <w:spacing w:after="0" w:line="188" w:lineRule="exact"/>
        <w:rPr>
          <w:rFonts w:ascii="Times New Roman" w:cs="Times New Roman" w:eastAsia="Times New Roman" w:hAnsi="Times New Roman"/>
          <w:sz w:val="20"/>
          <w:szCs w:val="20"/>
          <w:color w:val="010000"/>
        </w:rPr>
      </w:pPr>
    </w:p>
    <w:p>
      <w:pPr>
        <w:jc w:val="both"/>
        <w:ind w:firstLine="644"/>
        <w:spacing w:after="0" w:line="215" w:lineRule="auto"/>
        <w:tabs>
          <w:tab w:leader="none" w:pos="1285" w:val="left"/>
        </w:tabs>
        <w:numPr>
          <w:ilvl w:val="0"/>
          <w:numId w:val="25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Indebtedness of the Company or any Subsidiary secured by any Lien on any property or asset of the Company or such Subsidiary or Indebtedness of any Subsidiary not secured by any Lien on any property or asset of such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aggregate outstanding principal amount of Indebtedness permitted by this </w:t>
      </w:r>
      <w:r>
        <w:rPr>
          <w:rFonts w:ascii="Times New Roman" w:cs="Times New Roman" w:eastAsia="Times New Roman" w:hAnsi="Times New Roman"/>
          <w:sz w:val="20"/>
          <w:szCs w:val="20"/>
          <w:u w:val="single" w:color="auto"/>
          <w:color w:val="auto"/>
        </w:rPr>
        <w:t>clause (m)</w:t>
      </w:r>
      <w:r>
        <w:rPr>
          <w:rFonts w:ascii="Times New Roman" w:cs="Times New Roman" w:eastAsia="Times New Roman" w:hAnsi="Times New Roman"/>
          <w:sz w:val="20"/>
          <w:szCs w:val="20"/>
          <w:color w:val="auto"/>
        </w:rPr>
        <w:t>, when combined with the aggregate principal amount of Indebtedness and other obligations incurred pursuant to Section 6.01(e), shall not in the aggregate exceed 15% of Consolidated Total Assets of the Company (determined by reference to the Company’s most recently delivered Financials or, if prior to the date of delivery of the first Financials to be delivered pursuant hereto, the most recent financial statements referred to in Section 3.04(a)) at any time of determination;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color w:val="auto"/>
        </w:rPr>
        <w:t>62</w:t>
      </w:r>
    </w:p>
    <w:p>
      <w:pPr>
        <w:sectPr>
          <w:pgSz w:w="11900" w:h="16838" w:orient="portrait"/>
          <w:cols w:equalWidth="0" w:num="1">
            <w:col w:w="10580"/>
          </w:cols>
          <w:pgMar w:left="980" w:top="1394" w:right="339" w:bottom="1440" w:gutter="0" w:footer="0" w:header="0"/>
        </w:sectPr>
      </w:pPr>
    </w:p>
    <w:bookmarkStart w:id="235" w:name="page236"/>
    <w:bookmarkEnd w:id="235"/>
    <w:p>
      <w:pPr>
        <w:ind w:left="660" w:firstLine="644"/>
        <w:spacing w:after="0"/>
        <w:tabs>
          <w:tab w:leader="none" w:pos="1944" w:val="left"/>
        </w:tabs>
        <w:numPr>
          <w:ilvl w:val="0"/>
          <w:numId w:val="25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unsecured Indebtedness incurred under the Existing Credit Agreement, the issuance of commercial paper by the Company under its commercial paper program, and the Indicor Senior Notes.</w:t>
      </w:r>
    </w:p>
    <w:p>
      <w:pPr>
        <w:spacing w:after="0" w:line="148" w:lineRule="exact"/>
        <w:rPr>
          <w:sz w:val="20"/>
          <w:szCs w:val="20"/>
          <w:color w:val="auto"/>
        </w:rPr>
      </w:pPr>
    </w:p>
    <w:p>
      <w:pPr>
        <w:jc w:val="both"/>
        <w:ind w:firstLine="1296"/>
        <w:spacing w:after="0" w:line="214" w:lineRule="auto"/>
        <w:rPr>
          <w:sz w:val="20"/>
          <w:szCs w:val="20"/>
          <w:color w:val="auto"/>
        </w:rPr>
      </w:pPr>
      <w:r>
        <w:rPr>
          <w:rFonts w:ascii="Times New Roman" w:cs="Times New Roman" w:eastAsia="Times New Roman" w:hAnsi="Times New Roman"/>
          <w:sz w:val="20"/>
          <w:szCs w:val="20"/>
          <w:color w:val="010000"/>
        </w:rPr>
        <w:t xml:space="preserve">Section 6.02. </w:t>
      </w:r>
      <w:r>
        <w:rPr>
          <w:rFonts w:ascii="Times New Roman" w:cs="Times New Roman" w:eastAsia="Times New Roman" w:hAnsi="Times New Roman"/>
          <w:sz w:val="20"/>
          <w:szCs w:val="20"/>
          <w:u w:val="single" w:color="auto"/>
          <w:color w:val="000000"/>
        </w:rPr>
        <w:t>Liens</w:t>
      </w:r>
      <w:r>
        <w:rPr>
          <w:rFonts w:ascii="Times New Roman" w:cs="Times New Roman" w:eastAsia="Times New Roman" w:hAnsi="Times New Roman"/>
          <w:sz w:val="20"/>
          <w:szCs w:val="20"/>
          <w:color w:val="000000"/>
        </w:rPr>
        <w:t>. The Company will not, and will not permit any Subsidiary to, create, incur, assume or permit to exist</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any Lien on any property or asset now owned or hereafter acquired by it, or assign or sell any income (including accounts receivable) in respect of any thereof, except:</w:t>
      </w:r>
    </w:p>
    <w:p>
      <w:pPr>
        <w:spacing w:after="0" w:line="1" w:lineRule="exact"/>
        <w:rPr>
          <w:sz w:val="20"/>
          <w:szCs w:val="20"/>
          <w:color w:val="auto"/>
        </w:rPr>
      </w:pPr>
    </w:p>
    <w:p>
      <w:pPr>
        <w:ind w:left="1940" w:hanging="636"/>
        <w:spacing w:after="0"/>
        <w:tabs>
          <w:tab w:leader="none" w:pos="1940" w:val="left"/>
        </w:tabs>
        <w:numPr>
          <w:ilvl w:val="0"/>
          <w:numId w:val="25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Permitted Encumbrances;</w:t>
      </w:r>
    </w:p>
    <w:p>
      <w:pPr>
        <w:spacing w:after="0" w:line="161" w:lineRule="exact"/>
        <w:rPr>
          <w:rFonts w:ascii="Times New Roman" w:cs="Times New Roman" w:eastAsia="Times New Roman" w:hAnsi="Times New Roman"/>
          <w:sz w:val="20"/>
          <w:szCs w:val="20"/>
          <w:color w:val="010000"/>
        </w:rPr>
      </w:pPr>
    </w:p>
    <w:p>
      <w:pPr>
        <w:ind w:left="1940" w:hanging="636"/>
        <w:spacing w:after="0"/>
        <w:tabs>
          <w:tab w:leader="none" w:pos="1940" w:val="left"/>
        </w:tabs>
        <w:numPr>
          <w:ilvl w:val="0"/>
          <w:numId w:val="25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Lien on any property or asset of the Company or any Subsidiary existing on the date hereof and set forth in</w:t>
      </w:r>
    </w:p>
    <w:p>
      <w:pPr>
        <w:ind w:left="660"/>
        <w:spacing w:after="0" w:line="197" w:lineRule="auto"/>
        <w:rPr>
          <w:sz w:val="20"/>
          <w:szCs w:val="20"/>
          <w:color w:val="auto"/>
        </w:rPr>
      </w:pPr>
      <w:r>
        <w:rPr>
          <w:rFonts w:ascii="Times New Roman" w:cs="Times New Roman" w:eastAsia="Times New Roman" w:hAnsi="Times New Roman"/>
          <w:sz w:val="20"/>
          <w:szCs w:val="20"/>
          <w:u w:val="single" w:color="auto"/>
          <w:color w:val="auto"/>
        </w:rPr>
        <w:t>Schedule 6.02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Lien shall not apply to any other property or asset of the Company or any Subsidiary and</w:t>
      </w:r>
    </w:p>
    <w:p>
      <w:pPr>
        <w:jc w:val="both"/>
        <w:ind w:left="660" w:hanging="4"/>
        <w:spacing w:after="0" w:line="223" w:lineRule="auto"/>
        <w:tabs>
          <w:tab w:leader="none" w:pos="977" w:val="left"/>
        </w:tabs>
        <w:numPr>
          <w:ilvl w:val="0"/>
          <w:numId w:val="2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Lien shall secure only those obligations which it secures on the date hereof and extensions, renewals and replacements thereof that do not increase the outstanding principal amount thereof, except by an amount equal to any premium or other amount paid, and fees and expenses incurred, in connection therewith;</w:t>
      </w:r>
    </w:p>
    <w:p>
      <w:pPr>
        <w:spacing w:after="0" w:line="146" w:lineRule="exact"/>
        <w:rPr>
          <w:rFonts w:ascii="Times New Roman" w:cs="Times New Roman" w:eastAsia="Times New Roman" w:hAnsi="Times New Roman"/>
          <w:sz w:val="20"/>
          <w:szCs w:val="20"/>
          <w:color w:val="auto"/>
        </w:rPr>
      </w:pPr>
    </w:p>
    <w:p>
      <w:pPr>
        <w:jc w:val="both"/>
        <w:ind w:left="660" w:firstLine="644"/>
        <w:spacing w:after="0" w:line="215" w:lineRule="auto"/>
        <w:tabs>
          <w:tab w:leader="none" w:pos="1946" w:val="left"/>
        </w:tabs>
        <w:numPr>
          <w:ilvl w:val="1"/>
          <w:numId w:val="25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any Lien existing on any property or asset prior to the acquisition thereof by the Company or any Subsidiary or existing on any property or asset of any Person that becomes a Subsidiary after the date hereof prior to the time such Person becomes a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Lien is not created in contemplation of or in connection with such acquisition or such Person becoming a Subsidiary, as the case may be, (ii) such Lien shall not apply to any other property or assets of the Company or any Subsidiary and (iii) such Lien shall secure only those obligations which it secures on the date of such acquisition or the date such Person becomes a Subsidiary, as the case may be, and extensions, renewals and replacements thereof that do not increase the outstanding principal amount thereof, except by an amount equal to any premium or other amount paid, and fees and expenses incurred, in connection therewith;</w:t>
      </w:r>
    </w:p>
    <w:p>
      <w:pPr>
        <w:spacing w:after="0" w:line="147" w:lineRule="exact"/>
        <w:rPr>
          <w:rFonts w:ascii="Times New Roman" w:cs="Times New Roman" w:eastAsia="Times New Roman" w:hAnsi="Times New Roman"/>
          <w:sz w:val="20"/>
          <w:szCs w:val="20"/>
          <w:color w:val="010000"/>
        </w:rPr>
      </w:pPr>
    </w:p>
    <w:p>
      <w:pPr>
        <w:jc w:val="both"/>
        <w:ind w:left="660" w:firstLine="644"/>
        <w:spacing w:after="0" w:line="231" w:lineRule="auto"/>
        <w:tabs>
          <w:tab w:leader="none" w:pos="1944" w:val="left"/>
        </w:tabs>
        <w:numPr>
          <w:ilvl w:val="1"/>
          <w:numId w:val="25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Liens on assets acquired, constructed or improved by the Company or any Subsidiary;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such security interests secure Indebtedness permitted by clause (e) of Section 6.01, (ii) such security interests and the Indebtedness secured thereby are incurred prior to or within one hundred eighty (180) days after such acquisition or the completion of such construction or improvement, (iii) the Indebtedness secured thereby does not exceed the cost of acquiring, constructing or improving such assets and (iv) such security interests shall not apply to any other property or assets of the Company or any Subsidiary;</w:t>
      </w:r>
    </w:p>
    <w:p>
      <w:pPr>
        <w:spacing w:after="0" w:line="163" w:lineRule="exact"/>
        <w:rPr>
          <w:rFonts w:ascii="Times New Roman" w:cs="Times New Roman" w:eastAsia="Times New Roman" w:hAnsi="Times New Roman"/>
          <w:sz w:val="19"/>
          <w:szCs w:val="19"/>
          <w:color w:val="010000"/>
        </w:rPr>
      </w:pPr>
    </w:p>
    <w:p>
      <w:pPr>
        <w:ind w:left="1940" w:hanging="636"/>
        <w:spacing w:after="0"/>
        <w:tabs>
          <w:tab w:leader="none" w:pos="1940" w:val="left"/>
        </w:tabs>
        <w:numPr>
          <w:ilvl w:val="1"/>
          <w:numId w:val="25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Liens on Permitted Receivables Facility Assets arising under Permitted Receivables Facilities;</w:t>
      </w:r>
    </w:p>
    <w:p>
      <w:pPr>
        <w:spacing w:after="0" w:line="175" w:lineRule="exact"/>
        <w:rPr>
          <w:rFonts w:ascii="Times New Roman" w:cs="Times New Roman" w:eastAsia="Times New Roman" w:hAnsi="Times New Roman"/>
          <w:sz w:val="20"/>
          <w:szCs w:val="20"/>
          <w:color w:val="010000"/>
        </w:rPr>
      </w:pPr>
    </w:p>
    <w:p>
      <w:pPr>
        <w:ind w:left="660" w:firstLine="644"/>
        <w:spacing w:after="0"/>
        <w:tabs>
          <w:tab w:leader="none" w:pos="1951" w:val="left"/>
        </w:tabs>
        <w:numPr>
          <w:ilvl w:val="1"/>
          <w:numId w:val="25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Liens arising from precautionary UCC (or other similar recording or notice statutes) financing statement filings regarding operating leases permitted pursuant to this Agreement;</w:t>
      </w:r>
    </w:p>
    <w:p>
      <w:pPr>
        <w:spacing w:after="0" w:line="161" w:lineRule="exact"/>
        <w:rPr>
          <w:rFonts w:ascii="Times New Roman" w:cs="Times New Roman" w:eastAsia="Times New Roman" w:hAnsi="Times New Roman"/>
          <w:sz w:val="20"/>
          <w:szCs w:val="20"/>
          <w:color w:val="010000"/>
        </w:rPr>
      </w:pPr>
    </w:p>
    <w:p>
      <w:pPr>
        <w:jc w:val="both"/>
        <w:ind w:left="660" w:firstLine="644"/>
        <w:spacing w:after="0" w:line="217" w:lineRule="auto"/>
        <w:tabs>
          <w:tab w:leader="none" w:pos="1944" w:val="left"/>
        </w:tabs>
        <w:numPr>
          <w:ilvl w:val="1"/>
          <w:numId w:val="25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Liens on any asset or property of the Company or any Subsidiaries so long as the aggregate principal amount of the Indebtedness and other obligations secured by such Liens does not exceed 15% of Consolidated Total Assets of the Company (determined by reference to the Company’s most recently delivered Financials or, if prior to the date of delivery of the first Financials to be delivered pursuant hereto, the most recent financial statements referred to in </w:t>
      </w:r>
      <w:r>
        <w:rPr>
          <w:rFonts w:ascii="Times New Roman" w:cs="Times New Roman" w:eastAsia="Times New Roman" w:hAnsi="Times New Roman"/>
          <w:sz w:val="20"/>
          <w:szCs w:val="20"/>
          <w:u w:val="single" w:color="auto"/>
          <w:color w:val="auto"/>
        </w:rPr>
        <w:t>Section 3.04(a))</w:t>
      </w:r>
      <w:r>
        <w:rPr>
          <w:rFonts w:ascii="Times New Roman" w:cs="Times New Roman" w:eastAsia="Times New Roman" w:hAnsi="Times New Roman"/>
          <w:sz w:val="20"/>
          <w:szCs w:val="20"/>
          <w:color w:val="auto"/>
        </w:rPr>
        <w:t xml:space="preserve"> at any time of determination;</w:t>
      </w:r>
    </w:p>
    <w:p>
      <w:pPr>
        <w:spacing w:after="0" w:line="161" w:lineRule="exact"/>
        <w:rPr>
          <w:rFonts w:ascii="Times New Roman" w:cs="Times New Roman" w:eastAsia="Times New Roman" w:hAnsi="Times New Roman"/>
          <w:sz w:val="20"/>
          <w:szCs w:val="20"/>
          <w:color w:val="010000"/>
        </w:rPr>
      </w:pPr>
    </w:p>
    <w:p>
      <w:pPr>
        <w:ind w:left="1940" w:hanging="636"/>
        <w:spacing w:after="0"/>
        <w:tabs>
          <w:tab w:leader="none" w:pos="1940" w:val="left"/>
        </w:tabs>
        <w:numPr>
          <w:ilvl w:val="1"/>
          <w:numId w:val="25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Liens, if any, created by any Loan Documents;</w:t>
      </w:r>
    </w:p>
    <w:p>
      <w:pPr>
        <w:spacing w:after="0" w:line="184" w:lineRule="exact"/>
        <w:rPr>
          <w:rFonts w:ascii="Times New Roman" w:cs="Times New Roman" w:eastAsia="Times New Roman" w:hAnsi="Times New Roman"/>
          <w:sz w:val="20"/>
          <w:szCs w:val="20"/>
          <w:color w:val="010000"/>
        </w:rPr>
      </w:pPr>
    </w:p>
    <w:p>
      <w:pPr>
        <w:ind w:left="660" w:right="20" w:firstLine="644"/>
        <w:spacing w:after="0" w:line="235" w:lineRule="auto"/>
        <w:tabs>
          <w:tab w:leader="none" w:pos="1954" w:val="left"/>
        </w:tabs>
        <w:numPr>
          <w:ilvl w:val="1"/>
          <w:numId w:val="25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Liens arising under the general terms and conditions (</w:t>
      </w:r>
      <w:r>
        <w:rPr>
          <w:rFonts w:ascii="Times New Roman" w:cs="Times New Roman" w:eastAsia="Times New Roman" w:hAnsi="Times New Roman"/>
          <w:sz w:val="20"/>
          <w:szCs w:val="20"/>
          <w:i w:val="1"/>
          <w:iCs w:val="1"/>
          <w:color w:val="auto"/>
        </w:rPr>
        <w:t>Allgemeine Geschäftsbedingungen der Banken und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Sparkassen</w:t>
      </w:r>
      <w:r>
        <w:rPr>
          <w:rFonts w:ascii="Times New Roman" w:cs="Times New Roman" w:eastAsia="Times New Roman" w:hAnsi="Times New Roman"/>
          <w:sz w:val="20"/>
          <w:szCs w:val="20"/>
          <w:color w:val="auto"/>
        </w:rPr>
        <w:t>) in relation to bank accounts held in Germany;</w:t>
      </w:r>
    </w:p>
    <w:p>
      <w:pPr>
        <w:spacing w:after="0" w:line="161" w:lineRule="exact"/>
        <w:rPr>
          <w:rFonts w:ascii="Times New Roman" w:cs="Times New Roman" w:eastAsia="Times New Roman" w:hAnsi="Times New Roman"/>
          <w:sz w:val="20"/>
          <w:szCs w:val="20"/>
          <w:color w:val="010000"/>
        </w:rPr>
      </w:pPr>
    </w:p>
    <w:p>
      <w:pPr>
        <w:ind w:left="660" w:right="20" w:firstLine="644"/>
        <w:spacing w:after="0"/>
        <w:tabs>
          <w:tab w:leader="none" w:pos="1954" w:val="left"/>
        </w:tabs>
        <w:numPr>
          <w:ilvl w:val="1"/>
          <w:numId w:val="25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Liens arising out of conditional sale, title retention (including extended retention of title), consignment or similar arrangements for the sale of goods;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63</w:t>
      </w:r>
    </w:p>
    <w:p>
      <w:pPr>
        <w:sectPr>
          <w:pgSz w:w="11900" w:h="16838" w:orient="portrait"/>
          <w:cols w:equalWidth="0" w:num="1">
            <w:col w:w="11240"/>
          </w:cols>
          <w:pgMar w:left="320" w:top="1399" w:right="339" w:bottom="1440" w:gutter="0" w:footer="0" w:header="0"/>
        </w:sectPr>
      </w:pPr>
    </w:p>
    <w:bookmarkStart w:id="236" w:name="page237"/>
    <w:bookmarkEnd w:id="236"/>
    <w:p>
      <w:pPr>
        <w:ind w:left="-460" w:firstLine="644"/>
        <w:spacing w:after="0" w:line="297" w:lineRule="auto"/>
        <w:tabs>
          <w:tab w:leader="none" w:pos="824" w:val="left"/>
        </w:tabs>
        <w:numPr>
          <w:ilvl w:val="0"/>
          <w:numId w:val="25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lien required to be granted under mandatory law in favor of creditors as a consequence of a merger or a conversion permitted under this Agreement due to Section 22 and 204 of the German Reorganization Act (</w:t>
      </w:r>
      <w:r>
        <w:rPr>
          <w:rFonts w:ascii="Times New Roman" w:cs="Times New Roman" w:eastAsia="Times New Roman" w:hAnsi="Times New Roman"/>
          <w:sz w:val="20"/>
          <w:szCs w:val="20"/>
          <w:i w:val="1"/>
          <w:iCs w:val="1"/>
          <w:color w:val="auto"/>
        </w:rPr>
        <w:t>Umwandlungsgesetz</w:t>
      </w:r>
      <w:r>
        <w:rPr>
          <w:rFonts w:ascii="Times New Roman" w:cs="Times New Roman" w:eastAsia="Times New Roman" w:hAnsi="Times New Roman"/>
          <w:sz w:val="20"/>
          <w:szCs w:val="20"/>
          <w:color w:val="auto"/>
        </w:rPr>
        <w:t>);</w:t>
      </w:r>
    </w:p>
    <w:p>
      <w:pPr>
        <w:spacing w:after="0" w:line="200" w:lineRule="exact"/>
        <w:rPr>
          <w:rFonts w:ascii="Times New Roman" w:cs="Times New Roman" w:eastAsia="Times New Roman" w:hAnsi="Times New Roman"/>
          <w:sz w:val="20"/>
          <w:szCs w:val="20"/>
          <w:color w:val="010000"/>
        </w:rPr>
      </w:pPr>
    </w:p>
    <w:p>
      <w:pPr>
        <w:spacing w:after="0" w:line="202" w:lineRule="exact"/>
        <w:rPr>
          <w:rFonts w:ascii="Times New Roman" w:cs="Times New Roman" w:eastAsia="Times New Roman" w:hAnsi="Times New Roman"/>
          <w:sz w:val="20"/>
          <w:szCs w:val="20"/>
          <w:color w:val="010000"/>
        </w:rPr>
      </w:pPr>
    </w:p>
    <w:p>
      <w:pPr>
        <w:ind w:left="-460" w:firstLine="644"/>
        <w:spacing w:after="0" w:line="297" w:lineRule="auto"/>
        <w:tabs>
          <w:tab w:leader="none" w:pos="834" w:val="left"/>
        </w:tabs>
        <w:numPr>
          <w:ilvl w:val="0"/>
          <w:numId w:val="25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Liens on the net cash proceeds of any Acquisition Indebtedness held in escrow by a third party escrow agent prior to the release thereof from escrow; and</w:t>
      </w:r>
    </w:p>
    <w:p>
      <w:pPr>
        <w:spacing w:after="0" w:line="200" w:lineRule="exact"/>
        <w:rPr>
          <w:rFonts w:ascii="Times New Roman" w:cs="Times New Roman" w:eastAsia="Times New Roman" w:hAnsi="Times New Roman"/>
          <w:sz w:val="20"/>
          <w:szCs w:val="20"/>
          <w:color w:val="010000"/>
        </w:rPr>
      </w:pPr>
    </w:p>
    <w:p>
      <w:pPr>
        <w:spacing w:after="0" w:line="202" w:lineRule="exact"/>
        <w:rPr>
          <w:rFonts w:ascii="Times New Roman" w:cs="Times New Roman" w:eastAsia="Times New Roman" w:hAnsi="Times New Roman"/>
          <w:sz w:val="20"/>
          <w:szCs w:val="20"/>
          <w:color w:val="010000"/>
        </w:rPr>
      </w:pPr>
    </w:p>
    <w:p>
      <w:pPr>
        <w:ind w:left="-460" w:firstLine="644"/>
        <w:spacing w:after="0" w:line="297" w:lineRule="auto"/>
        <w:tabs>
          <w:tab w:leader="none" w:pos="825" w:val="left"/>
        </w:tabs>
        <w:numPr>
          <w:ilvl w:val="0"/>
          <w:numId w:val="25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Liens on assets of the Company and its Subsidiaries not otherwise permitted above so long as the aggregate principal amount of the Indebtedness and other obligations subject to such Liens does not at any time exceed $50,000,000.</w:t>
      </w:r>
    </w:p>
    <w:p>
      <w:pPr>
        <w:spacing w:after="0" w:line="200" w:lineRule="exact"/>
        <w:rPr>
          <w:sz w:val="20"/>
          <w:szCs w:val="20"/>
          <w:color w:val="auto"/>
        </w:rPr>
      </w:pPr>
    </w:p>
    <w:p>
      <w:pPr>
        <w:spacing w:after="0" w:line="203" w:lineRule="exact"/>
        <w:rPr>
          <w:sz w:val="20"/>
          <w:szCs w:val="20"/>
          <w:color w:val="auto"/>
        </w:rPr>
      </w:pPr>
    </w:p>
    <w:p>
      <w:pPr>
        <w:ind w:left="180"/>
        <w:spacing w:after="0"/>
        <w:tabs>
          <w:tab w:leader="none" w:pos="1460" w:val="left"/>
        </w:tabs>
        <w:rPr>
          <w:sz w:val="20"/>
          <w:szCs w:val="20"/>
          <w:color w:val="auto"/>
        </w:rPr>
      </w:pPr>
      <w:r>
        <w:rPr>
          <w:rFonts w:ascii="Times New Roman" w:cs="Times New Roman" w:eastAsia="Times New Roman" w:hAnsi="Times New Roman"/>
          <w:sz w:val="20"/>
          <w:szCs w:val="20"/>
          <w:color w:val="010000"/>
        </w:rPr>
        <w:t>Section 6.03.</w:t>
      </w:r>
      <w:r>
        <w:rPr>
          <w:sz w:val="20"/>
          <w:szCs w:val="20"/>
          <w:color w:val="auto"/>
        </w:rPr>
        <w:tab/>
      </w:r>
      <w:r>
        <w:rPr>
          <w:rFonts w:ascii="Times New Roman" w:cs="Times New Roman" w:eastAsia="Times New Roman" w:hAnsi="Times New Roman"/>
          <w:sz w:val="19"/>
          <w:szCs w:val="19"/>
          <w:u w:val="single" w:color="auto"/>
          <w:color w:val="auto"/>
        </w:rPr>
        <w:t>Fundamental Changes and Asset Sales</w:t>
      </w:r>
      <w:r>
        <w:rPr>
          <w:rFonts w:ascii="Times New Roman" w:cs="Times New Roman" w:eastAsia="Times New Roman" w:hAnsi="Times New Roman"/>
          <w:sz w:val="19"/>
          <w:szCs w:val="19"/>
          <w:color w:val="auto"/>
        </w:rPr>
        <w:t>.</w:t>
      </w:r>
    </w:p>
    <w:p>
      <w:pPr>
        <w:spacing w:after="0" w:line="28" w:lineRule="exact"/>
        <w:rPr>
          <w:sz w:val="20"/>
          <w:szCs w:val="20"/>
          <w:color w:val="auto"/>
        </w:rPr>
      </w:pPr>
    </w:p>
    <w:p>
      <w:pPr>
        <w:jc w:val="both"/>
        <w:ind w:left="-460" w:firstLine="644"/>
        <w:spacing w:after="0" w:line="278" w:lineRule="auto"/>
        <w:tabs>
          <w:tab w:leader="none" w:pos="826" w:val="left"/>
        </w:tabs>
        <w:numPr>
          <w:ilvl w:val="0"/>
          <w:numId w:val="26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Company will not, and will not permit any Subsidiary to, merge into or consolidate or amalgamate with any other Person, consummate a Division as the Dividing Person, or sell, transfer, lease or otherwise dispose of (in one transaction or in a series of transactions and whether effected pursuant to a Division or otherwise) any of its assets (including pursuant to a Sale and Leaseback Transaction), or any of the Equity Interests of any of its Subsidiaries (in each case, whether now owned or hereafter acquired), or liquidate or dissolve, except that:</w:t>
      </w:r>
    </w:p>
    <w:p>
      <w:pPr>
        <w:spacing w:after="0" w:line="200" w:lineRule="exact"/>
        <w:rPr>
          <w:rFonts w:ascii="Times New Roman" w:cs="Times New Roman" w:eastAsia="Times New Roman" w:hAnsi="Times New Roman"/>
          <w:sz w:val="20"/>
          <w:szCs w:val="20"/>
          <w:color w:val="010000"/>
        </w:rPr>
      </w:pPr>
    </w:p>
    <w:p>
      <w:pPr>
        <w:spacing w:after="0" w:line="221" w:lineRule="exact"/>
        <w:rPr>
          <w:rFonts w:ascii="Times New Roman" w:cs="Times New Roman" w:eastAsia="Times New Roman" w:hAnsi="Times New Roman"/>
          <w:sz w:val="20"/>
          <w:szCs w:val="20"/>
          <w:color w:val="010000"/>
        </w:rPr>
      </w:pPr>
    </w:p>
    <w:p>
      <w:pPr>
        <w:ind w:left="1480" w:hanging="648"/>
        <w:spacing w:after="0"/>
        <w:tabs>
          <w:tab w:leader="none" w:pos="1480" w:val="left"/>
        </w:tabs>
        <w:numPr>
          <w:ilvl w:val="1"/>
          <w:numId w:val="26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Person may merge into the Company in a transaction in which the Company is the surviving</w:t>
      </w:r>
    </w:p>
    <w:p>
      <w:pPr>
        <w:spacing w:after="0" w:line="28" w:lineRule="exact"/>
        <w:rPr>
          <w:rFonts w:ascii="Times New Roman" w:cs="Times New Roman" w:eastAsia="Times New Roman" w:hAnsi="Times New Roman"/>
          <w:sz w:val="20"/>
          <w:szCs w:val="20"/>
          <w:color w:val="010000"/>
        </w:rPr>
      </w:pPr>
    </w:p>
    <w:p>
      <w:pPr>
        <w:ind w:left="180"/>
        <w:spacing w:after="0"/>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corporation;</w:t>
      </w:r>
    </w:p>
    <w:p>
      <w:pPr>
        <w:spacing w:after="0" w:line="200" w:lineRule="exact"/>
        <w:rPr>
          <w:rFonts w:ascii="Times New Roman" w:cs="Times New Roman" w:eastAsia="Times New Roman" w:hAnsi="Times New Roman"/>
          <w:sz w:val="20"/>
          <w:szCs w:val="20"/>
          <w:color w:val="010000"/>
        </w:rPr>
      </w:pPr>
    </w:p>
    <w:p>
      <w:pPr>
        <w:spacing w:after="0" w:line="283" w:lineRule="exact"/>
        <w:rPr>
          <w:rFonts w:ascii="Times New Roman" w:cs="Times New Roman" w:eastAsia="Times New Roman" w:hAnsi="Times New Roman"/>
          <w:sz w:val="20"/>
          <w:szCs w:val="20"/>
          <w:color w:val="010000"/>
        </w:rPr>
      </w:pPr>
    </w:p>
    <w:p>
      <w:pPr>
        <w:jc w:val="both"/>
        <w:ind w:left="180" w:firstLine="652"/>
        <w:spacing w:after="0" w:line="272" w:lineRule="auto"/>
        <w:tabs>
          <w:tab w:leader="none" w:pos="1475" w:val="left"/>
        </w:tabs>
        <w:numPr>
          <w:ilvl w:val="1"/>
          <w:numId w:val="26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 any Subsidiary may merge or amalgamate with any other Subsidiary, (B) any Subsidiary may merge into or amalgamate with the Company in a transaction in which the surviving entity is the Company (provided that any such merger involving the Company must result in the Company as the surviving entity) or (C) any Subsidiary that is an LLC may consummate a Division as the Dividing Person if, immediately upon the consummation of the Division, the assets of the applicable Dividing Person are held by one or more Subsidiaries at such time, or, with respect to assets not so held by one or more Subsidiaries, such Division, in the aggregate, would otherwise result in a Disposition permitted by Section 6.03(a)(v) (D);</w:t>
      </w:r>
    </w:p>
    <w:p>
      <w:pPr>
        <w:spacing w:after="0" w:line="200" w:lineRule="exact"/>
        <w:rPr>
          <w:rFonts w:ascii="Times New Roman" w:cs="Times New Roman" w:eastAsia="Times New Roman" w:hAnsi="Times New Roman"/>
          <w:sz w:val="20"/>
          <w:szCs w:val="20"/>
          <w:color w:val="010000"/>
        </w:rPr>
      </w:pPr>
    </w:p>
    <w:p>
      <w:pPr>
        <w:spacing w:after="0" w:line="230" w:lineRule="exact"/>
        <w:rPr>
          <w:rFonts w:ascii="Times New Roman" w:cs="Times New Roman" w:eastAsia="Times New Roman" w:hAnsi="Times New Roman"/>
          <w:sz w:val="20"/>
          <w:szCs w:val="20"/>
          <w:color w:val="010000"/>
        </w:rPr>
      </w:pPr>
    </w:p>
    <w:p>
      <w:pPr>
        <w:ind w:left="1480" w:hanging="648"/>
        <w:spacing w:after="0"/>
        <w:tabs>
          <w:tab w:leader="none" w:pos="1480" w:val="left"/>
        </w:tabs>
        <w:numPr>
          <w:ilvl w:val="1"/>
          <w:numId w:val="26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Subsidiary may sell, transfer, lease or otherwise dispose of its assets to any other Subsidiary;</w:t>
      </w:r>
    </w:p>
    <w:p>
      <w:pPr>
        <w:spacing w:after="0" w:line="200" w:lineRule="exact"/>
        <w:rPr>
          <w:rFonts w:ascii="Times New Roman" w:cs="Times New Roman" w:eastAsia="Times New Roman" w:hAnsi="Times New Roman"/>
          <w:sz w:val="20"/>
          <w:szCs w:val="20"/>
          <w:color w:val="010000"/>
        </w:rPr>
      </w:pPr>
    </w:p>
    <w:p>
      <w:pPr>
        <w:spacing w:after="0" w:line="285" w:lineRule="exact"/>
        <w:rPr>
          <w:rFonts w:ascii="Times New Roman" w:cs="Times New Roman" w:eastAsia="Times New Roman" w:hAnsi="Times New Roman"/>
          <w:sz w:val="20"/>
          <w:szCs w:val="20"/>
          <w:color w:val="010000"/>
        </w:rPr>
      </w:pPr>
    </w:p>
    <w:p>
      <w:pPr>
        <w:ind w:left="180" w:right="20" w:firstLine="652"/>
        <w:spacing w:after="0" w:line="297" w:lineRule="auto"/>
        <w:tabs>
          <w:tab w:leader="none" w:pos="1465" w:val="left"/>
        </w:tabs>
        <w:numPr>
          <w:ilvl w:val="1"/>
          <w:numId w:val="26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Company or any Subsidiary may sell Permitted Receivables Facility Assets and Permitted Receivables Related Assets under Permitted Receivables Facilities;</w:t>
      </w:r>
    </w:p>
    <w:p>
      <w:pPr>
        <w:spacing w:after="0" w:line="200" w:lineRule="exact"/>
        <w:rPr>
          <w:rFonts w:ascii="Times New Roman" w:cs="Times New Roman" w:eastAsia="Times New Roman" w:hAnsi="Times New Roman"/>
          <w:sz w:val="20"/>
          <w:szCs w:val="20"/>
          <w:color w:val="010000"/>
        </w:rPr>
      </w:pPr>
    </w:p>
    <w:p>
      <w:pPr>
        <w:spacing w:after="0" w:line="216" w:lineRule="exact"/>
        <w:rPr>
          <w:rFonts w:ascii="Times New Roman" w:cs="Times New Roman" w:eastAsia="Times New Roman" w:hAnsi="Times New Roman"/>
          <w:sz w:val="20"/>
          <w:szCs w:val="20"/>
          <w:color w:val="010000"/>
        </w:rPr>
      </w:pPr>
    </w:p>
    <w:p>
      <w:pPr>
        <w:ind w:left="180" w:firstLine="652"/>
        <w:spacing w:after="0" w:line="297" w:lineRule="auto"/>
        <w:tabs>
          <w:tab w:leader="none" w:pos="1464" w:val="left"/>
        </w:tabs>
        <w:numPr>
          <w:ilvl w:val="1"/>
          <w:numId w:val="26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Company and its Subsidiaries may (A) sell inventory in the ordinary course of business, (B) effect sales, leases, trade-ins or dispositions of used equipment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64</w:t>
      </w:r>
    </w:p>
    <w:p>
      <w:pPr>
        <w:sectPr>
          <w:pgSz w:w="11900" w:h="16838" w:orient="portrait"/>
          <w:cols w:equalWidth="0" w:num="1">
            <w:col w:w="10120"/>
          </w:cols>
          <w:pgMar w:left="1440" w:top="1426" w:right="339" w:bottom="1440" w:gutter="0" w:footer="0" w:header="0"/>
        </w:sectPr>
      </w:pPr>
    </w:p>
    <w:bookmarkStart w:id="237" w:name="page238"/>
    <w:bookmarkEnd w:id="237"/>
    <w:p>
      <w:pPr>
        <w:jc w:val="both"/>
        <w:ind w:left="180"/>
        <w:spacing w:after="0" w:line="273" w:lineRule="auto"/>
        <w:rPr>
          <w:sz w:val="20"/>
          <w:szCs w:val="20"/>
          <w:color w:val="auto"/>
        </w:rPr>
      </w:pPr>
      <w:r>
        <w:rPr>
          <w:rFonts w:ascii="Times New Roman" w:cs="Times New Roman" w:eastAsia="Times New Roman" w:hAnsi="Times New Roman"/>
          <w:sz w:val="20"/>
          <w:szCs w:val="20"/>
          <w:color w:val="auto"/>
        </w:rPr>
        <w:t>value in the ordinary course of business consistent with past practice, (C) enter into licenses of technology in the ordinary course of business, and (D) make any other sales, transfers, leases or dispositions that, together with all other property of the Company and its Subsidiaries previously leased, sold or disposed of as permitted by this clause (D) during any fiscal year of the Company, does not exceed 25% of Consolidated Total Assets (determined by reference to the Company’s most recently delivered Financials or, if prior to the date of delivery of the first Financials to be delivered pursuant hereto, the most recent financial statements referred to in Section 3.04(a));</w:t>
      </w:r>
    </w:p>
    <w:p>
      <w:pPr>
        <w:spacing w:after="0" w:line="185" w:lineRule="exact"/>
        <w:rPr>
          <w:sz w:val="20"/>
          <w:szCs w:val="20"/>
          <w:color w:val="auto"/>
        </w:rPr>
      </w:pPr>
    </w:p>
    <w:p>
      <w:pPr>
        <w:ind w:left="180" w:firstLine="652"/>
        <w:spacing w:after="0" w:line="297" w:lineRule="auto"/>
        <w:tabs>
          <w:tab w:leader="none" w:pos="1465" w:val="left"/>
        </w:tabs>
        <w:numPr>
          <w:ilvl w:val="1"/>
          <w:numId w:val="26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Subsidiary may liquidate or dissolve if the Company determines in good faith that such liquidation or dissolution is in the best interests of the Company and after giving effect to such transaction, no Default shall exist;</w:t>
      </w:r>
    </w:p>
    <w:p>
      <w:pPr>
        <w:spacing w:after="0" w:line="173" w:lineRule="exact"/>
        <w:rPr>
          <w:rFonts w:ascii="Times New Roman" w:cs="Times New Roman" w:eastAsia="Times New Roman" w:hAnsi="Times New Roman"/>
          <w:sz w:val="20"/>
          <w:szCs w:val="20"/>
          <w:color w:val="010000"/>
        </w:rPr>
      </w:pPr>
    </w:p>
    <w:p>
      <w:pPr>
        <w:ind w:left="180" w:firstLine="652"/>
        <w:spacing w:after="0" w:line="297" w:lineRule="auto"/>
        <w:tabs>
          <w:tab w:leader="none" w:pos="1465" w:val="left"/>
        </w:tabs>
        <w:numPr>
          <w:ilvl w:val="1"/>
          <w:numId w:val="26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Company and its Subsidiaries may make Consolidated Capital Expenditures in the ordinary course of their respective businesses;</w:t>
      </w:r>
    </w:p>
    <w:p>
      <w:pPr>
        <w:spacing w:after="0" w:line="159" w:lineRule="exact"/>
        <w:rPr>
          <w:rFonts w:ascii="Times New Roman" w:cs="Times New Roman" w:eastAsia="Times New Roman" w:hAnsi="Times New Roman"/>
          <w:sz w:val="20"/>
          <w:szCs w:val="20"/>
          <w:color w:val="010000"/>
        </w:rPr>
      </w:pPr>
    </w:p>
    <w:p>
      <w:pPr>
        <w:ind w:left="1480" w:hanging="648"/>
        <w:spacing w:after="0"/>
        <w:tabs>
          <w:tab w:leader="none" w:pos="1480" w:val="left"/>
        </w:tabs>
        <w:numPr>
          <w:ilvl w:val="1"/>
          <w:numId w:val="26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Company and its Subsidiaries may make advances, investments and loans in and to third parties;</w:t>
      </w:r>
    </w:p>
    <w:p>
      <w:pPr>
        <w:spacing w:after="0" w:line="242" w:lineRule="exact"/>
        <w:rPr>
          <w:rFonts w:ascii="Times New Roman" w:cs="Times New Roman" w:eastAsia="Times New Roman" w:hAnsi="Times New Roman"/>
          <w:sz w:val="20"/>
          <w:szCs w:val="20"/>
          <w:color w:val="010000"/>
        </w:rPr>
      </w:pPr>
    </w:p>
    <w:p>
      <w:pPr>
        <w:ind w:left="1460" w:hanging="628"/>
        <w:spacing w:after="0"/>
        <w:tabs>
          <w:tab w:leader="none" w:pos="1460" w:val="left"/>
        </w:tabs>
        <w:numPr>
          <w:ilvl w:val="1"/>
          <w:numId w:val="26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Company and its Subsidiaries may make Restricted Payments;</w:t>
      </w:r>
    </w:p>
    <w:p>
      <w:pPr>
        <w:spacing w:after="0" w:line="242" w:lineRule="exact"/>
        <w:rPr>
          <w:rFonts w:ascii="Times New Roman" w:cs="Times New Roman" w:eastAsia="Times New Roman" w:hAnsi="Times New Roman"/>
          <w:sz w:val="20"/>
          <w:szCs w:val="20"/>
          <w:color w:val="010000"/>
        </w:rPr>
      </w:pPr>
    </w:p>
    <w:p>
      <w:pPr>
        <w:jc w:val="both"/>
        <w:ind w:left="180" w:firstLine="652"/>
        <w:spacing w:after="0" w:line="282" w:lineRule="auto"/>
        <w:tabs>
          <w:tab w:leader="none" w:pos="1464" w:val="left"/>
        </w:tabs>
        <w:numPr>
          <w:ilvl w:val="1"/>
          <w:numId w:val="26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Company and its Subsidiaries may make dispositions of assets received in connection with the bankruptcy or reorganization of suppliers and customers and in settlement of delinquent obligations of, and other disputes with, customers and suppliers arising in the ordinary course of business; and</w:t>
      </w:r>
    </w:p>
    <w:p>
      <w:pPr>
        <w:spacing w:after="0" w:line="200" w:lineRule="exact"/>
        <w:rPr>
          <w:rFonts w:ascii="Times New Roman" w:cs="Times New Roman" w:eastAsia="Times New Roman" w:hAnsi="Times New Roman"/>
          <w:sz w:val="20"/>
          <w:szCs w:val="20"/>
          <w:color w:val="010000"/>
        </w:rPr>
      </w:pPr>
    </w:p>
    <w:p>
      <w:pPr>
        <w:spacing w:after="0" w:line="217" w:lineRule="exact"/>
        <w:rPr>
          <w:rFonts w:ascii="Times New Roman" w:cs="Times New Roman" w:eastAsia="Times New Roman" w:hAnsi="Times New Roman"/>
          <w:sz w:val="20"/>
          <w:szCs w:val="20"/>
          <w:color w:val="010000"/>
        </w:rPr>
      </w:pPr>
    </w:p>
    <w:p>
      <w:pPr>
        <w:ind w:left="180" w:right="20" w:firstLine="652"/>
        <w:spacing w:after="0" w:line="297" w:lineRule="auto"/>
        <w:tabs>
          <w:tab w:leader="none" w:pos="1465" w:val="left"/>
        </w:tabs>
        <w:numPr>
          <w:ilvl w:val="1"/>
          <w:numId w:val="26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Company and its Subsidiaries may lease (as lessor) real or personal property not interfering with the ordinary course of business of the Company and otherwise in compliance with this Agreement.</w:t>
      </w:r>
    </w:p>
    <w:p>
      <w:pPr>
        <w:spacing w:after="0" w:line="200" w:lineRule="exact"/>
        <w:rPr>
          <w:rFonts w:ascii="Times New Roman" w:cs="Times New Roman" w:eastAsia="Times New Roman" w:hAnsi="Times New Roman"/>
          <w:sz w:val="20"/>
          <w:szCs w:val="20"/>
          <w:color w:val="010000"/>
        </w:rPr>
      </w:pPr>
    </w:p>
    <w:p>
      <w:pPr>
        <w:spacing w:after="0" w:line="202" w:lineRule="exact"/>
        <w:rPr>
          <w:rFonts w:ascii="Times New Roman" w:cs="Times New Roman" w:eastAsia="Times New Roman" w:hAnsi="Times New Roman"/>
          <w:sz w:val="20"/>
          <w:szCs w:val="20"/>
          <w:color w:val="010000"/>
        </w:rPr>
      </w:pPr>
    </w:p>
    <w:p>
      <w:pPr>
        <w:jc w:val="both"/>
        <w:ind w:left="-460" w:firstLine="644"/>
        <w:spacing w:after="0" w:line="275" w:lineRule="auto"/>
        <w:tabs>
          <w:tab w:leader="none" w:pos="824" w:val="left"/>
        </w:tabs>
        <w:numPr>
          <w:ilvl w:val="0"/>
          <w:numId w:val="26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Company will not, and will not permit any of its Subsidiaries to, engage to any material extent in any business other than (i) businesses of the type conducted by the Company and its Subsidiaries on the date of execution of this Agreement and businesses reasonably related thereto, (ii) reasonable extensions thereof and (iii) any other manufacturing business, including, without limitation, the distribution and/or resale of manufactured products and other reasonable extensions of the manufacturing business.</w:t>
      </w:r>
    </w:p>
    <w:p>
      <w:pPr>
        <w:spacing w:after="0" w:line="200" w:lineRule="exact"/>
        <w:rPr>
          <w:rFonts w:ascii="Times New Roman" w:cs="Times New Roman" w:eastAsia="Times New Roman" w:hAnsi="Times New Roman"/>
          <w:sz w:val="20"/>
          <w:szCs w:val="20"/>
          <w:color w:val="010000"/>
        </w:rPr>
      </w:pPr>
    </w:p>
    <w:p>
      <w:pPr>
        <w:spacing w:after="0" w:line="223" w:lineRule="exact"/>
        <w:rPr>
          <w:rFonts w:ascii="Times New Roman" w:cs="Times New Roman" w:eastAsia="Times New Roman" w:hAnsi="Times New Roman"/>
          <w:sz w:val="20"/>
          <w:szCs w:val="20"/>
          <w:color w:val="010000"/>
        </w:rPr>
      </w:pPr>
    </w:p>
    <w:p>
      <w:pPr>
        <w:ind w:left="820" w:hanging="636"/>
        <w:spacing w:after="0"/>
        <w:tabs>
          <w:tab w:leader="none" w:pos="820" w:val="left"/>
        </w:tabs>
        <w:numPr>
          <w:ilvl w:val="0"/>
          <w:numId w:val="26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Company will not change its fiscal year from the basis in effect on the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65</w:t>
      </w:r>
    </w:p>
    <w:p>
      <w:pPr>
        <w:sectPr>
          <w:pgSz w:w="11900" w:h="16838" w:orient="portrait"/>
          <w:cols w:equalWidth="0" w:num="1">
            <w:col w:w="10120"/>
          </w:cols>
          <w:pgMar w:left="1440" w:top="1426" w:right="339" w:bottom="1440" w:gutter="0" w:footer="0" w:header="0"/>
        </w:sectPr>
      </w:pPr>
    </w:p>
    <w:bookmarkStart w:id="238" w:name="page239"/>
    <w:bookmarkEnd w:id="238"/>
    <w:p>
      <w:pPr>
        <w:jc w:val="both"/>
        <w:ind w:firstLine="1296"/>
        <w:spacing w:after="0" w:line="273" w:lineRule="auto"/>
        <w:rPr>
          <w:sz w:val="20"/>
          <w:szCs w:val="20"/>
          <w:color w:val="auto"/>
        </w:rPr>
      </w:pPr>
      <w:r>
        <w:rPr>
          <w:rFonts w:ascii="Times New Roman" w:cs="Times New Roman" w:eastAsia="Times New Roman" w:hAnsi="Times New Roman"/>
          <w:sz w:val="20"/>
          <w:szCs w:val="20"/>
          <w:color w:val="010000"/>
        </w:rPr>
        <w:t xml:space="preserve">Section 6.04. </w:t>
      </w:r>
      <w:r>
        <w:rPr>
          <w:rFonts w:ascii="Times New Roman" w:cs="Times New Roman" w:eastAsia="Times New Roman" w:hAnsi="Times New Roman"/>
          <w:sz w:val="20"/>
          <w:szCs w:val="20"/>
          <w:u w:val="single" w:color="auto"/>
          <w:color w:val="000000"/>
        </w:rPr>
        <w:t>Speculative Swap Agreements</w:t>
      </w:r>
      <w:r>
        <w:rPr>
          <w:rFonts w:ascii="Times New Roman" w:cs="Times New Roman" w:eastAsia="Times New Roman" w:hAnsi="Times New Roman"/>
          <w:sz w:val="20"/>
          <w:szCs w:val="20"/>
          <w:color w:val="000000"/>
        </w:rPr>
        <w:t>. The Company will not, and will not permit any of its Subsidiaries to, enter</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into any Swap Agreement, except (a) Swap Agreements entered into to hedge or mitigate risks, including the potential purchase price of acquisitions in a foreign currency, of the Company or any Subsidiary (other than those in respect of Equity Interests of the Company or any of its Subsidiaries), and (b) Swap Agreements entered into in order to effectively cap, collar or exchange interest rates (from fixed to floating rates, from one floating rate to another floating rate or otherwise) with respect to any interest-bearing liability or investment of the Company or any Subsidiary.</w:t>
      </w:r>
    </w:p>
    <w:p>
      <w:pPr>
        <w:spacing w:after="0" w:line="200" w:lineRule="exact"/>
        <w:rPr>
          <w:sz w:val="20"/>
          <w:szCs w:val="20"/>
          <w:color w:val="auto"/>
        </w:rPr>
      </w:pPr>
    </w:p>
    <w:p>
      <w:pPr>
        <w:spacing w:after="0" w:line="228"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010000"/>
        </w:rPr>
        <w:t xml:space="preserve">Section 6.05. </w:t>
      </w:r>
      <w:r>
        <w:rPr>
          <w:rFonts w:ascii="Times New Roman" w:cs="Times New Roman" w:eastAsia="Times New Roman" w:hAnsi="Times New Roman"/>
          <w:sz w:val="20"/>
          <w:szCs w:val="20"/>
          <w:u w:val="single" w:color="auto"/>
          <w:color w:val="000000"/>
        </w:rPr>
        <w:t>Transactions with Affiliates</w:t>
      </w:r>
      <w:r>
        <w:rPr>
          <w:rFonts w:ascii="Times New Roman" w:cs="Times New Roman" w:eastAsia="Times New Roman" w:hAnsi="Times New Roman"/>
          <w:sz w:val="20"/>
          <w:szCs w:val="20"/>
          <w:color w:val="000000"/>
        </w:rPr>
        <w:t>. The Company will not, and will not permit any of its Subsidiaries to, sell, lease</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or otherwise transfer any property or assets to, or purchase, lease or otherwise acquire any property or assets from, or otherwise engage in any other transactions with, any of its Affiliates, except (a) at prices and on terms and conditions not less favorable to the Company or such Subsidiary than could be obtained on an arm’s-length basis from unrelated third parties, (b) transactions between or among the Company and its wholly owned Subsidiaries not involving any other Affiliate (including transfers of inventory), (c) Restricted Payments, (d) Intercompany Loans, (e) each of the Company and any Subsidiary may, in the ordinary course of business, charge each other for services provided to the other, (f) the payment of reasonable and customary fees, compensation and employee benefits to directors of the Company or any Subsidiary who are not employees of the Company or any Subsidiary in the ordinary course of business, (g) any issuances of securities or other payments, awards or grants in cash, securities or otherwise pursuant to, stock options, stock ownership or any other equity incentive plans approved by the Company’s board of directors (or any committee thereof) and (h) employment and severance arrangements entered into in the ordinary course of business between the Company or any Subsidiary and any employee thereof.</w:t>
      </w:r>
    </w:p>
    <w:p>
      <w:pPr>
        <w:spacing w:after="0" w:line="1"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0"/>
          <w:szCs w:val="20"/>
          <w:color w:val="010000"/>
        </w:rPr>
        <w:t>Section 6.06.</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Intentionally Omitted</w:t>
      </w:r>
      <w:r>
        <w:rPr>
          <w:rFonts w:ascii="Times New Roman" w:cs="Times New Roman" w:eastAsia="Times New Roman" w:hAnsi="Times New Roman"/>
          <w:sz w:val="19"/>
          <w:szCs w:val="19"/>
          <w:color w:val="auto"/>
        </w:rPr>
        <w:t>].</w:t>
      </w:r>
    </w:p>
    <w:p>
      <w:pPr>
        <w:spacing w:after="0" w:line="27"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0"/>
          <w:szCs w:val="20"/>
          <w:color w:val="010000"/>
        </w:rPr>
        <w:t>Section 6.07.</w:t>
      </w:r>
      <w:r>
        <w:rPr>
          <w:sz w:val="20"/>
          <w:szCs w:val="20"/>
          <w:color w:val="auto"/>
        </w:rPr>
        <w:tab/>
      </w:r>
      <w:r>
        <w:rPr>
          <w:rFonts w:ascii="Times New Roman" w:cs="Times New Roman" w:eastAsia="Times New Roman" w:hAnsi="Times New Roman"/>
          <w:sz w:val="19"/>
          <w:szCs w:val="19"/>
          <w:u w:val="single" w:color="auto"/>
          <w:color w:val="auto"/>
        </w:rPr>
        <w:t>Financial Covenants</w:t>
      </w:r>
      <w:r>
        <w:rPr>
          <w:rFonts w:ascii="Times New Roman" w:cs="Times New Roman" w:eastAsia="Times New Roman" w:hAnsi="Times New Roman"/>
          <w:sz w:val="19"/>
          <w:szCs w:val="19"/>
          <w:color w:val="auto"/>
        </w:rPr>
        <w:t>.</w:t>
      </w:r>
    </w:p>
    <w:p>
      <w:pPr>
        <w:spacing w:after="0" w:line="27" w:lineRule="exact"/>
        <w:rPr>
          <w:sz w:val="20"/>
          <w:szCs w:val="20"/>
          <w:color w:val="auto"/>
        </w:rPr>
      </w:pPr>
    </w:p>
    <w:p>
      <w:pPr>
        <w:jc w:val="both"/>
        <w:ind w:left="660" w:firstLine="644"/>
        <w:spacing w:after="0" w:line="270" w:lineRule="auto"/>
        <w:tabs>
          <w:tab w:leader="none" w:pos="1946" w:val="left"/>
        </w:tabs>
        <w:numPr>
          <w:ilvl w:val="0"/>
          <w:numId w:val="26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Maximum Total Net Leverage Ratio</w:t>
      </w:r>
      <w:r>
        <w:rPr>
          <w:rFonts w:ascii="Times New Roman" w:cs="Times New Roman" w:eastAsia="Times New Roman" w:hAnsi="Times New Roman"/>
          <w:sz w:val="20"/>
          <w:szCs w:val="20"/>
          <w:color w:val="auto"/>
        </w:rPr>
        <w:t>. The Company will not permit the Total Net Leverage Ratio, determined as of the end of each of its fiscal quarters ending on and after June 30, 2026 but prior to the Financial Covenant Transition Date, to be greater than 3.50 to 1.00. Notwithstanding the foregoing, the Company shall be permitted to allow the maximum Total Net Leverage Ratio permitted under this Section 6.07(a) to be increased to 4.00 to 1.00 for a period of four consecutive fiscal quarters (such period, an “</w:t>
      </w:r>
      <w:r>
        <w:rPr>
          <w:rFonts w:ascii="Times New Roman" w:cs="Times New Roman" w:eastAsia="Times New Roman" w:hAnsi="Times New Roman"/>
          <w:sz w:val="20"/>
          <w:szCs w:val="20"/>
          <w:u w:val="single" w:color="auto"/>
          <w:color w:val="auto"/>
        </w:rPr>
        <w:t>Adjusted Covenant Period</w:t>
      </w:r>
      <w:r>
        <w:rPr>
          <w:rFonts w:ascii="Times New Roman" w:cs="Times New Roman" w:eastAsia="Times New Roman" w:hAnsi="Times New Roman"/>
          <w:sz w:val="20"/>
          <w:szCs w:val="20"/>
          <w:color w:val="auto"/>
        </w:rPr>
        <w:t xml:space="preserve">”) in connection with a Qualifying Material Acquisition occurring during the first of such four fiscal quarters (and in respect of which the Company shall provide notice in writing to the Administrative Agent (for distribution to the Lenders) of such increase and a transaction description of such Qualifying Material Acquisition (including the name of the person or summary description of the assets being acquired and the approximate purchase price)), so long as the Company is in compliance on a pro forma basis with the maximum Total Net Leverage Ratio of 4.00 to 1.00 on the closing date of such Qualifying Material Acquisition immediately after giving effect (including giving effect on a pro forma basis) to such Qualifying Material Acquisition;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it is understood and agreed that (A) the Company may not elect a new Adjusted Covenant Period for at least two (2) fiscal quarters following the end of an Adjusted Covenant Period and (B) the maximum Total Net Leverage Ratio permitted under this Section 6.07(a) shall revert to 3.50 to 1.00 as of the end of such Adjusted Covenant Period and thereafter until another Adjusted Covenant Period (if any) is elected pursuant to the terms and conditions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66</w:t>
      </w:r>
    </w:p>
    <w:p>
      <w:pPr>
        <w:sectPr>
          <w:pgSz w:w="11900" w:h="16838" w:orient="portrait"/>
          <w:cols w:equalWidth="0" w:num="1">
            <w:col w:w="11240"/>
          </w:cols>
          <w:pgMar w:left="320" w:top="1426" w:right="339" w:bottom="1440" w:gutter="0" w:footer="0" w:header="0"/>
        </w:sectPr>
      </w:pPr>
    </w:p>
    <w:bookmarkStart w:id="239" w:name="page240"/>
    <w:bookmarkEnd w:id="239"/>
    <w:p>
      <w:pPr>
        <w:ind w:left="660" w:firstLine="644"/>
        <w:spacing w:after="0" w:line="297" w:lineRule="auto"/>
        <w:tabs>
          <w:tab w:leader="none" w:pos="1944" w:val="left"/>
        </w:tabs>
        <w:numPr>
          <w:ilvl w:val="0"/>
          <w:numId w:val="26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Interest Coverage Ratio</w:t>
      </w:r>
      <w:r>
        <w:rPr>
          <w:rFonts w:ascii="Times New Roman" w:cs="Times New Roman" w:eastAsia="Times New Roman" w:hAnsi="Times New Roman"/>
          <w:sz w:val="20"/>
          <w:szCs w:val="20"/>
          <w:color w:val="auto"/>
        </w:rPr>
        <w:t>. The Company will not permit the Interest Coverage Ratio, determined as of the end of each of its fiscal quarters ending on and after the Financial Covenant Transition Date, to be less than 3.00 to 1.00.</w:t>
      </w:r>
    </w:p>
    <w:p>
      <w:pPr>
        <w:spacing w:after="0" w:line="160"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0"/>
          <w:szCs w:val="20"/>
          <w:color w:val="010000"/>
        </w:rPr>
        <w:t>Section 6.08.</w:t>
      </w:r>
      <w:r>
        <w:rPr>
          <w:sz w:val="20"/>
          <w:szCs w:val="20"/>
          <w:color w:val="auto"/>
        </w:rPr>
        <w:tab/>
      </w:r>
      <w:r>
        <w:rPr>
          <w:rFonts w:ascii="Times New Roman" w:cs="Times New Roman" w:eastAsia="Times New Roman" w:hAnsi="Times New Roman"/>
          <w:sz w:val="19"/>
          <w:szCs w:val="19"/>
          <w:u w:val="single" w:color="auto"/>
          <w:color w:val="auto"/>
        </w:rPr>
        <w:t>Anti-Corruption Laws and Sanctions</w:t>
      </w:r>
      <w:r>
        <w:rPr>
          <w:rFonts w:ascii="Times New Roman" w:cs="Times New Roman" w:eastAsia="Times New Roman" w:hAnsi="Times New Roman"/>
          <w:sz w:val="19"/>
          <w:szCs w:val="19"/>
          <w:color w:val="auto"/>
        </w:rPr>
        <w:t>.</w:t>
      </w:r>
    </w:p>
    <w:p>
      <w:pPr>
        <w:spacing w:after="0" w:line="28" w:lineRule="exact"/>
        <w:rPr>
          <w:sz w:val="20"/>
          <w:szCs w:val="20"/>
          <w:color w:val="auto"/>
        </w:rPr>
      </w:pPr>
    </w:p>
    <w:p>
      <w:pPr>
        <w:jc w:val="both"/>
        <w:ind w:left="660" w:firstLine="644"/>
        <w:spacing w:after="0" w:line="291" w:lineRule="auto"/>
        <w:tabs>
          <w:tab w:leader="none" w:pos="1946" w:val="left"/>
        </w:tabs>
        <w:numPr>
          <w:ilvl w:val="0"/>
          <w:numId w:val="26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No Borrower will request any Borrowing or Letter of Credit, and no Borrower shall use, and the Company shall procure that its Subsidiaries and its or their respective directors, officers, employees and agents shall not use, the proceeds of any Borrowing or Letter of Credit directly or indirectly (i) in furtherance of an offer, payment, promise to pay, or authorization of the payment or giving of money, or anything else of value, to any Person in violation of any Anti-Corruption Laws, (ii) for the purpose of funding, financing or facilitating any activities, business or transaction of or with any Sanctioned Person, or in any Sanctioned Country, (iii) in any manner that would result in the violation of any Sanctions applicable to any party hereto or (iv)(x) to finance any activity in violation of Export Controls or where such violation is about to occur or (y) otherwise in violation of Export Controls.</w:t>
      </w:r>
    </w:p>
    <w:p>
      <w:pPr>
        <w:spacing w:after="0" w:line="169"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20"/>
          <w:szCs w:val="20"/>
          <w:color w:val="010000"/>
        </w:rPr>
        <w:t xml:space="preserve">Section 6.09. </w:t>
      </w:r>
      <w:r>
        <w:rPr>
          <w:rFonts w:ascii="Times New Roman" w:cs="Times New Roman" w:eastAsia="Times New Roman" w:hAnsi="Times New Roman"/>
          <w:sz w:val="20"/>
          <w:szCs w:val="20"/>
          <w:u w:val="single" w:color="auto"/>
          <w:color w:val="000000"/>
        </w:rPr>
        <w:t>UK Pensions</w:t>
      </w:r>
      <w:r>
        <w:rPr>
          <w:rFonts w:ascii="Times New Roman" w:cs="Times New Roman" w:eastAsia="Times New Roman" w:hAnsi="Times New Roman"/>
          <w:sz w:val="20"/>
          <w:szCs w:val="20"/>
          <w:color w:val="000000"/>
        </w:rPr>
        <w:t>. The Company will ensure it is not a party, and will procure that no Subsidiary is a party, to</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any act or omission in relation to any Non-U.S. Pension Plan that could reasonably be expected to result in a Material Adverse Effect.</w:t>
      </w:r>
    </w:p>
    <w:p>
      <w:pPr>
        <w:spacing w:after="0" w:line="1"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010000"/>
        </w:rPr>
        <w:t xml:space="preserve">Section 6.10. </w:t>
      </w:r>
      <w:r>
        <w:rPr>
          <w:rFonts w:ascii="Times New Roman" w:cs="Times New Roman" w:eastAsia="Times New Roman" w:hAnsi="Times New Roman"/>
          <w:sz w:val="20"/>
          <w:szCs w:val="20"/>
          <w:u w:val="single" w:color="auto"/>
          <w:color w:val="000000"/>
        </w:rPr>
        <w:t>Outbound Investment Rules</w:t>
      </w:r>
      <w:r>
        <w:rPr>
          <w:rFonts w:ascii="Times New Roman" w:cs="Times New Roman" w:eastAsia="Times New Roman" w:hAnsi="Times New Roman"/>
          <w:sz w:val="20"/>
          <w:szCs w:val="20"/>
          <w:color w:val="000000"/>
        </w:rPr>
        <w:t>. The Company will not, and will not permit any of its Subsidiaries to, (a) be or</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become a “covered foreign person”, as that term is defined in the Outbound Investment Rules, or (b) engage, directly or indirectly, in (i) a “covered activity” or a “covered transaction”, as each such term is defined in the Outbound Investment Rules, (ii) any activity or transaction that would constitute a “covered activity” or a “covered transaction”, as each such term is defined in the Outbound Investment Rules, if the Company or such Subsidiary were a U.S. Person or (iii) any other activity that would cause the Administrative Agent or any Lender to be in violation of the Outbound Investment Rules or cause the Administrative Agent or any Lender to be legally prohibited by the Outbound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Investment Rules from performing under this Agreement.</w:t>
      </w:r>
    </w:p>
    <w:p>
      <w:pPr>
        <w:spacing w:after="0" w:line="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color w:val="010000"/>
        </w:rPr>
        <w:t>ARTICLE VII</w:t>
      </w:r>
    </w:p>
    <w:p>
      <w:pPr>
        <w:spacing w:after="0" w:line="140" w:lineRule="exact"/>
        <w:rPr>
          <w:sz w:val="20"/>
          <w:szCs w:val="20"/>
          <w:color w:val="auto"/>
        </w:rPr>
      </w:pPr>
    </w:p>
    <w:p>
      <w:pPr>
        <w:jc w:val="right"/>
        <w:ind w:right="4920"/>
        <w:spacing w:after="0"/>
        <w:rPr>
          <w:sz w:val="20"/>
          <w:szCs w:val="20"/>
          <w:color w:val="auto"/>
        </w:rPr>
      </w:pPr>
      <w:r>
        <w:rPr>
          <w:rFonts w:ascii="Times New Roman" w:cs="Times New Roman" w:eastAsia="Times New Roman" w:hAnsi="Times New Roman"/>
          <w:sz w:val="20"/>
          <w:szCs w:val="20"/>
          <w:u w:val="single" w:color="auto"/>
          <w:color w:val="auto"/>
        </w:rPr>
        <w:t>Events of Default</w:t>
      </w:r>
    </w:p>
    <w:p>
      <w:pPr>
        <w:spacing w:after="0" w:line="202" w:lineRule="exact"/>
        <w:rPr>
          <w:sz w:val="20"/>
          <w:szCs w:val="20"/>
          <w:color w:val="auto"/>
        </w:rPr>
      </w:pPr>
    </w:p>
    <w:p>
      <w:pPr>
        <w:jc w:val="right"/>
        <w:ind w:right="4880"/>
        <w:spacing w:after="0"/>
        <w:rPr>
          <w:sz w:val="20"/>
          <w:szCs w:val="20"/>
          <w:color w:val="auto"/>
        </w:rPr>
      </w:pPr>
      <w:r>
        <w:rPr>
          <w:rFonts w:ascii="Times New Roman" w:cs="Times New Roman" w:eastAsia="Times New Roman" w:hAnsi="Times New Roman"/>
          <w:sz w:val="20"/>
          <w:szCs w:val="20"/>
          <w:color w:val="auto"/>
        </w:rPr>
        <w:t>If any of the following events (“</w:t>
      </w:r>
      <w:r>
        <w:rPr>
          <w:rFonts w:ascii="Times New Roman" w:cs="Times New Roman" w:eastAsia="Times New Roman" w:hAnsi="Times New Roman"/>
          <w:sz w:val="20"/>
          <w:szCs w:val="20"/>
          <w:u w:val="single" w:color="auto"/>
          <w:color w:val="auto"/>
        </w:rPr>
        <w:t>Events of Default</w:t>
      </w:r>
      <w:r>
        <w:rPr>
          <w:rFonts w:ascii="Times New Roman" w:cs="Times New Roman" w:eastAsia="Times New Roman" w:hAnsi="Times New Roman"/>
          <w:sz w:val="20"/>
          <w:szCs w:val="20"/>
          <w:color w:val="auto"/>
        </w:rPr>
        <w:t>”) shall occur:</w:t>
      </w:r>
    </w:p>
    <w:p>
      <w:pPr>
        <w:spacing w:after="0" w:line="175" w:lineRule="exact"/>
        <w:rPr>
          <w:sz w:val="20"/>
          <w:szCs w:val="20"/>
          <w:color w:val="auto"/>
        </w:rPr>
      </w:pPr>
    </w:p>
    <w:p>
      <w:pPr>
        <w:ind w:left="660" w:firstLine="644"/>
        <w:spacing w:after="0"/>
        <w:tabs>
          <w:tab w:leader="none" w:pos="1946" w:val="left"/>
        </w:tabs>
        <w:numPr>
          <w:ilvl w:val="0"/>
          <w:numId w:val="26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Company shall fail to pay any principal of any Loan when and as the same shall become due and payable, whether at the due date thereof or at a date fixed for prepayment thereof or otherwise;</w:t>
      </w:r>
    </w:p>
    <w:p>
      <w:pPr>
        <w:spacing w:after="0" w:line="147" w:lineRule="exact"/>
        <w:rPr>
          <w:rFonts w:ascii="Times New Roman" w:cs="Times New Roman" w:eastAsia="Times New Roman" w:hAnsi="Times New Roman"/>
          <w:sz w:val="20"/>
          <w:szCs w:val="20"/>
          <w:color w:val="010000"/>
        </w:rPr>
      </w:pPr>
    </w:p>
    <w:p>
      <w:pPr>
        <w:jc w:val="both"/>
        <w:ind w:left="660" w:firstLine="644"/>
        <w:spacing w:after="0" w:line="230" w:lineRule="auto"/>
        <w:tabs>
          <w:tab w:leader="none" w:pos="1944" w:val="left"/>
        </w:tabs>
        <w:numPr>
          <w:ilvl w:val="0"/>
          <w:numId w:val="26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Company shall fail to pay any interest on any Loan or any fee or any other amount (other than an amount referred to in clause (a) of this Article) payable under this Agreement or any other Loan Document, when and as the same shall become due and payable, and such failure shall continue unremedied for a period of five (5) Business Days;</w:t>
      </w:r>
    </w:p>
    <w:p>
      <w:pPr>
        <w:spacing w:after="0" w:line="148" w:lineRule="exact"/>
        <w:rPr>
          <w:rFonts w:ascii="Times New Roman" w:cs="Times New Roman" w:eastAsia="Times New Roman" w:hAnsi="Times New Roman"/>
          <w:sz w:val="20"/>
          <w:szCs w:val="20"/>
          <w:color w:val="010000"/>
        </w:rPr>
      </w:pPr>
    </w:p>
    <w:p>
      <w:pPr>
        <w:jc w:val="both"/>
        <w:ind w:left="660" w:firstLine="644"/>
        <w:spacing w:after="0" w:line="220" w:lineRule="auto"/>
        <w:tabs>
          <w:tab w:leader="none" w:pos="1946" w:val="left"/>
        </w:tabs>
        <w:numPr>
          <w:ilvl w:val="0"/>
          <w:numId w:val="26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representation or warranty made or deemed made by or on behalf of the Company or any Subsidiary in or in connection with this Agreement or any other Loan Document or any amendment or modification hereof or thereof or waiver hereunder or thereunder, or in any certificate required to be delivered pursuant to or in connection with this Agreement or any other Loan Document or any amendment or modification thereof or waiver thereunder, shall prove to have been incorrect in any material respect on the date when made or deemed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67</w:t>
      </w:r>
    </w:p>
    <w:p>
      <w:pPr>
        <w:sectPr>
          <w:pgSz w:w="11900" w:h="16838" w:orient="portrait"/>
          <w:cols w:equalWidth="0" w:num="1">
            <w:col w:w="11240"/>
          </w:cols>
          <w:pgMar w:left="320" w:top="1426" w:right="339" w:bottom="1440" w:gutter="0" w:footer="0" w:header="0"/>
        </w:sectPr>
      </w:pPr>
    </w:p>
    <w:bookmarkStart w:id="240" w:name="page241"/>
    <w:bookmarkEnd w:id="240"/>
    <w:p>
      <w:pPr>
        <w:ind w:left="4" w:firstLine="644"/>
        <w:spacing w:after="0"/>
        <w:tabs>
          <w:tab w:leader="none" w:pos="1288" w:val="left"/>
        </w:tabs>
        <w:numPr>
          <w:ilvl w:val="1"/>
          <w:numId w:val="26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the Company shall fail to observe or perform any covenant, condition or agreement contained in Section 5.02, 5.03 (with respect to the Company’s existence) or 5.08, in </w:t>
      </w:r>
      <w:r>
        <w:rPr>
          <w:rFonts w:ascii="Times New Roman" w:cs="Times New Roman" w:eastAsia="Times New Roman" w:hAnsi="Times New Roman"/>
          <w:sz w:val="20"/>
          <w:szCs w:val="20"/>
          <w:u w:val="single" w:color="auto"/>
          <w:color w:val="auto"/>
        </w:rPr>
        <w:t>Article VI</w:t>
      </w:r>
      <w:r>
        <w:rPr>
          <w:rFonts w:ascii="Times New Roman" w:cs="Times New Roman" w:eastAsia="Times New Roman" w:hAnsi="Times New Roman"/>
          <w:sz w:val="20"/>
          <w:szCs w:val="20"/>
          <w:color w:val="auto"/>
        </w:rPr>
        <w:t xml:space="preserve"> or in </w:t>
      </w:r>
      <w:r>
        <w:rPr>
          <w:rFonts w:ascii="Times New Roman" w:cs="Times New Roman" w:eastAsia="Times New Roman" w:hAnsi="Times New Roman"/>
          <w:sz w:val="20"/>
          <w:szCs w:val="20"/>
          <w:u w:val="single" w:color="auto"/>
          <w:color w:val="auto"/>
        </w:rPr>
        <w:t>Article X</w:t>
      </w:r>
      <w:r>
        <w:rPr>
          <w:rFonts w:ascii="Times New Roman" w:cs="Times New Roman" w:eastAsia="Times New Roman" w:hAnsi="Times New Roman"/>
          <w:sz w:val="20"/>
          <w:szCs w:val="20"/>
          <w:color w:val="auto"/>
        </w:rPr>
        <w:t>;</w:t>
      </w:r>
    </w:p>
    <w:p>
      <w:pPr>
        <w:spacing w:after="0" w:line="147" w:lineRule="exact"/>
        <w:rPr>
          <w:rFonts w:ascii="Times New Roman" w:cs="Times New Roman" w:eastAsia="Times New Roman" w:hAnsi="Times New Roman"/>
          <w:sz w:val="20"/>
          <w:szCs w:val="20"/>
          <w:color w:val="010000"/>
        </w:rPr>
      </w:pPr>
    </w:p>
    <w:p>
      <w:pPr>
        <w:jc w:val="both"/>
        <w:ind w:left="4" w:firstLine="644"/>
        <w:spacing w:after="0" w:line="222" w:lineRule="auto"/>
        <w:tabs>
          <w:tab w:leader="none" w:pos="1290" w:val="left"/>
        </w:tabs>
        <w:numPr>
          <w:ilvl w:val="1"/>
          <w:numId w:val="26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Company shall fail to observe or perform any covenant, condition or agreement contained in this Agreement (other than those specified in clause (a), (b) or (d) of this Article) or any other Loan Document, and such failure shall continue unremedied for a period of thirty (30) days after notice thereof from the Administrative Agent to the Company (which notice will be given at the request of any Lender);</w:t>
      </w:r>
    </w:p>
    <w:p>
      <w:pPr>
        <w:spacing w:after="0" w:line="161" w:lineRule="exact"/>
        <w:rPr>
          <w:rFonts w:ascii="Times New Roman" w:cs="Times New Roman" w:eastAsia="Times New Roman" w:hAnsi="Times New Roman"/>
          <w:sz w:val="20"/>
          <w:szCs w:val="20"/>
          <w:color w:val="010000"/>
        </w:rPr>
      </w:pPr>
    </w:p>
    <w:p>
      <w:pPr>
        <w:jc w:val="both"/>
        <w:ind w:left="4" w:firstLine="644"/>
        <w:spacing w:after="0" w:line="226" w:lineRule="auto"/>
        <w:tabs>
          <w:tab w:leader="none" w:pos="1295" w:val="left"/>
        </w:tabs>
        <w:numPr>
          <w:ilvl w:val="1"/>
          <w:numId w:val="26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Company or any Subsidiary shall fail to make any payment (whether of principal or interest and regardless of amount) in respect of any Material Indebtedness, when and as the same shall become due and payable and such failure continues after the applicable grace or notice period, if any, specified in the relevant document on the date of such failure;</w:t>
      </w:r>
    </w:p>
    <w:p>
      <w:pPr>
        <w:spacing w:after="0" w:line="160" w:lineRule="exact"/>
        <w:rPr>
          <w:rFonts w:ascii="Times New Roman" w:cs="Times New Roman" w:eastAsia="Times New Roman" w:hAnsi="Times New Roman"/>
          <w:sz w:val="20"/>
          <w:szCs w:val="20"/>
          <w:color w:val="010000"/>
        </w:rPr>
      </w:pPr>
    </w:p>
    <w:p>
      <w:pPr>
        <w:jc w:val="both"/>
        <w:ind w:left="4" w:firstLine="644"/>
        <w:spacing w:after="0" w:line="211" w:lineRule="auto"/>
        <w:tabs>
          <w:tab w:leader="none" w:pos="1288" w:val="left"/>
        </w:tabs>
        <w:numPr>
          <w:ilvl w:val="1"/>
          <w:numId w:val="26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any event or condition occurs that results in any Material Indebtedness becoming due prior to its scheduled maturity or that enables or permits (with or without the giving of notice, the lapse of time or both) the holder or holders of any Material Indebtedness or any trustee or agent on its or their behalf to cause any Material Indebtedness to become due, or to require the prepayment, repurchase, redemption or defeasance thereof, prior to its scheduled maturity;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this clause (g) shall not apply to (i) secured Indebtedness that becomes due as a result of the voluntary sale or transfer of, or a casualty or condemnation event with respect to, the property or assets securing such Indebtedness, (ii) any Indebtedness that becomes due as a result of a voluntary prepayment, repurchase or redemption thereof or, in the case of a Swap Agreement, any voluntary termination thereof, (iii) any prepayment, repurchase, redemption or defeasance of any Acquisition Indebtedness if the related Qualifying Material Acquisition is not consummated, (iv) customary debt, equity and asset sale proceeds prepayment requirements contained in any bridge or other interim credit facility and (v) any Indebtedness of any Person assumed in connection with an acquisition to the extent that such Indebtedness is repaid, repurchased or redeemed (or offered to be repaid, repurchased or redeemed) as required by the terms thereof in connection with such Acquisition;</w:t>
      </w:r>
    </w:p>
    <w:p>
      <w:pPr>
        <w:spacing w:after="0" w:line="165" w:lineRule="exact"/>
        <w:rPr>
          <w:rFonts w:ascii="Times New Roman" w:cs="Times New Roman" w:eastAsia="Times New Roman" w:hAnsi="Times New Roman"/>
          <w:sz w:val="20"/>
          <w:szCs w:val="20"/>
          <w:color w:val="010000"/>
        </w:rPr>
      </w:pPr>
    </w:p>
    <w:p>
      <w:pPr>
        <w:jc w:val="both"/>
        <w:ind w:left="4" w:firstLine="644"/>
        <w:spacing w:after="0" w:line="216" w:lineRule="auto"/>
        <w:tabs>
          <w:tab w:leader="none" w:pos="1288" w:val="left"/>
        </w:tabs>
        <w:numPr>
          <w:ilvl w:val="1"/>
          <w:numId w:val="26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 involuntary proceeding shall be commenced or an involuntary petition shall be filed seeking (i) liquidation, reorganization or other relief in respect of the Company or any Significant Subsidiary or its debts, or of a substantial part of its assets, under any Federal, state or foreign bankruptcy, insolvency, receivership or similar law now or hereafter in effect or (ii) the appointment of a receiver, trustee, custodian, sequestrator, conservator or similar official for the Company or any Significant Subsidiary or for a substantial part of its assets, and, in any such case, such proceeding or petition shall continue undismissed for sixty (60) days or an order or decree approving or ordering any of the foregoing shall be entered;</w:t>
      </w:r>
    </w:p>
    <w:p>
      <w:pPr>
        <w:spacing w:after="0" w:line="162" w:lineRule="exact"/>
        <w:rPr>
          <w:rFonts w:ascii="Times New Roman" w:cs="Times New Roman" w:eastAsia="Times New Roman" w:hAnsi="Times New Roman"/>
          <w:sz w:val="20"/>
          <w:szCs w:val="20"/>
          <w:color w:val="010000"/>
        </w:rPr>
      </w:pPr>
    </w:p>
    <w:p>
      <w:pPr>
        <w:jc w:val="both"/>
        <w:ind w:left="4" w:firstLine="644"/>
        <w:spacing w:after="0" w:line="210" w:lineRule="auto"/>
        <w:tabs>
          <w:tab w:leader="none" w:pos="1298" w:val="left"/>
        </w:tabs>
        <w:numPr>
          <w:ilvl w:val="1"/>
          <w:numId w:val="26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Company or any Significant Subsidiary shall (i) voluntarily commence any proceeding or file any petition seeking liquidation, reorganization or other relief under any Federal, state or foreign bankruptcy, insolvency, receivership or similar law now or hereafter in effect, (ii) consent to the institution of, or fail to contest in a timely and appropriate manner, any proceeding or petition described in clause (h) of this Article, (iii) apply for or consent to the appointment of a receiver, trustee, custodian, sequestrator, conservator or similar official for the Company or any Significant Subsidiary or for a substantial part of its assets,</w:t>
      </w:r>
    </w:p>
    <w:p>
      <w:pPr>
        <w:spacing w:after="0" w:line="1" w:lineRule="exact"/>
        <w:rPr>
          <w:rFonts w:ascii="Times New Roman" w:cs="Times New Roman" w:eastAsia="Times New Roman" w:hAnsi="Times New Roman"/>
          <w:sz w:val="20"/>
          <w:szCs w:val="20"/>
          <w:color w:val="010000"/>
        </w:rPr>
      </w:pPr>
    </w:p>
    <w:p>
      <w:pPr>
        <w:ind w:left="344" w:hanging="344"/>
        <w:spacing w:after="0"/>
        <w:tabs>
          <w:tab w:leader="none" w:pos="344" w:val="left"/>
        </w:tabs>
        <w:numPr>
          <w:ilvl w:val="0"/>
          <w:numId w:val="2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a general assignment for the benefit of creditors or (v) take any action for the purpose of effecting any of the foregoing;</w:t>
      </w:r>
    </w:p>
    <w:p>
      <w:pPr>
        <w:spacing w:after="0" w:line="166" w:lineRule="exact"/>
        <w:rPr>
          <w:rFonts w:ascii="Times New Roman" w:cs="Times New Roman" w:eastAsia="Times New Roman" w:hAnsi="Times New Roman"/>
          <w:sz w:val="20"/>
          <w:szCs w:val="20"/>
          <w:color w:val="auto"/>
        </w:rPr>
      </w:pPr>
    </w:p>
    <w:p>
      <w:pPr>
        <w:ind w:left="1284" w:hanging="636"/>
        <w:spacing w:after="0"/>
        <w:tabs>
          <w:tab w:leader="none" w:pos="1284" w:val="left"/>
        </w:tabs>
        <w:numPr>
          <w:ilvl w:val="1"/>
          <w:numId w:val="26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[reserved];</w:t>
      </w:r>
    </w:p>
    <w:p>
      <w:pPr>
        <w:spacing w:after="0" w:line="175" w:lineRule="exact"/>
        <w:rPr>
          <w:rFonts w:ascii="Times New Roman" w:cs="Times New Roman" w:eastAsia="Times New Roman" w:hAnsi="Times New Roman"/>
          <w:sz w:val="20"/>
          <w:szCs w:val="20"/>
          <w:color w:val="010000"/>
        </w:rPr>
      </w:pPr>
    </w:p>
    <w:p>
      <w:pPr>
        <w:jc w:val="both"/>
        <w:ind w:left="4" w:firstLine="644"/>
        <w:spacing w:after="0" w:line="222" w:lineRule="auto"/>
        <w:tabs>
          <w:tab w:leader="none" w:pos="1288" w:val="left"/>
        </w:tabs>
        <w:numPr>
          <w:ilvl w:val="1"/>
          <w:numId w:val="26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with respect to the Company or any Significant Subsidiary, in each case having its center of main interest (in the meaning of section 3 of the German Insolvency Code (</w:t>
      </w:r>
      <w:r>
        <w:rPr>
          <w:rFonts w:ascii="Times New Roman" w:cs="Times New Roman" w:eastAsia="Times New Roman" w:hAnsi="Times New Roman"/>
          <w:sz w:val="20"/>
          <w:szCs w:val="20"/>
          <w:i w:val="1"/>
          <w:iCs w:val="1"/>
          <w:color w:val="auto"/>
        </w:rPr>
        <w:t>Insolvenzordnung</w:t>
      </w:r>
      <w:r>
        <w:rPr>
          <w:rFonts w:ascii="Times New Roman" w:cs="Times New Roman" w:eastAsia="Times New Roman" w:hAnsi="Times New Roman"/>
          <w:sz w:val="20"/>
          <w:szCs w:val="20"/>
          <w:color w:val="auto"/>
        </w:rPr>
        <w:t>) or article 3 para. 1 of Council Regulation (EC) No. 1346/2000 of May 29, 2000 on insolvency proceedings (as amended or superseded from time to time, e.g., pursuant to Regulation (EU) No 2015/848 of the European Parliament and of the Council of 20 May 2015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0"/>
          <w:szCs w:val="20"/>
          <w:color w:val="auto"/>
        </w:rPr>
        <w:t>68</w:t>
      </w:r>
    </w:p>
    <w:p>
      <w:pPr>
        <w:sectPr>
          <w:pgSz w:w="11900" w:h="16838" w:orient="portrait"/>
          <w:cols w:equalWidth="0" w:num="1">
            <w:col w:w="10584"/>
          </w:cols>
          <w:pgMar w:left="976" w:top="1399" w:right="339" w:bottom="1440" w:gutter="0" w:footer="0" w:header="0"/>
        </w:sectPr>
      </w:pPr>
    </w:p>
    <w:bookmarkStart w:id="241" w:name="page242"/>
    <w:bookmarkEnd w:id="241"/>
    <w:p>
      <w:pPr>
        <w:ind w:left="660"/>
        <w:spacing w:after="0"/>
        <w:rPr>
          <w:sz w:val="20"/>
          <w:szCs w:val="20"/>
          <w:color w:val="auto"/>
        </w:rPr>
      </w:pPr>
      <w:r>
        <w:rPr>
          <w:rFonts w:ascii="Times New Roman" w:cs="Times New Roman" w:eastAsia="Times New Roman" w:hAnsi="Times New Roman"/>
          <w:sz w:val="20"/>
          <w:szCs w:val="20"/>
          <w:color w:val="auto"/>
        </w:rPr>
        <w:t>insolvency proceedings)) in Germany, (i) the Company or such Significant Subsidiary is unable to pay its debts as they fall due</w:t>
      </w:r>
    </w:p>
    <w:p>
      <w:pPr>
        <w:ind w:left="660"/>
        <w:spacing w:after="0" w:line="20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zahlungsunfähig</w:t>
      </w:r>
      <w:r>
        <w:rPr>
          <w:rFonts w:ascii="Times New Roman" w:cs="Times New Roman" w:eastAsia="Times New Roman" w:hAnsi="Times New Roman"/>
          <w:sz w:val="20"/>
          <w:szCs w:val="20"/>
          <w:color w:val="auto"/>
        </w:rPr>
        <w:t>), is over indebted (</w:t>
      </w:r>
      <w:r>
        <w:rPr>
          <w:rFonts w:ascii="Times New Roman" w:cs="Times New Roman" w:eastAsia="Times New Roman" w:hAnsi="Times New Roman"/>
          <w:sz w:val="20"/>
          <w:szCs w:val="20"/>
          <w:i w:val="1"/>
          <w:iCs w:val="1"/>
          <w:color w:val="auto"/>
        </w:rPr>
        <w:t>überschuldet</w:t>
      </w:r>
      <w:r>
        <w:rPr>
          <w:rFonts w:ascii="Times New Roman" w:cs="Times New Roman" w:eastAsia="Times New Roman" w:hAnsi="Times New Roman"/>
          <w:sz w:val="20"/>
          <w:szCs w:val="20"/>
          <w:color w:val="auto"/>
        </w:rPr>
        <w:t>), imminent illiquid (</w:t>
      </w:r>
      <w:r>
        <w:rPr>
          <w:rFonts w:ascii="Times New Roman" w:cs="Times New Roman" w:eastAsia="Times New Roman" w:hAnsi="Times New Roman"/>
          <w:sz w:val="20"/>
          <w:szCs w:val="20"/>
          <w:i w:val="1"/>
          <w:iCs w:val="1"/>
          <w:color w:val="auto"/>
        </w:rPr>
        <w:t>drohende Zahlungsunfähigkeit</w:t>
      </w:r>
      <w:r>
        <w:rPr>
          <w:rFonts w:ascii="Times New Roman" w:cs="Times New Roman" w:eastAsia="Times New Roman" w:hAnsi="Times New Roman"/>
          <w:sz w:val="20"/>
          <w:szCs w:val="20"/>
          <w:color w:val="auto"/>
        </w:rPr>
        <w:t>), or, for any reasons set out in Section 17 or 19 (inclusive) of the German Insolvency Code (</w:t>
      </w:r>
      <w:r>
        <w:rPr>
          <w:rFonts w:ascii="Times New Roman" w:cs="Times New Roman" w:eastAsia="Times New Roman" w:hAnsi="Times New Roman"/>
          <w:sz w:val="20"/>
          <w:szCs w:val="20"/>
          <w:i w:val="1"/>
          <w:iCs w:val="1"/>
          <w:color w:val="auto"/>
        </w:rPr>
        <w:t>Insolvenzordnung</w:t>
      </w:r>
      <w:r>
        <w:rPr>
          <w:rFonts w:ascii="Times New Roman" w:cs="Times New Roman" w:eastAsia="Times New Roman" w:hAnsi="Times New Roman"/>
          <w:sz w:val="20"/>
          <w:szCs w:val="20"/>
          <w:color w:val="auto"/>
        </w:rPr>
        <w:t>) or (ii) a Person making an application for the</w:t>
      </w:r>
    </w:p>
    <w:p>
      <w:pPr>
        <w:ind w:left="660"/>
        <w:spacing w:after="0" w:line="211" w:lineRule="auto"/>
        <w:rPr>
          <w:sz w:val="20"/>
          <w:szCs w:val="20"/>
          <w:color w:val="auto"/>
        </w:rPr>
      </w:pPr>
      <w:r>
        <w:rPr>
          <w:rFonts w:ascii="Times New Roman" w:cs="Times New Roman" w:eastAsia="Times New Roman" w:hAnsi="Times New Roman"/>
          <w:sz w:val="20"/>
          <w:szCs w:val="20"/>
          <w:color w:val="auto"/>
        </w:rPr>
        <w:t>opening of insolvency proceedings for the reasons set out in sections 17 to 19 of the German Insolvency Code (</w:t>
      </w:r>
      <w:r>
        <w:rPr>
          <w:rFonts w:ascii="Times New Roman" w:cs="Times New Roman" w:eastAsia="Times New Roman" w:hAnsi="Times New Roman"/>
          <w:sz w:val="20"/>
          <w:szCs w:val="20"/>
          <w:i w:val="1"/>
          <w:iCs w:val="1"/>
          <w:color w:val="auto"/>
        </w:rPr>
        <w:t>Insolvenzordnung</w:t>
      </w:r>
      <w:r>
        <w:rPr>
          <w:rFonts w:ascii="Times New Roman" w:cs="Times New Roman" w:eastAsia="Times New Roman" w:hAnsi="Times New Roman"/>
          <w:sz w:val="20"/>
          <w:szCs w:val="20"/>
          <w:color w:val="auto"/>
        </w:rPr>
        <w:t>)</w:t>
      </w:r>
    </w:p>
    <w:p>
      <w:pPr>
        <w:spacing w:after="0" w:line="1" w:lineRule="exact"/>
        <w:rPr>
          <w:sz w:val="20"/>
          <w:szCs w:val="20"/>
          <w:color w:val="auto"/>
        </w:rPr>
      </w:pPr>
    </w:p>
    <w:p>
      <w:pPr>
        <w:ind w:left="660"/>
        <w:spacing w:after="0" w:line="20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Antrag auf Eröffnung eines Insolvenzverfahrens</w:t>
      </w:r>
      <w:r>
        <w:rPr>
          <w:rFonts w:ascii="Times New Roman" w:cs="Times New Roman" w:eastAsia="Times New Roman" w:hAnsi="Times New Roman"/>
          <w:sz w:val="20"/>
          <w:szCs w:val="20"/>
          <w:color w:val="auto"/>
        </w:rPr>
        <w:t>) or any competent court taking actions pursuant to section 21 of the German Insolvency Code (</w:t>
      </w:r>
      <w:r>
        <w:rPr>
          <w:rFonts w:ascii="Times New Roman" w:cs="Times New Roman" w:eastAsia="Times New Roman" w:hAnsi="Times New Roman"/>
          <w:sz w:val="20"/>
          <w:szCs w:val="20"/>
          <w:i w:val="1"/>
          <w:iCs w:val="1"/>
          <w:color w:val="auto"/>
        </w:rPr>
        <w:t>Insolvenzordnung</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i w:val="1"/>
          <w:iCs w:val="1"/>
          <w:color w:val="auto"/>
        </w:rPr>
        <w:t>Anordnung von Sicherungsmaßnahmen</w:t>
      </w:r>
      <w:r>
        <w:rPr>
          <w:rFonts w:ascii="Times New Roman" w:cs="Times New Roman" w:eastAsia="Times New Roman" w:hAnsi="Times New Roman"/>
          <w:sz w:val="20"/>
          <w:szCs w:val="20"/>
          <w:color w:val="auto"/>
        </w:rPr>
        <w:t>) unless, in case of an application for the opening of</w:t>
      </w:r>
    </w:p>
    <w:p>
      <w:pPr>
        <w:ind w:left="660"/>
        <w:spacing w:after="0" w:line="211" w:lineRule="auto"/>
        <w:rPr>
          <w:sz w:val="20"/>
          <w:szCs w:val="20"/>
          <w:color w:val="auto"/>
        </w:rPr>
      </w:pPr>
      <w:r>
        <w:rPr>
          <w:rFonts w:ascii="Times New Roman" w:cs="Times New Roman" w:eastAsia="Times New Roman" w:hAnsi="Times New Roman"/>
          <w:sz w:val="20"/>
          <w:szCs w:val="20"/>
          <w:color w:val="auto"/>
        </w:rPr>
        <w:t>insolvency proceedings by any Person (other than the Company, any of its Subsidiaries or its direct or indirect shareholders), such</w:t>
      </w:r>
    </w:p>
    <w:p>
      <w:pPr>
        <w:spacing w:after="0" w:line="1" w:lineRule="exact"/>
        <w:rPr>
          <w:sz w:val="20"/>
          <w:szCs w:val="20"/>
          <w:color w:val="auto"/>
        </w:rPr>
      </w:pPr>
    </w:p>
    <w:p>
      <w:pPr>
        <w:ind w:left="660"/>
        <w:spacing w:after="0" w:line="221" w:lineRule="auto"/>
        <w:rPr>
          <w:sz w:val="20"/>
          <w:szCs w:val="20"/>
          <w:color w:val="auto"/>
        </w:rPr>
      </w:pPr>
      <w:r>
        <w:rPr>
          <w:rFonts w:ascii="Times New Roman" w:cs="Times New Roman" w:eastAsia="Times New Roman" w:hAnsi="Times New Roman"/>
          <w:sz w:val="20"/>
          <w:szCs w:val="20"/>
          <w:color w:val="auto"/>
        </w:rPr>
        <w:t>application is dismissed by the competent court (for any reason other than for lack of assets (</w:t>
      </w:r>
      <w:r>
        <w:rPr>
          <w:rFonts w:ascii="Times New Roman" w:cs="Times New Roman" w:eastAsia="Times New Roman" w:hAnsi="Times New Roman"/>
          <w:sz w:val="20"/>
          <w:szCs w:val="20"/>
          <w:i w:val="1"/>
          <w:iCs w:val="1"/>
          <w:color w:val="auto"/>
        </w:rPr>
        <w:t>mangels Masse</w:t>
      </w:r>
      <w:r>
        <w:rPr>
          <w:rFonts w:ascii="Times New Roman" w:cs="Times New Roman" w:eastAsia="Times New Roman" w:hAnsi="Times New Roman"/>
          <w:sz w:val="20"/>
          <w:szCs w:val="20"/>
          <w:color w:val="auto"/>
        </w:rPr>
        <w:t>)) or successfully withdrawn by such Person, in each case within 10 Business Days after such application;</w:t>
      </w:r>
    </w:p>
    <w:p>
      <w:pPr>
        <w:spacing w:after="0" w:line="162" w:lineRule="exact"/>
        <w:rPr>
          <w:sz w:val="20"/>
          <w:szCs w:val="20"/>
          <w:color w:val="auto"/>
        </w:rPr>
      </w:pPr>
    </w:p>
    <w:p>
      <w:pPr>
        <w:ind w:left="1940" w:hanging="636"/>
        <w:spacing w:after="0"/>
        <w:tabs>
          <w:tab w:leader="none" w:pos="1940" w:val="left"/>
        </w:tabs>
        <w:numPr>
          <w:ilvl w:val="0"/>
          <w:numId w:val="26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Company or any Significant Subsidiary shall admit in writing its inability to pay its debts as they become due;</w:t>
      </w:r>
    </w:p>
    <w:p>
      <w:pPr>
        <w:spacing w:after="0" w:line="188" w:lineRule="exact"/>
        <w:rPr>
          <w:rFonts w:ascii="Times New Roman" w:cs="Times New Roman" w:eastAsia="Times New Roman" w:hAnsi="Times New Roman"/>
          <w:sz w:val="20"/>
          <w:szCs w:val="20"/>
          <w:color w:val="010000"/>
        </w:rPr>
      </w:pPr>
    </w:p>
    <w:p>
      <w:pPr>
        <w:jc w:val="both"/>
        <w:ind w:left="660" w:firstLine="644"/>
        <w:spacing w:after="0" w:line="216" w:lineRule="auto"/>
        <w:tabs>
          <w:tab w:leader="none" w:pos="1945" w:val="left"/>
        </w:tabs>
        <w:numPr>
          <w:ilvl w:val="0"/>
          <w:numId w:val="26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one or more judgments for the payment of money in an aggregate amount in excess of $250,000,000 (excluding any amounts paid or covered by an unaffiliated insurance policy with a reputable and solvent insurance company that has not denied coverage) shall be rendered against the Company, any Significant Subsidiary or any combination thereof and the same shall remain undischarged for a period of thirty (30) consecutive days during which execution shall not be effectively stayed, or any action shall be legally taken by a judgment creditor to attach or levy upon any assets of the Company or any Significant Subsidiary to enforce any such judgment;</w:t>
      </w:r>
    </w:p>
    <w:p>
      <w:pPr>
        <w:spacing w:after="0" w:line="162" w:lineRule="exact"/>
        <w:rPr>
          <w:rFonts w:ascii="Times New Roman" w:cs="Times New Roman" w:eastAsia="Times New Roman" w:hAnsi="Times New Roman"/>
          <w:sz w:val="20"/>
          <w:szCs w:val="20"/>
          <w:color w:val="010000"/>
        </w:rPr>
      </w:pPr>
    </w:p>
    <w:p>
      <w:pPr>
        <w:ind w:left="1940" w:hanging="636"/>
        <w:spacing w:after="0"/>
        <w:tabs>
          <w:tab w:leader="none" w:pos="1940" w:val="left"/>
        </w:tabs>
        <w:numPr>
          <w:ilvl w:val="0"/>
          <w:numId w:val="26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 ERISA Event shall have occurred that could reasonably be expected to result in a Material Adverse Effect;</w:t>
      </w:r>
    </w:p>
    <w:p>
      <w:pPr>
        <w:spacing w:after="0" w:line="175" w:lineRule="exact"/>
        <w:rPr>
          <w:rFonts w:ascii="Times New Roman" w:cs="Times New Roman" w:eastAsia="Times New Roman" w:hAnsi="Times New Roman"/>
          <w:sz w:val="20"/>
          <w:szCs w:val="20"/>
          <w:color w:val="010000"/>
        </w:rPr>
      </w:pPr>
    </w:p>
    <w:p>
      <w:pPr>
        <w:jc w:val="both"/>
        <w:ind w:left="660" w:firstLine="644"/>
        <w:spacing w:after="0" w:line="220" w:lineRule="auto"/>
        <w:tabs>
          <w:tab w:leader="none" w:pos="1944" w:val="left"/>
        </w:tabs>
        <w:numPr>
          <w:ilvl w:val="0"/>
          <w:numId w:val="26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Company or any of its Subsidiaries shall have been notified that any of them has, in relation to a Non-U.S. Pension Plan, incurred a debt or other liability under section 75 or 75A of the United Kingdom Pensions Act 1995, or has been issued with a contribution notice or financial support direction (as those terms are defined in the United Kingdom Pensions Act 2004) or has been subject to the exercise of any Criminal Pension Power, or otherwise is liable to pay any other amount in respect of Non-U.S. Pension Plans, in each case that could reasonably be expected to result in a Material Adverse Effect; or</w:t>
      </w:r>
    </w:p>
    <w:p>
      <w:pPr>
        <w:spacing w:after="0" w:line="147" w:lineRule="exact"/>
        <w:rPr>
          <w:rFonts w:ascii="Times New Roman" w:cs="Times New Roman" w:eastAsia="Times New Roman" w:hAnsi="Times New Roman"/>
          <w:sz w:val="20"/>
          <w:szCs w:val="20"/>
          <w:color w:val="010000"/>
        </w:rPr>
      </w:pPr>
    </w:p>
    <w:p>
      <w:pPr>
        <w:ind w:left="1940" w:hanging="636"/>
        <w:spacing w:after="0"/>
        <w:tabs>
          <w:tab w:leader="none" w:pos="1940" w:val="left"/>
        </w:tabs>
        <w:numPr>
          <w:ilvl w:val="0"/>
          <w:numId w:val="26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 Change in Control shall occur;</w:t>
      </w:r>
    </w:p>
    <w:p>
      <w:pPr>
        <w:spacing w:after="0" w:line="20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then, and in every such event (other than an event with respect to the Company described in clause (h) or (i) of this Article), and at any time thereafter during the continuance of such event, the Administrative Agent may, and at the request of the Required Lenders shall, by notice to the Company, take any or all of the following actions, at the same or different times: (i) terminate the Commitments, and thereupon the Commitments shall terminate immediately, (ii)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Company accrued hereunder and under the other Loan Documents, shall become due and payable immediately, without presentment, demand, protest or other notice of any kind, all of which are hereby waived by the Company, (iii) [intentionally omitted], and (iv) exercise on behalf of itself and the Lenders all rights and remedies available to it and the Lenders under the Loan Documents and applicable law; and in case of any event with respect to the Company described in clause (h) or (i) of this Article, the Commitments shall automatically terminate and the principal of the Loans then outstanding, together with accrued interest thereon and all fees and other Obligations accrued hereunder and under the other Loan Documents, shall automatically become due and payable without presentment, demand, protest or other notice of any kind, all of which are hereby waived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69</w:t>
      </w:r>
    </w:p>
    <w:p>
      <w:pPr>
        <w:sectPr>
          <w:pgSz w:w="11900" w:h="16838" w:orient="portrait"/>
          <w:cols w:equalWidth="0" w:num="1">
            <w:col w:w="11240"/>
          </w:cols>
          <w:pgMar w:left="320" w:top="1394" w:right="339" w:bottom="1440" w:gutter="0" w:footer="0" w:header="0"/>
        </w:sectPr>
      </w:pPr>
    </w:p>
    <w:bookmarkStart w:id="242" w:name="page243"/>
    <w:bookmarkEnd w:id="242"/>
    <w:p>
      <w:pPr>
        <w:jc w:val="both"/>
        <w:spacing w:after="0" w:line="254" w:lineRule="auto"/>
        <w:rPr>
          <w:sz w:val="20"/>
          <w:szCs w:val="20"/>
          <w:color w:val="auto"/>
        </w:rPr>
      </w:pPr>
      <w:r>
        <w:rPr>
          <w:rFonts w:ascii="Times New Roman" w:cs="Times New Roman" w:eastAsia="Times New Roman" w:hAnsi="Times New Roman"/>
          <w:sz w:val="20"/>
          <w:szCs w:val="20"/>
          <w:color w:val="auto"/>
        </w:rPr>
        <w:t>Notwithstanding anything to the contrary herein, it is understood and agreed that neither the Administrative Agent nor the Lenders shall be permitted to take any of the foregoing actions contained in the precedent paragraph with respect to any Default or Event of Default (other than in connection with any event with respect to the Company described under (1) paragraphs (a) and (b) and (2) paragraphs (h), (i), (k) or</w:t>
      </w:r>
    </w:p>
    <w:p>
      <w:pPr>
        <w:spacing w:after="0" w:line="1" w:lineRule="exact"/>
        <w:rPr>
          <w:sz w:val="20"/>
          <w:szCs w:val="20"/>
          <w:color w:val="auto"/>
        </w:rPr>
      </w:pPr>
    </w:p>
    <w:p>
      <w:pPr>
        <w:jc w:val="both"/>
        <w:ind w:firstLine="8"/>
        <w:spacing w:after="0" w:line="249" w:lineRule="auto"/>
        <w:tabs>
          <w:tab w:leader="none" w:pos="243" w:val="left"/>
        </w:tabs>
        <w:numPr>
          <w:ilvl w:val="0"/>
          <w:numId w:val="2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each case, with respect to the Company only)) occurring during the Availability Period. For the avoidance of doubt, (x) the rights and remedies of the Lenders and the Administrative Agent shall not be limited in the event that any condition set forth in Section 4.02 is not satisfied or waived on the Closing Date and (y) immediately after the expiration of the Availability Period, all of the rights, remedies and entitlements of the Administrative Agent and the Lender shall be available notwithstanding that such rights were not available prior to such time as a result of this paragraph.</w:t>
      </w:r>
    </w:p>
    <w:p>
      <w:pPr>
        <w:spacing w:after="0" w:line="18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010000"/>
        </w:rPr>
        <w:t>ARTICLE VIII</w:t>
      </w:r>
    </w:p>
    <w:p>
      <w:pPr>
        <w:spacing w:after="0" w:line="16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u w:val="single" w:color="auto"/>
          <w:color w:val="auto"/>
        </w:rPr>
        <w:t>The Administrative Agent</w:t>
      </w:r>
    </w:p>
    <w:p>
      <w:pPr>
        <w:spacing w:after="0" w:line="170"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0"/>
          <w:szCs w:val="20"/>
          <w:color w:val="010000"/>
        </w:rPr>
        <w:t>Section 8.01.</w:t>
      </w:r>
      <w:r>
        <w:rPr>
          <w:sz w:val="20"/>
          <w:szCs w:val="20"/>
          <w:color w:val="auto"/>
        </w:rPr>
        <w:tab/>
      </w:r>
      <w:r>
        <w:rPr>
          <w:rFonts w:ascii="Times New Roman" w:cs="Times New Roman" w:eastAsia="Times New Roman" w:hAnsi="Times New Roman"/>
          <w:sz w:val="19"/>
          <w:szCs w:val="19"/>
          <w:u w:val="single" w:color="auto"/>
          <w:color w:val="auto"/>
        </w:rPr>
        <w:t>Authorization and Action</w:t>
      </w:r>
      <w:r>
        <w:rPr>
          <w:rFonts w:ascii="Times New Roman" w:cs="Times New Roman" w:eastAsia="Times New Roman" w:hAnsi="Times New Roman"/>
          <w:sz w:val="19"/>
          <w:szCs w:val="19"/>
          <w:color w:val="auto"/>
        </w:rPr>
        <w:t>.</w:t>
      </w:r>
    </w:p>
    <w:p>
      <w:pPr>
        <w:jc w:val="both"/>
        <w:ind w:firstLine="1304"/>
        <w:spacing w:after="0" w:line="209" w:lineRule="auto"/>
        <w:tabs>
          <w:tab w:leader="none" w:pos="1934" w:val="left"/>
        </w:tabs>
        <w:numPr>
          <w:ilvl w:val="0"/>
          <w:numId w:val="27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Lender hereby irrevocably appoints the entity named as Administrative Agent in the heading of this Agreement and its successors and assigns to serve as the administrative agent under the Loan Documents and each Lender authorizes the Administrative Agent to take such actions as agent on its behalf and to exercise such powers under this Agreement and the other Loan Documents as are delegated to the Administrative Agent under such agreements and to exercise such powers as are reasonably incidental thereto. Without limiting the foregoing, each Lender hereby authorizes the Administrative Agent to execute and deliver, and to perform its obligations under, each of the Loan Documents to which the Administrative Agent is a party, and to exercise all rights, powers and remedies that the Administrative Agent may have under such Loan Documents. Each Lender exempts the Administrative Agent from the restrictions pursuant to Section 181 Civil Code (</w:t>
      </w:r>
      <w:r>
        <w:rPr>
          <w:rFonts w:ascii="Times New Roman" w:cs="Times New Roman" w:eastAsia="Times New Roman" w:hAnsi="Times New Roman"/>
          <w:sz w:val="20"/>
          <w:szCs w:val="20"/>
          <w:i w:val="1"/>
          <w:iCs w:val="1"/>
          <w:color w:val="auto"/>
        </w:rPr>
        <w:t>Bürgerliches Gesetzbuch</w:t>
      </w:r>
      <w:r>
        <w:rPr>
          <w:rFonts w:ascii="Times New Roman" w:cs="Times New Roman" w:eastAsia="Times New Roman" w:hAnsi="Times New Roman"/>
          <w:sz w:val="20"/>
          <w:szCs w:val="20"/>
          <w:color w:val="auto"/>
        </w:rPr>
        <w:t>) and similar restrictions applicable to it pursuant to any other applicable law, in each case to the extent legally possible to such Lender. A Lender which cannot grant such exemption shall notify the Administrative Agent accordingly and, upon request of the Administrative Agent, either act in accordance with the terms of this Agreement and/or any other Loan Document as required pursuant to this Agreement and/or such other Loan Document or grant a special power of attorney to a party acting on its behalf, in a manner that is not prohibited pursuant to Section 181 of the German Civil Code (</w:t>
      </w:r>
      <w:r>
        <w:rPr>
          <w:rFonts w:ascii="Times New Roman" w:cs="Times New Roman" w:eastAsia="Times New Roman" w:hAnsi="Times New Roman"/>
          <w:sz w:val="20"/>
          <w:szCs w:val="20"/>
          <w:i w:val="1"/>
          <w:iCs w:val="1"/>
          <w:color w:val="auto"/>
        </w:rPr>
        <w:t>Bürgerliches Gesetzbuch</w:t>
      </w:r>
      <w:r>
        <w:rPr>
          <w:rFonts w:ascii="Times New Roman" w:cs="Times New Roman" w:eastAsia="Times New Roman" w:hAnsi="Times New Roman"/>
          <w:sz w:val="20"/>
          <w:szCs w:val="20"/>
          <w:color w:val="auto"/>
        </w:rPr>
        <w:t>) and/or any other applicable laws.</w:t>
      </w:r>
    </w:p>
    <w:p>
      <w:pPr>
        <w:spacing w:after="0" w:line="168" w:lineRule="exact"/>
        <w:rPr>
          <w:rFonts w:ascii="Times New Roman" w:cs="Times New Roman" w:eastAsia="Times New Roman" w:hAnsi="Times New Roman"/>
          <w:sz w:val="20"/>
          <w:szCs w:val="20"/>
          <w:color w:val="010000"/>
        </w:rPr>
      </w:pPr>
    </w:p>
    <w:p>
      <w:pPr>
        <w:jc w:val="both"/>
        <w:ind w:firstLine="1304"/>
        <w:spacing w:after="0" w:line="209" w:lineRule="auto"/>
        <w:tabs>
          <w:tab w:leader="none" w:pos="1932" w:val="left"/>
        </w:tabs>
        <w:numPr>
          <w:ilvl w:val="0"/>
          <w:numId w:val="27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As to any matters not expressly provided for herein and in the other Loan Documents (including enforcement or collection), the Administrative Agent shall not be required to exercise any discretion or take any action, but shall be required to act or to refrain from acting (and shall be fully protected in so acting or refraining from acting) upon the written instructions of the Required Lenders (or such other number or percentage of the Lenders as shall be necessary, pursuant to the terms in the Loan Documents), and, unless and until revoked in writing, such instructions shall be binding upon each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however, that the Administrative Agent shall not be required to take any action that (i) the Administrative Agent in good faith believes exposes it to liability unless the Administrative Agent receives an indemnification and is exculpated in a manner satisfactory to it from the Lenders with respect to such action or (ii) is contrary to this Agreement or any other Loan Document or applicable law, including any action that may be in violation of the automatic stay under any requirement of law relating to bankruptcy, insolvency or reorganization or relief of debtors or that may effect a forfeiture, modification or termination of property of a Defaulting Lender in violation of any requirement of law relating to bankruptcy, insolvency or reorganization or relief of debtors;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the Administrative Agent may seek clarification or direction from the Required Lenders prior to the exercise of any such instructed action and may refrain from acting until such clarification or direction has been provided. Except as expressly set forth in the Loan Documents, the Administrative Agent shall not have any duty to disclose, and shall not be liable for the failure to disclose, any information relating to the Company, any Subsidiary or any Affiliate of any of the foregoing that is communicated to or obtained by the Person serving as Administrative Agent or any of its Affiliates in any capacity. Nothing in this Agreement shall require the Administrative Agent to expend or risk its own funds or otherwise incur any financial liability in the performance of any of its duties hereunder or in the exercise of any of its rights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70</w:t>
      </w:r>
    </w:p>
    <w:p>
      <w:pPr>
        <w:sectPr>
          <w:pgSz w:w="11900" w:h="16838" w:orient="portrait"/>
          <w:cols w:equalWidth="0" w:num="1">
            <w:col w:w="11240"/>
          </w:cols>
          <w:pgMar w:left="320" w:top="1413" w:right="339" w:bottom="1440" w:gutter="0" w:footer="0" w:header="0"/>
        </w:sectPr>
      </w:pPr>
    </w:p>
    <w:bookmarkStart w:id="243" w:name="page244"/>
    <w:bookmarkEnd w:id="243"/>
    <w:p>
      <w:pPr>
        <w:ind w:right="20"/>
        <w:spacing w:after="0"/>
        <w:rPr>
          <w:sz w:val="20"/>
          <w:szCs w:val="20"/>
          <w:color w:val="auto"/>
        </w:rPr>
      </w:pPr>
      <w:r>
        <w:rPr>
          <w:rFonts w:ascii="Times New Roman" w:cs="Times New Roman" w:eastAsia="Times New Roman" w:hAnsi="Times New Roman"/>
          <w:sz w:val="20"/>
          <w:szCs w:val="20"/>
          <w:color w:val="auto"/>
        </w:rPr>
        <w:t>powers if it shall have reasonable grounds for believing that repayment of such funds or adequate indemnity against such risk or liability is not reasonably assured to it.</w:t>
      </w:r>
    </w:p>
    <w:p>
      <w:pPr>
        <w:spacing w:after="0" w:line="148" w:lineRule="exact"/>
        <w:rPr>
          <w:sz w:val="20"/>
          <w:szCs w:val="20"/>
          <w:color w:val="auto"/>
        </w:rPr>
      </w:pPr>
    </w:p>
    <w:p>
      <w:pPr>
        <w:jc w:val="both"/>
        <w:ind w:firstLine="1304"/>
        <w:spacing w:after="0" w:line="222" w:lineRule="auto"/>
        <w:tabs>
          <w:tab w:leader="none" w:pos="1934" w:val="left"/>
        </w:tabs>
        <w:numPr>
          <w:ilvl w:val="0"/>
          <w:numId w:val="27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 performing its functions and duties hereunder and under the other Loan Documents, the Administrative Agent is acting solely on behalf of the Lenders (except in limited circumstances expressly provided for herein relating to the maintenance of the Register), and its duties are entirely mechanical and administrative in nature. The motivations of the Administrative Agent are commercial in nature and not to invest in the general performance or operations of the Company. Without limiting the generality of the foregoing:</w:t>
      </w:r>
    </w:p>
    <w:p>
      <w:pPr>
        <w:spacing w:after="0" w:line="161" w:lineRule="exact"/>
        <w:rPr>
          <w:rFonts w:ascii="Times New Roman" w:cs="Times New Roman" w:eastAsia="Times New Roman" w:hAnsi="Times New Roman"/>
          <w:sz w:val="20"/>
          <w:szCs w:val="20"/>
          <w:color w:val="010000"/>
        </w:rPr>
      </w:pPr>
    </w:p>
    <w:p>
      <w:pPr>
        <w:jc w:val="both"/>
        <w:ind w:left="1300" w:firstLine="652"/>
        <w:spacing w:after="0" w:line="212" w:lineRule="auto"/>
        <w:tabs>
          <w:tab w:leader="none" w:pos="2594" w:val="left"/>
        </w:tabs>
        <w:numPr>
          <w:ilvl w:val="1"/>
          <w:numId w:val="27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Administrative Agent does not assume and shall not be deemed to have assumed any obligation or duty or any other relationship as the agent, fiduciary or trustee of or for any Lender or any other holder of Obligations other than as expressly set forth herein and in the other Loan Documents, regardless of whether a Default or an Event of Default has occurred and is continuing (and it is understood and agreed that the use of the term “agent” (or any similar term) herein or in any other Loan Document with reference to the Administrative Agent is not intended to connote any fiduciary duty or other implied (or express) obligations arising under agency doctrine of any applicable law, and that such term is used as a matter of market custom and is intended to create or reflect only an administrative relationship between contracting parties); additionally, each Lender agrees that it will not assert any claim against the Administrative Agent based on an alleged breach of fiduciary duty by the Administrative Agent in connection with this Agreement and the transactions contemplated hereby; and</w:t>
      </w:r>
    </w:p>
    <w:p>
      <w:pPr>
        <w:spacing w:after="0" w:line="169" w:lineRule="exact"/>
        <w:rPr>
          <w:rFonts w:ascii="Times New Roman" w:cs="Times New Roman" w:eastAsia="Times New Roman" w:hAnsi="Times New Roman"/>
          <w:sz w:val="20"/>
          <w:szCs w:val="20"/>
          <w:color w:val="010000"/>
        </w:rPr>
      </w:pPr>
    </w:p>
    <w:p>
      <w:pPr>
        <w:ind w:left="1300" w:firstLine="652"/>
        <w:spacing w:after="0" w:line="233" w:lineRule="auto"/>
        <w:tabs>
          <w:tab w:leader="none" w:pos="2595" w:val="left"/>
        </w:tabs>
        <w:numPr>
          <w:ilvl w:val="1"/>
          <w:numId w:val="27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nothing in this Agreement or any Loan Document shall require the Administrative Agent to account to any Lender for any sum or the profit element of any sum received by the Administrative Agent for its own account.</w:t>
      </w:r>
    </w:p>
    <w:p>
      <w:pPr>
        <w:spacing w:after="0" w:line="160" w:lineRule="exact"/>
        <w:rPr>
          <w:rFonts w:ascii="Times New Roman" w:cs="Times New Roman" w:eastAsia="Times New Roman" w:hAnsi="Times New Roman"/>
          <w:sz w:val="20"/>
          <w:szCs w:val="20"/>
          <w:color w:val="010000"/>
        </w:rPr>
      </w:pPr>
    </w:p>
    <w:p>
      <w:pPr>
        <w:jc w:val="both"/>
        <w:ind w:firstLine="1304"/>
        <w:spacing w:after="0" w:line="213" w:lineRule="auto"/>
        <w:tabs>
          <w:tab w:leader="none" w:pos="1932" w:val="left"/>
        </w:tabs>
        <w:numPr>
          <w:ilvl w:val="0"/>
          <w:numId w:val="27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Administrative Agent may perform any of its duties and exercise its rights and powers hereunder or under any other Loan Document by or through any one or more sub-agents appointed by the Administrative Agent. The Administrative Agent and any such sub-agent may perform any of their respective duties and exercise their respective rights and powers through their respective Related Parties. The exculpatory provisions of this Article shall apply to any such sub-agent and to the Related Parties of the Administrative Agent and any such sub-agent, and shall apply to their respective activities pursuant to this Agreement. The Administrative Agent shall not be responsible for the negligence or misconduct of any sub-agent except to the extent that a court of competent jurisdiction determines in a final and nonappealable judgment that the Administrative Agent acted with gross negligence or willful misconduct in the selection of such sub-agent.</w:t>
      </w:r>
    </w:p>
    <w:p>
      <w:pPr>
        <w:spacing w:after="0" w:line="162" w:lineRule="exact"/>
        <w:rPr>
          <w:rFonts w:ascii="Times New Roman" w:cs="Times New Roman" w:eastAsia="Times New Roman" w:hAnsi="Times New Roman"/>
          <w:sz w:val="20"/>
          <w:szCs w:val="20"/>
          <w:color w:val="010000"/>
        </w:rPr>
      </w:pPr>
    </w:p>
    <w:p>
      <w:pPr>
        <w:jc w:val="both"/>
        <w:ind w:firstLine="1304"/>
        <w:spacing w:after="0" w:line="226" w:lineRule="auto"/>
        <w:tabs>
          <w:tab w:leader="none" w:pos="1934" w:val="left"/>
        </w:tabs>
        <w:numPr>
          <w:ilvl w:val="0"/>
          <w:numId w:val="27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None of [any Co-Syndication Agent, any Co-Documentation Agent or ]any Arranger shall have obligations or duties whatsoever in such capacity under this Agreement or any other Loan Document and shall incur no liability hereunder or thereunder in such capacity, but all such persons shall have the benefit of the indemnities provided for hereunder.</w:t>
      </w:r>
    </w:p>
    <w:p>
      <w:pPr>
        <w:spacing w:after="0" w:line="160" w:lineRule="exact"/>
        <w:rPr>
          <w:rFonts w:ascii="Times New Roman" w:cs="Times New Roman" w:eastAsia="Times New Roman" w:hAnsi="Times New Roman"/>
          <w:sz w:val="20"/>
          <w:szCs w:val="20"/>
          <w:color w:val="010000"/>
        </w:rPr>
      </w:pPr>
    </w:p>
    <w:p>
      <w:pPr>
        <w:jc w:val="both"/>
        <w:ind w:firstLine="1304"/>
        <w:spacing w:after="0" w:line="220" w:lineRule="auto"/>
        <w:tabs>
          <w:tab w:leader="none" w:pos="1939" w:val="left"/>
        </w:tabs>
        <w:numPr>
          <w:ilvl w:val="0"/>
          <w:numId w:val="27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 case of the pendency of any proceeding with respect to the Company under any federal, state or foreign bankruptcy, insolvency, receivership or similar law now or hereafter in effect, the Administrative Agent (irrespective of whether the principal of any Loan shall then be due and payable as herein expressed or by declaration or otherwise and irrespective of whether the Administrative Agent shall have made any demand on the Company) shall be entitled and empowered (but not obligated) by intervention in such proceeding or otherwise:</w:t>
      </w:r>
    </w:p>
    <w:p>
      <w:pPr>
        <w:spacing w:after="0" w:line="147" w:lineRule="exact"/>
        <w:rPr>
          <w:rFonts w:ascii="Times New Roman" w:cs="Times New Roman" w:eastAsia="Times New Roman" w:hAnsi="Times New Roman"/>
          <w:sz w:val="20"/>
          <w:szCs w:val="20"/>
          <w:color w:val="010000"/>
        </w:rPr>
      </w:pPr>
    </w:p>
    <w:p>
      <w:pPr>
        <w:jc w:val="both"/>
        <w:ind w:left="1300" w:firstLine="652"/>
        <w:spacing w:after="0" w:line="222" w:lineRule="auto"/>
        <w:tabs>
          <w:tab w:leader="none" w:pos="2594" w:val="left"/>
        </w:tabs>
        <w:numPr>
          <w:ilvl w:val="1"/>
          <w:numId w:val="27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to file and prove a claim for the whole amount of the principal and interest owing and unpaid in respect of the Loans and all other Obligations that are owing and unpaid and to file such other documents as may be necessary or advisable in order to have the claims of the Lenders and the Administrative Agent (including any claim under Sections 2.12, 2.13, 2.15, 2.17 and 9.03) allowed in such judicial proceeding;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71</w:t>
      </w:r>
    </w:p>
    <w:p>
      <w:pPr>
        <w:sectPr>
          <w:pgSz w:w="11900" w:h="16838" w:orient="portrait"/>
          <w:cols w:equalWidth="0" w:num="1">
            <w:col w:w="11240"/>
          </w:cols>
          <w:pgMar w:left="320" w:top="1399" w:right="339" w:bottom="1440" w:gutter="0" w:footer="0" w:header="0"/>
        </w:sectPr>
      </w:pPr>
    </w:p>
    <w:bookmarkStart w:id="244" w:name="page245"/>
    <w:bookmarkEnd w:id="244"/>
    <w:p>
      <w:pPr>
        <w:ind w:left="1300" w:firstLine="652"/>
        <w:spacing w:after="0" w:line="283" w:lineRule="auto"/>
        <w:tabs>
          <w:tab w:leader="none" w:pos="2595" w:val="left"/>
        </w:tabs>
        <w:numPr>
          <w:ilvl w:val="0"/>
          <w:numId w:val="27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to collect and receive any monies or other property payable or deliverable on any such claims and to distribute the same;</w:t>
      </w:r>
    </w:p>
    <w:p>
      <w:pPr>
        <w:spacing w:after="0" w:line="14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and any custodian, receiver, assignee, trustee, liquidator, sequestrator or other similar official in any such proceeding is hereby authorized by each Lender and each other holder of Obligations to make such payments to the Administrative Agent and, in the event that the Administrative Agent shall consent to the making of such payments directly to the Lenders or the other holders of Obligations, to pay to the Administrative Agent any amount due to it, in its capacity as the Administrative Agent, under the Loan Documents (including under Section 9.03). Nothing contained herein shall be deemed to authorize the Administrative Agent to authorize or consent to or accept or adopt on behalf of any Lender any plan of reorganization, arrangement, adjustment or composition affecting the Obligations or the rights of any Lender or to authorize the Administrative Agent to vote in respect of the claim of any Lender in any such proceeding.</w:t>
      </w:r>
    </w:p>
    <w:p>
      <w:pPr>
        <w:spacing w:after="0" w:line="206" w:lineRule="exact"/>
        <w:rPr>
          <w:sz w:val="20"/>
          <w:szCs w:val="20"/>
          <w:color w:val="auto"/>
        </w:rPr>
      </w:pPr>
    </w:p>
    <w:p>
      <w:pPr>
        <w:jc w:val="both"/>
        <w:ind w:firstLine="1304"/>
        <w:spacing w:after="0" w:line="257" w:lineRule="auto"/>
        <w:tabs>
          <w:tab w:leader="none" w:pos="1932" w:val="left"/>
        </w:tabs>
        <w:numPr>
          <w:ilvl w:val="0"/>
          <w:numId w:val="27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The provisions of this </w:t>
      </w:r>
      <w:r>
        <w:rPr>
          <w:rFonts w:ascii="Times New Roman" w:cs="Times New Roman" w:eastAsia="Times New Roman" w:hAnsi="Times New Roman"/>
          <w:sz w:val="20"/>
          <w:szCs w:val="20"/>
          <w:u w:val="single" w:color="auto"/>
          <w:color w:val="auto"/>
        </w:rPr>
        <w:t>Article VIII</w:t>
      </w:r>
      <w:r>
        <w:rPr>
          <w:rFonts w:ascii="Times New Roman" w:cs="Times New Roman" w:eastAsia="Times New Roman" w:hAnsi="Times New Roman"/>
          <w:sz w:val="20"/>
          <w:szCs w:val="20"/>
          <w:color w:val="auto"/>
        </w:rPr>
        <w:t xml:space="preserve"> are solely for the benefit of the Administrative Agent and the Lenders, and, except solely to the extent of the Company’s rights to consent pursuant to and subject to the conditions set forth in this </w:t>
      </w:r>
      <w:r>
        <w:rPr>
          <w:rFonts w:ascii="Times New Roman" w:cs="Times New Roman" w:eastAsia="Times New Roman" w:hAnsi="Times New Roman"/>
          <w:sz w:val="20"/>
          <w:szCs w:val="20"/>
          <w:u w:val="single" w:color="auto"/>
          <w:color w:val="auto"/>
        </w:rPr>
        <w:t>Article VIII</w:t>
      </w:r>
      <w:r>
        <w:rPr>
          <w:rFonts w:ascii="Times New Roman" w:cs="Times New Roman" w:eastAsia="Times New Roman" w:hAnsi="Times New Roman"/>
          <w:sz w:val="20"/>
          <w:szCs w:val="20"/>
          <w:color w:val="auto"/>
        </w:rPr>
        <w:t xml:space="preserve">, none of the Company or any Subsidiary, or any of their respective Affiliates, shall have any rights as a third party beneficiary under any such provisions. Each holder of Obligations, whether or not a party hereto, will be deemed, by its acceptance of the benefits of the Guarantees of the Obligations provided under the Loan Documents, to have agreed to the provisions of this </w:t>
      </w:r>
      <w:r>
        <w:rPr>
          <w:rFonts w:ascii="Times New Roman" w:cs="Times New Roman" w:eastAsia="Times New Roman" w:hAnsi="Times New Roman"/>
          <w:sz w:val="20"/>
          <w:szCs w:val="20"/>
          <w:u w:val="single" w:color="auto"/>
          <w:color w:val="auto"/>
        </w:rPr>
        <w:t>Article VIII</w:t>
      </w:r>
      <w:r>
        <w:rPr>
          <w:rFonts w:ascii="Times New Roman" w:cs="Times New Roman" w:eastAsia="Times New Roman" w:hAnsi="Times New Roman"/>
          <w:sz w:val="20"/>
          <w:szCs w:val="20"/>
          <w:color w:val="auto"/>
        </w:rPr>
        <w:t>.</w:t>
      </w:r>
    </w:p>
    <w:p>
      <w:pPr>
        <w:spacing w:after="0" w:line="173"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0"/>
          <w:szCs w:val="20"/>
          <w:color w:val="010000"/>
        </w:rPr>
        <w:t>Section 8.02.</w:t>
      </w:r>
      <w:r>
        <w:rPr>
          <w:sz w:val="20"/>
          <w:szCs w:val="20"/>
          <w:color w:val="auto"/>
        </w:rPr>
        <w:tab/>
      </w:r>
      <w:r>
        <w:rPr>
          <w:rFonts w:ascii="Times New Roman" w:cs="Times New Roman" w:eastAsia="Times New Roman" w:hAnsi="Times New Roman"/>
          <w:sz w:val="19"/>
          <w:szCs w:val="19"/>
          <w:u w:val="single" w:color="auto"/>
          <w:color w:val="auto"/>
        </w:rPr>
        <w:t>Administrative Agent’s Reliance, Indemnification, Etc</w:t>
      </w:r>
      <w:r>
        <w:rPr>
          <w:rFonts w:ascii="Times New Roman" w:cs="Times New Roman" w:eastAsia="Times New Roman" w:hAnsi="Times New Roman"/>
          <w:sz w:val="19"/>
          <w:szCs w:val="19"/>
          <w:color w:val="auto"/>
        </w:rPr>
        <w:t>.</w:t>
      </w:r>
    </w:p>
    <w:p>
      <w:pPr>
        <w:spacing w:after="0" w:line="28" w:lineRule="exact"/>
        <w:rPr>
          <w:sz w:val="20"/>
          <w:szCs w:val="20"/>
          <w:color w:val="auto"/>
        </w:rPr>
      </w:pPr>
    </w:p>
    <w:p>
      <w:pPr>
        <w:jc w:val="both"/>
        <w:ind w:firstLine="1304"/>
        <w:spacing w:after="0" w:line="248" w:lineRule="auto"/>
        <w:tabs>
          <w:tab w:leader="none" w:pos="1934" w:val="left"/>
        </w:tabs>
        <w:numPr>
          <w:ilvl w:val="0"/>
          <w:numId w:val="27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Neither the Administrative Agent nor any of its Related Parties shall be (i) liable for any action taken or omitted to be taken by such party, the Administrative Agent or any of its Related Parties under or in connection with this Agreement or the other Loan Documents (x) with the consent of or at the request of the Required Lenders (or such other number or percentage of the Lenders as shall be necessary, or as the Administrative Agent shall believe in good faith to be necessary, under the circumstances as provided in the Loan Documents) or (y) in the absence of its own gross negligence or willful misconduct (such absence to be presumed unless otherwise determined by a court of competent jurisdiction by a final and nonappealable judgment) or (ii) responsible in any manner to any of the Lenders for any recitals, statements, representations or warranties made by the Company or any officer thereof contained in this Agreement or any other Loan Document or in any certificate, report, statement or other document referred to or provided for in, or received by the Administrative Agent under or in connection with, this Agreement or any other Loan Document or for the value, validity, effectiveness, genuineness, enforceability or sufficiency of this Agreement or any other Loan Document (including, for the avoidance of doubt, in connection with the Administrative Agent’s reliance on any Electronic Signature transmitted by telecopy, emailed pdf, or any other electronic means that reproduces an image of an actual executed signature page) or for any failure of the Company to perform its obligations hereunder or thereunder.</w:t>
      </w:r>
    </w:p>
    <w:p>
      <w:pPr>
        <w:spacing w:after="0" w:line="216" w:lineRule="exact"/>
        <w:rPr>
          <w:rFonts w:ascii="Times New Roman" w:cs="Times New Roman" w:eastAsia="Times New Roman" w:hAnsi="Times New Roman"/>
          <w:sz w:val="20"/>
          <w:szCs w:val="20"/>
          <w:color w:val="010000"/>
        </w:rPr>
      </w:pPr>
    </w:p>
    <w:p>
      <w:pPr>
        <w:jc w:val="both"/>
        <w:ind w:firstLine="1304"/>
        <w:spacing w:after="0" w:line="284" w:lineRule="auto"/>
        <w:tabs>
          <w:tab w:leader="none" w:pos="1932" w:val="left"/>
        </w:tabs>
        <w:numPr>
          <w:ilvl w:val="0"/>
          <w:numId w:val="27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Administrative Agent shall be deemed not to have knowledge of any (i) notice of any of the events or circumstances set forth or described in Section 5.02 unless and until written notice thereof stating that it is a “notice under Section 5.02” in respect of this Agreement and identifying the specific clause under said Section is given to the Administrative Agent by the Company or (ii) notice of any Default or Event of Default unless and until written notice thereof (stating that it is a “notice of Default” or a “notice of an Event of Default”) is given to the Administrative Agent by the Company or a Lender. Further, the Administrative Agent shall not be responsible for or have any duty to ascertain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72</w:t>
      </w:r>
    </w:p>
    <w:p>
      <w:pPr>
        <w:sectPr>
          <w:pgSz w:w="11900" w:h="16838" w:orient="portrait"/>
          <w:cols w:equalWidth="0" w:num="1">
            <w:col w:w="11240"/>
          </w:cols>
          <w:pgMar w:left="320" w:top="1413" w:right="339" w:bottom="1440" w:gutter="0" w:footer="0" w:header="0"/>
        </w:sectPr>
      </w:pPr>
    </w:p>
    <w:bookmarkStart w:id="245" w:name="page246"/>
    <w:bookmarkEnd w:id="245"/>
    <w:p>
      <w:pPr>
        <w:jc w:val="both"/>
        <w:spacing w:after="0" w:line="284" w:lineRule="auto"/>
        <w:rPr>
          <w:sz w:val="20"/>
          <w:szCs w:val="20"/>
          <w:color w:val="auto"/>
        </w:rPr>
      </w:pPr>
      <w:r>
        <w:rPr>
          <w:rFonts w:ascii="Times New Roman" w:cs="Times New Roman" w:eastAsia="Times New Roman" w:hAnsi="Times New Roman"/>
          <w:sz w:val="20"/>
          <w:szCs w:val="20"/>
          <w:color w:val="auto"/>
        </w:rPr>
        <w:t xml:space="preserve">inquire into (i) any statement, warranty or representation made in or in connection with any Loan Document, (ii) the contents of any certificate, report or other document delivered thereunder or in connection therewith, (iii) the performance or observance of any of the covenants, agreements or other terms or conditions set forth in any Loan Document or the occurrence of any Default or Event of Default, (iv) the sufficiency, validity, enforceability, effectiveness or genuineness of any Loan Document or any other agreement, instrument or document or (v) the satisfaction of any condition set forth in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or elsewhere in any Loan Document, other than to confirm receipt of items (which on their face purport to be such items) expressly required to be delivered to the Administrative Agent or satisfaction of any condition that expressly refers to the matters described therein being acceptable or satisfactory to the Administrative Agent.</w:t>
      </w:r>
    </w:p>
    <w:p>
      <w:pPr>
        <w:spacing w:after="0" w:line="188" w:lineRule="exact"/>
        <w:rPr>
          <w:sz w:val="20"/>
          <w:szCs w:val="20"/>
          <w:color w:val="auto"/>
        </w:rPr>
      </w:pPr>
    </w:p>
    <w:p>
      <w:pPr>
        <w:jc w:val="both"/>
        <w:ind w:firstLine="1304"/>
        <w:spacing w:after="0" w:line="280" w:lineRule="auto"/>
        <w:tabs>
          <w:tab w:leader="none" w:pos="1934" w:val="left"/>
        </w:tabs>
        <w:numPr>
          <w:ilvl w:val="0"/>
          <w:numId w:val="27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Without limiting the foregoing, the Administrative Agent (i) may treat the payee of any promissory note as its holder until such promissory note has been assigned in accordance with Section 9.04, (ii) may rely on the Register to the extent set forth in Section 9.04(b), (iii) may consult with legal counsel (including counsel to the Company), independent public accountants and other experts selected by it, and shall not be liable for any action taken or omitted to be taken in good faith by it in accordance with the advice of such counsel, accountants or experts, (iv) makes no warranty or representation to any Lender and shall not be responsible to any Lender for any statements, warranties or representations made by or on behalf of the Company in connection with this Agreement or any other Loan Document, (v) in determining compliance with any condition hereunder to the making of a Loan that by its terms must be fulfilled to the satisfaction of a Lender, may presume that such condition is satisfactory to such Lender unless the Administrative Agent shall have received notice to the contrary from such Lender sufficiently in advance of the making of such Loan and (vi) shall be entitled to rely on, and shall incur no liability under or in respect of this Agreement or any other Loan Document by acting upon, any notice, consent, certificate or other instrument or writing (which writing may be a fax, any electronic message, Internet or intranet website posting or other distribution) or any statement made to it orally or by telephone and believed by it to be genuine and signed or sent or otherwise authenticated by the proper party or parties (whether or not such Person in fact meets the requirements set forth in the Loan Documents for being the maker thereof).</w:t>
      </w:r>
    </w:p>
    <w:p>
      <w:pPr>
        <w:spacing w:after="0" w:line="197"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0"/>
          <w:szCs w:val="20"/>
          <w:color w:val="010000"/>
        </w:rPr>
        <w:t>Section 8.03.</w:t>
      </w:r>
      <w:r>
        <w:rPr>
          <w:sz w:val="20"/>
          <w:szCs w:val="20"/>
          <w:color w:val="auto"/>
        </w:rPr>
        <w:tab/>
      </w:r>
      <w:r>
        <w:rPr>
          <w:rFonts w:ascii="Times New Roman" w:cs="Times New Roman" w:eastAsia="Times New Roman" w:hAnsi="Times New Roman"/>
          <w:sz w:val="19"/>
          <w:szCs w:val="19"/>
          <w:u w:val="single" w:color="auto"/>
          <w:color w:val="auto"/>
        </w:rPr>
        <w:t>Posting of Communications</w:t>
      </w:r>
      <w:r>
        <w:rPr>
          <w:rFonts w:ascii="Times New Roman" w:cs="Times New Roman" w:eastAsia="Times New Roman" w:hAnsi="Times New Roman"/>
          <w:sz w:val="19"/>
          <w:szCs w:val="19"/>
          <w:color w:val="auto"/>
        </w:rPr>
        <w:t>.</w:t>
      </w:r>
    </w:p>
    <w:p>
      <w:pPr>
        <w:spacing w:after="0" w:line="40" w:lineRule="exact"/>
        <w:rPr>
          <w:sz w:val="20"/>
          <w:szCs w:val="20"/>
          <w:color w:val="auto"/>
        </w:rPr>
      </w:pPr>
    </w:p>
    <w:p>
      <w:pPr>
        <w:jc w:val="both"/>
        <w:ind w:firstLine="1304"/>
        <w:spacing w:after="0" w:line="289" w:lineRule="auto"/>
        <w:tabs>
          <w:tab w:leader="none" w:pos="1934" w:val="left"/>
        </w:tabs>
        <w:numPr>
          <w:ilvl w:val="0"/>
          <w:numId w:val="27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Company agrees that the Administrative Agent may, but shall not be obligated to, make any Communications available to the Lenders by posting the Communications on IntraLinks™, DebtDomain, SyndTrak, ClearPar or any other electronic platform chosen by the Administrative Agent to be its electronic transmission system (the “</w:t>
      </w:r>
      <w:r>
        <w:rPr>
          <w:rFonts w:ascii="Times New Roman" w:cs="Times New Roman" w:eastAsia="Times New Roman" w:hAnsi="Times New Roman"/>
          <w:sz w:val="20"/>
          <w:szCs w:val="20"/>
          <w:u w:val="single" w:color="auto"/>
          <w:color w:val="auto"/>
        </w:rPr>
        <w:t>Approved Electronic Platform</w:t>
      </w:r>
      <w:r>
        <w:rPr>
          <w:rFonts w:ascii="Times New Roman" w:cs="Times New Roman" w:eastAsia="Times New Roman" w:hAnsi="Times New Roman"/>
          <w:sz w:val="20"/>
          <w:szCs w:val="20"/>
          <w:color w:val="auto"/>
        </w:rPr>
        <w:t>”).</w:t>
      </w:r>
    </w:p>
    <w:p>
      <w:pPr>
        <w:spacing w:after="0" w:line="181" w:lineRule="exact"/>
        <w:rPr>
          <w:rFonts w:ascii="Times New Roman" w:cs="Times New Roman" w:eastAsia="Times New Roman" w:hAnsi="Times New Roman"/>
          <w:sz w:val="20"/>
          <w:szCs w:val="20"/>
          <w:color w:val="010000"/>
        </w:rPr>
      </w:pPr>
    </w:p>
    <w:p>
      <w:pPr>
        <w:jc w:val="both"/>
        <w:ind w:firstLine="1304"/>
        <w:spacing w:after="0" w:line="284" w:lineRule="auto"/>
        <w:tabs>
          <w:tab w:leader="none" w:pos="1932" w:val="left"/>
        </w:tabs>
        <w:numPr>
          <w:ilvl w:val="0"/>
          <w:numId w:val="27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Although the Approved Electronic Platform and its primary web portal are secured with generally-applicable security procedures and policies implemented or modified by the Administrative Agent from time to time (including, as of the Effective Date, a user ID/password authorization system) and the Approved Electronic Platform is secured through a per-deal authorization method whereby each user may access the Approved Electronic Platform only on a deal-by-deal basis, each of the Lenders, and the Company acknowledge and agree that the distribution of material through an electronic medium is not necessarily secure, that the Administrative Agent is not responsible for approving or vetting the representatives or contacts of any Lender that are added to the Approved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73</w:t>
      </w:r>
    </w:p>
    <w:p>
      <w:pPr>
        <w:sectPr>
          <w:pgSz w:w="11900" w:h="16838" w:orient="portrait"/>
          <w:cols w:equalWidth="0" w:num="1">
            <w:col w:w="11240"/>
          </w:cols>
          <w:pgMar w:left="320" w:top="1426" w:right="339" w:bottom="1440" w:gutter="0" w:footer="0" w:header="0"/>
        </w:sectPr>
      </w:pPr>
    </w:p>
    <w:bookmarkStart w:id="246" w:name="page247"/>
    <w:bookmarkEnd w:id="246"/>
    <w:p>
      <w:pPr>
        <w:jc w:val="both"/>
        <w:spacing w:after="0" w:line="296" w:lineRule="auto"/>
        <w:rPr>
          <w:sz w:val="20"/>
          <w:szCs w:val="20"/>
          <w:color w:val="auto"/>
        </w:rPr>
      </w:pPr>
      <w:r>
        <w:rPr>
          <w:rFonts w:ascii="Times New Roman" w:cs="Times New Roman" w:eastAsia="Times New Roman" w:hAnsi="Times New Roman"/>
          <w:sz w:val="20"/>
          <w:szCs w:val="20"/>
          <w:color w:val="auto"/>
        </w:rPr>
        <w:t>Electronic Platform, and that there may be confidentiality and other risks associated with such distribution. Each of the Lenders and the Company hereby approve distribution of the Communications through the Approved Electronic Platform and understands and assumes the risks of such distribution.</w:t>
      </w:r>
    </w:p>
    <w:p>
      <w:pPr>
        <w:spacing w:after="0" w:line="162" w:lineRule="exact"/>
        <w:rPr>
          <w:sz w:val="20"/>
          <w:szCs w:val="20"/>
          <w:color w:val="auto"/>
        </w:rPr>
      </w:pPr>
    </w:p>
    <w:p>
      <w:pPr>
        <w:jc w:val="both"/>
        <w:ind w:firstLine="1304"/>
        <w:spacing w:after="0" w:line="281" w:lineRule="auto"/>
        <w:tabs>
          <w:tab w:leader="none" w:pos="1934" w:val="left"/>
        </w:tabs>
        <w:numPr>
          <w:ilvl w:val="1"/>
          <w:numId w:val="27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APPROVED ELECTRONIC PLATFORM AND THE COMMUNICATIONS ARE PROVIDED “AS IS” AND “AS AVAILABLE”. THE APPLICABLE PARTIES (AS DEFINED BELOW) DO NOT WARRANT THE ACCURACY OR COMPLETENESS OF THE COMMUNICATIONS, OR THE ADEQUACY OF THE APPROVED ELECTRONIC PLATFORM AND EXPRESSLY DISCLAIM LIABILITY FOR ERRORS OR OMISSIONS IN THE APPROVED ELECTRONIC PLATFORM AND THE COMMUNICATIONS. NO WARRANTY OF ANY KIND, EXPRESS, IMPLIED OR STATUTORY, INCLUDING ANY WARRANTY OF MERCHANTABILITY, FITNESS FOR A PARTICULAR PURPOSE, NON-INFRINGEMENT OF THIRD PARTY RIGHTS OR FREEDOM FROM VIRUSES OR OTHER CODE DEFECTS, IS MADE BY THE APPLICABLE PARTIES IN CONNECTION WITH THE COMMUNICATIONS OR THE APPROVED ELECTRONIC PLATFORM. IN NO EVENT SHALL THE ADMINISTRATIVE AGENT, ANY ARRANGER, ANY CO-SYNDICATION AGENT OR ANY CO-DOCUMENTATION AGENT OR ANY OF THEIR RESPECTIVE RELATED PARTIES (COLLECTIVELY, “</w:t>
      </w:r>
      <w:r>
        <w:rPr>
          <w:rFonts w:ascii="Times New Roman" w:cs="Times New Roman" w:eastAsia="Times New Roman" w:hAnsi="Times New Roman"/>
          <w:sz w:val="20"/>
          <w:szCs w:val="20"/>
          <w:u w:val="single" w:color="auto"/>
          <w:color w:val="auto"/>
        </w:rPr>
        <w:t>APPLICABLE PARTIES</w:t>
      </w:r>
      <w:r>
        <w:rPr>
          <w:rFonts w:ascii="Times New Roman" w:cs="Times New Roman" w:eastAsia="Times New Roman" w:hAnsi="Times New Roman"/>
          <w:sz w:val="20"/>
          <w:szCs w:val="20"/>
          <w:color w:val="auto"/>
        </w:rPr>
        <w:t>”) HAVE ANY LIABILITY TO THE COMPANY, ANY LENDER OR ANY OTHER PERSON OR ENTITY FOR DAMAGES OF ANY KIND, INCLUDING DIRECT OR INDIRECT, SPECIAL, INCIDENTAL OR CONSEQUENTIAL DAMAGES, LOSSES OR EXPENSES (WHETHER IN TORT, CONTRACT OR OTHERWISE) ARISING OUT OF THE COMPANY’S OR THE ADMINISTRATIVE AGENT’S TRANSMISSION OF COMMUNICATIONS THROUGH THE INTERNET OR THE APPROVED ELECTRONIC PLATFORM.</w:t>
      </w:r>
    </w:p>
    <w:p>
      <w:pPr>
        <w:spacing w:after="0" w:line="199" w:lineRule="exact"/>
        <w:rPr>
          <w:rFonts w:ascii="Times New Roman" w:cs="Times New Roman" w:eastAsia="Times New Roman" w:hAnsi="Times New Roman"/>
          <w:sz w:val="20"/>
          <w:szCs w:val="20"/>
          <w:color w:val="010000"/>
        </w:rPr>
      </w:pPr>
    </w:p>
    <w:p>
      <w:pPr>
        <w:jc w:val="both"/>
        <w:ind w:firstLine="1304"/>
        <w:spacing w:after="0" w:line="278" w:lineRule="auto"/>
        <w:tabs>
          <w:tab w:leader="none" w:pos="1932" w:val="left"/>
        </w:tabs>
        <w:numPr>
          <w:ilvl w:val="1"/>
          <w:numId w:val="27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Lender agrees that notice to it (as provided in the next sentence) specifying that Communications have been posted to the Approved Electronic Platform shall constitute effective delivery of the Communications to such Lender for purposes of the Loan Documents. Each Lender agrees (i) to notify the Administrative Agent in writing (which could be in the form of electronic communication) from time to time of such Lender’s email address to which the foregoing notice may be sent by electronic transmission and</w:t>
      </w:r>
    </w:p>
    <w:p>
      <w:pPr>
        <w:ind w:left="300" w:hanging="292"/>
        <w:spacing w:after="0"/>
        <w:tabs>
          <w:tab w:leader="none" w:pos="300" w:val="left"/>
        </w:tabs>
        <w:numPr>
          <w:ilvl w:val="0"/>
          <w:numId w:val="2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the foregoing notice may be sent to such email address.</w:t>
      </w:r>
    </w:p>
    <w:p>
      <w:pPr>
        <w:spacing w:after="0" w:line="256" w:lineRule="exact"/>
        <w:rPr>
          <w:rFonts w:ascii="Times New Roman" w:cs="Times New Roman" w:eastAsia="Times New Roman" w:hAnsi="Times New Roman"/>
          <w:sz w:val="20"/>
          <w:szCs w:val="20"/>
          <w:color w:val="auto"/>
        </w:rPr>
      </w:pPr>
    </w:p>
    <w:p>
      <w:pPr>
        <w:jc w:val="both"/>
        <w:ind w:firstLine="1304"/>
        <w:spacing w:after="0" w:line="289" w:lineRule="auto"/>
        <w:tabs>
          <w:tab w:leader="none" w:pos="1934" w:val="left"/>
        </w:tabs>
        <w:numPr>
          <w:ilvl w:val="1"/>
          <w:numId w:val="27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of the Lenders and the Company agrees that the Administrative Agent may, but (except as may be required by applicable law) shall not be obligated to, store the Communications on the Approved Electronic Platform in accordance with the Administrative Agent’s generally applicable document retention procedures and policies.</w:t>
      </w:r>
    </w:p>
    <w:p>
      <w:pPr>
        <w:spacing w:after="0" w:line="181" w:lineRule="exact"/>
        <w:rPr>
          <w:rFonts w:ascii="Times New Roman" w:cs="Times New Roman" w:eastAsia="Times New Roman" w:hAnsi="Times New Roman"/>
          <w:sz w:val="20"/>
          <w:szCs w:val="20"/>
          <w:color w:val="010000"/>
        </w:rPr>
      </w:pPr>
    </w:p>
    <w:p>
      <w:pPr>
        <w:ind w:firstLine="1304"/>
        <w:spacing w:after="0" w:line="311" w:lineRule="auto"/>
        <w:tabs>
          <w:tab w:leader="none" w:pos="1939" w:val="left"/>
        </w:tabs>
        <w:numPr>
          <w:ilvl w:val="1"/>
          <w:numId w:val="27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Nothing herein shall prejudice the right of the Administrative Agent or any Lender to give any notice or other communication pursuant to any Loan Document in any other manner specified in such Loan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74</w:t>
      </w:r>
    </w:p>
    <w:p>
      <w:pPr>
        <w:sectPr>
          <w:pgSz w:w="11900" w:h="16838" w:orient="portrait"/>
          <w:cols w:equalWidth="0" w:num="1">
            <w:col w:w="11240"/>
          </w:cols>
          <w:pgMar w:left="320" w:top="1426" w:right="339" w:bottom="1440" w:gutter="0" w:footer="0" w:header="0"/>
        </w:sectPr>
      </w:pPr>
    </w:p>
    <w:bookmarkStart w:id="247" w:name="page248"/>
    <w:bookmarkEnd w:id="247"/>
    <w:p>
      <w:pPr>
        <w:jc w:val="both"/>
        <w:ind w:firstLine="1296"/>
        <w:spacing w:after="0" w:line="229" w:lineRule="auto"/>
        <w:rPr>
          <w:sz w:val="20"/>
          <w:szCs w:val="20"/>
          <w:color w:val="auto"/>
        </w:rPr>
      </w:pPr>
      <w:r>
        <w:rPr>
          <w:rFonts w:ascii="Times New Roman" w:cs="Times New Roman" w:eastAsia="Times New Roman" w:hAnsi="Times New Roman"/>
          <w:sz w:val="20"/>
          <w:szCs w:val="20"/>
          <w:color w:val="010000"/>
        </w:rPr>
        <w:t xml:space="preserve">Section 8.04. </w:t>
      </w:r>
      <w:r>
        <w:rPr>
          <w:rFonts w:ascii="Times New Roman" w:cs="Times New Roman" w:eastAsia="Times New Roman" w:hAnsi="Times New Roman"/>
          <w:sz w:val="20"/>
          <w:szCs w:val="20"/>
          <w:u w:val="single" w:color="auto"/>
          <w:color w:val="000000"/>
        </w:rPr>
        <w:t>The Administrative Agent Individually</w:t>
      </w:r>
      <w:r>
        <w:rPr>
          <w:rFonts w:ascii="Times New Roman" w:cs="Times New Roman" w:eastAsia="Times New Roman" w:hAnsi="Times New Roman"/>
          <w:sz w:val="20"/>
          <w:szCs w:val="20"/>
          <w:color w:val="000000"/>
        </w:rPr>
        <w:t>. With respect to its Commitments and Loans, the Person serving as</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the Administrative Agent shall have and may exercise the same rights and powers hereunder and is subject to the same obligations and</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20"/>
          <w:szCs w:val="20"/>
          <w:color w:val="auto"/>
        </w:rPr>
        <w:t>liabilities as and to the extent set forth herein for any other Lender. The terms “Lenders”, “Required Lenders” and any similar terms shall, unless the context clearly otherwise indicates, include the Administrative Agent in its individual capacity as a Lender or as one of the</w:t>
      </w:r>
    </w:p>
    <w:p>
      <w:pPr>
        <w:spacing w:after="0" w:line="1"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9"/>
          <w:szCs w:val="19"/>
          <w:color w:val="auto"/>
        </w:rPr>
        <w:t>Required Lenders, as applicable. The Person serving as the Administrative Agent and its Affiliates may accept deposits from, lend money to, own securities of, act as the financial advisor or in any other advisory capacity for and generally engage in any kind of banking, trust or other business with, the Company, any Subsidiary or any Affiliate of any of the foregoing as if such Person was not acting as the Administrative</w:t>
      </w:r>
    </w:p>
    <w:p>
      <w:pPr>
        <w:spacing w:after="0" w:line="212" w:lineRule="auto"/>
        <w:rPr>
          <w:sz w:val="20"/>
          <w:szCs w:val="20"/>
          <w:color w:val="auto"/>
        </w:rPr>
      </w:pPr>
      <w:r>
        <w:rPr>
          <w:rFonts w:ascii="Times New Roman" w:cs="Times New Roman" w:eastAsia="Times New Roman" w:hAnsi="Times New Roman"/>
          <w:sz w:val="20"/>
          <w:szCs w:val="20"/>
          <w:color w:val="auto"/>
        </w:rPr>
        <w:t>Agent and without any duty to account therefor to the Lenders.</w:t>
      </w:r>
    </w:p>
    <w:p>
      <w:pPr>
        <w:ind w:left="1300"/>
        <w:spacing w:after="0" w:line="237" w:lineRule="auto"/>
        <w:tabs>
          <w:tab w:leader="none" w:pos="2580" w:val="left"/>
        </w:tabs>
        <w:rPr>
          <w:sz w:val="20"/>
          <w:szCs w:val="20"/>
          <w:color w:val="auto"/>
        </w:rPr>
      </w:pPr>
      <w:r>
        <w:rPr>
          <w:rFonts w:ascii="Times New Roman" w:cs="Times New Roman" w:eastAsia="Times New Roman" w:hAnsi="Times New Roman"/>
          <w:sz w:val="20"/>
          <w:szCs w:val="20"/>
          <w:color w:val="010000"/>
        </w:rPr>
        <w:t>Section 8.05.</w:t>
      </w:r>
      <w:r>
        <w:rPr>
          <w:sz w:val="20"/>
          <w:szCs w:val="20"/>
          <w:color w:val="auto"/>
        </w:rPr>
        <w:tab/>
      </w:r>
      <w:r>
        <w:rPr>
          <w:rFonts w:ascii="Times New Roman" w:cs="Times New Roman" w:eastAsia="Times New Roman" w:hAnsi="Times New Roman"/>
          <w:sz w:val="19"/>
          <w:szCs w:val="19"/>
          <w:u w:val="single" w:color="auto"/>
          <w:color w:val="auto"/>
        </w:rPr>
        <w:t>Successor Administrative Agent</w:t>
      </w:r>
      <w:r>
        <w:rPr>
          <w:rFonts w:ascii="Times New Roman" w:cs="Times New Roman" w:eastAsia="Times New Roman" w:hAnsi="Times New Roman"/>
          <w:sz w:val="19"/>
          <w:szCs w:val="19"/>
          <w:color w:val="auto"/>
        </w:rPr>
        <w:t>.</w:t>
      </w:r>
    </w:p>
    <w:p>
      <w:pPr>
        <w:spacing w:after="0" w:line="1" w:lineRule="exact"/>
        <w:rPr>
          <w:sz w:val="20"/>
          <w:szCs w:val="20"/>
          <w:color w:val="auto"/>
        </w:rPr>
      </w:pPr>
    </w:p>
    <w:p>
      <w:pPr>
        <w:jc w:val="both"/>
        <w:ind w:firstLine="1304"/>
        <w:spacing w:after="0" w:line="218" w:lineRule="auto"/>
        <w:tabs>
          <w:tab w:leader="none" w:pos="1934" w:val="left"/>
        </w:tabs>
        <w:numPr>
          <w:ilvl w:val="0"/>
          <w:numId w:val="28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The Administrative Agent may resign at any time by giving 30 days’ prior written notice thereof to the Lenders and the Company, whether or not a successor Administrative Agent has been appointed. Upon any such resignation, the Required Lenders shall have the right to appoint a successor Administrative Agent. If no successor Administrative Agent shall have been so appointed by the Required Lenders, and shall have accepted such appointment, within 30 days after the retiring Administrative Agent’s giving of notice of resignation, then the retiring Administrative Agent may, on behalf of the Lenders, appoint a successor Administrative Agent, which shall be a bank with an office in New York, New York or an Affiliate of any such bank. In either case, such appointment shall be subject to the prior written approval of the Company (which approval may not be unreasonably withheld and shall not be required while an Event of Default under clause (a), (b), (h), (i), (j), (k) or (l) of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 xml:space="preserve"> has occurred and is continuing). Upon the acceptance of any appointment as Administrative Agent by a successor Administrative Agent, such successor Administrative Agent shall succeed to, and become vested with, all the rights, powers, privileges and duties of the retiring Administrative Agent. Upon the acceptance of appointment as Administrative Agent by a successor Administrative Agent, the retiring Administrative Agent shall be discharged from its duties and obligations under this Agreement and the other Loan Documents. Prior to any retiring Administrative Agent’s resignation hereunder as Administrative Agent, the retiring Administrative Agent shall take such action as may be reasonably necessary to assign to the successor Administrative Agent its rights as Administrative Agent under the Loan Documents.</w:t>
      </w:r>
    </w:p>
    <w:p>
      <w:pPr>
        <w:spacing w:after="0" w:line="11" w:lineRule="exact"/>
        <w:rPr>
          <w:rFonts w:ascii="Times New Roman" w:cs="Times New Roman" w:eastAsia="Times New Roman" w:hAnsi="Times New Roman"/>
          <w:sz w:val="20"/>
          <w:szCs w:val="20"/>
          <w:color w:val="010000"/>
        </w:rPr>
      </w:pPr>
    </w:p>
    <w:p>
      <w:pPr>
        <w:jc w:val="both"/>
        <w:ind w:firstLine="1304"/>
        <w:spacing w:after="0" w:line="221" w:lineRule="auto"/>
        <w:tabs>
          <w:tab w:leader="none" w:pos="1932" w:val="left"/>
        </w:tabs>
        <w:numPr>
          <w:ilvl w:val="0"/>
          <w:numId w:val="28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Notwithstanding paragraph (a) of this Section, in the event no successor Administrative Agent shall have been so appointed and shall have accepted such appointment within 30 days after the retiring Administrative Agent gives notice of its intent to resign, the retiring Administrative Agent may give notice of the effectiveness of its resignation to the Lenders and the Company, whereupon, on the date of effectiveness of such resignation stated in such notice, (i) the retiring Administrative Agent shall be discharged from its duties and obligations hereunder and under the other Loan Documents and (ii) the Required Lenders shall succeed to and become vested with all the rights, powers, privileges and duties of the retiring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all payments required to be made hereunder or under any other Loan Document to the Administrative Agent for the account of any Person other than the Administrative Agent shall be made directly to such Person and (B) all notices and other communications required or contemplated to be given or made to the Administrative Agent shall directly be given or made to each Lender. Following the effectiveness of the Administrative Agent’s resignation from its capacity as such, the provisions of this </w:t>
      </w:r>
      <w:r>
        <w:rPr>
          <w:rFonts w:ascii="Times New Roman" w:cs="Times New Roman" w:eastAsia="Times New Roman" w:hAnsi="Times New Roman"/>
          <w:sz w:val="20"/>
          <w:szCs w:val="20"/>
          <w:u w:val="single" w:color="auto"/>
          <w:color w:val="auto"/>
        </w:rPr>
        <w:t>Article VIII</w:t>
      </w:r>
      <w:r>
        <w:rPr>
          <w:rFonts w:ascii="Times New Roman" w:cs="Times New Roman" w:eastAsia="Times New Roman" w:hAnsi="Times New Roman"/>
          <w:sz w:val="20"/>
          <w:szCs w:val="20"/>
          <w:color w:val="auto"/>
        </w:rPr>
        <w:t xml:space="preserve"> and Section 9.03, as well as any exculpatory, reimbursement and indemnification provisions set forth in any other Loan Document, shall continue in effect for the benefit of such retiring Administrative Agent, its sub-agents and their respective Related Parties in respect of any actions taken or omitted to be taken by any of them while the retiring Administrative Agent was acting as Administrative Agent.</w:t>
      </w:r>
    </w:p>
    <w:p>
      <w:pPr>
        <w:spacing w:after="0" w:line="26"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0"/>
          <w:szCs w:val="20"/>
          <w:color w:val="010000"/>
        </w:rPr>
        <w:t>Section 8.06.</w:t>
      </w:r>
      <w:r>
        <w:rPr>
          <w:sz w:val="20"/>
          <w:szCs w:val="20"/>
          <w:color w:val="auto"/>
        </w:rPr>
        <w:tab/>
      </w:r>
      <w:r>
        <w:rPr>
          <w:rFonts w:ascii="Times New Roman" w:cs="Times New Roman" w:eastAsia="Times New Roman" w:hAnsi="Times New Roman"/>
          <w:sz w:val="19"/>
          <w:szCs w:val="19"/>
          <w:u w:val="single" w:color="auto"/>
          <w:color w:val="auto"/>
        </w:rPr>
        <w:t>Acknowledgements of Lenders</w:t>
      </w:r>
      <w:r>
        <w:rPr>
          <w:rFonts w:ascii="Times New Roman" w:cs="Times New Roman" w:eastAsia="Times New Roman" w:hAnsi="Times New Roman"/>
          <w:sz w:val="19"/>
          <w:szCs w:val="19"/>
          <w:color w:val="auto"/>
        </w:rPr>
        <w:t>.</w:t>
      </w:r>
    </w:p>
    <w:p>
      <w:pPr>
        <w:spacing w:after="0" w:line="28" w:lineRule="exact"/>
        <w:rPr>
          <w:sz w:val="20"/>
          <w:szCs w:val="20"/>
          <w:color w:val="auto"/>
        </w:rPr>
      </w:pPr>
    </w:p>
    <w:p>
      <w:pPr>
        <w:jc w:val="both"/>
        <w:ind w:firstLine="1304"/>
        <w:spacing w:after="0" w:line="262" w:lineRule="auto"/>
        <w:tabs>
          <w:tab w:leader="none" w:pos="1934" w:val="left"/>
        </w:tabs>
        <w:numPr>
          <w:ilvl w:val="0"/>
          <w:numId w:val="28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Lender represents and warrants that (i) the Loan Documents set forth the terms of a commercial lending facility, (ii) in participating as a Lender, it is engaged in making, acquiring or holding commercial loans and in providing other facilities set forth herein as may be applicable to such Lender in the ordinary course of business, and not for the purpose of investing in the general performance or operations of the Company, or for the purpose of purchasing, acquiring or holding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75</w:t>
      </w:r>
    </w:p>
    <w:p>
      <w:pPr>
        <w:sectPr>
          <w:pgSz w:w="11900" w:h="16838" w:orient="portrait"/>
          <w:cols w:equalWidth="0" w:num="1">
            <w:col w:w="11240"/>
          </w:cols>
          <w:pgMar w:left="320" w:top="1399" w:right="339" w:bottom="1440" w:gutter="0" w:footer="0" w:header="0"/>
        </w:sectPr>
      </w:pPr>
    </w:p>
    <w:bookmarkStart w:id="248" w:name="page249"/>
    <w:bookmarkEnd w:id="248"/>
    <w:p>
      <w:pPr>
        <w:jc w:val="both"/>
        <w:spacing w:after="0" w:line="260" w:lineRule="auto"/>
        <w:rPr>
          <w:sz w:val="20"/>
          <w:szCs w:val="20"/>
          <w:color w:val="auto"/>
        </w:rPr>
      </w:pPr>
      <w:r>
        <w:rPr>
          <w:rFonts w:ascii="Times New Roman" w:cs="Times New Roman" w:eastAsia="Times New Roman" w:hAnsi="Times New Roman"/>
          <w:sz w:val="20"/>
          <w:szCs w:val="20"/>
          <w:color w:val="auto"/>
        </w:rPr>
        <w:t>other type of financial instrument such as a security (and each Lender agrees not to assert a claim in contravention of the foregoing, such as a claim under the federal, state, provincial or territorial securities laws), (iii) it has, independently and without reliance upon the Administrative Agent, any Arranger, or any other Lender, or any of the Related Parties of any of the foregoing, and based on such documents and information as it has deemed appropriate, made its own credit analysis and decision to enter into this Agreement as a Lender, and to make, acquire or hold Loans hereunder and (iv) it is sophisticated with respect to decisions to make, acquire and/or hold commercial loans and to provide other facilities set forth herein, as may be applicable to such Lender, and either it, or the Person exercising discretion in making its decision to make, acquire and/or hold such commercial loans or to provide such other facilities, is experienced in making, acquiring or holding such commercial loans or providing such other facilities. Each Lender also acknowledges that it will, independently and without reliance upon the Administrative Agent, any Arranger or any other Lender, or any of the Related Parties of any of the foregoing, and based on such documents and information (which may contain material, non-public information within the meaning of the United States securities laws concerning the Company and its Affiliates)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77" w:lineRule="exact"/>
        <w:rPr>
          <w:sz w:val="20"/>
          <w:szCs w:val="20"/>
          <w:color w:val="auto"/>
        </w:rPr>
      </w:pPr>
    </w:p>
    <w:p>
      <w:pPr>
        <w:jc w:val="both"/>
        <w:ind w:firstLine="1304"/>
        <w:spacing w:after="0" w:line="258" w:lineRule="auto"/>
        <w:tabs>
          <w:tab w:leader="none" w:pos="1932" w:val="left"/>
        </w:tabs>
        <w:numPr>
          <w:ilvl w:val="0"/>
          <w:numId w:val="28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Lender, by delivering its signature page to this Agreement on the Effective Date, or delivering its signature page to an Assignment and Assumption or any other Loan Document pursuant to which it shall become a Lender hereunder, shall be deemed to have acknowledged receipt of, and consented to and approved, each Loan Document and each other document required to be delivered to, or be approved by or satisfactory to, the Administrative Agent or the Lenders on the Effective Date.</w:t>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010000"/>
        </w:rPr>
        <w:t>(c)</w:t>
      </w:r>
    </w:p>
    <w:p>
      <w:pPr>
        <w:spacing w:after="0" w:line="202" w:lineRule="exact"/>
        <w:rPr>
          <w:sz w:val="20"/>
          <w:szCs w:val="20"/>
          <w:color w:val="auto"/>
        </w:rPr>
      </w:pPr>
    </w:p>
    <w:p>
      <w:pPr>
        <w:jc w:val="both"/>
        <w:ind w:left="1300" w:firstLine="652"/>
        <w:spacing w:after="0" w:line="208" w:lineRule="auto"/>
        <w:tabs>
          <w:tab w:leader="none" w:pos="2594" w:val="left"/>
        </w:tabs>
        <w:numPr>
          <w:ilvl w:val="1"/>
          <w:numId w:val="28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Lender hereby agrees that (x) if the Administrative Agent notifies such Lender that the Administrative Agent has determined in its sole discretion that any funds received by such Lender from the Administrative Agent or any of its Affiliates (whether as a payment, prepayment or repayment of principal, interest, fees or otherwise; individually and collectively, a “</w:t>
      </w:r>
      <w:r>
        <w:rPr>
          <w:rFonts w:ascii="Times New Roman" w:cs="Times New Roman" w:eastAsia="Times New Roman" w:hAnsi="Times New Roman"/>
          <w:sz w:val="20"/>
          <w:szCs w:val="20"/>
          <w:u w:val="single" w:color="auto"/>
          <w:color w:val="auto"/>
        </w:rPr>
        <w:t>Payment</w:t>
      </w:r>
      <w:r>
        <w:rPr>
          <w:rFonts w:ascii="Times New Roman" w:cs="Times New Roman" w:eastAsia="Times New Roman" w:hAnsi="Times New Roman"/>
          <w:sz w:val="20"/>
          <w:szCs w:val="20"/>
          <w:color w:val="auto"/>
        </w:rPr>
        <w:t>”) were erroneously transmitted to such Lender (whether or not known to such Lender), and demands the return of such Payment (or a portion thereof), such Lender shall promptly, but in no event later than one (1) Business Day thereafter (or such later date as the Administrative Agent may, in its sole discretion, specify in writing), return to the Administrative Agent the amount of any such Payment (or portion thereof) as to which such a demand was made in same day funds, together with interest thereon (except to the extent waived in writing by the Administrative Agent)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 and</w:t>
      </w:r>
    </w:p>
    <w:p>
      <w:pPr>
        <w:spacing w:after="0" w:line="3" w:lineRule="exact"/>
        <w:rPr>
          <w:rFonts w:ascii="Times New Roman" w:cs="Times New Roman" w:eastAsia="Times New Roman" w:hAnsi="Times New Roman"/>
          <w:sz w:val="20"/>
          <w:szCs w:val="20"/>
          <w:color w:val="010000"/>
        </w:rPr>
      </w:pPr>
    </w:p>
    <w:p>
      <w:pPr>
        <w:ind w:left="1620" w:hanging="316"/>
        <w:spacing w:after="0" w:line="211" w:lineRule="auto"/>
        <w:tabs>
          <w:tab w:leader="none" w:pos="1620" w:val="left"/>
        </w:tabs>
        <w:numPr>
          <w:ilvl w:val="0"/>
          <w:numId w:val="2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permitted by applicable law, such Lender shall not assert, and hereby waives, as to the Administrative</w:t>
      </w:r>
    </w:p>
    <w:p>
      <w:pPr>
        <w:ind w:left="1300"/>
        <w:spacing w:after="0" w:line="222" w:lineRule="auto"/>
        <w:rPr>
          <w:sz w:val="20"/>
          <w:szCs w:val="20"/>
          <w:color w:val="auto"/>
        </w:rPr>
      </w:pPr>
      <w:r>
        <w:rPr>
          <w:rFonts w:ascii="Times New Roman" w:cs="Times New Roman" w:eastAsia="Times New Roman" w:hAnsi="Times New Roman"/>
          <w:sz w:val="19"/>
          <w:szCs w:val="19"/>
          <w:color w:val="auto"/>
        </w:rPr>
        <w:t>Agent, any claim, counterclaim, defense or right of set-off or recoupment with respect to any demand, claim or counterclaim</w:t>
      </w:r>
    </w:p>
    <w:p>
      <w:pPr>
        <w:spacing w:after="0" w:line="1" w:lineRule="exact"/>
        <w:rPr>
          <w:sz w:val="20"/>
          <w:szCs w:val="20"/>
          <w:color w:val="auto"/>
        </w:rPr>
      </w:pPr>
    </w:p>
    <w:p>
      <w:pPr>
        <w:jc w:val="both"/>
        <w:ind w:left="1300"/>
        <w:spacing w:after="0" w:line="204" w:lineRule="auto"/>
        <w:rPr>
          <w:sz w:val="20"/>
          <w:szCs w:val="20"/>
          <w:color w:val="auto"/>
        </w:rPr>
      </w:pPr>
      <w:r>
        <w:rPr>
          <w:rFonts w:ascii="Times New Roman" w:cs="Times New Roman" w:eastAsia="Times New Roman" w:hAnsi="Times New Roman"/>
          <w:sz w:val="20"/>
          <w:szCs w:val="20"/>
          <w:color w:val="auto"/>
        </w:rPr>
        <w:t>by the Administrative Agent for the return of any Payments received, including without limitation any defense based on “discharge for value” or any similar doctrine. A notice of the Administrative Agent to any Lender under this Section 8.06(c)</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shall be conclusive, absent manifest error.</w:t>
      </w:r>
    </w:p>
    <w:p>
      <w:pPr>
        <w:spacing w:after="0" w:line="167" w:lineRule="exact"/>
        <w:rPr>
          <w:sz w:val="20"/>
          <w:szCs w:val="20"/>
          <w:color w:val="auto"/>
        </w:rPr>
      </w:pPr>
    </w:p>
    <w:p>
      <w:pPr>
        <w:jc w:val="both"/>
        <w:ind w:left="1300" w:firstLine="652"/>
        <w:spacing w:after="0" w:line="226" w:lineRule="auto"/>
        <w:tabs>
          <w:tab w:leader="none" w:pos="2595" w:val="left"/>
        </w:tabs>
        <w:numPr>
          <w:ilvl w:val="0"/>
          <w:numId w:val="28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Lender hereby further agrees that if it receives a Payment from the Administrative Agent or any of its Affiliates (x) that is in a different amount than, or on a different date from, that specified in a notice of payment sent by the Administrative Agent (or any of its Affiliates) with respect to such Payment (a “</w:t>
      </w:r>
      <w:r>
        <w:rPr>
          <w:rFonts w:ascii="Times New Roman" w:cs="Times New Roman" w:eastAsia="Times New Roman" w:hAnsi="Times New Roman"/>
          <w:sz w:val="20"/>
          <w:szCs w:val="20"/>
          <w:u w:val="single" w:color="auto"/>
          <w:color w:val="auto"/>
        </w:rPr>
        <w:t>Payment Notice</w:t>
      </w:r>
      <w:r>
        <w:rPr>
          <w:rFonts w:ascii="Times New Roman" w:cs="Times New Roman" w:eastAsia="Times New Roman" w:hAnsi="Times New Roman"/>
          <w:sz w:val="20"/>
          <w:szCs w:val="20"/>
          <w:color w:val="auto"/>
        </w:rPr>
        <w:t>”) or (y)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76</w:t>
      </w:r>
    </w:p>
    <w:p>
      <w:pPr>
        <w:sectPr>
          <w:pgSz w:w="11900" w:h="16838" w:orient="portrait"/>
          <w:cols w:equalWidth="0" w:num="1">
            <w:col w:w="11240"/>
          </w:cols>
          <w:pgMar w:left="320" w:top="1426" w:right="339" w:bottom="1440" w:gutter="0" w:footer="0" w:header="0"/>
        </w:sectPr>
      </w:pPr>
    </w:p>
    <w:bookmarkStart w:id="249" w:name="page250"/>
    <w:bookmarkEnd w:id="249"/>
    <w:p>
      <w:pPr>
        <w:ind w:left="1300"/>
        <w:spacing w:after="0"/>
        <w:rPr>
          <w:sz w:val="20"/>
          <w:szCs w:val="20"/>
          <w:color w:val="auto"/>
        </w:rPr>
      </w:pPr>
      <w:r>
        <w:rPr>
          <w:rFonts w:ascii="Times New Roman" w:cs="Times New Roman" w:eastAsia="Times New Roman" w:hAnsi="Times New Roman"/>
          <w:sz w:val="20"/>
          <w:szCs w:val="20"/>
          <w:color w:val="auto"/>
        </w:rPr>
        <w:t>that was not preceded or accompanied by a Payment Notice, it shall be on notice, in each such case, that an error has been</w:t>
      </w:r>
    </w:p>
    <w:p>
      <w:pPr>
        <w:ind w:left="1300"/>
        <w:spacing w:after="0" w:line="204" w:lineRule="auto"/>
        <w:rPr>
          <w:sz w:val="20"/>
          <w:szCs w:val="20"/>
          <w:color w:val="auto"/>
        </w:rPr>
      </w:pPr>
      <w:r>
        <w:rPr>
          <w:rFonts w:ascii="Times New Roman" w:cs="Times New Roman" w:eastAsia="Times New Roman" w:hAnsi="Times New Roman"/>
          <w:sz w:val="20"/>
          <w:szCs w:val="20"/>
          <w:color w:val="auto"/>
        </w:rPr>
        <w:t>made with respect to such Payment. Each Lender agrees that, in each such case, or if it otherwise becomes aware a Payment (or portion thereof) may have been sent in error, such Lender shall promptly notify the Administrative Agent of such</w:t>
      </w:r>
    </w:p>
    <w:p>
      <w:pPr>
        <w:ind w:left="1300"/>
        <w:spacing w:after="0" w:line="211" w:lineRule="auto"/>
        <w:rPr>
          <w:sz w:val="20"/>
          <w:szCs w:val="20"/>
          <w:color w:val="auto"/>
        </w:rPr>
      </w:pPr>
      <w:r>
        <w:rPr>
          <w:rFonts w:ascii="Times New Roman" w:cs="Times New Roman" w:eastAsia="Times New Roman" w:hAnsi="Times New Roman"/>
          <w:sz w:val="20"/>
          <w:szCs w:val="20"/>
          <w:color w:val="auto"/>
        </w:rPr>
        <w:t>occurrence and, upon demand from the Administrative Agent, it shall promptly, but in no event later than one (1) Business</w:t>
      </w:r>
    </w:p>
    <w:p>
      <w:pPr>
        <w:spacing w:after="0" w:line="1" w:lineRule="exact"/>
        <w:rPr>
          <w:sz w:val="20"/>
          <w:szCs w:val="20"/>
          <w:color w:val="auto"/>
        </w:rPr>
      </w:pPr>
    </w:p>
    <w:p>
      <w:pPr>
        <w:ind w:left="1300"/>
        <w:spacing w:after="0" w:line="204" w:lineRule="auto"/>
        <w:rPr>
          <w:sz w:val="20"/>
          <w:szCs w:val="20"/>
          <w:color w:val="auto"/>
        </w:rPr>
      </w:pPr>
      <w:r>
        <w:rPr>
          <w:rFonts w:ascii="Times New Roman" w:cs="Times New Roman" w:eastAsia="Times New Roman" w:hAnsi="Times New Roman"/>
          <w:sz w:val="20"/>
          <w:szCs w:val="20"/>
          <w:color w:val="auto"/>
        </w:rPr>
        <w:t>Day thereafter (or such later date as the Administrative Agent may, in its sole discretion, specify in writing), return to the Administrative Agent the amount of any such Payment (or portion thereof) as to which such a demand was made in same</w:t>
      </w:r>
    </w:p>
    <w:p>
      <w:pPr>
        <w:ind w:left="1300"/>
        <w:spacing w:after="0" w:line="211" w:lineRule="auto"/>
        <w:rPr>
          <w:sz w:val="20"/>
          <w:szCs w:val="20"/>
          <w:color w:val="auto"/>
        </w:rPr>
      </w:pPr>
      <w:r>
        <w:rPr>
          <w:rFonts w:ascii="Times New Roman" w:cs="Times New Roman" w:eastAsia="Times New Roman" w:hAnsi="Times New Roman"/>
          <w:sz w:val="20"/>
          <w:szCs w:val="20"/>
          <w:color w:val="auto"/>
        </w:rPr>
        <w:t>day funds, together with interest thereon (except to the extent waived in writing by the Administrative Agent) in respect of</w:t>
      </w:r>
    </w:p>
    <w:p>
      <w:pPr>
        <w:spacing w:after="0" w:line="1" w:lineRule="exact"/>
        <w:rPr>
          <w:sz w:val="20"/>
          <w:szCs w:val="20"/>
          <w:color w:val="auto"/>
        </w:rPr>
      </w:pPr>
    </w:p>
    <w:p>
      <w:pPr>
        <w:ind w:left="1300"/>
        <w:spacing w:after="0" w:line="204" w:lineRule="auto"/>
        <w:rPr>
          <w:sz w:val="20"/>
          <w:szCs w:val="20"/>
          <w:color w:val="auto"/>
        </w:rPr>
      </w:pPr>
      <w:r>
        <w:rPr>
          <w:rFonts w:ascii="Times New Roman" w:cs="Times New Roman" w:eastAsia="Times New Roman" w:hAnsi="Times New Roman"/>
          <w:sz w:val="20"/>
          <w:szCs w:val="20"/>
          <w:color w:val="auto"/>
        </w:rPr>
        <w:t>each day from and including the date such Payment (or portion thereof) was received by such Lender to the date such amount is repaid to the Administrative Agent at the greater of the NYFRB Rate and a rate determined by the Administrative</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Agent in accordance with banking industry rules on interbank compensation from time to time in effect.</w:t>
      </w:r>
    </w:p>
    <w:p>
      <w:pPr>
        <w:spacing w:after="0" w:line="167" w:lineRule="exact"/>
        <w:rPr>
          <w:sz w:val="20"/>
          <w:szCs w:val="20"/>
          <w:color w:val="auto"/>
        </w:rPr>
      </w:pPr>
    </w:p>
    <w:p>
      <w:pPr>
        <w:jc w:val="both"/>
        <w:ind w:left="1300" w:firstLine="652"/>
        <w:spacing w:after="0" w:line="216" w:lineRule="auto"/>
        <w:tabs>
          <w:tab w:leader="none" w:pos="2596" w:val="left"/>
        </w:tabs>
        <w:numPr>
          <w:ilvl w:val="0"/>
          <w:numId w:val="28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Company hereby agrees that (x) in the event an erroneous Payment (or portion thereof) are not recovered from any Lender that has received such Payment (or portion thereof) for any reason, the Administrative Agent shall be subrogated to all the rights of such Lender with respect to such amount and (y) an erroneous Payment shall not pay, prepay, repay, discharge or otherwise satisfy any Obligations owed by the Company, except, in the case of clause (y), to the extent such erroneous Payment is, and solely with respect to the amount of such erroneous Payment that is, comprised of funds received by the Administrative Agent from the Company for the purposes of satisfying an Obligation.</w:t>
      </w:r>
    </w:p>
    <w:p>
      <w:pPr>
        <w:spacing w:after="0" w:line="162" w:lineRule="exact"/>
        <w:rPr>
          <w:rFonts w:ascii="Times New Roman" w:cs="Times New Roman" w:eastAsia="Times New Roman" w:hAnsi="Times New Roman"/>
          <w:sz w:val="20"/>
          <w:szCs w:val="20"/>
          <w:color w:val="010000"/>
        </w:rPr>
      </w:pPr>
    </w:p>
    <w:p>
      <w:pPr>
        <w:jc w:val="both"/>
        <w:ind w:left="1300" w:firstLine="652"/>
        <w:spacing w:after="0" w:line="226" w:lineRule="auto"/>
        <w:tabs>
          <w:tab w:leader="none" w:pos="2585" w:val="left"/>
        </w:tabs>
        <w:numPr>
          <w:ilvl w:val="0"/>
          <w:numId w:val="28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party’s obligations under this Section 8.06(c) shall survive the resignation or replacement of the Administrative Agent or any transfer of rights or obligations by, or the replacement of, a Lender, the termination of the Commitments or the repayment, satisfaction or discharge of all Obligations under any Loan Document.</w:t>
      </w:r>
    </w:p>
    <w:p>
      <w:pPr>
        <w:spacing w:after="0" w:line="141"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0"/>
          <w:szCs w:val="20"/>
          <w:color w:val="010000"/>
        </w:rPr>
        <w:t>Section 8.07.</w:t>
      </w:r>
      <w:r>
        <w:rPr>
          <w:sz w:val="20"/>
          <w:szCs w:val="20"/>
          <w:color w:val="auto"/>
        </w:rPr>
        <w:tab/>
      </w:r>
      <w:r>
        <w:rPr>
          <w:rFonts w:ascii="Times New Roman" w:cs="Times New Roman" w:eastAsia="Times New Roman" w:hAnsi="Times New Roman"/>
          <w:sz w:val="19"/>
          <w:szCs w:val="19"/>
          <w:u w:val="single" w:color="auto"/>
          <w:color w:val="auto"/>
        </w:rPr>
        <w:t>Certain ERISA Matters</w:t>
      </w:r>
      <w:r>
        <w:rPr>
          <w:rFonts w:ascii="Times New Roman" w:cs="Times New Roman" w:eastAsia="Times New Roman" w:hAnsi="Times New Roman"/>
          <w:sz w:val="19"/>
          <w:szCs w:val="19"/>
          <w:color w:val="auto"/>
        </w:rPr>
        <w:t>.</w:t>
      </w:r>
    </w:p>
    <w:p>
      <w:pPr>
        <w:jc w:val="both"/>
        <w:ind w:firstLine="1304"/>
        <w:spacing w:after="0" w:line="216" w:lineRule="auto"/>
        <w:tabs>
          <w:tab w:leader="none" w:pos="1934" w:val="left"/>
        </w:tabs>
        <w:numPr>
          <w:ilvl w:val="0"/>
          <w:numId w:val="28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the Arrangers and their respective Affiliates, and not, for the avoidance of doubt, to or for the benefit of the Company, that at least one of the following is and will be true:</w:t>
      </w:r>
    </w:p>
    <w:p>
      <w:pPr>
        <w:spacing w:after="0" w:line="162" w:lineRule="exact"/>
        <w:rPr>
          <w:rFonts w:ascii="Times New Roman" w:cs="Times New Roman" w:eastAsia="Times New Roman" w:hAnsi="Times New Roman"/>
          <w:sz w:val="20"/>
          <w:szCs w:val="20"/>
          <w:color w:val="010000"/>
        </w:rPr>
      </w:pPr>
    </w:p>
    <w:p>
      <w:pPr>
        <w:ind w:left="660" w:firstLine="1292"/>
        <w:spacing w:after="0" w:line="233" w:lineRule="auto"/>
        <w:tabs>
          <w:tab w:leader="none" w:pos="2602" w:val="left"/>
        </w:tabs>
        <w:numPr>
          <w:ilvl w:val="1"/>
          <w:numId w:val="28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such Lender is not using “plan assets” (within the meaning of the Plan Asset Regulations) of one or more Benefit Plans in connection with the Loans or the Commitments,</w:t>
      </w:r>
    </w:p>
    <w:p>
      <w:pPr>
        <w:spacing w:after="0" w:line="160" w:lineRule="exact"/>
        <w:rPr>
          <w:rFonts w:ascii="Times New Roman" w:cs="Times New Roman" w:eastAsia="Times New Roman" w:hAnsi="Times New Roman"/>
          <w:sz w:val="20"/>
          <w:szCs w:val="20"/>
          <w:color w:val="010000"/>
        </w:rPr>
      </w:pPr>
    </w:p>
    <w:p>
      <w:pPr>
        <w:jc w:val="both"/>
        <w:ind w:left="660" w:firstLine="1292"/>
        <w:spacing w:after="0" w:line="227" w:lineRule="auto"/>
        <w:tabs>
          <w:tab w:leader="none" w:pos="2603" w:val="left"/>
        </w:tabs>
        <w:numPr>
          <w:ilvl w:val="1"/>
          <w:numId w:val="28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Commitments and this Agreement,</w:t>
      </w:r>
    </w:p>
    <w:p>
      <w:pPr>
        <w:spacing w:after="0" w:line="164" w:lineRule="exact"/>
        <w:rPr>
          <w:rFonts w:ascii="Times New Roman" w:cs="Times New Roman" w:eastAsia="Times New Roman" w:hAnsi="Times New Roman"/>
          <w:sz w:val="19"/>
          <w:szCs w:val="19"/>
          <w:color w:val="010000"/>
        </w:rPr>
      </w:pPr>
    </w:p>
    <w:p>
      <w:pPr>
        <w:jc w:val="both"/>
        <w:ind w:left="660" w:firstLine="1292"/>
        <w:spacing w:after="0" w:line="216" w:lineRule="auto"/>
        <w:tabs>
          <w:tab w:leader="none" w:pos="2604" w:val="left"/>
        </w:tabs>
        <w:numPr>
          <w:ilvl w:val="1"/>
          <w:numId w:val="28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Commitments and this Agreement, (C) the entrance into, participation in, administration of and performance of the Loans, the Commitments and this Agreement satisfies the requirements of sub-sections (b) through (g) of Part I of PTE 84-14 and (D) to the best knowledge of such Lender, the requirements of subsection (a) of Part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77</w:t>
      </w:r>
    </w:p>
    <w:p>
      <w:pPr>
        <w:sectPr>
          <w:pgSz w:w="11900" w:h="16838" w:orient="portrait"/>
          <w:cols w:equalWidth="0" w:num="1">
            <w:col w:w="11240"/>
          </w:cols>
          <w:pgMar w:left="320" w:top="1394" w:right="339" w:bottom="1440" w:gutter="0" w:footer="0" w:header="0"/>
        </w:sectPr>
      </w:pPr>
    </w:p>
    <w:bookmarkStart w:id="250" w:name="page251"/>
    <w:bookmarkEnd w:id="250"/>
    <w:p>
      <w:pPr>
        <w:ind w:left="660"/>
        <w:spacing w:after="0"/>
        <w:rPr>
          <w:sz w:val="20"/>
          <w:szCs w:val="20"/>
          <w:color w:val="auto"/>
        </w:rPr>
      </w:pPr>
      <w:r>
        <w:rPr>
          <w:rFonts w:ascii="Times New Roman" w:cs="Times New Roman" w:eastAsia="Times New Roman" w:hAnsi="Times New Roman"/>
          <w:sz w:val="20"/>
          <w:szCs w:val="20"/>
          <w:color w:val="auto"/>
        </w:rPr>
        <w:t>of PTE 84-14 are satisfied with respect to such Lender’s entrance into, participation in, administration of and performance of the Loans, the Commitments and this Agreement, or</w:t>
      </w:r>
    </w:p>
    <w:p>
      <w:pPr>
        <w:spacing w:after="0" w:line="148" w:lineRule="exact"/>
        <w:rPr>
          <w:sz w:val="20"/>
          <w:szCs w:val="20"/>
          <w:color w:val="auto"/>
        </w:rPr>
      </w:pPr>
    </w:p>
    <w:p>
      <w:pPr>
        <w:ind w:left="660" w:firstLine="1292"/>
        <w:spacing w:after="0"/>
        <w:tabs>
          <w:tab w:leader="none" w:pos="2593" w:val="left"/>
        </w:tabs>
        <w:numPr>
          <w:ilvl w:val="1"/>
          <w:numId w:val="28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such other representation, warranty and covenant as may be agreed in writing between the Administrative Agent, in its sole discretion, and such Lender.</w:t>
      </w:r>
    </w:p>
    <w:p>
      <w:pPr>
        <w:spacing w:after="0" w:line="161" w:lineRule="exact"/>
        <w:rPr>
          <w:rFonts w:ascii="Times New Roman" w:cs="Times New Roman" w:eastAsia="Times New Roman" w:hAnsi="Times New Roman"/>
          <w:sz w:val="20"/>
          <w:szCs w:val="20"/>
          <w:color w:val="010000"/>
        </w:rPr>
      </w:pPr>
    </w:p>
    <w:p>
      <w:pPr>
        <w:jc w:val="both"/>
        <w:ind w:firstLine="1304"/>
        <w:spacing w:after="0" w:line="213" w:lineRule="auto"/>
        <w:tabs>
          <w:tab w:leader="none" w:pos="1932" w:val="left"/>
        </w:tabs>
        <w:numPr>
          <w:ilvl w:val="0"/>
          <w:numId w:val="28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 addition, unless sub-clause (i) in the immediately preceding clause (a) is true with respect to a Lender or such Lender has provided another representation, warranty and covenant as provided in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the Arrangers and any of their respective Affiliates, and not, for the avoidance of doubt, to or for the benefit of the Company, that none of the Administrative Agent, or the Arrangers, any Co-Syndication Agent, any Co-Documentation Agent or any of their respective Affiliates is a fiduciary with respect to the assets of such Lender (including in connection with the reservation or exercise of any rights by the Administrative Agent under this Agreement, any Loan Document or any documents related hereto or thereto).</w:t>
      </w:r>
    </w:p>
    <w:p>
      <w:pPr>
        <w:spacing w:after="0" w:line="162" w:lineRule="exact"/>
        <w:rPr>
          <w:rFonts w:ascii="Times New Roman" w:cs="Times New Roman" w:eastAsia="Times New Roman" w:hAnsi="Times New Roman"/>
          <w:sz w:val="20"/>
          <w:szCs w:val="20"/>
          <w:color w:val="010000"/>
        </w:rPr>
      </w:pPr>
    </w:p>
    <w:p>
      <w:pPr>
        <w:jc w:val="both"/>
        <w:ind w:firstLine="1304"/>
        <w:spacing w:after="0" w:line="212" w:lineRule="auto"/>
        <w:tabs>
          <w:tab w:leader="none" w:pos="1934" w:val="left"/>
        </w:tabs>
        <w:numPr>
          <w:ilvl w:val="0"/>
          <w:numId w:val="28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Administrative Agent and each Arranger, each Co-Syndication Agent and each Co-Documentation Agent hereby informs the Lenders that each such Person is not undertaking to provide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Commitments, this Agreement and any other Loan Documents, (ii) may recognize a gain if it extended the Loans or the Commitments for an amount less than the amount being paid for an interest in the Loans or the Commitments by such Lender or (iii) may receive fees or other payments in connection with the transactions contemplated hereby, the Loan Documents or otherwise, including structuring fees, commitment fees, arrangement fees, facility fees, commitment fees, upfront fees, underwriting fees, ticking fees, agency fees, administrative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0"/>
          <w:szCs w:val="20"/>
          <w:color w:val="010000"/>
        </w:rPr>
        <w:t>ARTICLE IX</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Miscellaneous</w:t>
      </w:r>
    </w:p>
    <w:p>
      <w:pPr>
        <w:spacing w:after="0" w:line="40"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0"/>
          <w:szCs w:val="20"/>
          <w:color w:val="010000"/>
        </w:rPr>
        <w:t>Section 9.01.</w:t>
      </w:r>
      <w:r>
        <w:rPr>
          <w:sz w:val="20"/>
          <w:szCs w:val="20"/>
          <w:color w:val="auto"/>
        </w:rPr>
        <w:tab/>
      </w:r>
      <w:r>
        <w:rPr>
          <w:rFonts w:ascii="Times New Roman" w:cs="Times New Roman" w:eastAsia="Times New Roman" w:hAnsi="Times New Roman"/>
          <w:sz w:val="19"/>
          <w:szCs w:val="19"/>
          <w:u w:val="single" w:color="auto"/>
          <w:color w:val="auto"/>
        </w:rPr>
        <w:t>Notices</w:t>
      </w:r>
      <w:r>
        <w:rPr>
          <w:rFonts w:ascii="Times New Roman" w:cs="Times New Roman" w:eastAsia="Times New Roman" w:hAnsi="Times New Roman"/>
          <w:sz w:val="19"/>
          <w:szCs w:val="19"/>
          <w:color w:val="auto"/>
        </w:rPr>
        <w:t>.</w:t>
      </w:r>
    </w:p>
    <w:p>
      <w:pPr>
        <w:spacing w:after="0" w:line="28" w:lineRule="exact"/>
        <w:rPr>
          <w:sz w:val="20"/>
          <w:szCs w:val="20"/>
          <w:color w:val="auto"/>
        </w:rPr>
      </w:pPr>
    </w:p>
    <w:p>
      <w:pPr>
        <w:jc w:val="both"/>
        <w:ind w:left="660" w:firstLine="644"/>
        <w:spacing w:after="0" w:line="281" w:lineRule="auto"/>
        <w:tabs>
          <w:tab w:leader="none" w:pos="1946" w:val="left"/>
        </w:tabs>
        <w:numPr>
          <w:ilvl w:val="0"/>
          <w:numId w:val="29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Except in the case of notices and other communications expressly permitted to be given by telephone (and subject to paragraph (b) below), all notices and other communications provided for herein shall be in writing and shall be delivered by hand or overnight courier service, mailed by certified or registered mail or sent by telecopy, as follows:</w:t>
      </w:r>
    </w:p>
    <w:p>
      <w:pPr>
        <w:spacing w:after="0" w:line="175" w:lineRule="exact"/>
        <w:rPr>
          <w:rFonts w:ascii="Times New Roman" w:cs="Times New Roman" w:eastAsia="Times New Roman" w:hAnsi="Times New Roman"/>
          <w:sz w:val="20"/>
          <w:szCs w:val="20"/>
          <w:color w:val="010000"/>
        </w:rPr>
      </w:pPr>
    </w:p>
    <w:p>
      <w:pPr>
        <w:jc w:val="both"/>
        <w:ind w:left="1300" w:firstLine="652"/>
        <w:spacing w:after="0" w:line="273" w:lineRule="auto"/>
        <w:tabs>
          <w:tab w:leader="none" w:pos="2594" w:val="left"/>
        </w:tabs>
        <w:numPr>
          <w:ilvl w:val="1"/>
          <w:numId w:val="29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if to the Company, to it c/o the Company, 1100 Cassatt Road, Berwyn, Pennsylvania 19312, Attention of Kevin Coleman, Vice President, Investor Relations and Treasurer (Telecopy No. 215-323-9350; Telephone No. 610-889-5247),; with a copy (in the case of a notice of an actual or potential Default, Event of Default, non-compliance with this Agreement or any other similar matter) to (which copy shall not constitute notice): Morgan, Lewis &amp; Bockius LLP, 2222 Market Street, Philadelphia, Pennsylvania 19103, Attention of Andrew Budreika, (Telecopy No. (215) 963-5493; Telephone No. (215) 963-5493, Email: andrew.budreika@morganlewis.com);</w:t>
      </w:r>
    </w:p>
    <w:p>
      <w:pPr>
        <w:spacing w:after="0" w:line="185" w:lineRule="exact"/>
        <w:rPr>
          <w:rFonts w:ascii="Times New Roman" w:cs="Times New Roman" w:eastAsia="Times New Roman" w:hAnsi="Times New Roman"/>
          <w:sz w:val="20"/>
          <w:szCs w:val="20"/>
          <w:color w:val="010000"/>
        </w:rPr>
      </w:pPr>
    </w:p>
    <w:p>
      <w:pPr>
        <w:jc w:val="both"/>
        <w:ind w:left="1300" w:firstLine="652"/>
        <w:spacing w:after="0" w:line="325" w:lineRule="auto"/>
        <w:tabs>
          <w:tab w:leader="none" w:pos="2595" w:val="left"/>
        </w:tabs>
        <w:numPr>
          <w:ilvl w:val="1"/>
          <w:numId w:val="29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if to the Administrative Agent, (A) in the case of payments, Borrowings and interest elections pursuant to Section 2.08, to Bank of America, N.A., Dedicated Servicing, Gateway Village – 900 Building, 900 W. Trade St., Mail Code:</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78</w:t>
      </w:r>
    </w:p>
    <w:p>
      <w:pPr>
        <w:sectPr>
          <w:pgSz w:w="11900" w:h="16838" w:orient="portrait"/>
          <w:cols w:equalWidth="0" w:num="1">
            <w:col w:w="11240"/>
          </w:cols>
          <w:pgMar w:left="320" w:top="1399" w:right="339" w:bottom="1440" w:gutter="0" w:footer="0" w:header="0"/>
        </w:sectPr>
      </w:pPr>
    </w:p>
    <w:bookmarkStart w:id="251" w:name="page252"/>
    <w:bookmarkEnd w:id="251"/>
    <w:p>
      <w:pPr>
        <w:jc w:val="both"/>
        <w:ind w:left="1300"/>
        <w:spacing w:after="0" w:line="277" w:lineRule="auto"/>
        <w:rPr>
          <w:sz w:val="20"/>
          <w:szCs w:val="20"/>
          <w:color w:val="auto"/>
        </w:rPr>
      </w:pPr>
      <w:r>
        <w:rPr>
          <w:rFonts w:ascii="Times New Roman" w:cs="Times New Roman" w:eastAsia="Times New Roman" w:hAnsi="Times New Roman"/>
          <w:sz w:val="20"/>
          <w:szCs w:val="20"/>
          <w:color w:val="auto"/>
        </w:rPr>
        <w:t>NC1-026-06-01, Charlotte, NC 28255-0001, Attention: Benjamin Boston, Telephone: +1 980.386.6520, Email: Benjamin.boston@bofa.com; and (B) in the case of all other notices, to Bank of America, N.A., Agency Management, Gateway village – 900 Building, 900 W. Trade St., Mail Code: NC1-026-06-03, Charlotte, NC 28255-0001, Attention: Erik Truette, Telephone: +1 980.387.5451, Email: erik.m.truette@bofa.com.</w:t>
      </w:r>
    </w:p>
    <w:p>
      <w:pPr>
        <w:spacing w:after="0" w:line="180" w:lineRule="exact"/>
        <w:rPr>
          <w:sz w:val="20"/>
          <w:szCs w:val="20"/>
          <w:color w:val="auto"/>
        </w:rPr>
      </w:pPr>
    </w:p>
    <w:p>
      <w:pPr>
        <w:ind w:left="2600" w:hanging="648"/>
        <w:spacing w:after="0"/>
        <w:tabs>
          <w:tab w:leader="none" w:pos="2600" w:val="left"/>
        </w:tabs>
        <w:numPr>
          <w:ilvl w:val="0"/>
          <w:numId w:val="29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if to any other Lender, to it at its address (or telecopy and email) set forth in its Administrative</w:t>
      </w:r>
    </w:p>
    <w:p>
      <w:pPr>
        <w:spacing w:after="0" w:line="28" w:lineRule="exact"/>
        <w:rPr>
          <w:rFonts w:ascii="Times New Roman" w:cs="Times New Roman" w:eastAsia="Times New Roman" w:hAnsi="Times New Roman"/>
          <w:sz w:val="20"/>
          <w:szCs w:val="20"/>
          <w:color w:val="010000"/>
        </w:rPr>
      </w:pPr>
    </w:p>
    <w:p>
      <w:pPr>
        <w:ind w:left="1300"/>
        <w:spacing w:after="0"/>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Questionnaire.</w:t>
      </w:r>
    </w:p>
    <w:p>
      <w:pPr>
        <w:spacing w:after="0" w:line="24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0"/>
          <w:szCs w:val="20"/>
          <w:color w:val="auto"/>
        </w:rPr>
        <w:t>Notices sent by hand or overnight courier service, or mailed by certified or registered mail, shall be deemed to have been given when received; notices sent by facsimile shall be deemed to have been given when sent (except that, if not given during normal business hours for the recipient, shall be deemed to have been given at the opening of business on the next business day for the recipient). Notices delivered through Approved Electronic Platforms, to the extent provided in paragraph (b) below, shall be effective as provided in said paragraph (b).</w:t>
      </w:r>
    </w:p>
    <w:p>
      <w:pPr>
        <w:spacing w:after="0" w:line="175" w:lineRule="exact"/>
        <w:rPr>
          <w:sz w:val="20"/>
          <w:szCs w:val="20"/>
          <w:color w:val="auto"/>
        </w:rPr>
      </w:pPr>
    </w:p>
    <w:p>
      <w:pPr>
        <w:jc w:val="both"/>
        <w:ind w:left="660" w:firstLine="644"/>
        <w:spacing w:after="0" w:line="273" w:lineRule="auto"/>
        <w:tabs>
          <w:tab w:leader="none" w:pos="1944" w:val="left"/>
        </w:tabs>
        <w:numPr>
          <w:ilvl w:val="0"/>
          <w:numId w:val="29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Notices and other communications to the Borrower, the Lender hereunder may be delivered or furnished by using Approved Electronic Platforms pursuant to procedures approved by the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foregoing shall not apply to notices pursuant to Article II unless otherwise agreed by the Administrative Agent and the applicable Lender. The Administrative Agent or the Company may, in its discretion, agree to accept notices and other communications to it hereunder by electronic communications pursuant to procedures approved by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approval of such procedures may be limited to particular notices or communications.</w:t>
      </w:r>
    </w:p>
    <w:p>
      <w:pPr>
        <w:spacing w:after="0" w:line="185" w:lineRule="exact"/>
        <w:rPr>
          <w:rFonts w:ascii="Times New Roman" w:cs="Times New Roman" w:eastAsia="Times New Roman" w:hAnsi="Times New Roman"/>
          <w:sz w:val="20"/>
          <w:szCs w:val="20"/>
          <w:color w:val="010000"/>
        </w:rPr>
      </w:pPr>
    </w:p>
    <w:p>
      <w:pPr>
        <w:jc w:val="both"/>
        <w:ind w:left="660" w:firstLine="644"/>
        <w:spacing w:after="0" w:line="271" w:lineRule="auto"/>
        <w:tabs>
          <w:tab w:leader="none" w:pos="1946" w:val="left"/>
        </w:tabs>
        <w:numPr>
          <w:ilvl w:val="0"/>
          <w:numId w:val="29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both clauses (i) and (ii) above, if such notice, email or other communication is not sent during the normal business hours of the recipient, such notice or communication shall be deemed to have been sent at the opening of business on the next business day for the recipient.</w:t>
      </w:r>
    </w:p>
    <w:p>
      <w:pPr>
        <w:spacing w:after="0" w:line="204" w:lineRule="exact"/>
        <w:rPr>
          <w:rFonts w:ascii="Times New Roman" w:cs="Times New Roman" w:eastAsia="Times New Roman" w:hAnsi="Times New Roman"/>
          <w:sz w:val="20"/>
          <w:szCs w:val="20"/>
          <w:color w:val="010000"/>
        </w:rPr>
      </w:pPr>
    </w:p>
    <w:p>
      <w:pPr>
        <w:ind w:left="660" w:firstLine="644"/>
        <w:spacing w:after="0" w:line="297" w:lineRule="auto"/>
        <w:tabs>
          <w:tab w:leader="none" w:pos="1944" w:val="left"/>
        </w:tabs>
        <w:numPr>
          <w:ilvl w:val="0"/>
          <w:numId w:val="29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party hereto may change its address or telecopy number for notices and other communications hereunder by notice to the other parties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79</w:t>
      </w:r>
    </w:p>
    <w:p>
      <w:pPr>
        <w:sectPr>
          <w:pgSz w:w="11900" w:h="16838" w:orient="portrait"/>
          <w:cols w:equalWidth="0" w:num="1">
            <w:col w:w="11240"/>
          </w:cols>
          <w:pgMar w:left="320" w:top="1426" w:right="339" w:bottom="1440" w:gutter="0" w:footer="0" w:header="0"/>
        </w:sectPr>
      </w:pPr>
    </w:p>
    <w:bookmarkStart w:id="252" w:name="page253"/>
    <w:bookmarkEnd w:id="252"/>
    <w:p>
      <w:pPr>
        <w:jc w:val="both"/>
        <w:ind w:firstLine="1296"/>
        <w:spacing w:after="0" w:line="269" w:lineRule="auto"/>
        <w:rPr>
          <w:sz w:val="20"/>
          <w:szCs w:val="20"/>
          <w:color w:val="auto"/>
        </w:rPr>
      </w:pPr>
      <w:r>
        <w:rPr>
          <w:rFonts w:ascii="Times New Roman" w:cs="Times New Roman" w:eastAsia="Times New Roman" w:hAnsi="Times New Roman"/>
          <w:sz w:val="20"/>
          <w:szCs w:val="20"/>
          <w:color w:val="010000"/>
        </w:rPr>
        <w:t xml:space="preserve">Section 9.02. </w:t>
      </w:r>
      <w:r>
        <w:rPr>
          <w:rFonts w:ascii="Times New Roman" w:cs="Times New Roman" w:eastAsia="Times New Roman" w:hAnsi="Times New Roman"/>
          <w:sz w:val="20"/>
          <w:szCs w:val="20"/>
          <w:u w:val="single" w:color="auto"/>
          <w:color w:val="000000"/>
        </w:rPr>
        <w:t>Waivers; Amendments</w:t>
      </w:r>
      <w:r>
        <w:rPr>
          <w:rFonts w:ascii="Times New Roman" w:cs="Times New Roman" w:eastAsia="Times New Roman" w:hAnsi="Times New Roman"/>
          <w:sz w:val="20"/>
          <w:szCs w:val="20"/>
          <w:color w:val="000000"/>
        </w:rPr>
        <w:t>. No failure or delay by the Administrative Agent or any Lender in exercising any</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right or power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and the Lenders hereunder and under the other Loan Documents are cumulative and are not exclusive of any rights or remedies that they would otherwise have. No waiver of any provision of this Agreement or consent to any departure by the Company therefrom shall in any event be effective unless the same shall be permitted by paragraph (b) of this Section, and then such waiver or consent shall be effective only in the specific instance and for the purpose for which given. Without limiting the generality of the foregoing, the making of a Loan shall not be construed as a waiver of any Default, regardless of whether the Administrative Agent, any Lender may have had notice or knowledge of such Default at the time.</w:t>
      </w:r>
    </w:p>
    <w:p>
      <w:pPr>
        <w:spacing w:after="0" w:line="4" w:lineRule="exact"/>
        <w:rPr>
          <w:sz w:val="20"/>
          <w:szCs w:val="20"/>
          <w:color w:val="auto"/>
        </w:rPr>
      </w:pPr>
    </w:p>
    <w:p>
      <w:pPr>
        <w:jc w:val="both"/>
        <w:ind w:left="660" w:firstLine="644"/>
        <w:spacing w:after="0" w:line="261" w:lineRule="auto"/>
        <w:tabs>
          <w:tab w:leader="none" w:pos="1946" w:val="left"/>
        </w:tabs>
        <w:numPr>
          <w:ilvl w:val="1"/>
          <w:numId w:val="29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Except as provided in Section 2.14(b), neither this Agreement nor any provision hereof may be waived, amended or modified except pursuant to an agreement or agreements in writing entered into by the Company and the Required Lenders or by the Company and the Administrative Agent with the consent of the Required Lenders; provided that no such agreement shall (i) increase or extend the Commitment of any Lender without the written consent of such Lender, (ii) reduce the principal amount of any Loan or reduce the rate of interest thereon, or reduce any fees or other amounts payable hereunder, without the written consent of each Lender directly affected thereby (except that any amendment or modification of the financial covenants in this Agreement (or defined terms used in the financial covenants in this Agreement) shall not constitute a reduction in the rate of interest or fees or other amounts for purposes of this clause (ii)), (iii) postpone the scheduled date of payment of the principal amount of any Loan, or any interest thereon, or any fees or other amounts payable hereunder, or reduce the amount of, waive or excuse any such payment, or postpone the scheduled date of expiration of any Commitment, without the written consent of each Lender directly affected thereby,</w:t>
      </w:r>
    </w:p>
    <w:p>
      <w:pPr>
        <w:jc w:val="both"/>
        <w:ind w:left="660" w:hanging="4"/>
        <w:spacing w:after="0" w:line="248" w:lineRule="auto"/>
        <w:tabs>
          <w:tab w:leader="none" w:pos="1024" w:val="left"/>
        </w:tabs>
        <w:numPr>
          <w:ilvl w:val="0"/>
          <w:numId w:val="2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 Section 2.09(c) or Section 2.19(b) or (d) in a manner that would alter the ratable reduction of Commitments or the pro rata sharing of payments required thereby, without the written consent of each Lender, (v) change the payment waterfall provisions of Section 2.25(b) without the written consent of each Lender or (vi) change any of the provisions of this Section or the definition of “Required Lenders” or any other provision hereof specifying the number or percentage of Lenders required to waive, amend or modify any rights hereunder or make any determination or grant any consent hereunder, without the written consent of each Lender; provided further that no such agreement shall amend, modify or otherwise affect the rights or duties of the Administrative Agent hereunder without the prior written consent of the Administrative Agent (it being understood that any change to Section 2.25 shall require the consent of the Administrative Agent) and no amendment, waiver or consent hereunder may affect one Tranche of the Lenders’ Loans or Commitments more adversely vis-a-vis the other Tranche without the consent of the Lenders having a majority interest of the outstanding principal of Loans and Commitments of such adversely affected Tranche, as applicable. Notwithstanding the foregoing, no consent with respect to any amendment, waiver or other modification of this Agreement shall be required of any Defaulting Lender, except with respect to any amendment, waiver or other modification referred to in clause (i), (ii) or (iii) of the first proviso of this paragraph and then only in the event such Defaulting Lender shall be directly affected by such amendment, waiver or other modification.</w:t>
      </w:r>
    </w:p>
    <w:p>
      <w:pPr>
        <w:spacing w:after="0" w:line="181"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29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80</w:t>
      </w:r>
    </w:p>
    <w:p>
      <w:pPr>
        <w:sectPr>
          <w:pgSz w:w="11900" w:h="16838" w:orient="portrait"/>
          <w:cols w:equalWidth="0" w:num="1">
            <w:col w:w="11240"/>
          </w:cols>
          <w:pgMar w:left="320" w:top="1426" w:right="339" w:bottom="1440" w:gutter="0" w:footer="0" w:header="0"/>
        </w:sectPr>
      </w:pPr>
    </w:p>
    <w:bookmarkStart w:id="253" w:name="page254"/>
    <w:bookmarkEnd w:id="253"/>
    <w:p>
      <w:pPr>
        <w:jc w:val="both"/>
        <w:ind w:left="660" w:firstLine="644"/>
        <w:spacing w:after="0" w:line="209" w:lineRule="auto"/>
        <w:tabs>
          <w:tab w:leader="none" w:pos="1946" w:val="left"/>
        </w:tabs>
        <w:numPr>
          <w:ilvl w:val="0"/>
          <w:numId w:val="29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If, in connection with any proposed amendment, waiver or consent requiring the consent of “each Lender” or “each Lender directly affected thereby,” the consent of the Required Lenders is obtained, but the consent of other necessary Lenders is not obtained (any such Lender whose consent is necessary but not obtained being referred to herein as a “</w:t>
      </w:r>
      <w:r>
        <w:rPr>
          <w:rFonts w:ascii="Times New Roman" w:cs="Times New Roman" w:eastAsia="Times New Roman" w:hAnsi="Times New Roman"/>
          <w:sz w:val="20"/>
          <w:szCs w:val="20"/>
          <w:u w:val="single" w:color="auto"/>
          <w:color w:val="auto"/>
        </w:rPr>
        <w:t>Non-Consenting Lender</w:t>
      </w:r>
      <w:r>
        <w:rPr>
          <w:rFonts w:ascii="Times New Roman" w:cs="Times New Roman" w:eastAsia="Times New Roman" w:hAnsi="Times New Roman"/>
          <w:sz w:val="20"/>
          <w:szCs w:val="20"/>
          <w:color w:val="auto"/>
        </w:rPr>
        <w:t xml:space="preserve">”), then the Company may elect to replace a Non-Consenting Lender as a Lender party to this Agreement, provided that, concurrently with such replacement, (i) another bank or other entity which is reasonably satisfactory to the Company and the Administrative Agent shall agree, as of such date, to purchase for cash the Loans and other Obligations due to the Non-Consenting Lender pursuant to an Assignment and Assumption and to become a Lender for all purposes under this Agreement and to assume all obligations of the Non-Consenting Lender to be terminated as of such date and to comply with the requirements of clause (b) of Section 9.04, (ii) the Company shall pay to such Non-Consenting Lender in same day funds on the day of such replacement (1) all interest, fees and other amounts then accrued but unpaid to such Non-Consenting Lender by the Company hereunder to and including the date of termination, including without limitation payments due to such Non-Consenting Lender under Sections 2.15 and 2.17, and (2) an amount, if any, equal to the payment which would have been due to such Lender on the day of such replacement under Section 2.16 had the Loans of such Non-Consenting Lender been prepaid on such date rather than sold to the replacement Lender and (iii) such Non-Consenting Lender shall have received the outstanding principal amount of its Loans. Each party hereto agrees that (a) an assignment required pursuant to this paragraph may be effected pursuant to an Assignment and Assumption executed by the Company, the Administrative Agent and the assignee (or, to the extent applicable, an agreement incorporating an Assignment and Assumption by reference pursuant to an Approved Electronic Platform as to which the Administrative Agent and such parties are participants), and (b) the Lender required to make such assignment need not be a party thereto in order for such assignment to be effective and shall be deemed to have consented to and be bound by the terms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following the effectiveness of any such assignment, the other parties to such assignment agree to execute and deliver such documents necessary to evidence such assignment as reasonably requested by the applicable Lender, provided that any such documents shall be without recourse to or warranty by the parties thereto.</w:t>
      </w:r>
    </w:p>
    <w:p>
      <w:pPr>
        <w:spacing w:after="0" w:line="157" w:lineRule="exact"/>
        <w:rPr>
          <w:rFonts w:ascii="Times New Roman" w:cs="Times New Roman" w:eastAsia="Times New Roman" w:hAnsi="Times New Roman"/>
          <w:sz w:val="20"/>
          <w:szCs w:val="20"/>
          <w:color w:val="010000"/>
        </w:rPr>
      </w:pPr>
    </w:p>
    <w:p>
      <w:pPr>
        <w:jc w:val="both"/>
        <w:ind w:left="660" w:firstLine="644"/>
        <w:spacing w:after="0" w:line="218" w:lineRule="auto"/>
        <w:tabs>
          <w:tab w:leader="none" w:pos="1944" w:val="left"/>
        </w:tabs>
        <w:numPr>
          <w:ilvl w:val="0"/>
          <w:numId w:val="29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Notwithstanding anything herein to the contrary, as to any amendment or amendment and restatement otherwise approved in accordance with this Section, it shall not be necessary to obtain the consent or approval of any Lender that, upon giving effect to such amendment or amendment and restatement, would have no Commitment or outstanding Loans so long as such Lender receives payment in full of the principal of and interest accrued on each Loan made by, and all other amounts owing to, such Lender or accrued for the account of such Lender under this Agreement and the other Loan Documents at the time such amendment, amendment and restatement or other modification becomes effective.</w:t>
      </w:r>
    </w:p>
    <w:p>
      <w:pPr>
        <w:spacing w:after="0" w:line="150" w:lineRule="exact"/>
        <w:rPr>
          <w:rFonts w:ascii="Times New Roman" w:cs="Times New Roman" w:eastAsia="Times New Roman" w:hAnsi="Times New Roman"/>
          <w:sz w:val="20"/>
          <w:szCs w:val="20"/>
          <w:color w:val="010000"/>
        </w:rPr>
      </w:pPr>
    </w:p>
    <w:p>
      <w:pPr>
        <w:jc w:val="both"/>
        <w:ind w:left="660" w:firstLine="644"/>
        <w:spacing w:after="0" w:line="230" w:lineRule="auto"/>
        <w:tabs>
          <w:tab w:leader="none" w:pos="1946" w:val="left"/>
        </w:tabs>
        <w:numPr>
          <w:ilvl w:val="0"/>
          <w:numId w:val="29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Notwithstanding anything to the contrary herein the Administrative Agent may, with the consent of the Company only, amend, modify or supplement this Agreement or any of the other Loan Documents to cure any ambiguity, omission, mistake, defect or inconsistency.</w:t>
      </w:r>
    </w:p>
    <w:p>
      <w:pPr>
        <w:spacing w:after="0" w:line="149" w:lineRule="exact"/>
        <w:rPr>
          <w:sz w:val="20"/>
          <w:szCs w:val="20"/>
          <w:color w:val="auto"/>
        </w:rPr>
      </w:pPr>
    </w:p>
    <w:p>
      <w:pPr>
        <w:ind w:firstLine="1296"/>
        <w:spacing w:after="0" w:line="222" w:lineRule="auto"/>
        <w:rPr>
          <w:sz w:val="20"/>
          <w:szCs w:val="20"/>
          <w:color w:val="auto"/>
        </w:rPr>
      </w:pPr>
      <w:r>
        <w:rPr>
          <w:rFonts w:ascii="Times New Roman" w:cs="Times New Roman" w:eastAsia="Times New Roman" w:hAnsi="Times New Roman"/>
          <w:sz w:val="20"/>
          <w:szCs w:val="20"/>
          <w:color w:val="010000"/>
        </w:rPr>
        <w:t xml:space="preserve">Section 9.03. </w:t>
      </w:r>
      <w:r>
        <w:rPr>
          <w:rFonts w:ascii="Times New Roman" w:cs="Times New Roman" w:eastAsia="Times New Roman" w:hAnsi="Times New Roman"/>
          <w:sz w:val="20"/>
          <w:szCs w:val="20"/>
          <w:u w:val="single" w:color="auto"/>
          <w:color w:val="000000"/>
        </w:rPr>
        <w:t>Expenses; Indemnity; Damage Waiver</w:t>
      </w:r>
      <w:r>
        <w:rPr>
          <w:rFonts w:ascii="Times New Roman" w:cs="Times New Roman" w:eastAsia="Times New Roman" w:hAnsi="Times New Roman"/>
          <w:sz w:val="20"/>
          <w:szCs w:val="20"/>
          <w:color w:val="000000"/>
        </w:rPr>
        <w:t>. The Company shall pay (i) all reasonable and documented out-of-pocket expenses incurred by the Administrative Agent and its Affiliates, including the reasonable and documented fees, charges and</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disbursements of one primary counsel for the Administrative Agent and of one counsel in each relevant jurisdiction, in connection with the syndication and distribution (including, without limitation, via the internet or through a service such as Intralinks) of the credit facilities</w:t>
      </w:r>
    </w:p>
    <w:p>
      <w:pPr>
        <w:spacing w:after="0" w:line="1" w:lineRule="exact"/>
        <w:rPr>
          <w:sz w:val="20"/>
          <w:szCs w:val="20"/>
          <w:color w:val="auto"/>
        </w:rPr>
      </w:pPr>
    </w:p>
    <w:p>
      <w:pPr>
        <w:jc w:val="both"/>
        <w:ind w:right="20"/>
        <w:spacing w:after="0" w:line="215" w:lineRule="auto"/>
        <w:rPr>
          <w:sz w:val="20"/>
          <w:szCs w:val="20"/>
          <w:color w:val="auto"/>
        </w:rPr>
      </w:pPr>
      <w:r>
        <w:rPr>
          <w:rFonts w:ascii="Times New Roman" w:cs="Times New Roman" w:eastAsia="Times New Roman" w:hAnsi="Times New Roman"/>
          <w:sz w:val="19"/>
          <w:szCs w:val="19"/>
          <w:color w:val="auto"/>
        </w:rPr>
        <w:t>provided for herein, the preparation and administration of this Agreement and the other Loan Documents or any amendments, modifications or waivers of the provisions hereof or thereof (whether or not the transactions contemplated hereby or thereby shall be consummated),</w:t>
      </w:r>
    </w:p>
    <w:p>
      <w:pPr>
        <w:jc w:val="both"/>
        <w:ind w:firstLine="8"/>
        <w:spacing w:after="0" w:line="216" w:lineRule="auto"/>
        <w:tabs>
          <w:tab w:leader="none" w:pos="293" w:val="left"/>
        </w:tabs>
        <w:numPr>
          <w:ilvl w:val="0"/>
          <w:numId w:val="2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[intentionally omitted] and (iii) if an Event of Default occurs, all reasonable out-of-pocket expenses incurred by the Administrative Agent or any Lender, including the reasonable fees, charges and disbursements of any counsel for the Administrative Agent or any Lender, in connection with such Event of Default and the enforcement, collection or protection of its rights in connection with this Agreement and any other Loan Document, including its rights under this Section, or in connection with the Loans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81</w:t>
      </w:r>
    </w:p>
    <w:p>
      <w:pPr>
        <w:sectPr>
          <w:pgSz w:w="11900" w:h="16838" w:orient="portrait"/>
          <w:cols w:equalWidth="0" w:num="1">
            <w:col w:w="11240"/>
          </w:cols>
          <w:pgMar w:left="320" w:top="1399" w:right="339" w:bottom="1440" w:gutter="0" w:footer="0" w:header="0"/>
        </w:sectPr>
      </w:pPr>
    </w:p>
    <w:bookmarkStart w:id="254" w:name="page255"/>
    <w:bookmarkEnd w:id="254"/>
    <w:p>
      <w:pPr>
        <w:spacing w:after="0" w:line="215" w:lineRule="auto"/>
        <w:rPr>
          <w:sz w:val="20"/>
          <w:szCs w:val="20"/>
          <w:color w:val="auto"/>
        </w:rPr>
      </w:pPr>
      <w:r>
        <w:rPr>
          <w:rFonts w:ascii="Times New Roman" w:cs="Times New Roman" w:eastAsia="Times New Roman" w:hAnsi="Times New Roman"/>
          <w:sz w:val="20"/>
          <w:szCs w:val="20"/>
          <w:color w:val="auto"/>
        </w:rPr>
        <w:t>made hereunder, including all such out-of-pocket expenses incurred during any workout, restructuring or negotiations in respect of such Loans.</w:t>
      </w:r>
    </w:p>
    <w:p>
      <w:pPr>
        <w:spacing w:after="0" w:line="1" w:lineRule="exact"/>
        <w:rPr>
          <w:sz w:val="20"/>
          <w:szCs w:val="20"/>
          <w:color w:val="auto"/>
        </w:rPr>
      </w:pPr>
    </w:p>
    <w:p>
      <w:pPr>
        <w:jc w:val="both"/>
        <w:ind w:left="660" w:firstLine="644"/>
        <w:spacing w:after="0" w:line="209" w:lineRule="auto"/>
        <w:tabs>
          <w:tab w:leader="none" w:pos="1946" w:val="left"/>
        </w:tabs>
        <w:numPr>
          <w:ilvl w:val="0"/>
          <w:numId w:val="29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Company shall indemnify the Administrative Agent, each Arranger, and each Lender, and each Related Party of any of the foregoing Persons (each such Person being called an “Indemnitee”) against, and hold each Indemnitee harmless from, any and all losses, claims, damages, liabilities and related expenses, including the fees, charges and disbursements of any counsel for any Indemnitee, incurred by or asserted against any Indemnitee arising out of, in connection with, or as a result of (i) the execution or delivery of any Loan Document or any agreement or instrument contemplated thereby, the performance by the parties hereto of their respective obligations thereunder or the consummation of the Transactions or any other transactions contemplated hereby, (ii) any Loan or the use of the proceeds therefrom, (iii) any actual or alleged presence or release of Hazardous Materials on or from any property owned or operated by the Company or any of its Subsidiaries, or any Environmental Liability related in any way to the Company or any of its Subsidiaries, or (iv) any actual or prospective claim, litigation, investigation, arbitration or proceeding relating to any of the foregoing, whether or not such claim, litigation, investigation, arbitration or proceeding is brought by the Company or its equity holders, Affiliates, creditors or any other third Person and whether based on contract, tort or any other theory and regardless of whether any Indemnitee is a party thereto; provided that such indemnity shall not, as to any Indemnitee, be available to the extent that such losses, claims, damages, liabilities or related expenses are determined by a court of competent jurisdiction by final and nonappealable judgment to have resulted from the gross negligence or willful misconduct of such Indemnitee. This Section 9.03(b) shall not apply with respect to Taxes other than any Taxes that represent losses or damages arising from any non-Tax claim.</w:t>
      </w:r>
    </w:p>
    <w:p>
      <w:pPr>
        <w:spacing w:after="0" w:line="162" w:lineRule="exact"/>
        <w:rPr>
          <w:rFonts w:ascii="Times New Roman" w:cs="Times New Roman" w:eastAsia="Times New Roman" w:hAnsi="Times New Roman"/>
          <w:sz w:val="20"/>
          <w:szCs w:val="20"/>
          <w:color w:val="010000"/>
        </w:rPr>
      </w:pPr>
    </w:p>
    <w:p>
      <w:pPr>
        <w:jc w:val="both"/>
        <w:ind w:left="660" w:firstLine="644"/>
        <w:spacing w:after="0" w:line="221" w:lineRule="auto"/>
        <w:tabs>
          <w:tab w:leader="none" w:pos="1944" w:val="left"/>
        </w:tabs>
        <w:numPr>
          <w:ilvl w:val="0"/>
          <w:numId w:val="29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Each Lender severally agrees to pay any amount required to be paid by the Company under paragraph (a) or (b) of this Section 9.03 to the Administrative Agent and each Related Party of any of the foregoing Persons (each, an “</w:t>
      </w:r>
      <w:r>
        <w:rPr>
          <w:rFonts w:ascii="Times New Roman" w:cs="Times New Roman" w:eastAsia="Times New Roman" w:hAnsi="Times New Roman"/>
          <w:sz w:val="19"/>
          <w:szCs w:val="19"/>
          <w:u w:val="single" w:color="auto"/>
          <w:color w:val="auto"/>
        </w:rPr>
        <w:t>Agent-Related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Person</w:t>
      </w:r>
      <w:r>
        <w:rPr>
          <w:rFonts w:ascii="Times New Roman" w:cs="Times New Roman" w:eastAsia="Times New Roman" w:hAnsi="Times New Roman"/>
          <w:sz w:val="19"/>
          <w:szCs w:val="19"/>
          <w:color w:val="auto"/>
        </w:rPr>
        <w:t xml:space="preserve">”) (to the extent not reimbursed by the Company and without limiting the obligation of the Company to do so), ratably according to their respective Applicable Percentage in effect on the date on which such payment is sought under this Section (or, if such payment is sought after the date upon which the Commitments shall have terminated and the Loans shall have been paid in full, ratably in accordance with such Applicable Percentage immediately prior to such date), and agrees to indemnify and hold each Agent-Related Person harmless from and against any and all Liabilities and related expenses, including the fees, charges and disbursements of any kind whatsoever that may at any time (whether before or after the payment of the Loans) be imposed on, incurred by or asserted against such Agent-Related Person in any way relating to or arising out of the Commitments, this Agreement, any of the other Loan Documents or any documents contemplated by or referred to herein or therein or the transactions contemplated hereby or thereby or any action taken or omitted by such Agent-Related Person under or in connection with any of the foregoing;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unreimbursed expense or Liability or related expense, as the case may be, was incurred by or asserted against such Agent-Related Person in its capacity as such; </w:t>
      </w:r>
      <w:r>
        <w:rPr>
          <w:rFonts w:ascii="Times New Roman" w:cs="Times New Roman" w:eastAsia="Times New Roman" w:hAnsi="Times New Roman"/>
          <w:sz w:val="19"/>
          <w:szCs w:val="19"/>
          <w:u w:val="single" w:color="auto"/>
          <w:color w:val="auto"/>
        </w:rPr>
        <w:t>provided further</w:t>
      </w:r>
      <w:r>
        <w:rPr>
          <w:rFonts w:ascii="Times New Roman" w:cs="Times New Roman" w:eastAsia="Times New Roman" w:hAnsi="Times New Roman"/>
          <w:sz w:val="19"/>
          <w:szCs w:val="19"/>
          <w:color w:val="auto"/>
        </w:rPr>
        <w:t xml:space="preserve"> that no Lender shall be liable for the payment of any portion of such Liabilities, costs, expenses or disbursements that are found by a final and nonappealable decision of a court of competent jurisdiction to have resulted primarily from such Agent-Related Person’s gross negligence or willful misconduct. The agreements in this Section shall survive the termination of this Agreement and the payment of the Loans and all other amounts payable hereunder.</w:t>
      </w:r>
    </w:p>
    <w:p>
      <w:pPr>
        <w:spacing w:after="0" w:line="156" w:lineRule="exact"/>
        <w:rPr>
          <w:rFonts w:ascii="Times New Roman" w:cs="Times New Roman" w:eastAsia="Times New Roman" w:hAnsi="Times New Roman"/>
          <w:sz w:val="19"/>
          <w:szCs w:val="19"/>
          <w:color w:val="010000"/>
        </w:rPr>
      </w:pPr>
    </w:p>
    <w:p>
      <w:pPr>
        <w:jc w:val="both"/>
        <w:ind w:left="660" w:firstLine="644"/>
        <w:spacing w:after="0" w:line="218" w:lineRule="auto"/>
        <w:tabs>
          <w:tab w:leader="none" w:pos="1946" w:val="left"/>
        </w:tabs>
        <w:numPr>
          <w:ilvl w:val="0"/>
          <w:numId w:val="29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To the extent permitted by applicable law, the Company shall not assert, and the Company hereby waives, any claim against any Lender-Related Person (i) for any damages arising from the use by others of information or other materials obtained through telecommunications, electronic or other information transmission systems (including the Internet and any Approved Electronic Platform), or (ii)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any Loan or the use of the proceeds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82</w:t>
      </w:r>
    </w:p>
    <w:p>
      <w:pPr>
        <w:sectPr>
          <w:pgSz w:w="11900" w:h="16838" w:orient="portrait"/>
          <w:cols w:equalWidth="0" w:num="1">
            <w:col w:w="11240"/>
          </w:cols>
          <w:pgMar w:left="320" w:top="1399" w:right="339" w:bottom="1440" w:gutter="0" w:footer="0" w:header="0"/>
        </w:sectPr>
      </w:pPr>
    </w:p>
    <w:bookmarkStart w:id="255" w:name="page256"/>
    <w:bookmarkEnd w:id="255"/>
    <w:p>
      <w:pPr>
        <w:ind w:left="1940" w:hanging="636"/>
        <w:spacing w:after="0"/>
        <w:tabs>
          <w:tab w:leader="none" w:pos="1940" w:val="left"/>
        </w:tabs>
        <w:numPr>
          <w:ilvl w:val="0"/>
          <w:numId w:val="29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All amounts due under this Section shall be payable not later than fifteen (15) days after written demand therefor.</w:t>
      </w:r>
    </w:p>
    <w:p>
      <w:pPr>
        <w:spacing w:after="0" w:line="189" w:lineRule="exact"/>
        <w:rPr>
          <w:sz w:val="20"/>
          <w:szCs w:val="20"/>
          <w:color w:val="auto"/>
        </w:rPr>
      </w:pPr>
    </w:p>
    <w:p>
      <w:pPr>
        <w:ind w:right="20" w:firstLine="1296"/>
        <w:spacing w:after="0" w:line="215" w:lineRule="auto"/>
        <w:rPr>
          <w:sz w:val="20"/>
          <w:szCs w:val="20"/>
          <w:color w:val="auto"/>
        </w:rPr>
      </w:pPr>
      <w:r>
        <w:rPr>
          <w:rFonts w:ascii="Times New Roman" w:cs="Times New Roman" w:eastAsia="Times New Roman" w:hAnsi="Times New Roman"/>
          <w:sz w:val="20"/>
          <w:szCs w:val="20"/>
          <w:color w:val="010000"/>
        </w:rPr>
        <w:t xml:space="preserve">Section 9.04. </w:t>
      </w:r>
      <w:r>
        <w:rPr>
          <w:rFonts w:ascii="Times New Roman" w:cs="Times New Roman" w:eastAsia="Times New Roman" w:hAnsi="Times New Roman"/>
          <w:sz w:val="20"/>
          <w:szCs w:val="20"/>
          <w:u w:val="single" w:color="auto"/>
          <w:color w:val="000000"/>
        </w:rPr>
        <w:t>Successors and Assigns</w:t>
      </w:r>
      <w:r>
        <w:rPr>
          <w:rFonts w:ascii="Times New Roman" w:cs="Times New Roman" w:eastAsia="Times New Roman" w:hAnsi="Times New Roman"/>
          <w:sz w:val="20"/>
          <w:szCs w:val="20"/>
          <w:color w:val="000000"/>
        </w:rPr>
        <w:t>. The provisions of this Agreement shall be binding upon and inure to the benefit of</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the parties hereto and their respective successors and assigns permitted hereby, except that (i) the Company may not assign or otherwise</w:t>
      </w:r>
    </w:p>
    <w:p>
      <w:pPr>
        <w:spacing w:after="0" w:line="224" w:lineRule="auto"/>
        <w:rPr>
          <w:sz w:val="20"/>
          <w:szCs w:val="20"/>
          <w:color w:val="auto"/>
        </w:rPr>
      </w:pPr>
      <w:r>
        <w:rPr>
          <w:rFonts w:ascii="Times New Roman" w:cs="Times New Roman" w:eastAsia="Times New Roman" w:hAnsi="Times New Roman"/>
          <w:sz w:val="19"/>
          <w:szCs w:val="19"/>
          <w:color w:val="auto"/>
        </w:rPr>
        <w:t>transfer any of its rights or obligations hereunder without the prior written consent of each Lender (and any attempted assignment or transfer</w:t>
      </w:r>
    </w:p>
    <w:p>
      <w:pPr>
        <w:spacing w:after="0" w:line="204" w:lineRule="auto"/>
        <w:rPr>
          <w:sz w:val="20"/>
          <w:szCs w:val="20"/>
          <w:color w:val="auto"/>
        </w:rPr>
      </w:pPr>
      <w:r>
        <w:rPr>
          <w:rFonts w:ascii="Times New Roman" w:cs="Times New Roman" w:eastAsia="Times New Roman" w:hAnsi="Times New Roman"/>
          <w:sz w:val="20"/>
          <w:szCs w:val="20"/>
          <w:color w:val="auto"/>
        </w:rPr>
        <w:t>by the Company without such consent shall be null and void) and (ii) no Lender may assign or otherwise transfer its rights or obligations hereunder except in accordance with this Section. Nothing in this Agreement, expressed or implied, shall be construed to confer upon any</w:t>
      </w:r>
    </w:p>
    <w:p>
      <w:pPr>
        <w:spacing w:after="0" w:line="211" w:lineRule="auto"/>
        <w:rPr>
          <w:sz w:val="20"/>
          <w:szCs w:val="20"/>
          <w:color w:val="auto"/>
        </w:rPr>
      </w:pPr>
      <w:r>
        <w:rPr>
          <w:rFonts w:ascii="Times New Roman" w:cs="Times New Roman" w:eastAsia="Times New Roman" w:hAnsi="Times New Roman"/>
          <w:sz w:val="20"/>
          <w:szCs w:val="20"/>
          <w:color w:val="auto"/>
        </w:rPr>
        <w:t>Person (other than the parties hereto, their respective successors and assigns permitted hereby, Participants (to the extent provided in</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paragraph (c) of this Section) and, to the extent expressly contemplated hereby, the Related Parties of each of the Administrative Agent and the Lenders) any legal or equitable right, remedy or claim under or by reason of this Agreement.</w:t>
      </w:r>
    </w:p>
    <w:p>
      <w:pPr>
        <w:spacing w:after="0" w:line="1" w:lineRule="exact"/>
        <w:rPr>
          <w:sz w:val="20"/>
          <w:szCs w:val="20"/>
          <w:color w:val="auto"/>
        </w:rPr>
      </w:pPr>
    </w:p>
    <w:p>
      <w:pPr>
        <w:jc w:val="both"/>
        <w:ind w:left="660" w:firstLine="644"/>
        <w:spacing w:after="0" w:line="216" w:lineRule="auto"/>
        <w:tabs>
          <w:tab w:leader="none" w:pos="1946" w:val="left"/>
        </w:tabs>
        <w:numPr>
          <w:ilvl w:val="0"/>
          <w:numId w:val="29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 Subject to the conditions set forth in paragraph (b)(ii) below, any Lender may assign to one or more Persons (other than an Ineligible Institution) all or a portion of its rights and obligations under this Agreement (including all or a portion of its Commitments and the Loans at the time owing to it) with the prior written consent (such consent not to be unreasonably withheld, conditioned or delayed) of:</w:t>
      </w:r>
    </w:p>
    <w:p>
      <w:pPr>
        <w:spacing w:after="0" w:line="162" w:lineRule="exact"/>
        <w:rPr>
          <w:rFonts w:ascii="Times New Roman" w:cs="Times New Roman" w:eastAsia="Times New Roman" w:hAnsi="Times New Roman"/>
          <w:sz w:val="20"/>
          <w:szCs w:val="20"/>
          <w:color w:val="010000"/>
        </w:rPr>
      </w:pPr>
    </w:p>
    <w:p>
      <w:pPr>
        <w:jc w:val="both"/>
        <w:ind w:left="1960" w:firstLine="640"/>
        <w:spacing w:after="0" w:line="217" w:lineRule="auto"/>
        <w:tabs>
          <w:tab w:leader="none" w:pos="3247" w:val="left"/>
        </w:tabs>
        <w:numPr>
          <w:ilvl w:val="2"/>
          <w:numId w:val="29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the Company (provided, that the Company shall be deemed to have consented to any such assignment unless it shall object thereto by written notice to the Administrative Agent within five (5) Business Days after having received notice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further, that no consent of the Company shall be required for an assignment to a Lender, an Affiliate of a Lender, an Approved Fund or, if an Event of Default under clause (a), (b), (h), (i), (j), (k) or (l) of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 xml:space="preserve"> has occurred and is continuing, any other assignee; and</w:t>
      </w:r>
    </w:p>
    <w:p>
      <w:pPr>
        <w:spacing w:after="0" w:line="161" w:lineRule="exact"/>
        <w:rPr>
          <w:rFonts w:ascii="Times New Roman" w:cs="Times New Roman" w:eastAsia="Times New Roman" w:hAnsi="Times New Roman"/>
          <w:sz w:val="20"/>
          <w:szCs w:val="20"/>
          <w:color w:val="010000"/>
        </w:rPr>
      </w:pPr>
    </w:p>
    <w:p>
      <w:pPr>
        <w:ind w:left="3240" w:hanging="640"/>
        <w:spacing w:after="0"/>
        <w:tabs>
          <w:tab w:leader="none" w:pos="3240" w:val="left"/>
        </w:tabs>
        <w:numPr>
          <w:ilvl w:val="2"/>
          <w:numId w:val="29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Administrative Agent.</w:t>
      </w:r>
    </w:p>
    <w:p>
      <w:pPr>
        <w:spacing w:after="0" w:line="175" w:lineRule="exact"/>
        <w:rPr>
          <w:rFonts w:ascii="Times New Roman" w:cs="Times New Roman" w:eastAsia="Times New Roman" w:hAnsi="Times New Roman"/>
          <w:sz w:val="20"/>
          <w:szCs w:val="20"/>
          <w:color w:val="010000"/>
        </w:rPr>
      </w:pPr>
    </w:p>
    <w:p>
      <w:pPr>
        <w:ind w:left="2600" w:hanging="648"/>
        <w:spacing w:after="0"/>
        <w:tabs>
          <w:tab w:leader="none" w:pos="2600" w:val="left"/>
        </w:tabs>
        <w:numPr>
          <w:ilvl w:val="1"/>
          <w:numId w:val="29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Assignments shall be subject to the following additional conditions:</w:t>
      </w:r>
    </w:p>
    <w:p>
      <w:pPr>
        <w:spacing w:after="0" w:line="188" w:lineRule="exact"/>
        <w:rPr>
          <w:rFonts w:ascii="Times New Roman" w:cs="Times New Roman" w:eastAsia="Times New Roman" w:hAnsi="Times New Roman"/>
          <w:sz w:val="20"/>
          <w:szCs w:val="20"/>
          <w:color w:val="010000"/>
        </w:rPr>
      </w:pPr>
    </w:p>
    <w:p>
      <w:pPr>
        <w:jc w:val="both"/>
        <w:ind w:left="1960" w:firstLine="640"/>
        <w:spacing w:after="0" w:line="221" w:lineRule="auto"/>
        <w:tabs>
          <w:tab w:leader="none" w:pos="3247" w:val="left"/>
        </w:tabs>
        <w:numPr>
          <w:ilvl w:val="2"/>
          <w:numId w:val="29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except in the case of an assignment to a Lender or an Affiliate of a Lender or an Approved Fund or an assignment of the entire remaining amount of the assigning Lender’s Commitment or Loans of any Class, the amount of the Commitment or Loans of the assigning Lender subject to each such assignment (determined as of the date the Assignment and Assumption with respect to such assignment is delivered to the Administrative Agent) shall not be less than $5,000,000 unless each of the Company and the Administrative Agent otherwise consent,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such consent of the Company shall be required if an Event of Default under clause (a), (b), (h), (i), (j), (k) or</w:t>
      </w:r>
    </w:p>
    <w:p>
      <w:pPr>
        <w:spacing w:after="0" w:line="2" w:lineRule="exact"/>
        <w:rPr>
          <w:rFonts w:ascii="Times New Roman" w:cs="Times New Roman" w:eastAsia="Times New Roman" w:hAnsi="Times New Roman"/>
          <w:sz w:val="19"/>
          <w:szCs w:val="19"/>
          <w:color w:val="010000"/>
        </w:rPr>
      </w:pPr>
    </w:p>
    <w:p>
      <w:pPr>
        <w:ind w:left="2180" w:hanging="228"/>
        <w:spacing w:after="0"/>
        <w:tabs>
          <w:tab w:leader="none" w:pos="2180" w:val="left"/>
        </w:tabs>
        <w:numPr>
          <w:ilvl w:val="1"/>
          <w:numId w:val="3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of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 xml:space="preserve"> has occurred and is continuing;</w:t>
      </w:r>
    </w:p>
    <w:p>
      <w:pPr>
        <w:spacing w:after="0" w:line="166" w:lineRule="exact"/>
        <w:rPr>
          <w:rFonts w:ascii="Times New Roman" w:cs="Times New Roman" w:eastAsia="Times New Roman" w:hAnsi="Times New Roman"/>
          <w:sz w:val="20"/>
          <w:szCs w:val="20"/>
          <w:color w:val="auto"/>
        </w:rPr>
      </w:pPr>
    </w:p>
    <w:p>
      <w:pPr>
        <w:jc w:val="both"/>
        <w:ind w:left="1960" w:firstLine="640"/>
        <w:spacing w:after="0" w:line="222" w:lineRule="auto"/>
        <w:tabs>
          <w:tab w:leader="none" w:pos="3250" w:val="left"/>
        </w:tabs>
        <w:numPr>
          <w:ilvl w:val="2"/>
          <w:numId w:val="30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partial assignment shall be made as an assignment of a proportionate part of all the assigning Lender’s rights and obligations under this Agreement, provided that this clause shall not be construed to prohibit the assignment of a proportionate part of all the assigning Lender’s rights and obligations in respect of one Class of Commitments or Loans;</w:t>
      </w:r>
    </w:p>
    <w:p>
      <w:pPr>
        <w:spacing w:after="0" w:line="148" w:lineRule="exact"/>
        <w:rPr>
          <w:rFonts w:ascii="Times New Roman" w:cs="Times New Roman" w:eastAsia="Times New Roman" w:hAnsi="Times New Roman"/>
          <w:sz w:val="20"/>
          <w:szCs w:val="20"/>
          <w:color w:val="010000"/>
        </w:rPr>
      </w:pPr>
    </w:p>
    <w:p>
      <w:pPr>
        <w:jc w:val="both"/>
        <w:ind w:left="1960" w:firstLine="640"/>
        <w:spacing w:after="0" w:line="231" w:lineRule="auto"/>
        <w:tabs>
          <w:tab w:leader="none" w:pos="3250" w:val="left"/>
        </w:tabs>
        <w:numPr>
          <w:ilvl w:val="2"/>
          <w:numId w:val="30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parties to each assignment shall execute and deliver to the Administrative Agent (x) an Assignment and Assumption or (y) to the extent applicable, an agreement incorporating an Assignment and Assumption by reference pursuant to an Approved Electronic Platform as to which the Administrative Agent and the parties to the Assignment and Assumption are participants, together with a processing and recordation fee of $3,500, such fee to be paid by either the assigning Lender or the assignee Lender or shared between such Lenders;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83</w:t>
      </w:r>
    </w:p>
    <w:p>
      <w:pPr>
        <w:sectPr>
          <w:pgSz w:w="11900" w:h="16838" w:orient="portrait"/>
          <w:cols w:equalWidth="0" w:num="1">
            <w:col w:w="11240"/>
          </w:cols>
          <w:pgMar w:left="320" w:top="1399" w:right="339" w:bottom="1440" w:gutter="0" w:footer="0" w:header="0"/>
        </w:sectPr>
      </w:pPr>
    </w:p>
    <w:bookmarkStart w:id="256" w:name="page257"/>
    <w:bookmarkEnd w:id="256"/>
    <w:p>
      <w:pPr>
        <w:jc w:val="both"/>
        <w:ind w:left="1960" w:firstLine="640"/>
        <w:spacing w:after="0" w:line="220" w:lineRule="auto"/>
        <w:tabs>
          <w:tab w:leader="none" w:pos="3247" w:val="left"/>
        </w:tabs>
        <w:numPr>
          <w:ilvl w:val="0"/>
          <w:numId w:val="30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assignee, if it shall not be a Lender, shall deliver to the Administrative Agent an Administrative Questionnaire in which the assignee designates one or more credit contacts to whom all syndicate-level information (which may contain material non-public information about the Company and its Affiliates and their Related Parties or their respective securities) will be made available and who may receive such information in accordance with the assignee’s compliance procedures and applicable laws, including federal and state securities laws.</w:t>
      </w:r>
    </w:p>
    <w:p>
      <w:pPr>
        <w:spacing w:after="0" w:line="16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For the purposes of this Section 9.04(b), the terms “Approved Fund” and “Ineligible Institution” have the following</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meanings:</w:t>
      </w:r>
    </w:p>
    <w:p>
      <w:pPr>
        <w:spacing w:after="0" w:line="173"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Approved Fund</w:t>
      </w:r>
      <w:r>
        <w:rPr>
          <w:rFonts w:ascii="Times New Roman" w:cs="Times New Roman" w:eastAsia="Times New Roman" w:hAnsi="Times New Roman"/>
          <w:sz w:val="19"/>
          <w:szCs w:val="19"/>
          <w:color w:val="auto"/>
        </w:rPr>
        <w:t>” means any Person (other than a natural person) that is engaged in making, purchasing, holding or investing in bank loans and similar extensions of credit in the ordinary course of its business and that is administered or managed by (a) a Lender,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 an Affiliate of a Lender or (c) an entity or an Affiliate of an entity that administers or manages a Lender.</w:t>
      </w:r>
    </w:p>
    <w:p>
      <w:pPr>
        <w:spacing w:after="0" w:line="17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Ineligible Institution</w:t>
      </w:r>
      <w:r>
        <w:rPr>
          <w:rFonts w:ascii="Times New Roman" w:cs="Times New Roman" w:eastAsia="Times New Roman" w:hAnsi="Times New Roman"/>
          <w:sz w:val="20"/>
          <w:szCs w:val="20"/>
          <w:color w:val="auto"/>
        </w:rPr>
        <w:t>” means (a) a natural person, (b) a Defaulting Lender or its Lender Parent, (c) the Company, any of its Subsidiaries or any of its Affiliates, or (d) a company, investment vehicle or trust for, or owned and operated for the primary benefit of, a natural person or relative(s) thereof.</w:t>
      </w:r>
    </w:p>
    <w:p>
      <w:pPr>
        <w:spacing w:after="0" w:line="127" w:lineRule="exact"/>
        <w:rPr>
          <w:sz w:val="20"/>
          <w:szCs w:val="20"/>
          <w:color w:val="auto"/>
        </w:rPr>
      </w:pPr>
    </w:p>
    <w:p>
      <w:pPr>
        <w:jc w:val="both"/>
        <w:ind w:left="1300" w:firstLine="652"/>
        <w:spacing w:after="0" w:line="212" w:lineRule="auto"/>
        <w:tabs>
          <w:tab w:leader="none" w:pos="2595" w:val="left"/>
        </w:tabs>
        <w:numPr>
          <w:ilvl w:val="0"/>
          <w:numId w:val="30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Subject to acceptance and recording thereof pursuant to paragraph (b)(iv)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2.15, 2.16, 2.17 and 9.03). Any assignment or transfer by a Lender of rights or obligations under this Agreement that does not comply with this Section 9.04 shall be treated for purposes of this Agreement as a sale by such Lender of a participation in such rights and obligations in accordance with paragraph (c) of this Section.</w:t>
      </w:r>
    </w:p>
    <w:p>
      <w:pPr>
        <w:spacing w:after="0" w:line="169" w:lineRule="exact"/>
        <w:rPr>
          <w:rFonts w:ascii="Times New Roman" w:cs="Times New Roman" w:eastAsia="Times New Roman" w:hAnsi="Times New Roman"/>
          <w:sz w:val="20"/>
          <w:szCs w:val="20"/>
          <w:color w:val="010000"/>
        </w:rPr>
      </w:pPr>
    </w:p>
    <w:p>
      <w:pPr>
        <w:jc w:val="both"/>
        <w:ind w:left="1300" w:firstLine="652"/>
        <w:spacing w:after="0" w:line="213" w:lineRule="auto"/>
        <w:tabs>
          <w:tab w:leader="none" w:pos="2596" w:val="left"/>
        </w:tabs>
        <w:numPr>
          <w:ilvl w:val="0"/>
          <w:numId w:val="30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Administrative Agent, acting for this purpose as a non-fiduciary agent of the Company, shall maintain at one of its offices in the United States a copy of each Assignment and Assumption delivered to it and a register for the recordation of the names and addresses of the Lenders, and the Commitment of, and principal amount (and stated interest) of the Loans owing to, each Lender pursuant to the terms hereof from time to time (the “</w:t>
      </w: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The entries in the Register shall be conclusive, and the Company, the Administrative Agent and the Lenders shall treat each Person whose name is recorded in the Register pursuant to the terms hereof as a Lender hereunder for all purposes of this Agreement, notwithstanding notice to the contrary. The Register shall be available for inspection by the Company and any Lender, at any reasonable time and from time to time upon reasonable prior notice.</w:t>
      </w:r>
    </w:p>
    <w:p>
      <w:pPr>
        <w:spacing w:after="0" w:line="162" w:lineRule="exact"/>
        <w:rPr>
          <w:rFonts w:ascii="Times New Roman" w:cs="Times New Roman" w:eastAsia="Times New Roman" w:hAnsi="Times New Roman"/>
          <w:sz w:val="20"/>
          <w:szCs w:val="20"/>
          <w:color w:val="010000"/>
        </w:rPr>
      </w:pPr>
    </w:p>
    <w:p>
      <w:pPr>
        <w:jc w:val="both"/>
        <w:ind w:left="1300" w:firstLine="652"/>
        <w:spacing w:after="0" w:line="215" w:lineRule="auto"/>
        <w:tabs>
          <w:tab w:leader="none" w:pos="2585" w:val="left"/>
        </w:tabs>
        <w:numPr>
          <w:ilvl w:val="0"/>
          <w:numId w:val="30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Upon its receipt of (x) a duly completed Assignment and Assumption executed by an assigning Lender and an assignee or (y) to the extent applicable, an agreement incorporating an Assignment and Assumption by reference pursuant to an Approved Electronic Platform as to which the Administrative Agent and the parties to the Assignment and Assumption are participants, the assignee’s completed Administrative Questionnaire (unless the assignee shall already be a Lender hereunder), the processing and recordation fee referred to in paragraph (b) of this Section and any written consent to such assignment required by paragraph (b) of this Section, the Administrative Agent shall accept such Assignment and Assumption and record the information contained therein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84</w:t>
      </w:r>
    </w:p>
    <w:p>
      <w:pPr>
        <w:sectPr>
          <w:pgSz w:w="11900" w:h="16838" w:orient="portrait"/>
          <w:cols w:equalWidth="0" w:num="1">
            <w:col w:w="11240"/>
          </w:cols>
          <w:pgMar w:left="320" w:top="1399" w:right="339" w:bottom="1440" w:gutter="0" w:footer="0" w:header="0"/>
        </w:sectPr>
      </w:pPr>
    </w:p>
    <w:bookmarkStart w:id="257" w:name="page258"/>
    <w:bookmarkEnd w:id="257"/>
    <w:p>
      <w:pPr>
        <w:ind w:left="644"/>
        <w:spacing w:after="0"/>
        <w:rPr>
          <w:sz w:val="20"/>
          <w:szCs w:val="20"/>
          <w:color w:val="auto"/>
        </w:rPr>
      </w:pPr>
      <w:r>
        <w:rPr>
          <w:rFonts w:ascii="Times New Roman" w:cs="Times New Roman" w:eastAsia="Times New Roman" w:hAnsi="Times New Roman"/>
          <w:sz w:val="20"/>
          <w:szCs w:val="20"/>
          <w:color w:val="auto"/>
        </w:rPr>
        <w:t xml:space="preserve">the Register;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either the assigning Lender or the assignee shall have failed to make any payment required to</w:t>
      </w:r>
    </w:p>
    <w:p>
      <w:pPr>
        <w:ind w:left="644"/>
        <w:spacing w:after="0" w:line="204" w:lineRule="auto"/>
        <w:rPr>
          <w:sz w:val="20"/>
          <w:szCs w:val="20"/>
          <w:color w:val="auto"/>
        </w:rPr>
      </w:pPr>
      <w:r>
        <w:rPr>
          <w:rFonts w:ascii="Times New Roman" w:cs="Times New Roman" w:eastAsia="Times New Roman" w:hAnsi="Times New Roman"/>
          <w:sz w:val="20"/>
          <w:szCs w:val="20"/>
          <w:color w:val="auto"/>
        </w:rPr>
        <w:t>be made by it pursuant to 2.07(b), 2.19(e) or 9.03(c), the Administrative Agent shall have no obligation to accept such Assignment and Assumption and record the information therein in the Register unless and until such payment shall have</w:t>
      </w:r>
    </w:p>
    <w:p>
      <w:pPr>
        <w:spacing w:after="0" w:line="1" w:lineRule="exact"/>
        <w:rPr>
          <w:sz w:val="20"/>
          <w:szCs w:val="20"/>
          <w:color w:val="auto"/>
        </w:rPr>
      </w:pPr>
    </w:p>
    <w:p>
      <w:pPr>
        <w:ind w:left="644"/>
        <w:spacing w:after="0" w:line="228" w:lineRule="auto"/>
        <w:rPr>
          <w:sz w:val="20"/>
          <w:szCs w:val="20"/>
          <w:color w:val="auto"/>
        </w:rPr>
      </w:pPr>
      <w:r>
        <w:rPr>
          <w:rFonts w:ascii="Times New Roman" w:cs="Times New Roman" w:eastAsia="Times New Roman" w:hAnsi="Times New Roman"/>
          <w:sz w:val="20"/>
          <w:szCs w:val="20"/>
          <w:color w:val="auto"/>
        </w:rPr>
        <w:t>been made in full, together with all accrued interest thereon. No assignment shall be effective for purposes of this Agreement unless it has been recorded in the Register as provided in this paragraph.</w:t>
      </w:r>
    </w:p>
    <w:p>
      <w:pPr>
        <w:spacing w:after="0" w:line="149" w:lineRule="exact"/>
        <w:rPr>
          <w:sz w:val="20"/>
          <w:szCs w:val="20"/>
          <w:color w:val="auto"/>
        </w:rPr>
      </w:pPr>
    </w:p>
    <w:p>
      <w:pPr>
        <w:jc w:val="both"/>
        <w:ind w:left="4" w:firstLine="644"/>
        <w:spacing w:after="0" w:line="214" w:lineRule="auto"/>
        <w:tabs>
          <w:tab w:leader="none" w:pos="1288" w:val="left"/>
        </w:tabs>
        <w:numPr>
          <w:ilvl w:val="1"/>
          <w:numId w:val="30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Lender may, without the consent of, or notice to, the Company, the Administrative Agent, sell participations to one or more banks or other entities (a “</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xml:space="preserve">”), other than an Ineligible Institution, in all or a portion of such Lender’s rights and/or obligations under this Agreement (including all or a portion of its Commitment and/or the Loans owing to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w:t>
      </w:r>
    </w:p>
    <w:p>
      <w:pPr>
        <w:ind w:left="324" w:hanging="324"/>
        <w:spacing w:after="0" w:line="211" w:lineRule="auto"/>
        <w:tabs>
          <w:tab w:leader="none" w:pos="324" w:val="left"/>
        </w:tabs>
        <w:numPr>
          <w:ilvl w:val="0"/>
          <w:numId w:val="3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Lender’s obligations under this Agreement shall remain unchanged; (B) such Lender shall remain solely responsible to the</w:t>
      </w:r>
    </w:p>
    <w:p>
      <w:pPr>
        <w:ind w:left="4"/>
        <w:spacing w:after="0" w:line="211" w:lineRule="auto"/>
        <w:rPr>
          <w:sz w:val="20"/>
          <w:szCs w:val="20"/>
          <w:color w:val="auto"/>
        </w:rPr>
      </w:pPr>
      <w:r>
        <w:rPr>
          <w:rFonts w:ascii="Times New Roman" w:cs="Times New Roman" w:eastAsia="Times New Roman" w:hAnsi="Times New Roman"/>
          <w:sz w:val="20"/>
          <w:szCs w:val="20"/>
          <w:color w:val="auto"/>
        </w:rPr>
        <w:t>other parties hereto for the performance of such obligations; and (C) the Company, the Administrative Agent and the other Lenders</w:t>
      </w:r>
    </w:p>
    <w:p>
      <w:pPr>
        <w:spacing w:after="0" w:line="1" w:lineRule="exact"/>
        <w:rPr>
          <w:sz w:val="20"/>
          <w:szCs w:val="20"/>
          <w:color w:val="auto"/>
        </w:rPr>
      </w:pPr>
    </w:p>
    <w:p>
      <w:pPr>
        <w:ind w:left="4"/>
        <w:spacing w:after="0" w:line="204" w:lineRule="auto"/>
        <w:rPr>
          <w:sz w:val="20"/>
          <w:szCs w:val="20"/>
          <w:color w:val="auto"/>
        </w:rPr>
      </w:pPr>
      <w:r>
        <w:rPr>
          <w:rFonts w:ascii="Times New Roman" w:cs="Times New Roman" w:eastAsia="Times New Roman" w:hAnsi="Times New Roman"/>
          <w:sz w:val="20"/>
          <w:szCs w:val="20"/>
          <w:color w:val="auto"/>
        </w:rPr>
        <w:t>shall continue to deal solely and directly with such Lender in connection with such Lender’s rights and obligations under this Agreement. Any agreement or instrument pursuant to which a Lender sells such a participation shall provide that such Lender shall</w:t>
      </w:r>
    </w:p>
    <w:p>
      <w:pPr>
        <w:ind w:left="4"/>
        <w:spacing w:after="0" w:line="211" w:lineRule="auto"/>
        <w:rPr>
          <w:sz w:val="20"/>
          <w:szCs w:val="20"/>
          <w:color w:val="auto"/>
        </w:rPr>
      </w:pPr>
      <w:r>
        <w:rPr>
          <w:rFonts w:ascii="Times New Roman" w:cs="Times New Roman" w:eastAsia="Times New Roman" w:hAnsi="Times New Roman"/>
          <w:sz w:val="20"/>
          <w:szCs w:val="20"/>
          <w:color w:val="auto"/>
        </w:rPr>
        <w:t>retain the sole right to enforce this Agreement and to approve any amendment, modification or waiver of any provision of this</w:t>
      </w:r>
    </w:p>
    <w:p>
      <w:pPr>
        <w:spacing w:after="0" w:line="1" w:lineRule="exact"/>
        <w:rPr>
          <w:sz w:val="20"/>
          <w:szCs w:val="20"/>
          <w:color w:val="auto"/>
        </w:rPr>
      </w:pPr>
    </w:p>
    <w:p>
      <w:pPr>
        <w:ind w:left="4" w:right="20"/>
        <w:spacing w:after="0" w:line="204" w:lineRule="auto"/>
        <w:rPr>
          <w:sz w:val="20"/>
          <w:szCs w:val="20"/>
          <w:color w:val="auto"/>
        </w:rPr>
      </w:pPr>
      <w:r>
        <w:rPr>
          <w:rFonts w:ascii="Times New Roman" w:cs="Times New Roman" w:eastAsia="Times New Roman" w:hAnsi="Times New Roman"/>
          <w:sz w:val="20"/>
          <w:szCs w:val="20"/>
          <w:color w:val="auto"/>
        </w:rPr>
        <w:t>Agreement; provided that such agreement or instrument may provide that such Lender will not, without the consent of the Participant, agree to any amendment, modification or waiver described in the first proviso to Section 9.02(b) that affects such</w:t>
      </w:r>
    </w:p>
    <w:p>
      <w:pPr>
        <w:ind w:left="4"/>
        <w:spacing w:after="0" w:line="211" w:lineRule="auto"/>
        <w:rPr>
          <w:sz w:val="20"/>
          <w:szCs w:val="20"/>
          <w:color w:val="auto"/>
        </w:rPr>
      </w:pPr>
      <w:r>
        <w:rPr>
          <w:rFonts w:ascii="Times New Roman" w:cs="Times New Roman" w:eastAsia="Times New Roman" w:hAnsi="Times New Roman"/>
          <w:sz w:val="20"/>
          <w:szCs w:val="20"/>
          <w:color w:val="auto"/>
        </w:rPr>
        <w:t>Participant. The Company agrees that each Participant shall be entitled to the benefits of Sections 2.15, 2.16 and 2.17 (subject to the</w:t>
      </w:r>
    </w:p>
    <w:p>
      <w:pPr>
        <w:spacing w:after="0" w:line="1" w:lineRule="exact"/>
        <w:rPr>
          <w:sz w:val="20"/>
          <w:szCs w:val="20"/>
          <w:color w:val="auto"/>
        </w:rPr>
      </w:pPr>
    </w:p>
    <w:p>
      <w:pPr>
        <w:ind w:left="4"/>
        <w:spacing w:after="0" w:line="204" w:lineRule="auto"/>
        <w:rPr>
          <w:sz w:val="20"/>
          <w:szCs w:val="20"/>
          <w:color w:val="auto"/>
        </w:rPr>
      </w:pPr>
      <w:r>
        <w:rPr>
          <w:rFonts w:ascii="Times New Roman" w:cs="Times New Roman" w:eastAsia="Times New Roman" w:hAnsi="Times New Roman"/>
          <w:sz w:val="20"/>
          <w:szCs w:val="20"/>
          <w:color w:val="auto"/>
        </w:rPr>
        <w:t>requirements and limitations therein, including the requirements under Section 2.17(f) (it being understood that the documentation required under Section 2.17(f) shall be delivered to the participating Lender)) to the same extent as if it were a Lender and had</w:t>
      </w:r>
    </w:p>
    <w:p>
      <w:pPr>
        <w:spacing w:after="0" w:line="1" w:lineRule="exact"/>
        <w:rPr>
          <w:sz w:val="20"/>
          <w:szCs w:val="20"/>
          <w:color w:val="auto"/>
        </w:rPr>
      </w:pPr>
    </w:p>
    <w:p>
      <w:pPr>
        <w:ind w:left="4"/>
        <w:spacing w:after="0" w:line="204" w:lineRule="auto"/>
        <w:rPr>
          <w:sz w:val="20"/>
          <w:szCs w:val="20"/>
          <w:color w:val="auto"/>
        </w:rPr>
      </w:pPr>
      <w:r>
        <w:rPr>
          <w:rFonts w:ascii="Times New Roman" w:cs="Times New Roman" w:eastAsia="Times New Roman" w:hAnsi="Times New Roman"/>
          <w:sz w:val="20"/>
          <w:szCs w:val="20"/>
          <w:color w:val="auto"/>
        </w:rPr>
        <w:t>acquired its interest by assignment pursuant to paragraph (b) of this Section; provided that such Participant (A) agrees to be subject to the provisions of Sections 2.19 and 2.20 as if it were an assignee under paragraph (b) of this Section; and (B) shall not be entitled</w:t>
      </w:r>
    </w:p>
    <w:p>
      <w:pPr>
        <w:ind w:left="4"/>
        <w:spacing w:after="0" w:line="211" w:lineRule="auto"/>
        <w:rPr>
          <w:sz w:val="20"/>
          <w:szCs w:val="20"/>
          <w:color w:val="auto"/>
        </w:rPr>
      </w:pPr>
      <w:r>
        <w:rPr>
          <w:rFonts w:ascii="Times New Roman" w:cs="Times New Roman" w:eastAsia="Times New Roman" w:hAnsi="Times New Roman"/>
          <w:sz w:val="20"/>
          <w:szCs w:val="20"/>
          <w:color w:val="auto"/>
        </w:rPr>
        <w:t>to receive any greater payment under Sections 2.15 or 2.17, with respect to any participation, than its participating Lender would</w:t>
      </w:r>
    </w:p>
    <w:p>
      <w:pPr>
        <w:spacing w:after="0" w:line="1" w:lineRule="exact"/>
        <w:rPr>
          <w:sz w:val="20"/>
          <w:szCs w:val="20"/>
          <w:color w:val="auto"/>
        </w:rPr>
      </w:pPr>
    </w:p>
    <w:p>
      <w:pPr>
        <w:ind w:left="4"/>
        <w:spacing w:after="0" w:line="204" w:lineRule="auto"/>
        <w:rPr>
          <w:sz w:val="20"/>
          <w:szCs w:val="20"/>
          <w:color w:val="auto"/>
        </w:rPr>
      </w:pPr>
      <w:r>
        <w:rPr>
          <w:rFonts w:ascii="Times New Roman" w:cs="Times New Roman" w:eastAsia="Times New Roman" w:hAnsi="Times New Roman"/>
          <w:sz w:val="20"/>
          <w:szCs w:val="20"/>
          <w:color w:val="auto"/>
        </w:rPr>
        <w:t>have been entitled to receive, except to the extent such entitlement to receive a greater payment results from a Change in Law that occurs after the Participant acquired the applicable participation. Each Lender that sells a participation agrees, at the Company’s</w:t>
      </w:r>
    </w:p>
    <w:p>
      <w:pPr>
        <w:ind w:left="4"/>
        <w:spacing w:after="0" w:line="211" w:lineRule="auto"/>
        <w:rPr>
          <w:sz w:val="20"/>
          <w:szCs w:val="20"/>
          <w:color w:val="auto"/>
        </w:rPr>
      </w:pPr>
      <w:r>
        <w:rPr>
          <w:rFonts w:ascii="Times New Roman" w:cs="Times New Roman" w:eastAsia="Times New Roman" w:hAnsi="Times New Roman"/>
          <w:sz w:val="20"/>
          <w:szCs w:val="20"/>
          <w:color w:val="auto"/>
        </w:rPr>
        <w:t>request and expense, to use reasonable efforts to cooperate with the Company to effectuate the provisions of Section 2.20(b) with</w:t>
      </w:r>
    </w:p>
    <w:p>
      <w:pPr>
        <w:spacing w:after="0" w:line="1" w:lineRule="exact"/>
        <w:rPr>
          <w:sz w:val="20"/>
          <w:szCs w:val="20"/>
          <w:color w:val="auto"/>
        </w:rPr>
      </w:pPr>
    </w:p>
    <w:p>
      <w:pPr>
        <w:ind w:left="4"/>
        <w:spacing w:after="0" w:line="204" w:lineRule="auto"/>
        <w:rPr>
          <w:sz w:val="20"/>
          <w:szCs w:val="20"/>
          <w:color w:val="auto"/>
        </w:rPr>
      </w:pPr>
      <w:r>
        <w:rPr>
          <w:rFonts w:ascii="Times New Roman" w:cs="Times New Roman" w:eastAsia="Times New Roman" w:hAnsi="Times New Roman"/>
          <w:sz w:val="20"/>
          <w:szCs w:val="20"/>
          <w:color w:val="auto"/>
        </w:rPr>
        <w:t>respect to any Participant. To the extent permitted by law, each Participant also shall be entitled to the benefits of Section 9.08 as though it were a Lender, provided such Participant agrees to be subject to Section 2.19(d) as though it were a Lender. Each Lender</w:t>
      </w:r>
    </w:p>
    <w:p>
      <w:pPr>
        <w:ind w:left="4"/>
        <w:spacing w:after="0" w:line="223" w:lineRule="auto"/>
        <w:rPr>
          <w:sz w:val="20"/>
          <w:szCs w:val="20"/>
          <w:color w:val="auto"/>
        </w:rPr>
      </w:pPr>
      <w:r>
        <w:rPr>
          <w:rFonts w:ascii="Times New Roman" w:cs="Times New Roman" w:eastAsia="Times New Roman" w:hAnsi="Times New Roman"/>
          <w:sz w:val="19"/>
          <w:szCs w:val="19"/>
          <w:color w:val="auto"/>
        </w:rPr>
        <w:t>that sells a participation shall, acting solely for this purpose as a non-fiduciary agent of the Company, maintain a register on which it</w:t>
      </w:r>
    </w:p>
    <w:p>
      <w:pPr>
        <w:ind w:left="4"/>
        <w:spacing w:after="0" w:line="215" w:lineRule="auto"/>
        <w:rPr>
          <w:sz w:val="20"/>
          <w:szCs w:val="20"/>
          <w:color w:val="auto"/>
        </w:rPr>
      </w:pPr>
      <w:r>
        <w:rPr>
          <w:rFonts w:ascii="Times New Roman" w:cs="Times New Roman" w:eastAsia="Times New Roman" w:hAnsi="Times New Roman"/>
          <w:sz w:val="19"/>
          <w:szCs w:val="19"/>
          <w:color w:val="auto"/>
        </w:rPr>
        <w:t>enters the name and address of each Participant and the principal amounts (and stated interest) of each Participant’s interest in the Loans or other obligations under the Loan Documents (the “</w:t>
      </w:r>
      <w:r>
        <w:rPr>
          <w:rFonts w:ascii="Times New Roman" w:cs="Times New Roman" w:eastAsia="Times New Roman" w:hAnsi="Times New Roman"/>
          <w:sz w:val="19"/>
          <w:szCs w:val="19"/>
          <w:u w:val="single" w:color="auto"/>
          <w:color w:val="auto"/>
        </w:rPr>
        <w:t>Participant Register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Lender shall have any obligation</w:t>
      </w:r>
    </w:p>
    <w:p>
      <w:pPr>
        <w:ind w:left="4"/>
        <w:spacing w:after="0" w:line="211" w:lineRule="auto"/>
        <w:rPr>
          <w:sz w:val="20"/>
          <w:szCs w:val="20"/>
          <w:color w:val="auto"/>
        </w:rPr>
      </w:pPr>
      <w:r>
        <w:rPr>
          <w:rFonts w:ascii="Times New Roman" w:cs="Times New Roman" w:eastAsia="Times New Roman" w:hAnsi="Times New Roman"/>
          <w:sz w:val="20"/>
          <w:szCs w:val="20"/>
          <w:color w:val="auto"/>
        </w:rPr>
        <w:t>to disclose all or any portion of the Participant Register to any Person (including the identity of any Participant or any information</w:t>
      </w:r>
    </w:p>
    <w:p>
      <w:pPr>
        <w:ind w:left="4"/>
        <w:spacing w:after="0" w:line="204" w:lineRule="auto"/>
        <w:rPr>
          <w:sz w:val="20"/>
          <w:szCs w:val="20"/>
          <w:color w:val="auto"/>
        </w:rPr>
      </w:pPr>
      <w:r>
        <w:rPr>
          <w:rFonts w:ascii="Times New Roman" w:cs="Times New Roman" w:eastAsia="Times New Roman" w:hAnsi="Times New Roman"/>
          <w:sz w:val="20"/>
          <w:szCs w:val="20"/>
          <w:color w:val="auto"/>
        </w:rPr>
        <w:t>relating to a Participant’s interest in any Commitments, Loans, or its other obligations under any Loan Document) except to the extent that such disclosure is necessary to establish that such Commitment, Loan or other obligation is in registered form under</w:t>
      </w:r>
    </w:p>
    <w:p>
      <w:pPr>
        <w:ind w:left="4"/>
        <w:spacing w:after="0" w:line="211" w:lineRule="auto"/>
        <w:rPr>
          <w:sz w:val="20"/>
          <w:szCs w:val="20"/>
          <w:color w:val="auto"/>
        </w:rPr>
      </w:pPr>
      <w:r>
        <w:rPr>
          <w:rFonts w:ascii="Times New Roman" w:cs="Times New Roman" w:eastAsia="Times New Roman" w:hAnsi="Times New Roman"/>
          <w:sz w:val="20"/>
          <w:szCs w:val="20"/>
          <w:color w:val="auto"/>
        </w:rPr>
        <w:t>Treasury Regulations Section 5f.103-1(c) and Proposed Treasury Regulations Section 1.163-5(b) (or any amended or successor</w:t>
      </w:r>
    </w:p>
    <w:p>
      <w:pPr>
        <w:spacing w:after="0" w:line="1" w:lineRule="exact"/>
        <w:rPr>
          <w:sz w:val="20"/>
          <w:szCs w:val="20"/>
          <w:color w:val="auto"/>
        </w:rPr>
      </w:pPr>
    </w:p>
    <w:p>
      <w:pPr>
        <w:ind w:left="4"/>
        <w:spacing w:after="0" w:line="204" w:lineRule="auto"/>
        <w:rPr>
          <w:sz w:val="20"/>
          <w:szCs w:val="20"/>
          <w:color w:val="auto"/>
        </w:rPr>
      </w:pPr>
      <w:r>
        <w:rPr>
          <w:rFonts w:ascii="Times New Roman" w:cs="Times New Roman" w:eastAsia="Times New Roman" w:hAnsi="Times New Roman"/>
          <w:sz w:val="20"/>
          <w:szCs w:val="20"/>
          <w:color w:val="auto"/>
        </w:rPr>
        <w:t>version). The entries in the Participant Register shall be conclusive absent manifest error, and such Lender shall treat each Person whose name is recorded in the Participant Register as the owner of such participation for all purposes of this Agreement</w:t>
      </w:r>
    </w:p>
    <w:p>
      <w:pPr>
        <w:spacing w:after="0" w:line="1" w:lineRule="exact"/>
        <w:rPr>
          <w:sz w:val="20"/>
          <w:szCs w:val="20"/>
          <w:color w:val="auto"/>
        </w:rPr>
      </w:pPr>
    </w:p>
    <w:p>
      <w:pPr>
        <w:ind w:left="4"/>
        <w:spacing w:after="0" w:line="228" w:lineRule="auto"/>
        <w:rPr>
          <w:sz w:val="20"/>
          <w:szCs w:val="20"/>
          <w:color w:val="auto"/>
        </w:rPr>
      </w:pPr>
      <w:r>
        <w:rPr>
          <w:rFonts w:ascii="Times New Roman" w:cs="Times New Roman" w:eastAsia="Times New Roman" w:hAnsi="Times New Roman"/>
          <w:sz w:val="20"/>
          <w:szCs w:val="20"/>
          <w:color w:val="auto"/>
        </w:rPr>
        <w:t>notwithstanding any notice to the contrary. For the avoidance of doubt, the Administrative Agent (in its capacity as Administrative Agent) shall have no responsibility for maintaining a Participant Register.</w:t>
      </w:r>
    </w:p>
    <w:p>
      <w:pPr>
        <w:spacing w:after="0" w:line="176" w:lineRule="exact"/>
        <w:rPr>
          <w:sz w:val="20"/>
          <w:szCs w:val="20"/>
          <w:color w:val="auto"/>
        </w:rPr>
      </w:pPr>
    </w:p>
    <w:p>
      <w:pPr>
        <w:jc w:val="both"/>
        <w:ind w:left="4" w:firstLine="644"/>
        <w:spacing w:after="0" w:line="282" w:lineRule="auto"/>
        <w:tabs>
          <w:tab w:leader="none" w:pos="1290" w:val="left"/>
        </w:tabs>
        <w:numPr>
          <w:ilvl w:val="0"/>
          <w:numId w:val="30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Any Lender may at any time pledge or assign a security interest in all or any portion of its rights under this Agreement to secure obligations of such Lender, including without limitation any pledge or assignment to secure obligations to a Federal Reserve Bank, and this Section shall not apply to any such pledge or assignment of a security interest;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0"/>
          <w:szCs w:val="20"/>
          <w:color w:val="auto"/>
        </w:rPr>
        <w:t>85</w:t>
      </w:r>
    </w:p>
    <w:p>
      <w:pPr>
        <w:sectPr>
          <w:pgSz w:w="11900" w:h="16838" w:orient="portrait"/>
          <w:cols w:equalWidth="0" w:num="1">
            <w:col w:w="10584"/>
          </w:cols>
          <w:pgMar w:left="976" w:top="1394" w:right="339" w:bottom="1440" w:gutter="0" w:footer="0" w:header="0"/>
        </w:sectPr>
      </w:pPr>
    </w:p>
    <w:bookmarkStart w:id="258" w:name="page259"/>
    <w:bookmarkEnd w:id="258"/>
    <w:p>
      <w:pPr>
        <w:ind w:left="660"/>
        <w:spacing w:after="0" w:line="297" w:lineRule="auto"/>
        <w:rPr>
          <w:sz w:val="20"/>
          <w:szCs w:val="20"/>
          <w:color w:val="auto"/>
        </w:rPr>
      </w:pPr>
      <w:r>
        <w:rPr>
          <w:rFonts w:ascii="Times New Roman" w:cs="Times New Roman" w:eastAsia="Times New Roman" w:hAnsi="Times New Roman"/>
          <w:sz w:val="20"/>
          <w:szCs w:val="20"/>
          <w:color w:val="auto"/>
        </w:rPr>
        <w:t>such pledge or assignment of a security interest shall release a Lender from any of its obligations hereunder or substitute any such pledgee or assignee for such Lender as a party hereto.</w:t>
      </w:r>
    </w:p>
    <w:p>
      <w:pPr>
        <w:spacing w:after="0" w:line="160"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010000"/>
        </w:rPr>
        <w:t xml:space="preserve">Section 9.05. </w:t>
      </w:r>
      <w:r>
        <w:rPr>
          <w:rFonts w:ascii="Times New Roman" w:cs="Times New Roman" w:eastAsia="Times New Roman" w:hAnsi="Times New Roman"/>
          <w:sz w:val="20"/>
          <w:szCs w:val="20"/>
          <w:u w:val="single" w:color="auto"/>
          <w:color w:val="000000"/>
        </w:rPr>
        <w:t>Survival</w:t>
      </w:r>
      <w:r>
        <w:rPr>
          <w:rFonts w:ascii="Times New Roman" w:cs="Times New Roman" w:eastAsia="Times New Roman" w:hAnsi="Times New Roman"/>
          <w:sz w:val="20"/>
          <w:szCs w:val="20"/>
          <w:color w:val="000000"/>
        </w:rPr>
        <w:t>. All covenants, agreements, representations and warranties made by the Borrower in the Loan</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 xml:space="preserve">Documents and in the certificates or other instruments delivered in connection with or pursuant to this Agreement or any other Loan Document shall be considered to have been relied upon by the other parties hereto and shall survive the execution and delivery of the Loan Documents and the making of any Loans, regardless of any investigation made by any such other party or on its behalf and notwithstanding that the Administrative Agent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or any other Loan Document is outstanding and unpaid and so long as the Commitments have not expired or terminated. The provisions of Sections 2.15, 2.16, 2.17 and 9.03 and </w:t>
      </w:r>
      <w:r>
        <w:rPr>
          <w:rFonts w:ascii="Times New Roman" w:cs="Times New Roman" w:eastAsia="Times New Roman" w:hAnsi="Times New Roman"/>
          <w:sz w:val="20"/>
          <w:szCs w:val="20"/>
          <w:u w:val="single" w:color="auto"/>
          <w:color w:val="000000"/>
        </w:rPr>
        <w:t>Article VIII</w:t>
      </w:r>
      <w:r>
        <w:rPr>
          <w:rFonts w:ascii="Times New Roman" w:cs="Times New Roman" w:eastAsia="Times New Roman" w:hAnsi="Times New Roman"/>
          <w:sz w:val="20"/>
          <w:szCs w:val="20"/>
          <w:color w:val="000000"/>
        </w:rPr>
        <w:t xml:space="preserve"> shall survive and remain in full force and effect regardless of the consummation of the transactions contemplated hereby, the repayment of the Loans and the Commitments or the termination of this Agreement or any other Loan Document or any provision hereof or thereof.</w:t>
      </w:r>
    </w:p>
    <w:p>
      <w:pPr>
        <w:spacing w:after="0" w:line="3"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9"/>
          <w:szCs w:val="19"/>
          <w:color w:val="010000"/>
        </w:rPr>
        <w:t xml:space="preserve">Section 9.06. </w:t>
      </w:r>
      <w:r>
        <w:rPr>
          <w:rFonts w:ascii="Times New Roman" w:cs="Times New Roman" w:eastAsia="Times New Roman" w:hAnsi="Times New Roman"/>
          <w:sz w:val="19"/>
          <w:szCs w:val="19"/>
          <w:u w:val="single" w:color="auto"/>
          <w:color w:val="000000"/>
        </w:rPr>
        <w:t>Counterparts; Integration; Effectiveness; Electronic Execution</w:t>
      </w:r>
      <w:r>
        <w:rPr>
          <w:rFonts w:ascii="Times New Roman" w:cs="Times New Roman" w:eastAsia="Times New Roman" w:hAnsi="Times New Roman"/>
          <w:sz w:val="19"/>
          <w:szCs w:val="19"/>
          <w:color w:val="000000"/>
        </w:rPr>
        <w:t>. This Agreement may be executed in</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counterparts (and by different parties hereto on different counterparts), each of which shall constitute an original, but all of which when taken together shall constitute a single contract. This Agreement, the other Loan Documents and any separate letter agreements with respect to fees payable to the Administrative Agent constitute the entire contract among the parties relating to the subject matter hereof and supersede any and all previous agreements and understandings, oral or written, relating to the subject matter hereof. Except as provided in Section 4.01,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 Delivery of an executed counterpart of a signature page of (x) this Agreement, (y) any other Loan Document and/or (z) any document, amendment, approval, consent, information, notice (including, for the avoidance of doubt, any notice delivered pursuant to Section 9.01), certificate, request, statement, disclosure or authorization related to this Agreement, any other Loan Document and/or the transactions contemplated hereby and/or thereby (each an “</w:t>
      </w:r>
      <w:r>
        <w:rPr>
          <w:rFonts w:ascii="Times New Roman" w:cs="Times New Roman" w:eastAsia="Times New Roman" w:hAnsi="Times New Roman"/>
          <w:sz w:val="19"/>
          <w:szCs w:val="19"/>
          <w:u w:val="single" w:color="auto"/>
          <w:color w:val="000000"/>
        </w:rPr>
        <w:t>Ancillary Document</w:t>
      </w:r>
      <w:r>
        <w:rPr>
          <w:rFonts w:ascii="Times New Roman" w:cs="Times New Roman" w:eastAsia="Times New Roman" w:hAnsi="Times New Roman"/>
          <w:sz w:val="19"/>
          <w:szCs w:val="19"/>
          <w:color w:val="000000"/>
        </w:rPr>
        <w:t>”) that is an Electronic Signature transmitted by telecopy, emailed pdf, or any other electronic means that reproduces an image of an actual executed signature page shall be effective as delivery of a manually executed counterpart of this Agreement, such other Loan Document or such Ancillary Document, as applicable. The words “execution,” “signed,” “signature,” “delivery,” and words of like import in or relating to this Agreement, any other Loan Document and/or any Ancillary Document shall be deemed to include Electronic Signatures, deliveries or the keeping of records in any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provided that nothing herein shall require the Administrative Agent to accept Electronic Signatures in any form or format without its prior written consent and pursuant to procedures approved by it; provided, further, without limiting the foregoing, (i) to the extent the Administrative Agent has agreed to accept any Electronic Signature, the Administrative Agent and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86</w:t>
      </w:r>
    </w:p>
    <w:p>
      <w:pPr>
        <w:sectPr>
          <w:pgSz w:w="11900" w:h="16838" w:orient="portrait"/>
          <w:cols w:equalWidth="0" w:num="1">
            <w:col w:w="11240"/>
          </w:cols>
          <w:pgMar w:left="320" w:top="1426" w:right="339" w:bottom="1440" w:gutter="0" w:footer="0" w:header="0"/>
        </w:sectPr>
      </w:pPr>
    </w:p>
    <w:bookmarkStart w:id="259" w:name="page260"/>
    <w:bookmarkEnd w:id="259"/>
    <w:p>
      <w:pPr>
        <w:jc w:val="both"/>
        <w:spacing w:after="0" w:line="282" w:lineRule="auto"/>
        <w:rPr>
          <w:sz w:val="20"/>
          <w:szCs w:val="20"/>
          <w:color w:val="auto"/>
        </w:rPr>
      </w:pPr>
      <w:r>
        <w:rPr>
          <w:rFonts w:ascii="Times New Roman" w:cs="Times New Roman" w:eastAsia="Times New Roman" w:hAnsi="Times New Roman"/>
          <w:sz w:val="19"/>
          <w:szCs w:val="19"/>
          <w:color w:val="auto"/>
        </w:rPr>
        <w:t>of the Lenders shall be entitled to rely on such Electronic Signature purportedly given by or on behalf of the Company without further verification thereof and without any obligation to review the appearance or form of any such Electronic Signature and (ii) upon the request of the Administrative Agent or any Lender, any Electronic Signature shall be promptly followed by a manually executed counterpart. Without limiting the generality of the foregoing, the Company hereby (i) agrees that, for all purposes, including without limitation, in connection with any workout, restructuring, enforcement of remedies, bankruptcy proceedings or litigation among the Administrative Agent, the Lenders and the Company, Electronic Signatures transmitted by telecopy, emailed pdf, or any other electronic means that reproduces an image of an actual executed signature page and/or any electronic images of this Agreement, any other Loan Document and/or any Ancillary Document shall have the same legal effect, validity and enforceability as any paper original, (ii) agrees that the Administrative Agent and each of the Lenders may, at its option, create one or more copies of this Agreement, any other Loan Document and/or any Ancillary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 (iii) waives any argument, defense or right to contest the legal effect, validity or enforceability of this Agreement, any other Loan Document and/or any Ancillary Document based solely on the lack of paper original copies of this Agreement, such other Loan Document and/or such Ancillary Document, respectively, including with respect to any signature pages thereto and (iv) waives any claim against any Lender-Related Person for any Liabilities arising solely from the Administrative Agent’s and/or any Lender’s reliance on or use of Electronic Signatures and/or transmissions by telecopy, emailed pdf, or any other electronic means that reproduces an image of an actual executed signature page, including any Liabilities arising as a result of the failure of the Company to use any available security measures in connection with the execution, delivery or transmission of any Electronic Signature.</w:t>
      </w:r>
    </w:p>
    <w:p>
      <w:pPr>
        <w:spacing w:after="0" w:line="12" w:lineRule="exact"/>
        <w:rPr>
          <w:sz w:val="20"/>
          <w:szCs w:val="20"/>
          <w:color w:val="auto"/>
        </w:rPr>
      </w:pPr>
    </w:p>
    <w:p>
      <w:pPr>
        <w:jc w:val="both"/>
        <w:ind w:firstLine="1296"/>
        <w:spacing w:after="0" w:line="290" w:lineRule="auto"/>
        <w:rPr>
          <w:sz w:val="20"/>
          <w:szCs w:val="20"/>
          <w:color w:val="auto"/>
        </w:rPr>
      </w:pPr>
      <w:r>
        <w:rPr>
          <w:rFonts w:ascii="Times New Roman" w:cs="Times New Roman" w:eastAsia="Times New Roman" w:hAnsi="Times New Roman"/>
          <w:sz w:val="20"/>
          <w:szCs w:val="20"/>
          <w:color w:val="010000"/>
        </w:rPr>
        <w:t xml:space="preserve">Section 9.07. </w:t>
      </w:r>
      <w:r>
        <w:rPr>
          <w:rFonts w:ascii="Times New Roman" w:cs="Times New Roman" w:eastAsia="Times New Roman" w:hAnsi="Times New Roman"/>
          <w:sz w:val="20"/>
          <w:szCs w:val="20"/>
          <w:u w:val="single" w:color="auto"/>
          <w:color w:val="000000"/>
        </w:rPr>
        <w:t>Severability</w:t>
      </w:r>
      <w:r>
        <w:rPr>
          <w:rFonts w:ascii="Times New Roman" w:cs="Times New Roman" w:eastAsia="Times New Roman" w:hAnsi="Times New Roman"/>
          <w:sz w:val="20"/>
          <w:szCs w:val="20"/>
          <w:color w:val="000000"/>
        </w:rPr>
        <w:t>. Any provision of any Loan Document held to be invalid, illegal or unenforceable in any</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jurisdiction shall, as to such jurisdiction, be ineffective to the extent of such invalidity, illegality or unenforceability without affecting the validity, legality and enforceability of the remaining provisions thereof; and the invalidity of a particular provision in a particular jurisdiction shall not invalidate such provision in any other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87</w:t>
      </w:r>
    </w:p>
    <w:p>
      <w:pPr>
        <w:sectPr>
          <w:pgSz w:w="11900" w:h="16838" w:orient="portrait"/>
          <w:cols w:equalWidth="0" w:num="1">
            <w:col w:w="11240"/>
          </w:cols>
          <w:pgMar w:left="320" w:top="1426" w:right="339" w:bottom="1440" w:gutter="0" w:footer="0" w:header="0"/>
        </w:sectPr>
      </w:pPr>
    </w:p>
    <w:bookmarkStart w:id="260" w:name="page261"/>
    <w:bookmarkEnd w:id="260"/>
    <w:p>
      <w:pPr>
        <w:jc w:val="both"/>
        <w:ind w:firstLine="1296"/>
        <w:spacing w:after="0" w:line="279" w:lineRule="auto"/>
        <w:rPr>
          <w:sz w:val="20"/>
          <w:szCs w:val="20"/>
          <w:color w:val="auto"/>
        </w:rPr>
      </w:pPr>
      <w:r>
        <w:rPr>
          <w:rFonts w:ascii="Times New Roman" w:cs="Times New Roman" w:eastAsia="Times New Roman" w:hAnsi="Times New Roman"/>
          <w:sz w:val="20"/>
          <w:szCs w:val="20"/>
          <w:color w:val="010000"/>
        </w:rPr>
        <w:t xml:space="preserve">Section 9.08. </w:t>
      </w:r>
      <w:r>
        <w:rPr>
          <w:rFonts w:ascii="Times New Roman" w:cs="Times New Roman" w:eastAsia="Times New Roman" w:hAnsi="Times New Roman"/>
          <w:sz w:val="20"/>
          <w:szCs w:val="20"/>
          <w:u w:val="single" w:color="auto"/>
          <w:color w:val="000000"/>
        </w:rPr>
        <w:t>Right of Setoff</w:t>
      </w:r>
      <w:r>
        <w:rPr>
          <w:rFonts w:ascii="Times New Roman" w:cs="Times New Roman" w:eastAsia="Times New Roman" w:hAnsi="Times New Roman"/>
          <w:sz w:val="20"/>
          <w:szCs w:val="20"/>
          <w:color w:val="000000"/>
        </w:rPr>
        <w:t>. If an Event of Default shall have occurred and be continuing, each Lender and each of its</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 xml:space="preserve">respective Affiliates is hereby authorized at any time and from time to time, to the fullest extent permitted by law, to setoff and apply any and all deposits (general or special, time or demand, provisional or final) at any time held, and other obligations at any time owing, by such Lender or any such Affiliate, to or for the credit or the account of the Company against any and all of the obligations of the Company now or hereafter existing under this Agreement or any other Loan Document to such Lender or its respective Affiliates, irrespective of whether or not such Lender or Affiliate shall have made any demand under this Agreement or any other Loan Document and although such obligations of the Company may be contingent or unmatured or are owed to a branch office or Affiliate of such Lender or different from the branch office or Affiliate holding such deposit or obligated on such indebtedness; </w:t>
      </w:r>
      <w:r>
        <w:rPr>
          <w:rFonts w:ascii="Times New Roman" w:cs="Times New Roman" w:eastAsia="Times New Roman" w:hAnsi="Times New Roman"/>
          <w:sz w:val="20"/>
          <w:szCs w:val="20"/>
          <w:u w:val="single" w:color="auto"/>
          <w:color w:val="000000"/>
        </w:rPr>
        <w:t>provided</w:t>
      </w:r>
      <w:r>
        <w:rPr>
          <w:rFonts w:ascii="Times New Roman" w:cs="Times New Roman" w:eastAsia="Times New Roman" w:hAnsi="Times New Roman"/>
          <w:sz w:val="20"/>
          <w:szCs w:val="20"/>
          <w:color w:val="000000"/>
        </w:rPr>
        <w:t xml:space="preserve"> that in the event that any Defaulting Lender shall exercise any such right of setoff, (x) all amounts so setoff shall be paid over immediately to the Administrative Agent for further application in accordance with the provisions of Section 2.25 and, pending such payment, shall be segregated by such Defaulting Lender from its other funds and deemed held in trust for the benefit of the Administrative Agent and the Lenders, and (y) the Defaulting Lender shall provide promptly to the Administrative Agent a statement describing in reasonable detail the Obligations owing to such Defaulting Lender as to which it exercised such right of setoff. The rights of each Lender and its respective Affiliates under this Section are in addition to other rights and remedies (including other rights of setoff) that such Lender, such Issuing Bank or their respective Affiliates may have. Each Lender agrees to notify the Company and the Administrative Agent promptly after any such setoff and application; </w:t>
      </w:r>
      <w:r>
        <w:rPr>
          <w:rFonts w:ascii="Times New Roman" w:cs="Times New Roman" w:eastAsia="Times New Roman" w:hAnsi="Times New Roman"/>
          <w:sz w:val="20"/>
          <w:szCs w:val="20"/>
          <w:u w:val="single" w:color="auto"/>
          <w:color w:val="000000"/>
        </w:rPr>
        <w:t>provided</w:t>
      </w:r>
      <w:r>
        <w:rPr>
          <w:rFonts w:ascii="Times New Roman" w:cs="Times New Roman" w:eastAsia="Times New Roman" w:hAnsi="Times New Roman"/>
          <w:sz w:val="20"/>
          <w:szCs w:val="20"/>
          <w:color w:val="000000"/>
        </w:rPr>
        <w:t xml:space="preserve"> that the failure to give such notice shall not affect the validity of such setoff and application.</w:t>
      </w:r>
    </w:p>
    <w:p>
      <w:pPr>
        <w:spacing w:after="0" w:line="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010000"/>
        </w:rPr>
        <w:t xml:space="preserve">Section 9.09. </w:t>
      </w:r>
      <w:r>
        <w:rPr>
          <w:rFonts w:ascii="Times New Roman" w:cs="Times New Roman" w:eastAsia="Times New Roman" w:hAnsi="Times New Roman"/>
          <w:sz w:val="20"/>
          <w:szCs w:val="20"/>
          <w:u w:val="single" w:color="auto"/>
          <w:color w:val="000000"/>
        </w:rPr>
        <w:t>Governing Law; Jurisdiction; Consent to Service of Process</w:t>
      </w:r>
      <w:r>
        <w:rPr>
          <w:rFonts w:ascii="Times New Roman" w:cs="Times New Roman" w:eastAsia="Times New Roman" w:hAnsi="Times New Roman"/>
          <w:sz w:val="20"/>
          <w:szCs w:val="20"/>
          <w:color w:val="000000"/>
        </w:rPr>
        <w:t>. This Agreement shall be construed in</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 xml:space="preserve">accordance with and governed by the law of the State of New York; </w:t>
      </w:r>
      <w:r>
        <w:rPr>
          <w:rFonts w:ascii="Times New Roman" w:cs="Times New Roman" w:eastAsia="Times New Roman" w:hAnsi="Times New Roman"/>
          <w:sz w:val="20"/>
          <w:szCs w:val="20"/>
          <w:i w:val="1"/>
          <w:iCs w:val="1"/>
          <w:color w:val="000000"/>
        </w:rPr>
        <w:t>provided</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i w:val="1"/>
          <w:iCs w:val="1"/>
          <w:color w:val="000000"/>
        </w:rPr>
        <w:t>however</w:t>
      </w:r>
      <w:r>
        <w:rPr>
          <w:rFonts w:ascii="Times New Roman" w:cs="Times New Roman" w:eastAsia="Times New Roman" w:hAnsi="Times New Roman"/>
          <w:sz w:val="20"/>
          <w:szCs w:val="20"/>
          <w:color w:val="000000"/>
        </w:rPr>
        <w:t>, that (a) the interpretation of the definition of Material Adverse Effect (as defined in the Indicor Acquisition Agreement) (and whether or not a Material Adverse Effect has occurred, including for purposes of Section 4.02(b), (b) the determination of the accuracy of any Indicor Acquisition Agreement Representation and whether as a result of any inaccuracy of any Indicor Acquisition Agreement Representation the Company has (or a subsidiary of the Company has) the right to terminate the Company’s (or such subsidiary’s) obligations under the Indicor Acquisition Agreement, or to decline to consummate the Indicor Acquisition pursuant to the Indicor Acquisition Agreement, as a result of a breach of such representations in the Indicor Acquisition Agreement and (c) the determination of whether the Acquisition has been consummated in accordance with the terms of the Indicor Acquisition Agreement will, in each case, be governed by, and construed and interpreted in accordance with, the laws governing the Indicor Acquisition Agreement as applied to the Indicor Acquisition Agreement, without giving effect to any choice or conflict of law provision or rule that would cause the application of laws of any other jurisdiction.</w:t>
      </w:r>
    </w:p>
    <w:p>
      <w:pPr>
        <w:spacing w:after="0" w:line="9" w:lineRule="exact"/>
        <w:rPr>
          <w:sz w:val="20"/>
          <w:szCs w:val="20"/>
          <w:color w:val="auto"/>
        </w:rPr>
      </w:pPr>
    </w:p>
    <w:p>
      <w:pPr>
        <w:jc w:val="both"/>
        <w:ind w:left="660" w:firstLine="644"/>
        <w:spacing w:after="0" w:line="264" w:lineRule="auto"/>
        <w:tabs>
          <w:tab w:leader="none" w:pos="1946" w:val="left"/>
        </w:tabs>
        <w:numPr>
          <w:ilvl w:val="0"/>
          <w:numId w:val="30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of the Lenders and the Administrative Agent hereby irrevocably and unconditionally agrees that, notwithstanding the governing law provisions of any applicable Loan Document, any claims brought against the Administrative Agent or any of its Related Parties by any holder of Obligations relating to this Agreement, any other Loan Document or the consummation or administration of the transactions contemplated hereby or thereby shall be construed in accordance with and governed by the law of the State of New York.</w:t>
      </w:r>
    </w:p>
    <w:p>
      <w:pPr>
        <w:spacing w:after="0" w:line="137" w:lineRule="exact"/>
        <w:rPr>
          <w:rFonts w:ascii="Times New Roman" w:cs="Times New Roman" w:eastAsia="Times New Roman" w:hAnsi="Times New Roman"/>
          <w:sz w:val="20"/>
          <w:szCs w:val="20"/>
          <w:color w:val="010000"/>
        </w:rPr>
      </w:pPr>
    </w:p>
    <w:p>
      <w:pPr>
        <w:ind w:left="660" w:firstLine="644"/>
        <w:spacing w:after="0" w:line="226" w:lineRule="auto"/>
        <w:tabs>
          <w:tab w:leader="none" w:pos="1944" w:val="left"/>
        </w:tabs>
        <w:numPr>
          <w:ilvl w:val="0"/>
          <w:numId w:val="30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of the parties hereto hereby irrevocably and unconditionally submits, for itself and its property, to the exclusive jurisdiction of the United States District Court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88</w:t>
      </w:r>
    </w:p>
    <w:p>
      <w:pPr>
        <w:sectPr>
          <w:pgSz w:w="11900" w:h="16838" w:orient="portrait"/>
          <w:cols w:equalWidth="0" w:num="1">
            <w:col w:w="11240"/>
          </w:cols>
          <w:pgMar w:left="320" w:top="1426" w:right="339" w:bottom="1440" w:gutter="0" w:footer="0" w:header="0"/>
        </w:sectPr>
      </w:pPr>
    </w:p>
    <w:bookmarkStart w:id="261" w:name="page262"/>
    <w:bookmarkEnd w:id="261"/>
    <w:p>
      <w:pPr>
        <w:jc w:val="both"/>
        <w:ind w:left="660"/>
        <w:spacing w:after="0" w:line="195" w:lineRule="auto"/>
        <w:rPr>
          <w:sz w:val="20"/>
          <w:szCs w:val="20"/>
          <w:color w:val="auto"/>
        </w:rPr>
      </w:pPr>
      <w:r>
        <w:rPr>
          <w:rFonts w:ascii="Times New Roman" w:cs="Times New Roman" w:eastAsia="Times New Roman" w:hAnsi="Times New Roman"/>
          <w:sz w:val="20"/>
          <w:szCs w:val="20"/>
          <w:color w:val="auto"/>
        </w:rPr>
        <w:t>Southern District of New York sitting in the Borough of Manhattan (or if such court lacks subject matter jurisdiction, the Supreme Court of the State of New York sitting in the Borough of Manhattan), and any appellate court from any thereof, in any action or proceeding arising out of or relating to this Agreement or any other Loan Document or the transactions relating hereto or thereto, or</w:t>
      </w:r>
    </w:p>
    <w:p>
      <w:pPr>
        <w:spacing w:after="0" w:line="1" w:lineRule="exact"/>
        <w:rPr>
          <w:sz w:val="20"/>
          <w:szCs w:val="20"/>
          <w:color w:val="auto"/>
        </w:rPr>
      </w:pPr>
    </w:p>
    <w:p>
      <w:pPr>
        <w:jc w:val="both"/>
        <w:ind w:left="660"/>
        <w:spacing w:after="0" w:line="185" w:lineRule="auto"/>
        <w:rPr>
          <w:sz w:val="20"/>
          <w:szCs w:val="20"/>
          <w:color w:val="auto"/>
        </w:rPr>
      </w:pPr>
      <w:r>
        <w:rPr>
          <w:rFonts w:ascii="Times New Roman" w:cs="Times New Roman" w:eastAsia="Times New Roman" w:hAnsi="Times New Roman"/>
          <w:sz w:val="20"/>
          <w:szCs w:val="20"/>
          <w:color w:val="auto"/>
        </w:rPr>
        <w:t>for recognition or enforcement of any judgment, and each of the parties hereto hereby irrevocably and unconditionally agrees that all claims in respect of any such action or proceeding may (and any such claims, cross-claims or third party claims brought against the Administrative Agent or any of its Related Parties may only) be heard and determined in such Federal (to the extent permitted by law) or New York State court. Each of the parties hereto agrees that a final judgment in any such action or proceeding shall be conclusive and may be enforced in other jurisdictions by suit on the judgment or in any other manner provided by law. Nothing in</w:t>
      </w:r>
    </w:p>
    <w:p>
      <w:pPr>
        <w:spacing w:after="0" w:line="5" w:lineRule="exact"/>
        <w:rPr>
          <w:sz w:val="20"/>
          <w:szCs w:val="20"/>
          <w:color w:val="auto"/>
        </w:rPr>
      </w:pPr>
    </w:p>
    <w:p>
      <w:pPr>
        <w:jc w:val="both"/>
        <w:ind w:left="660"/>
        <w:spacing w:after="0" w:line="193" w:lineRule="auto"/>
        <w:rPr>
          <w:sz w:val="20"/>
          <w:szCs w:val="20"/>
          <w:color w:val="auto"/>
        </w:rPr>
      </w:pPr>
      <w:r>
        <w:rPr>
          <w:rFonts w:ascii="Times New Roman" w:cs="Times New Roman" w:eastAsia="Times New Roman" w:hAnsi="Times New Roman"/>
          <w:sz w:val="20"/>
          <w:szCs w:val="20"/>
          <w:color w:val="auto"/>
        </w:rPr>
        <w:t>this Agreement or in any other Loan Document shall (i) affect any right that the Administrative Agent or any Lender may otherwise have to bring any action or proceeding relating to this Agreement or any other Loan Document against the Borrower or its properties in the courts of any jurisdiction or (ii) waive any statutory, regulatory, common law, or other rule, doctrine, legal restriction, provision or the like providing for the treatment of bank branches, bank agencies, or other bank offices as if they were separate juridical entities for certain purposes, including Uniform Commercial Code Sections 4-106, 4-A-105(1)(b), and 5-116(b), UCP 600 Article 3 and ISP98 Rule 2.02, and URDG 758 Article 3(a).</w:t>
      </w:r>
    </w:p>
    <w:p>
      <w:pPr>
        <w:spacing w:after="0" w:line="151" w:lineRule="exact"/>
        <w:rPr>
          <w:sz w:val="20"/>
          <w:szCs w:val="20"/>
          <w:color w:val="auto"/>
        </w:rPr>
      </w:pPr>
    </w:p>
    <w:p>
      <w:pPr>
        <w:jc w:val="both"/>
        <w:ind w:left="660" w:firstLine="644"/>
        <w:spacing w:after="0" w:line="200" w:lineRule="auto"/>
        <w:tabs>
          <w:tab w:leader="none" w:pos="1946" w:val="left"/>
        </w:tabs>
        <w:numPr>
          <w:ilvl w:val="0"/>
          <w:numId w:val="30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of the parties hereto hereby irrevocably and unconditionally waives, to the fullest extent it may legally and effectively do so, any objection which it may now or hereafter have to the laying of venue of any suit, action or proceeding arising out of or relating to this Agreement or any other Loan Document in any court referred to in paragraph (c) of this Section. Each of the parties hereto hereby irrevocably waives, to the fullest extent permitted by law, the defense of an inconvenient forum to the maintenance of such action or proceeding in any such court.</w:t>
      </w:r>
    </w:p>
    <w:p>
      <w:pPr>
        <w:spacing w:after="0" w:line="148" w:lineRule="exact"/>
        <w:rPr>
          <w:rFonts w:ascii="Times New Roman" w:cs="Times New Roman" w:eastAsia="Times New Roman" w:hAnsi="Times New Roman"/>
          <w:sz w:val="20"/>
          <w:szCs w:val="20"/>
          <w:color w:val="010000"/>
        </w:rPr>
      </w:pPr>
    </w:p>
    <w:p>
      <w:pPr>
        <w:jc w:val="both"/>
        <w:ind w:left="660" w:right="20" w:firstLine="644"/>
        <w:spacing w:after="0" w:line="211" w:lineRule="auto"/>
        <w:tabs>
          <w:tab w:leader="none" w:pos="1944" w:val="left"/>
        </w:tabs>
        <w:numPr>
          <w:ilvl w:val="0"/>
          <w:numId w:val="30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party to this Agreement irrevocably consents to service of process in the manner provided for notices in Section 9.01. Nothing in this Agreement or any other Loan Document will affect the right of any party to this Agreement to serve process in any other manner permitted by law.</w:t>
      </w:r>
    </w:p>
    <w:p>
      <w:pPr>
        <w:spacing w:after="0" w:line="136" w:lineRule="exact"/>
        <w:rPr>
          <w:sz w:val="20"/>
          <w:szCs w:val="20"/>
          <w:color w:val="auto"/>
        </w:rPr>
      </w:pPr>
    </w:p>
    <w:p>
      <w:pPr>
        <w:jc w:val="both"/>
        <w:ind w:firstLine="1296"/>
        <w:spacing w:after="0" w:line="201" w:lineRule="auto"/>
        <w:rPr>
          <w:sz w:val="20"/>
          <w:szCs w:val="20"/>
          <w:color w:val="auto"/>
        </w:rPr>
      </w:pPr>
      <w:r>
        <w:rPr>
          <w:rFonts w:ascii="Times New Roman" w:cs="Times New Roman" w:eastAsia="Times New Roman" w:hAnsi="Times New Roman"/>
          <w:sz w:val="20"/>
          <w:szCs w:val="20"/>
          <w:color w:val="010000"/>
        </w:rPr>
        <w:t xml:space="preserve">Section 9.10. </w:t>
      </w:r>
      <w:r>
        <w:rPr>
          <w:rFonts w:ascii="Times New Roman" w:cs="Times New Roman" w:eastAsia="Times New Roman" w:hAnsi="Times New Roman"/>
          <w:sz w:val="20"/>
          <w:szCs w:val="20"/>
          <w:u w:val="single" w:color="auto"/>
          <w:color w:val="000000"/>
        </w:rPr>
        <w:t>WAIVER OF JURY TRIAL</w:t>
      </w:r>
      <w:r>
        <w:rPr>
          <w:rFonts w:ascii="Times New Roman" w:cs="Times New Roman" w:eastAsia="Times New Roman" w:hAnsi="Times New Roman"/>
          <w:sz w:val="20"/>
          <w:szCs w:val="20"/>
          <w:color w:val="000000"/>
        </w:rPr>
        <w:t>. EACH PARTY HERETO HEREBY WAIVES, TO THE FULLEST EXTENT</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PERMITTED BY APPLICABLE LAW, ANY RIGHT IT MAY HAVE TO A TRIAL BY JURY IN ANY LEGAL PROCEEDING</w:t>
      </w:r>
    </w:p>
    <w:p>
      <w:pPr>
        <w:spacing w:after="0" w:line="1" w:lineRule="exact"/>
        <w:rPr>
          <w:sz w:val="20"/>
          <w:szCs w:val="20"/>
          <w:color w:val="auto"/>
        </w:rPr>
      </w:pPr>
    </w:p>
    <w:p>
      <w:pPr>
        <w:jc w:val="both"/>
        <w:spacing w:after="0" w:line="195" w:lineRule="auto"/>
        <w:rPr>
          <w:sz w:val="20"/>
          <w:szCs w:val="20"/>
          <w:color w:val="auto"/>
        </w:rPr>
      </w:pPr>
      <w:r>
        <w:rPr>
          <w:rFonts w:ascii="Times New Roman" w:cs="Times New Roman" w:eastAsia="Times New Roman" w:hAnsi="Times New Roman"/>
          <w:sz w:val="19"/>
          <w:szCs w:val="19"/>
          <w:color w:val="auto"/>
        </w:rPr>
        <w:t>DIRECTLY OR INDIRECTLY ARISING OUT OF OR RELATING TO THIS AGREEMENT, ANY OTHER LOAN DOCUMENT OR THE TRANSACTIONS CONTEMPLATED HEREBY OR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w:t>
      </w:r>
    </w:p>
    <w:p>
      <w:pPr>
        <w:spacing w:after="0" w:line="184" w:lineRule="auto"/>
        <w:rPr>
          <w:sz w:val="20"/>
          <w:szCs w:val="20"/>
          <w:color w:val="auto"/>
        </w:rPr>
      </w:pPr>
      <w:r>
        <w:rPr>
          <w:rFonts w:ascii="Times New Roman" w:cs="Times New Roman" w:eastAsia="Times New Roman" w:hAnsi="Times New Roman"/>
          <w:sz w:val="20"/>
          <w:szCs w:val="20"/>
          <w:color w:val="auto"/>
        </w:rPr>
        <w:t>AND CERTIFICATIONS IN THIS SECTION.</w:t>
      </w:r>
    </w:p>
    <w:p>
      <w:pPr>
        <w:spacing w:after="0" w:line="1" w:lineRule="exact"/>
        <w:rPr>
          <w:sz w:val="20"/>
          <w:szCs w:val="20"/>
          <w:color w:val="auto"/>
        </w:rPr>
      </w:pPr>
    </w:p>
    <w:p>
      <w:pPr>
        <w:jc w:val="both"/>
        <w:ind w:firstLine="1296"/>
        <w:spacing w:after="0" w:line="197" w:lineRule="auto"/>
        <w:rPr>
          <w:sz w:val="20"/>
          <w:szCs w:val="20"/>
          <w:color w:val="auto"/>
        </w:rPr>
      </w:pPr>
      <w:r>
        <w:rPr>
          <w:rFonts w:ascii="Times New Roman" w:cs="Times New Roman" w:eastAsia="Times New Roman" w:hAnsi="Times New Roman"/>
          <w:sz w:val="20"/>
          <w:szCs w:val="20"/>
          <w:color w:val="010000"/>
        </w:rPr>
        <w:t xml:space="preserve">Section 9.11. </w:t>
      </w:r>
      <w:r>
        <w:rPr>
          <w:rFonts w:ascii="Times New Roman" w:cs="Times New Roman" w:eastAsia="Times New Roman" w:hAnsi="Times New Roman"/>
          <w:sz w:val="20"/>
          <w:szCs w:val="20"/>
          <w:u w:val="single" w:color="auto"/>
          <w:color w:val="000000"/>
        </w:rPr>
        <w:t>Headings</w:t>
      </w:r>
      <w:r>
        <w:rPr>
          <w:rFonts w:ascii="Times New Roman" w:cs="Times New Roman" w:eastAsia="Times New Roman" w:hAnsi="Times New Roman"/>
          <w:sz w:val="20"/>
          <w:szCs w:val="20"/>
          <w:color w:val="000000"/>
        </w:rPr>
        <w:t>. Article and Section headings and the Table of Contents used herein are for convenience of</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reference only, are not part of this Agreement and shall not affect the construction of, or be taken into consideration in interpreting, this Agreement.</w:t>
      </w:r>
    </w:p>
    <w:p>
      <w:pPr>
        <w:spacing w:after="0" w:line="1"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0"/>
          <w:szCs w:val="20"/>
          <w:color w:val="010000"/>
        </w:rPr>
        <w:t xml:space="preserve">Section 9.12. </w:t>
      </w:r>
      <w:r>
        <w:rPr>
          <w:rFonts w:ascii="Times New Roman" w:cs="Times New Roman" w:eastAsia="Times New Roman" w:hAnsi="Times New Roman"/>
          <w:sz w:val="20"/>
          <w:szCs w:val="20"/>
          <w:u w:val="single" w:color="auto"/>
          <w:color w:val="000000"/>
        </w:rPr>
        <w:t>Confidentiality</w:t>
      </w:r>
      <w:r>
        <w:rPr>
          <w:rFonts w:ascii="Times New Roman" w:cs="Times New Roman" w:eastAsia="Times New Roman" w:hAnsi="Times New Roman"/>
          <w:sz w:val="20"/>
          <w:szCs w:val="20"/>
          <w:color w:val="000000"/>
        </w:rPr>
        <w:t>. Each of the Administrative Agent and the Lenders agrees to maintain the confidentiality of</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the Information (as defined below), except that Information may be disclosed (a) to its Affiliates and its and their respective directors, officers, employees and agents, including accountants, legal counsel and other advisors who need the information in connection with the Transactions (it being understood that the Persons to whom such disclosure is made will be informed of the confidential nature of such Information and instructed to keep such Information confidential and not to use the Information for any purposes other than in connection with the Transactions), (b) to the extent requested by any regulatory authority (including any self-regulatory authority, such as the National Association of Insurance Commissioners), (c) to the extent required by applicable laws or regulations or by any subpoena or similar legal process, (d) to any other party to this Agreement, (e) in connection with the exercise of any remedies under this Agreement or any other Loan Document or any suit, action or proceeding relating to this Agreement or any other Loan Document or the enforcement of rights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89</w:t>
      </w:r>
    </w:p>
    <w:p>
      <w:pPr>
        <w:sectPr>
          <w:pgSz w:w="11900" w:h="16838" w:orient="portrait"/>
          <w:cols w:equalWidth="0" w:num="1">
            <w:col w:w="11240"/>
          </w:cols>
          <w:pgMar w:left="320" w:top="1386" w:right="339" w:bottom="1440" w:gutter="0" w:footer="0" w:header="0"/>
        </w:sectPr>
      </w:pPr>
    </w:p>
    <w:bookmarkStart w:id="262" w:name="page263"/>
    <w:bookmarkEnd w:id="262"/>
    <w:p>
      <w:pPr>
        <w:jc w:val="both"/>
        <w:spacing w:after="0" w:line="263" w:lineRule="auto"/>
        <w:rPr>
          <w:sz w:val="20"/>
          <w:szCs w:val="20"/>
          <w:color w:val="auto"/>
        </w:rPr>
      </w:pPr>
      <w:r>
        <w:rPr>
          <w:rFonts w:ascii="Times New Roman" w:cs="Times New Roman" w:eastAsia="Times New Roman" w:hAnsi="Times New Roman"/>
          <w:sz w:val="20"/>
          <w:szCs w:val="20"/>
          <w:color w:val="auto"/>
        </w:rPr>
        <w:t>hereunder or thereunder, (f) subject to an agreement containing provisions substantially the same as those of this Section, to (i) any assignee of or Participant in, or any prospective assignee of or Participant in, any of its rights or obligations under this Agreement or (ii) any actual or prospective counterparty (or its advisors) to any swap, derivative or insurance transaction relating to the Company and its obligations,</w:t>
      </w:r>
    </w:p>
    <w:p>
      <w:pPr>
        <w:spacing w:after="0" w:line="2" w:lineRule="exact"/>
        <w:rPr>
          <w:sz w:val="20"/>
          <w:szCs w:val="20"/>
          <w:color w:val="auto"/>
        </w:rPr>
      </w:pPr>
    </w:p>
    <w:p>
      <w:pPr>
        <w:jc w:val="both"/>
        <w:ind w:firstLine="8"/>
        <w:spacing w:after="0" w:line="257" w:lineRule="auto"/>
        <w:tabs>
          <w:tab w:leader="none" w:pos="285" w:val="left"/>
        </w:tabs>
        <w:numPr>
          <w:ilvl w:val="0"/>
          <w:numId w:val="3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the consent of the Company or (h) to the extent such Information (i) becomes publicly available other than as a result of a breach of this Section or (ii) becomes available to the Administrative Agent or any Lender on a nonconfidential basis from a source other than the Company. For the purposes of this Section, “</w:t>
      </w:r>
      <w:r>
        <w:rPr>
          <w:rFonts w:ascii="Times New Roman" w:cs="Times New Roman" w:eastAsia="Times New Roman" w:hAnsi="Times New Roman"/>
          <w:sz w:val="20"/>
          <w:szCs w:val="20"/>
          <w:u w:val="single" w:color="auto"/>
          <w:color w:val="auto"/>
        </w:rPr>
        <w:t>Information</w:t>
      </w:r>
      <w:r>
        <w:rPr>
          <w:rFonts w:ascii="Times New Roman" w:cs="Times New Roman" w:eastAsia="Times New Roman" w:hAnsi="Times New Roman"/>
          <w:sz w:val="20"/>
          <w:szCs w:val="20"/>
          <w:color w:val="auto"/>
        </w:rPr>
        <w:t>” means all information received from the Company relating to the Company or its business, other than any such information that is available to the Administrative Agent or any Lender on a nonconfidential basis prior to disclosure by the Company and other than information pertaining to this Agreement routinely provided by arrangers to data service providers, including league table providers, that serve the lending industry.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 For the avoidance of doubt, nothing herein prohibits any individual from communicating or disclosing information regarding suspected violations of laws, rules, or regulations to a governmental, regulatory, or self-regulatory authority without any notification to any person.</w:t>
      </w:r>
    </w:p>
    <w:p>
      <w:pPr>
        <w:jc w:val="both"/>
        <w:ind w:firstLine="648"/>
        <w:spacing w:after="0" w:line="24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EACH LENDER ACKNOWLEDGES THAT INFORMATION AS DEFINED IN THE IMMEDIATELY PRECEDING PARAGRAPH FURNISHED TO IT PURSUANT TO THIS AGREEMENT MAY INCLUDE MATERIAL NON-PUBLIC INFORMATION CONCERNING THE COMPANY AND ITS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b w:val="1"/>
          <w:bCs w:val="1"/>
          <w:color w:val="auto"/>
        </w:rPr>
        <w:t>ALL INFORMATION, INCLUDING REQUESTS FOR WAIVERS AND AMENDMENTS, FURNISHED BY THE COMPANY OR THE ADMINISTRATIVE AGENT PURSUANT TO, OR IN THE COURSE OF ADMINISTERING, THIS AGREEMENT WILL BE SYNDICATE-LEVEL INFORMATION, WHICH MAY CONTAIN MATERIAL NON-PUBLIC INFORMATION ABOUT THE COMPANY AND ITS RELATED PARTIES OR THEIR RESPECTIVE SECURITIES. ACCORDINGLY, EACH LENDER REPRESENTS TO THE COMPANY AND THE ADMINISTRATIVE AGENT THAT IT HAS IDENTIFIED IN ITS ADMINISTRATIVE QUESTIONNAIRE A CREDIT CONTACT WHO MAY RECEIVE INFORMATION THAT MAY CONTAIN MATERIAL NON-PUBLIC INFORMATION IN ACCORDANCE WITH ITS COMPLIANCE PROCEDURES AND APPLICABLE LAW.</w:t>
      </w:r>
    </w:p>
    <w:p>
      <w:pPr>
        <w:spacing w:after="0" w:line="157"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0"/>
          <w:szCs w:val="20"/>
          <w:color w:val="010000"/>
        </w:rPr>
        <w:t>Section 9.13.</w:t>
      </w:r>
      <w:r>
        <w:rPr>
          <w:sz w:val="20"/>
          <w:szCs w:val="20"/>
          <w:color w:val="auto"/>
        </w:rPr>
        <w:tab/>
      </w:r>
      <w:r>
        <w:rPr>
          <w:rFonts w:ascii="Times New Roman" w:cs="Times New Roman" w:eastAsia="Times New Roman" w:hAnsi="Times New Roman"/>
          <w:sz w:val="19"/>
          <w:szCs w:val="19"/>
          <w:u w:val="single" w:color="auto"/>
          <w:color w:val="auto"/>
        </w:rPr>
        <w:t>USA PATRIOT Act</w:t>
      </w:r>
      <w:r>
        <w:rPr>
          <w:rFonts w:ascii="Times New Roman" w:cs="Times New Roman" w:eastAsia="Times New Roman" w:hAnsi="Times New Roman"/>
          <w:sz w:val="19"/>
          <w:szCs w:val="19"/>
          <w:color w:val="auto"/>
        </w:rPr>
        <w:t>. Each Lender that is subject to the requirements of the USA PATRIOT Act (Title III of</w:t>
      </w:r>
    </w:p>
    <w:p>
      <w:pPr>
        <w:jc w:val="both"/>
        <w:spacing w:after="0" w:line="204" w:lineRule="auto"/>
        <w:rPr>
          <w:sz w:val="20"/>
          <w:szCs w:val="20"/>
          <w:color w:val="auto"/>
        </w:rPr>
      </w:pPr>
      <w:r>
        <w:rPr>
          <w:rFonts w:ascii="Times New Roman" w:cs="Times New Roman" w:eastAsia="Times New Roman" w:hAnsi="Times New Roman"/>
          <w:sz w:val="20"/>
          <w:szCs w:val="20"/>
          <w:color w:val="auto"/>
        </w:rPr>
        <w:t>Pub. L. 107-56 (signed into law October 26, 2001)) (the “</w:t>
      </w:r>
      <w:r>
        <w:rPr>
          <w:rFonts w:ascii="Times New Roman" w:cs="Times New Roman" w:eastAsia="Times New Roman" w:hAnsi="Times New Roman"/>
          <w:sz w:val="20"/>
          <w:szCs w:val="20"/>
          <w:u w:val="single" w:color="auto"/>
          <w:color w:val="auto"/>
        </w:rPr>
        <w:t>Patriot Act</w:t>
      </w:r>
      <w:r>
        <w:rPr>
          <w:rFonts w:ascii="Times New Roman" w:cs="Times New Roman" w:eastAsia="Times New Roman" w:hAnsi="Times New Roman"/>
          <w:sz w:val="20"/>
          <w:szCs w:val="20"/>
          <w:color w:val="auto"/>
        </w:rPr>
        <w:t>”) and the requirements of the Beneficial Ownership Regulation hereby notifies the Company that, pursuant to the requirements of the Patriot Act and the Beneficial Ownership Regulation, it is required to obtain,</w:t>
      </w:r>
    </w:p>
    <w:p>
      <w:pPr>
        <w:spacing w:after="0" w:line="223" w:lineRule="auto"/>
        <w:rPr>
          <w:sz w:val="20"/>
          <w:szCs w:val="20"/>
          <w:color w:val="auto"/>
        </w:rPr>
      </w:pPr>
      <w:r>
        <w:rPr>
          <w:rFonts w:ascii="Times New Roman" w:cs="Times New Roman" w:eastAsia="Times New Roman" w:hAnsi="Times New Roman"/>
          <w:sz w:val="19"/>
          <w:szCs w:val="19"/>
          <w:color w:val="auto"/>
        </w:rPr>
        <w:t>verify and record information that identifies the Company, which information includes the name, address and tax identification number of the</w:t>
      </w:r>
    </w:p>
    <w:p>
      <w:pPr>
        <w:jc w:val="both"/>
        <w:spacing w:after="0" w:line="204" w:lineRule="auto"/>
        <w:rPr>
          <w:sz w:val="20"/>
          <w:szCs w:val="20"/>
          <w:color w:val="auto"/>
        </w:rPr>
      </w:pPr>
      <w:r>
        <w:rPr>
          <w:rFonts w:ascii="Times New Roman" w:cs="Times New Roman" w:eastAsia="Times New Roman" w:hAnsi="Times New Roman"/>
          <w:sz w:val="20"/>
          <w:szCs w:val="20"/>
          <w:color w:val="auto"/>
        </w:rPr>
        <w:t>Company and other information that will allow such Lender to identify the Company in accordance with the Patriot Act and the Beneficial Ownership Regulation and other applicable “know your customer” and anti-money laundering rules and regulations. The Company</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acknowledges that, pursuant to the </w:t>
      </w:r>
      <w:r>
        <w:rPr>
          <w:rFonts w:ascii="Times New Roman" w:cs="Times New Roman" w:eastAsia="Times New Roman" w:hAnsi="Times New Roman"/>
          <w:sz w:val="20"/>
          <w:szCs w:val="20"/>
          <w:i w:val="1"/>
          <w:iCs w:val="1"/>
          <w:color w:val="auto"/>
        </w:rPr>
        <w:t>Proceeds of Crime (Money Laundering) and Terrorist Financing Act (Canada)</w:t>
      </w:r>
      <w:r>
        <w:rPr>
          <w:rFonts w:ascii="Times New Roman" w:cs="Times New Roman" w:eastAsia="Times New Roman" w:hAnsi="Times New Roman"/>
          <w:sz w:val="20"/>
          <w:szCs w:val="20"/>
          <w:color w:val="auto"/>
        </w:rPr>
        <w:t xml:space="preserve"> and other applicable</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0"/>
          <w:szCs w:val="20"/>
          <w:color w:val="auto"/>
        </w:rPr>
        <w:t>Canadian anti-money laundering, anti-terrorist financing, government sanction and “know your client” laws, the Lenders and the Administrative Agent may be required to</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90</w:t>
      </w:r>
    </w:p>
    <w:p>
      <w:pPr>
        <w:sectPr>
          <w:pgSz w:w="11900" w:h="16838" w:orient="portrait"/>
          <w:cols w:equalWidth="0" w:num="1">
            <w:col w:w="11240"/>
          </w:cols>
          <w:pgMar w:left="320" w:top="1426" w:right="339" w:bottom="1440" w:gutter="0" w:footer="0" w:header="0"/>
        </w:sectPr>
      </w:pPr>
    </w:p>
    <w:bookmarkStart w:id="263" w:name="page264"/>
    <w:bookmarkEnd w:id="263"/>
    <w:p>
      <w:pPr>
        <w:spacing w:after="0"/>
        <w:rPr>
          <w:sz w:val="20"/>
          <w:szCs w:val="20"/>
          <w:color w:val="auto"/>
        </w:rPr>
      </w:pPr>
      <w:r>
        <w:rPr>
          <w:rFonts w:ascii="Times New Roman" w:cs="Times New Roman" w:eastAsia="Times New Roman" w:hAnsi="Times New Roman"/>
          <w:sz w:val="19"/>
          <w:szCs w:val="19"/>
          <w:color w:val="auto"/>
        </w:rPr>
        <w:t>obtain, verify and record information regarding the Company, its directors, authorized signing officers, direct or indirect shareholders or other</w:t>
      </w:r>
    </w:p>
    <w:p>
      <w:pPr>
        <w:spacing w:after="0" w:line="203" w:lineRule="auto"/>
        <w:rPr>
          <w:sz w:val="20"/>
          <w:szCs w:val="20"/>
          <w:color w:val="auto"/>
        </w:rPr>
      </w:pPr>
      <w:r>
        <w:rPr>
          <w:rFonts w:ascii="Times New Roman" w:cs="Times New Roman" w:eastAsia="Times New Roman" w:hAnsi="Times New Roman"/>
          <w:sz w:val="20"/>
          <w:szCs w:val="20"/>
          <w:color w:val="auto"/>
        </w:rPr>
        <w:t>Persons in Control of the Company, and the transactions contemplated hereby.</w:t>
      </w:r>
    </w:p>
    <w:p>
      <w:pPr>
        <w:ind w:left="1300"/>
        <w:spacing w:after="0" w:line="223" w:lineRule="auto"/>
        <w:tabs>
          <w:tab w:leader="none" w:pos="2580" w:val="left"/>
        </w:tabs>
        <w:rPr>
          <w:sz w:val="20"/>
          <w:szCs w:val="20"/>
          <w:color w:val="auto"/>
        </w:rPr>
      </w:pPr>
      <w:r>
        <w:rPr>
          <w:rFonts w:ascii="Times New Roman" w:cs="Times New Roman" w:eastAsia="Times New Roman" w:hAnsi="Times New Roman"/>
          <w:sz w:val="20"/>
          <w:szCs w:val="20"/>
          <w:color w:val="010000"/>
        </w:rPr>
        <w:t>Section 9.14.</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Intentionally Omitted</w:t>
      </w:r>
      <w:r>
        <w:rPr>
          <w:rFonts w:ascii="Times New Roman" w:cs="Times New Roman" w:eastAsia="Times New Roman" w:hAnsi="Times New Roman"/>
          <w:sz w:val="19"/>
          <w:szCs w:val="19"/>
          <w:color w:val="auto"/>
        </w:rPr>
        <w:t>].</w:t>
      </w:r>
    </w:p>
    <w:p>
      <w:pPr>
        <w:ind w:left="1300"/>
        <w:spacing w:after="0" w:line="211" w:lineRule="auto"/>
        <w:tabs>
          <w:tab w:leader="none" w:pos="2660" w:val="left"/>
        </w:tabs>
        <w:rPr>
          <w:sz w:val="20"/>
          <w:szCs w:val="20"/>
          <w:color w:val="auto"/>
        </w:rPr>
      </w:pPr>
      <w:r>
        <w:rPr>
          <w:rFonts w:ascii="Times New Roman" w:cs="Times New Roman" w:eastAsia="Times New Roman" w:hAnsi="Times New Roman"/>
          <w:sz w:val="20"/>
          <w:szCs w:val="20"/>
          <w:color w:val="010000"/>
        </w:rPr>
        <w:t>Section 9.15.</w:t>
      </w:r>
      <w:r>
        <w:rPr>
          <w:sz w:val="20"/>
          <w:szCs w:val="20"/>
          <w:color w:val="auto"/>
        </w:rPr>
        <w:tab/>
      </w:r>
      <w:r>
        <w:rPr>
          <w:rFonts w:ascii="Times New Roman" w:cs="Times New Roman" w:eastAsia="Times New Roman" w:hAnsi="Times New Roman"/>
          <w:sz w:val="20"/>
          <w:szCs w:val="20"/>
          <w:u w:val="single" w:color="auto"/>
          <w:color w:val="auto"/>
        </w:rPr>
        <w:t>Interest Rate Limitation</w:t>
      </w:r>
      <w:r>
        <w:rPr>
          <w:rFonts w:ascii="Times New Roman" w:cs="Times New Roman" w:eastAsia="Times New Roman" w:hAnsi="Times New Roman"/>
          <w:sz w:val="20"/>
          <w:szCs w:val="20"/>
          <w:color w:val="auto"/>
        </w:rPr>
        <w:t>. Notwithstanding anything herein to the contrary, if at any time the interest rate</w:t>
      </w:r>
    </w:p>
    <w:p>
      <w:pPr>
        <w:jc w:val="both"/>
        <w:spacing w:after="0" w:line="204" w:lineRule="auto"/>
        <w:rPr>
          <w:sz w:val="20"/>
          <w:szCs w:val="20"/>
          <w:color w:val="auto"/>
        </w:rPr>
      </w:pPr>
      <w:r>
        <w:rPr>
          <w:rFonts w:ascii="Times New Roman" w:cs="Times New Roman" w:eastAsia="Times New Roman" w:hAnsi="Times New Roman"/>
          <w:sz w:val="20"/>
          <w:szCs w:val="20"/>
          <w:color w:val="auto"/>
        </w:rPr>
        <w:t>applicable to any Loan, together with all fees, charges and other amounts which are treated as interest on such Loan under applicable law (collectively the “</w:t>
      </w:r>
      <w:r>
        <w:rPr>
          <w:rFonts w:ascii="Times New Roman" w:cs="Times New Roman" w:eastAsia="Times New Roman" w:hAnsi="Times New Roman"/>
          <w:sz w:val="20"/>
          <w:szCs w:val="20"/>
          <w:u w:val="single" w:color="auto"/>
          <w:color w:val="auto"/>
        </w:rPr>
        <w:t>Charges</w:t>
      </w:r>
      <w:r>
        <w:rPr>
          <w:rFonts w:ascii="Times New Roman" w:cs="Times New Roman" w:eastAsia="Times New Roman" w:hAnsi="Times New Roman"/>
          <w:sz w:val="20"/>
          <w:szCs w:val="20"/>
          <w:color w:val="auto"/>
        </w:rPr>
        <w:t>”), shall exceed the maximum lawful rate (the “</w:t>
      </w:r>
      <w:r>
        <w:rPr>
          <w:rFonts w:ascii="Times New Roman" w:cs="Times New Roman" w:eastAsia="Times New Roman" w:hAnsi="Times New Roman"/>
          <w:sz w:val="20"/>
          <w:szCs w:val="20"/>
          <w:u w:val="single" w:color="auto"/>
          <w:color w:val="auto"/>
        </w:rPr>
        <w:t>Maximum Rate</w:t>
      </w:r>
      <w:r>
        <w:rPr>
          <w:rFonts w:ascii="Times New Roman" w:cs="Times New Roman" w:eastAsia="Times New Roman" w:hAnsi="Times New Roman"/>
          <w:sz w:val="20"/>
          <w:szCs w:val="20"/>
          <w:color w:val="auto"/>
        </w:rPr>
        <w:t>”) which may be contracted for, charged, taken,</w:t>
      </w:r>
    </w:p>
    <w:p>
      <w:pPr>
        <w:spacing w:after="0" w:line="211" w:lineRule="auto"/>
        <w:rPr>
          <w:sz w:val="20"/>
          <w:szCs w:val="20"/>
          <w:color w:val="auto"/>
        </w:rPr>
      </w:pPr>
      <w:r>
        <w:rPr>
          <w:rFonts w:ascii="Times New Roman" w:cs="Times New Roman" w:eastAsia="Times New Roman" w:hAnsi="Times New Roman"/>
          <w:sz w:val="20"/>
          <w:szCs w:val="20"/>
          <w:color w:val="auto"/>
        </w:rPr>
        <w:t>received or reserved by the Lender holding such Loan in accordance with applicable law, the rate of interest payable in respect of such Loan</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hereunder, together with all Charges payable in respect thereof, shall be limited to the Maximum Rate and, to the extent lawful, the interest and Charges that would have been payable in respect of such Loan but were not payable as a result of the operation of this Section shall be</w:t>
      </w:r>
    </w:p>
    <w:p>
      <w:pPr>
        <w:spacing w:after="0" w:line="211" w:lineRule="auto"/>
        <w:rPr>
          <w:sz w:val="20"/>
          <w:szCs w:val="20"/>
          <w:color w:val="auto"/>
        </w:rPr>
      </w:pPr>
      <w:r>
        <w:rPr>
          <w:rFonts w:ascii="Times New Roman" w:cs="Times New Roman" w:eastAsia="Times New Roman" w:hAnsi="Times New Roman"/>
          <w:sz w:val="20"/>
          <w:szCs w:val="20"/>
          <w:color w:val="auto"/>
        </w:rPr>
        <w:t>cumulated and the interest and Charges payable to such Lender in respect of other Loans or periods shall be increased (but not above the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Maximum Rate therefor) until such cumulated amount, together with interest thereon at the applicable Overnight Rate to the date of repayment, shall have been received by such Lender.</w:t>
      </w:r>
    </w:p>
    <w:p>
      <w:pPr>
        <w:ind w:left="1300"/>
        <w:spacing w:after="0" w:line="223" w:lineRule="auto"/>
        <w:tabs>
          <w:tab w:leader="none" w:pos="2580" w:val="left"/>
        </w:tabs>
        <w:rPr>
          <w:sz w:val="20"/>
          <w:szCs w:val="20"/>
          <w:color w:val="auto"/>
        </w:rPr>
      </w:pPr>
      <w:r>
        <w:rPr>
          <w:rFonts w:ascii="Times New Roman" w:cs="Times New Roman" w:eastAsia="Times New Roman" w:hAnsi="Times New Roman"/>
          <w:sz w:val="20"/>
          <w:szCs w:val="20"/>
          <w:color w:val="010000"/>
        </w:rPr>
        <w:t>Section 9.16.</w:t>
      </w:r>
      <w:r>
        <w:rPr>
          <w:sz w:val="20"/>
          <w:szCs w:val="20"/>
          <w:color w:val="auto"/>
        </w:rPr>
        <w:tab/>
      </w:r>
      <w:r>
        <w:rPr>
          <w:rFonts w:ascii="Times New Roman" w:cs="Times New Roman" w:eastAsia="Times New Roman" w:hAnsi="Times New Roman"/>
          <w:sz w:val="19"/>
          <w:szCs w:val="19"/>
          <w:u w:val="single" w:color="auto"/>
          <w:color w:val="auto"/>
        </w:rPr>
        <w:t>No Fiduciary Duty, etc</w:t>
      </w:r>
      <w:r>
        <w:rPr>
          <w:rFonts w:ascii="Times New Roman" w:cs="Times New Roman" w:eastAsia="Times New Roman" w:hAnsi="Times New Roman"/>
          <w:sz w:val="19"/>
          <w:szCs w:val="19"/>
          <w:color w:val="auto"/>
        </w:rPr>
        <w:t>.</w:t>
      </w:r>
    </w:p>
    <w:p>
      <w:pPr>
        <w:jc w:val="both"/>
        <w:ind w:left="660" w:firstLine="644"/>
        <w:spacing w:after="0" w:line="209" w:lineRule="auto"/>
        <w:tabs>
          <w:tab w:leader="none" w:pos="1946" w:val="left"/>
        </w:tabs>
        <w:numPr>
          <w:ilvl w:val="0"/>
          <w:numId w:val="30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Company acknowledges and agrees, and acknowledges its Subsidiaries’ understanding, that no Credit Party will have any obligations except those obligations expressly set forth herein and in the other Loan Documents and each Credit Party is acting solely in the capacity of an arm’s length contractual counterparty to the Company with respect to the Loan Documents and the transaction contemplated therein and not as a financial advisor or a fiduciary to, or an agent of, the Company or any other person. The Company agrees that it will not assert any claim against any Credit Party based on an alleged breach of fiduciary duty by such Credit Party in connection with this Agreement and the transactions contemplated hereby. Additionally, the Company acknowledges and agrees that no Credit Party is advising the Company as to any legal, tax, investment, accounting, regulatory or any other matters in any jurisdiction. The Company shall consult with its own advisors concerning such matters and shall be responsible for making its own independent investigation and appraisal of the transactions contemplated hereby, and the Credit Parties shall have no responsibility or liability to the Company with respect thereto.</w:t>
      </w:r>
    </w:p>
    <w:p>
      <w:pPr>
        <w:spacing w:after="0" w:line="162" w:lineRule="exact"/>
        <w:rPr>
          <w:rFonts w:ascii="Times New Roman" w:cs="Times New Roman" w:eastAsia="Times New Roman" w:hAnsi="Times New Roman"/>
          <w:sz w:val="20"/>
          <w:szCs w:val="20"/>
          <w:color w:val="010000"/>
        </w:rPr>
      </w:pPr>
    </w:p>
    <w:p>
      <w:pPr>
        <w:jc w:val="both"/>
        <w:ind w:left="660" w:firstLine="644"/>
        <w:spacing w:after="0" w:line="213" w:lineRule="auto"/>
        <w:tabs>
          <w:tab w:leader="none" w:pos="1944" w:val="left"/>
        </w:tabs>
        <w:numPr>
          <w:ilvl w:val="0"/>
          <w:numId w:val="30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Company further acknowledges and agrees, and acknowledges its Subsidiaries’ understanding, that each Credit Party, together with its Affiliates, in addition to providing or participating in commercial lending facilities such as that provided hereunder, is a full service securities or banking firm engaged in securities trading and brokerage activities as well as providing investment banking and other financial services. In the ordinary course of business, any Credit Party may provide investment banking and other financial services to, and/or acquire, hold or sell, for its own accounts and the accounts of customers, equity, debt and other securities and financial instruments (including bank loans and other obligations) of, the Company, its Subsidiaries and other companies with which the Company or any of its Subsidiaries may have commercial or other relationships. With respect to any securities and/or financial instruments so held by any Credit Party or any of its customers, all rights in respect of such securities and financial instruments, including any voting rights, will be exercised by the holder of the rights, in its sole discretion.</w:t>
      </w:r>
    </w:p>
    <w:p>
      <w:pPr>
        <w:spacing w:after="0" w:line="161" w:lineRule="exact"/>
        <w:rPr>
          <w:rFonts w:ascii="Times New Roman" w:cs="Times New Roman" w:eastAsia="Times New Roman" w:hAnsi="Times New Roman"/>
          <w:sz w:val="20"/>
          <w:szCs w:val="20"/>
          <w:color w:val="010000"/>
        </w:rPr>
      </w:pPr>
    </w:p>
    <w:p>
      <w:pPr>
        <w:jc w:val="both"/>
        <w:ind w:left="660" w:firstLine="644"/>
        <w:spacing w:after="0" w:line="213" w:lineRule="auto"/>
        <w:tabs>
          <w:tab w:leader="none" w:pos="1946" w:val="left"/>
        </w:tabs>
        <w:numPr>
          <w:ilvl w:val="0"/>
          <w:numId w:val="30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 addition, the Company acknowledges and agrees, and acknowledges its Subsidiaries’ understanding, that each Credit Party and its Affiliates may be providing debt financing, equity capital or other services (including financial advisory services) to other companies in respect of which the Company or any of its Subsidiaries may have conflicting interests regarding the transactions described herein and otherwise. No Credit Party will use confidential information obtained from the Company by virtue of the transactions contemplated by the Loan Documents or its other relationships with the Company in connection with the performance by such Credit Party of services for other companies, and no Credit Party will furnish any such information to other companies. The Company also acknowledges that no Credit Party has any obligation to use in connection with the transactions contemplated by the Loan Documents, or to furnish to the Company or any of its Subsidiaries, confidential information obtained from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91</w:t>
      </w:r>
    </w:p>
    <w:p>
      <w:pPr>
        <w:sectPr>
          <w:pgSz w:w="11900" w:h="16838" w:orient="portrait"/>
          <w:cols w:equalWidth="0" w:num="1">
            <w:col w:w="11240"/>
          </w:cols>
          <w:pgMar w:left="320" w:top="1399" w:right="339" w:bottom="1440" w:gutter="0" w:footer="0" w:header="0"/>
        </w:sectPr>
      </w:pPr>
    </w:p>
    <w:bookmarkStart w:id="264" w:name="page265"/>
    <w:bookmarkEnd w:id="264"/>
    <w:p>
      <w:pPr>
        <w:ind w:left="1300"/>
        <w:spacing w:after="0"/>
        <w:tabs>
          <w:tab w:leader="none" w:pos="2580" w:val="left"/>
        </w:tabs>
        <w:rPr>
          <w:sz w:val="20"/>
          <w:szCs w:val="20"/>
          <w:color w:val="auto"/>
        </w:rPr>
      </w:pPr>
      <w:r>
        <w:rPr>
          <w:rFonts w:ascii="Times New Roman" w:cs="Times New Roman" w:eastAsia="Times New Roman" w:hAnsi="Times New Roman"/>
          <w:sz w:val="20"/>
          <w:szCs w:val="20"/>
          <w:color w:val="010000"/>
        </w:rPr>
        <w:t>Section 9.17.</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Intentionally Omitted</w:t>
      </w:r>
      <w:r>
        <w:rPr>
          <w:rFonts w:ascii="Times New Roman" w:cs="Times New Roman" w:eastAsia="Times New Roman" w:hAnsi="Times New Roman"/>
          <w:sz w:val="19"/>
          <w:szCs w:val="19"/>
          <w:color w:val="auto"/>
        </w:rPr>
        <w:t>].</w:t>
      </w:r>
    </w:p>
    <w:p>
      <w:pPr>
        <w:ind w:firstLine="1296"/>
        <w:spacing w:after="0" w:line="204" w:lineRule="auto"/>
        <w:rPr>
          <w:sz w:val="20"/>
          <w:szCs w:val="20"/>
          <w:color w:val="auto"/>
        </w:rPr>
      </w:pPr>
      <w:r>
        <w:rPr>
          <w:rFonts w:ascii="Times New Roman" w:cs="Times New Roman" w:eastAsia="Times New Roman" w:hAnsi="Times New Roman"/>
          <w:sz w:val="20"/>
          <w:szCs w:val="20"/>
          <w:color w:val="010000"/>
        </w:rPr>
        <w:t xml:space="preserve">Section 9.18. </w:t>
      </w:r>
      <w:r>
        <w:rPr>
          <w:rFonts w:ascii="Times New Roman" w:cs="Times New Roman" w:eastAsia="Times New Roman" w:hAnsi="Times New Roman"/>
          <w:sz w:val="20"/>
          <w:szCs w:val="20"/>
          <w:u w:val="single" w:color="auto"/>
          <w:color w:val="000000"/>
        </w:rPr>
        <w:t>Acknowledgement and Consent to Bail-In of Affected Financial Institutions</w:t>
      </w:r>
      <w:r>
        <w:rPr>
          <w:rFonts w:ascii="Times New Roman" w:cs="Times New Roman" w:eastAsia="Times New Roman" w:hAnsi="Times New Roman"/>
          <w:sz w:val="20"/>
          <w:szCs w:val="20"/>
          <w:color w:val="000000"/>
        </w:rPr>
        <w:t>. Notwithstanding anything to</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the contrary in any Loan Document or in any other agreement, arrangement or understanding among any such parties, each party hereto</w:t>
      </w:r>
    </w:p>
    <w:p>
      <w:pPr>
        <w:spacing w:after="0" w:line="1" w:lineRule="exact"/>
        <w:rPr>
          <w:sz w:val="20"/>
          <w:szCs w:val="20"/>
          <w:color w:val="auto"/>
        </w:rPr>
      </w:pPr>
    </w:p>
    <w:p>
      <w:pPr>
        <w:spacing w:after="0" w:line="211" w:lineRule="auto"/>
        <w:rPr>
          <w:sz w:val="20"/>
          <w:szCs w:val="20"/>
          <w:color w:val="auto"/>
        </w:rPr>
      </w:pPr>
      <w:r>
        <w:rPr>
          <w:rFonts w:ascii="Times New Roman" w:cs="Times New Roman" w:eastAsia="Times New Roman" w:hAnsi="Times New Roman"/>
          <w:sz w:val="20"/>
          <w:szCs w:val="20"/>
          <w:color w:val="auto"/>
        </w:rPr>
        <w:t>acknowledges that any liability of any Affected Financial Institution arising under any Loan Document may be subject to the Write-Down and Conversion Powers of the applicable Resolution Authority and agrees and consents to, and acknowledges and agrees to be bound by:</w:t>
      </w:r>
    </w:p>
    <w:p>
      <w:pPr>
        <w:spacing w:after="0" w:line="1" w:lineRule="exact"/>
        <w:rPr>
          <w:sz w:val="20"/>
          <w:szCs w:val="20"/>
          <w:color w:val="auto"/>
        </w:rPr>
      </w:pPr>
    </w:p>
    <w:p>
      <w:pPr>
        <w:ind w:firstLine="1304"/>
        <w:spacing w:after="0" w:line="260" w:lineRule="auto"/>
        <w:tabs>
          <w:tab w:leader="none" w:pos="1934" w:val="left"/>
        </w:tabs>
        <w:numPr>
          <w:ilvl w:val="0"/>
          <w:numId w:val="31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68" w:lineRule="exact"/>
        <w:rPr>
          <w:rFonts w:ascii="Times New Roman" w:cs="Times New Roman" w:eastAsia="Times New Roman" w:hAnsi="Times New Roman"/>
          <w:sz w:val="20"/>
          <w:szCs w:val="20"/>
          <w:color w:val="010000"/>
        </w:rPr>
      </w:pPr>
    </w:p>
    <w:p>
      <w:pPr>
        <w:ind w:left="1940" w:hanging="636"/>
        <w:spacing w:after="0"/>
        <w:tabs>
          <w:tab w:leader="none" w:pos="1940" w:val="left"/>
        </w:tabs>
        <w:numPr>
          <w:ilvl w:val="0"/>
          <w:numId w:val="31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effects of any Bail-In Action on any such liability, including, if applicable:</w:t>
      </w:r>
    </w:p>
    <w:p>
      <w:pPr>
        <w:spacing w:after="0" w:line="229" w:lineRule="exact"/>
        <w:rPr>
          <w:rFonts w:ascii="Times New Roman" w:cs="Times New Roman" w:eastAsia="Times New Roman" w:hAnsi="Times New Roman"/>
          <w:sz w:val="20"/>
          <w:szCs w:val="20"/>
          <w:color w:val="010000"/>
        </w:rPr>
      </w:pPr>
    </w:p>
    <w:p>
      <w:pPr>
        <w:ind w:left="2600" w:hanging="648"/>
        <w:spacing w:after="0"/>
        <w:tabs>
          <w:tab w:leader="none" w:pos="2600" w:val="left"/>
        </w:tabs>
        <w:numPr>
          <w:ilvl w:val="1"/>
          <w:numId w:val="31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 reduction in full or in part or cancellation of any such liability;</w:t>
      </w:r>
    </w:p>
    <w:p>
      <w:pPr>
        <w:spacing w:after="0" w:line="229" w:lineRule="exact"/>
        <w:rPr>
          <w:rFonts w:ascii="Times New Roman" w:cs="Times New Roman" w:eastAsia="Times New Roman" w:hAnsi="Times New Roman"/>
          <w:sz w:val="20"/>
          <w:szCs w:val="20"/>
          <w:color w:val="010000"/>
        </w:rPr>
      </w:pPr>
    </w:p>
    <w:p>
      <w:pPr>
        <w:jc w:val="both"/>
        <w:ind w:left="660" w:firstLine="1292"/>
        <w:spacing w:after="0" w:line="254" w:lineRule="auto"/>
        <w:tabs>
          <w:tab w:leader="none" w:pos="2603" w:val="left"/>
        </w:tabs>
        <w:numPr>
          <w:ilvl w:val="1"/>
          <w:numId w:val="31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87" w:lineRule="exact"/>
        <w:rPr>
          <w:rFonts w:ascii="Times New Roman" w:cs="Times New Roman" w:eastAsia="Times New Roman" w:hAnsi="Times New Roman"/>
          <w:sz w:val="20"/>
          <w:szCs w:val="20"/>
          <w:color w:val="010000"/>
        </w:rPr>
      </w:pPr>
    </w:p>
    <w:p>
      <w:pPr>
        <w:ind w:left="660" w:firstLine="1292"/>
        <w:spacing w:after="0" w:line="283" w:lineRule="auto"/>
        <w:tabs>
          <w:tab w:leader="none" w:pos="2604" w:val="left"/>
        </w:tabs>
        <w:numPr>
          <w:ilvl w:val="1"/>
          <w:numId w:val="31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variation of the terms of such liability in connection with the exercise of the Write-Down and Conversion Powers of the applicable Resolution Authority.</w:t>
      </w:r>
    </w:p>
    <w:p>
      <w:pPr>
        <w:spacing w:after="0" w:line="133" w:lineRule="exact"/>
        <w:rPr>
          <w:sz w:val="20"/>
          <w:szCs w:val="20"/>
          <w:color w:val="auto"/>
        </w:rPr>
      </w:pPr>
    </w:p>
    <w:p>
      <w:pPr>
        <w:ind w:firstLine="1296"/>
        <w:spacing w:after="0" w:line="222" w:lineRule="auto"/>
        <w:rPr>
          <w:sz w:val="20"/>
          <w:szCs w:val="20"/>
          <w:color w:val="auto"/>
        </w:rPr>
      </w:pPr>
      <w:r>
        <w:rPr>
          <w:rFonts w:ascii="Times New Roman" w:cs="Times New Roman" w:eastAsia="Times New Roman" w:hAnsi="Times New Roman"/>
          <w:sz w:val="20"/>
          <w:szCs w:val="20"/>
          <w:color w:val="010000"/>
        </w:rPr>
        <w:t xml:space="preserve">Section 9.19. </w:t>
      </w:r>
      <w:r>
        <w:rPr>
          <w:rFonts w:ascii="Times New Roman" w:cs="Times New Roman" w:eastAsia="Times New Roman" w:hAnsi="Times New Roman"/>
          <w:sz w:val="20"/>
          <w:szCs w:val="20"/>
          <w:u w:val="single" w:color="auto"/>
          <w:color w:val="000000"/>
        </w:rPr>
        <w:t>Acknowledgement Regarding Any Supported QFCs</w:t>
      </w:r>
      <w:r>
        <w:rPr>
          <w:rFonts w:ascii="Times New Roman" w:cs="Times New Roman" w:eastAsia="Times New Roman" w:hAnsi="Times New Roman"/>
          <w:sz w:val="20"/>
          <w:szCs w:val="20"/>
          <w:color w:val="000000"/>
        </w:rPr>
        <w:t>. To the extent that the Loan Documents provide</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support, through a guarantee or otherwise, for Swap Agreements or any other agreement or instrument that is a QFC (such support “</w:t>
      </w:r>
      <w:r>
        <w:rPr>
          <w:rFonts w:ascii="Times New Roman" w:cs="Times New Roman" w:eastAsia="Times New Roman" w:hAnsi="Times New Roman"/>
          <w:sz w:val="20"/>
          <w:szCs w:val="20"/>
          <w:u w:val="single" w:color="auto"/>
          <w:color w:val="000000"/>
        </w:rPr>
        <w:t>QFC</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u w:val="single" w:color="auto"/>
          <w:color w:val="auto"/>
        </w:rPr>
        <w:t>Credit Support</w:t>
      </w:r>
      <w:r>
        <w:rPr>
          <w:rFonts w:ascii="Times New Roman" w:cs="Times New Roman" w:eastAsia="Times New Roman" w:hAnsi="Times New Roman"/>
          <w:sz w:val="19"/>
          <w:szCs w:val="19"/>
          <w:color w:val="auto"/>
        </w:rPr>
        <w:t>” and each such QFC a “</w:t>
      </w:r>
      <w:r>
        <w:rPr>
          <w:rFonts w:ascii="Times New Roman" w:cs="Times New Roman" w:eastAsia="Times New Roman" w:hAnsi="Times New Roman"/>
          <w:sz w:val="19"/>
          <w:szCs w:val="19"/>
          <w:u w:val="single" w:color="auto"/>
          <w:color w:val="auto"/>
        </w:rPr>
        <w:t>Supported QFC</w:t>
      </w:r>
      <w:r>
        <w:rPr>
          <w:rFonts w:ascii="Times New Roman" w:cs="Times New Roman" w:eastAsia="Times New Roman" w:hAnsi="Times New Roman"/>
          <w:sz w:val="19"/>
          <w:szCs w:val="19"/>
          <w:color w:val="auto"/>
        </w:rPr>
        <w:t>”), the parties acknowledge and agree as follows with respect to the resolution power of the Federal Deposit Insurance Corporation under the Federal Deposit Insurance Act and Title II of the Dodd-Frank Wall Street Reform and</w:t>
      </w:r>
    </w:p>
    <w:p>
      <w:pPr>
        <w:spacing w:after="0" w:line="211" w:lineRule="auto"/>
        <w:rPr>
          <w:sz w:val="20"/>
          <w:szCs w:val="20"/>
          <w:color w:val="auto"/>
        </w:rPr>
      </w:pPr>
      <w:r>
        <w:rPr>
          <w:rFonts w:ascii="Times New Roman" w:cs="Times New Roman" w:eastAsia="Times New Roman" w:hAnsi="Times New Roman"/>
          <w:sz w:val="20"/>
          <w:szCs w:val="20"/>
          <w:color w:val="auto"/>
        </w:rPr>
        <w:t>Consumer Protection Act (together with the regulations promulgated thereunder, the “</w:t>
      </w:r>
      <w:r>
        <w:rPr>
          <w:rFonts w:ascii="Times New Roman" w:cs="Times New Roman" w:eastAsia="Times New Roman" w:hAnsi="Times New Roman"/>
          <w:sz w:val="20"/>
          <w:szCs w:val="20"/>
          <w:u w:val="single" w:color="auto"/>
          <w:color w:val="auto"/>
        </w:rPr>
        <w:t>U.S. Special Resolution Regimes</w:t>
      </w:r>
      <w:r>
        <w:rPr>
          <w:rFonts w:ascii="Times New Roman" w:cs="Times New Roman" w:eastAsia="Times New Roman" w:hAnsi="Times New Roman"/>
          <w:sz w:val="20"/>
          <w:szCs w:val="20"/>
          <w:color w:val="auto"/>
        </w:rPr>
        <w:t>”) in respect of such</w:t>
      </w:r>
    </w:p>
    <w:p>
      <w:pPr>
        <w:spacing w:after="0" w:line="215" w:lineRule="auto"/>
        <w:rPr>
          <w:sz w:val="20"/>
          <w:szCs w:val="20"/>
          <w:color w:val="auto"/>
        </w:rPr>
      </w:pPr>
      <w:r>
        <w:rPr>
          <w:rFonts w:ascii="Times New Roman" w:cs="Times New Roman" w:eastAsia="Times New Roman" w:hAnsi="Times New Roman"/>
          <w:sz w:val="19"/>
          <w:szCs w:val="19"/>
          <w:color w:val="auto"/>
        </w:rPr>
        <w:t>Supported QFC and QFC Credit Support (with the provisions below applicable notwithstanding that the Loan Documents and any Supported QFC may in fact be stated to be governed by the laws of the State of New York and/or of the United States or any other state of the United</w:t>
      </w:r>
    </w:p>
    <w:p>
      <w:pPr>
        <w:spacing w:after="0" w:line="211" w:lineRule="auto"/>
        <w:rPr>
          <w:sz w:val="20"/>
          <w:szCs w:val="20"/>
          <w:color w:val="auto"/>
        </w:rPr>
      </w:pPr>
      <w:r>
        <w:rPr>
          <w:rFonts w:ascii="Times New Roman" w:cs="Times New Roman" w:eastAsia="Times New Roman" w:hAnsi="Times New Roman"/>
          <w:sz w:val="20"/>
          <w:szCs w:val="20"/>
          <w:color w:val="auto"/>
        </w:rPr>
        <w:t>States):</w:t>
      </w:r>
    </w:p>
    <w:p>
      <w:pPr>
        <w:spacing w:after="0"/>
        <w:rPr>
          <w:sz w:val="20"/>
          <w:szCs w:val="20"/>
          <w:color w:val="auto"/>
        </w:rPr>
      </w:pPr>
      <w:r>
        <w:rPr>
          <w:rFonts w:ascii="Times New Roman" w:cs="Times New Roman" w:eastAsia="Times New Roman" w:hAnsi="Times New Roman"/>
          <w:sz w:val="20"/>
          <w:szCs w:val="20"/>
          <w:color w:val="auto"/>
        </w:rPr>
        <w:t>(i)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92</w:t>
      </w:r>
    </w:p>
    <w:p>
      <w:pPr>
        <w:sectPr>
          <w:pgSz w:w="11900" w:h="16838" w:orient="portrait"/>
          <w:cols w:equalWidth="0" w:num="1">
            <w:col w:w="11240"/>
          </w:cols>
          <w:pgMar w:left="320" w:top="1394" w:right="339" w:bottom="1440" w:gutter="0" w:footer="0" w:header="0"/>
        </w:sectPr>
      </w:pPr>
    </w:p>
    <w:bookmarkStart w:id="265" w:name="page266"/>
    <w:bookmarkEnd w:id="265"/>
    <w:p>
      <w:pPr>
        <w:jc w:val="both"/>
        <w:ind w:right="180" w:firstLine="1296"/>
        <w:spacing w:after="0" w:line="265" w:lineRule="auto"/>
        <w:rPr>
          <w:sz w:val="20"/>
          <w:szCs w:val="20"/>
          <w:color w:val="auto"/>
        </w:rPr>
      </w:pPr>
      <w:r>
        <w:rPr>
          <w:rFonts w:ascii="Times New Roman" w:cs="Times New Roman" w:eastAsia="Times New Roman" w:hAnsi="Times New Roman"/>
          <w:sz w:val="19"/>
          <w:szCs w:val="19"/>
          <w:color w:val="auto"/>
        </w:rPr>
        <w:t>In the event a Covered Entity that is party to a Supported QFC (each, a “Covered Party”)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w:t>
      </w:r>
    </w:p>
    <w:p>
      <w:pPr>
        <w:spacing w:after="0" w:line="2"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0"/>
          <w:szCs w:val="20"/>
          <w:color w:val="auto"/>
        </w:rPr>
        <w:t>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200" w:lineRule="exact"/>
        <w:rPr>
          <w:sz w:val="20"/>
          <w:szCs w:val="20"/>
          <w:color w:val="auto"/>
        </w:rPr>
      </w:pPr>
    </w:p>
    <w:p>
      <w:pPr>
        <w:spacing w:after="0" w:line="25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93</w:t>
      </w:r>
    </w:p>
    <w:p>
      <w:pPr>
        <w:sectPr>
          <w:pgSz w:w="11900" w:h="16838" w:orient="portrait"/>
          <w:cols w:equalWidth="0" w:num="1">
            <w:col w:w="11180"/>
          </w:cols>
          <w:pgMar w:left="320" w:top="1413" w:right="399" w:bottom="1440" w:gutter="0" w:footer="0" w:header="0"/>
        </w:sectPr>
      </w:pPr>
    </w:p>
    <w:bookmarkStart w:id="266" w:name="page267"/>
    <w:bookmarkEnd w:id="266"/>
    <w:p>
      <w:pPr>
        <w:ind w:firstLine="1296"/>
        <w:spacing w:after="0" w:line="283" w:lineRule="auto"/>
        <w:rPr>
          <w:sz w:val="20"/>
          <w:szCs w:val="20"/>
          <w:color w:val="auto"/>
        </w:rPr>
      </w:pPr>
      <w:r>
        <w:rPr>
          <w:rFonts w:ascii="Times New Roman" w:cs="Times New Roman" w:eastAsia="Times New Roman" w:hAnsi="Times New Roman"/>
          <w:sz w:val="20"/>
          <w:szCs w:val="20"/>
          <w:color w:val="auto"/>
        </w:rPr>
        <w:t>IN WITNESS WHEREOF, the parties hereto have caused this Agreement to be duly executed and delivered by their respective authorized officers as of the day and year first above written.</w:t>
      </w:r>
    </w:p>
    <w:p>
      <w:pPr>
        <w:spacing w:after="0" w:line="11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AMETEK, INC.,</w:t>
      </w:r>
    </w:p>
    <w:p>
      <w:pPr>
        <w:spacing w:after="0" w:line="2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as the Company</w:t>
      </w:r>
    </w:p>
    <w:p>
      <w:pPr>
        <w:spacing w:after="0" w:line="200" w:lineRule="exact"/>
        <w:rPr>
          <w:sz w:val="20"/>
          <w:szCs w:val="20"/>
          <w:color w:val="auto"/>
        </w:rPr>
      </w:pPr>
    </w:p>
    <w:p>
      <w:pPr>
        <w:spacing w:after="0" w:line="22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 /s/ Dalip M. Puri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2651760</wp:posOffset>
            </wp:positionH>
            <wp:positionV relativeFrom="paragraph">
              <wp:posOffset>-10795</wp:posOffset>
            </wp:positionV>
            <wp:extent cx="11271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127125" cy="8255"/>
                    </a:xfrm>
                    <a:prstGeom prst="rect">
                      <a:avLst/>
                    </a:prstGeom>
                    <a:noFill/>
                  </pic:spPr>
                </pic:pic>
              </a:graphicData>
            </a:graphic>
          </wp:anchor>
        </w:drawing>
      </w:r>
    </w:p>
    <w:p>
      <w:pPr>
        <w:spacing w:after="0" w:line="2"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Name: Dalip M. Puri</w:t>
      </w:r>
    </w:p>
    <w:p>
      <w:pPr>
        <w:spacing w:after="0" w:line="6" w:lineRule="exact"/>
        <w:rPr>
          <w:sz w:val="20"/>
          <w:szCs w:val="20"/>
          <w:color w:val="auto"/>
        </w:rPr>
      </w:pPr>
    </w:p>
    <w:p>
      <w:pPr>
        <w:ind w:left="4100"/>
        <w:spacing w:after="0"/>
        <w:tabs>
          <w:tab w:leader="none" w:pos="4740" w:val="left"/>
        </w:tabs>
        <w:rPr>
          <w:sz w:val="20"/>
          <w:szCs w:val="20"/>
          <w:color w:val="auto"/>
        </w:rPr>
      </w:pPr>
      <w:r>
        <w:rPr>
          <w:rFonts w:ascii="Times New Roman" w:cs="Times New Roman" w:eastAsia="Times New Roman" w:hAnsi="Times New Roman"/>
          <w:sz w:val="20"/>
          <w:szCs w:val="20"/>
          <w:color w:val="auto"/>
        </w:rPr>
        <w:t>Title:</w:t>
        <w:tab/>
        <w:t>Executive Vice President and Chief</w:t>
      </w:r>
    </w:p>
    <w:p>
      <w:pPr>
        <w:spacing w:after="0" w:line="6"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0"/>
          <w:szCs w:val="20"/>
          <w:color w:val="auto"/>
        </w:rPr>
        <w:t>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Term Loan Credit Agreement]</w:t>
      </w:r>
    </w:p>
    <w:p>
      <w:pPr>
        <w:sectPr>
          <w:pgSz w:w="11900" w:h="16838" w:orient="portrait"/>
          <w:cols w:equalWidth="0" w:num="1">
            <w:col w:w="11240"/>
          </w:cols>
          <w:pgMar w:left="320" w:top="1413" w:right="339" w:bottom="1440" w:gutter="0" w:footer="0" w:header="0"/>
        </w:sectPr>
      </w:pPr>
    </w:p>
    <w:bookmarkStart w:id="267" w:name="page268"/>
    <w:bookmarkEnd w:id="267"/>
    <w:p>
      <w:pPr>
        <w:ind w:left="2780"/>
        <w:spacing w:after="0"/>
        <w:rPr>
          <w:sz w:val="20"/>
          <w:szCs w:val="20"/>
          <w:color w:val="auto"/>
        </w:rPr>
      </w:pPr>
      <w:r>
        <w:rPr>
          <w:rFonts w:ascii="Times New Roman" w:cs="Times New Roman" w:eastAsia="Times New Roman" w:hAnsi="Times New Roman"/>
          <w:sz w:val="19"/>
          <w:szCs w:val="19"/>
          <w:color w:val="auto"/>
        </w:rPr>
        <w:t>BANK OF AMERICA, N.A., as Administrative Agent and as a Lender</w:t>
      </w:r>
    </w:p>
    <w:p>
      <w:pPr>
        <w:spacing w:after="0" w:line="200" w:lineRule="exact"/>
        <w:rPr>
          <w:sz w:val="20"/>
          <w:szCs w:val="20"/>
          <w:color w:val="auto"/>
        </w:rPr>
      </w:pPr>
    </w:p>
    <w:p>
      <w:pPr>
        <w:spacing w:after="0" w:line="25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/s/ Kevin Dobosz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1940560</wp:posOffset>
            </wp:positionH>
            <wp:positionV relativeFrom="paragraph">
              <wp:posOffset>-10795</wp:posOffset>
            </wp:positionV>
            <wp:extent cx="112395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123950" cy="8255"/>
                    </a:xfrm>
                    <a:prstGeom prst="rect">
                      <a:avLst/>
                    </a:prstGeom>
                    <a:noFill/>
                  </pic:spPr>
                </pic:pic>
              </a:graphicData>
            </a:graphic>
          </wp:anchor>
        </w:drawing>
      </w:r>
    </w:p>
    <w:p>
      <w:pPr>
        <w:spacing w:after="0" w:line="2"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20"/>
          <w:szCs w:val="20"/>
          <w:color w:val="auto"/>
        </w:rPr>
        <w:t>Name: Kevin Dobosz</w:t>
      </w:r>
    </w:p>
    <w:p>
      <w:pPr>
        <w:spacing w:after="0" w:line="6"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20"/>
          <w:szCs w:val="20"/>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Term Loan Credit Agreement]</w:t>
      </w:r>
    </w:p>
    <w:p>
      <w:pPr>
        <w:sectPr>
          <w:pgSz w:w="11900" w:h="16838" w:orient="portrait"/>
          <w:cols w:equalWidth="0" w:num="1">
            <w:col w:w="9019"/>
          </w:cols>
          <w:pgMar w:left="1440" w:top="1413" w:right="1440" w:bottom="1440" w:gutter="0" w:footer="0" w:header="0"/>
        </w:sectPr>
      </w:pPr>
    </w:p>
    <w:bookmarkStart w:id="268" w:name="page269"/>
    <w:bookmarkEnd w:id="268"/>
    <w:p>
      <w:pPr>
        <w:ind w:left="2780"/>
        <w:spacing w:after="0"/>
        <w:rPr>
          <w:sz w:val="20"/>
          <w:szCs w:val="20"/>
          <w:color w:val="auto"/>
        </w:rPr>
      </w:pPr>
      <w:r>
        <w:rPr>
          <w:rFonts w:ascii="Times New Roman" w:cs="Times New Roman" w:eastAsia="Times New Roman" w:hAnsi="Times New Roman"/>
          <w:sz w:val="19"/>
          <w:szCs w:val="19"/>
          <w:color w:val="auto"/>
        </w:rPr>
        <w:t>JPMORGAN CHASE BANK, N.A., as a Lender</w:t>
      </w:r>
    </w:p>
    <w:p>
      <w:pPr>
        <w:spacing w:after="0" w:line="200" w:lineRule="exact"/>
        <w:rPr>
          <w:sz w:val="20"/>
          <w:szCs w:val="20"/>
          <w:color w:val="auto"/>
        </w:rPr>
      </w:pPr>
    </w:p>
    <w:p>
      <w:pPr>
        <w:spacing w:after="0" w:line="25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/s/ Oswin Joseph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1940560</wp:posOffset>
            </wp:positionH>
            <wp:positionV relativeFrom="paragraph">
              <wp:posOffset>-10795</wp:posOffset>
            </wp:positionV>
            <wp:extent cx="110299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102995" cy="8255"/>
                    </a:xfrm>
                    <a:prstGeom prst="rect">
                      <a:avLst/>
                    </a:prstGeom>
                    <a:noFill/>
                  </pic:spPr>
                </pic:pic>
              </a:graphicData>
            </a:graphic>
          </wp:anchor>
        </w:drawing>
      </w:r>
    </w:p>
    <w:p>
      <w:pPr>
        <w:spacing w:after="0" w:line="2"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color w:val="auto"/>
        </w:rPr>
        <w:t>Name: Oswin Joseph</w:t>
      </w:r>
    </w:p>
    <w:p>
      <w:pPr>
        <w:spacing w:after="0" w:line="6"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color w:val="auto"/>
        </w:rPr>
        <w:t>Title: Executive Director</w:t>
      </w:r>
    </w:p>
    <w:p>
      <w:pPr>
        <w:sectPr>
          <w:pgSz w:w="11900" w:h="16838" w:orient="portrait"/>
          <w:cols w:equalWidth="0" w:num="1">
            <w:col w:w="9019"/>
          </w:cols>
          <w:pgMar w:left="1440" w:top="14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Term Loan Credit Agreement]</w:t>
      </w:r>
    </w:p>
    <w:p>
      <w:pPr>
        <w:sectPr>
          <w:pgSz w:w="11900" w:h="16838" w:orient="portrait"/>
          <w:cols w:equalWidth="0" w:num="1">
            <w:col w:w="9019"/>
          </w:cols>
          <w:pgMar w:left="1440" w:top="1413" w:right="1440" w:bottom="1440" w:gutter="0" w:footer="0" w:header="0"/>
          <w:type w:val="continuous"/>
        </w:sectPr>
      </w:pPr>
    </w:p>
    <w:bookmarkStart w:id="269" w:name="page270"/>
    <w:bookmarkEnd w:id="269"/>
    <w:p>
      <w:pPr>
        <w:ind w:left="2780"/>
        <w:spacing w:after="0"/>
        <w:rPr>
          <w:sz w:val="20"/>
          <w:szCs w:val="20"/>
          <w:color w:val="auto"/>
        </w:rPr>
      </w:pPr>
      <w:r>
        <w:rPr>
          <w:rFonts w:ascii="Times New Roman" w:cs="Times New Roman" w:eastAsia="Times New Roman" w:hAnsi="Times New Roman"/>
          <w:sz w:val="19"/>
          <w:szCs w:val="19"/>
          <w:color w:val="auto"/>
        </w:rPr>
        <w:t>PNC BANK, NATIONAL ASSOCIATION, as a Lender</w:t>
      </w:r>
    </w:p>
    <w:p>
      <w:pPr>
        <w:spacing w:after="0" w:line="200" w:lineRule="exact"/>
        <w:rPr>
          <w:sz w:val="20"/>
          <w:szCs w:val="20"/>
          <w:color w:val="auto"/>
        </w:rPr>
      </w:pPr>
    </w:p>
    <w:p>
      <w:pPr>
        <w:spacing w:after="0" w:line="23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/s/ Matthew P. Gelles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1940560</wp:posOffset>
            </wp:positionH>
            <wp:positionV relativeFrom="paragraph">
              <wp:posOffset>-10795</wp:posOffset>
            </wp:positionV>
            <wp:extent cx="131889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318895" cy="8255"/>
                    </a:xfrm>
                    <a:prstGeom prst="rect">
                      <a:avLst/>
                    </a:prstGeom>
                    <a:noFill/>
                  </pic:spPr>
                </pic:pic>
              </a:graphicData>
            </a:graphic>
          </wp:anchor>
        </w:drawing>
      </w:r>
    </w:p>
    <w:p>
      <w:pPr>
        <w:spacing w:after="0" w:line="2"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color w:val="auto"/>
        </w:rPr>
        <w:t>Name: Matthew P. Gelles</w:t>
      </w:r>
    </w:p>
    <w:p>
      <w:pPr>
        <w:spacing w:after="0" w:line="6"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color w:val="auto"/>
        </w:rPr>
        <w:t>Title: Senior Vice President</w:t>
      </w:r>
    </w:p>
    <w:p>
      <w:pPr>
        <w:sectPr>
          <w:pgSz w:w="11900" w:h="16838" w:orient="portrait"/>
          <w:cols w:equalWidth="0" w:num="1">
            <w:col w:w="9019"/>
          </w:cols>
          <w:pgMar w:left="1440" w:top="139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Term Loan Credit Agreement]</w:t>
      </w:r>
    </w:p>
    <w:p>
      <w:pPr>
        <w:sectPr>
          <w:pgSz w:w="11900" w:h="16838" w:orient="portrait"/>
          <w:cols w:equalWidth="0" w:num="1">
            <w:col w:w="9019"/>
          </w:cols>
          <w:pgMar w:left="1440" w:top="1399" w:right="1440" w:bottom="1440" w:gutter="0" w:footer="0" w:header="0"/>
          <w:type w:val="continuous"/>
        </w:sectPr>
      </w:pPr>
    </w:p>
    <w:bookmarkStart w:id="270" w:name="page271"/>
    <w:bookmarkEnd w:id="270"/>
    <w:p>
      <w:pPr>
        <w:ind w:left="2780"/>
        <w:spacing w:after="0"/>
        <w:rPr>
          <w:sz w:val="20"/>
          <w:szCs w:val="20"/>
          <w:color w:val="auto"/>
        </w:rPr>
      </w:pPr>
      <w:r>
        <w:rPr>
          <w:rFonts w:ascii="Times New Roman" w:cs="Times New Roman" w:eastAsia="Times New Roman" w:hAnsi="Times New Roman"/>
          <w:sz w:val="19"/>
          <w:szCs w:val="19"/>
          <w:color w:val="auto"/>
        </w:rPr>
        <w:t>Truist Bank, as a Lender</w:t>
      </w:r>
    </w:p>
    <w:p>
      <w:pPr>
        <w:spacing w:after="0" w:line="200" w:lineRule="exact"/>
        <w:rPr>
          <w:sz w:val="20"/>
          <w:szCs w:val="20"/>
          <w:color w:val="auto"/>
        </w:rPr>
      </w:pPr>
    </w:p>
    <w:p>
      <w:pPr>
        <w:spacing w:after="0" w:line="25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/s/ Lisa Garling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1940560</wp:posOffset>
            </wp:positionH>
            <wp:positionV relativeFrom="paragraph">
              <wp:posOffset>-10795</wp:posOffset>
            </wp:positionV>
            <wp:extent cx="103314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033145" cy="8255"/>
                    </a:xfrm>
                    <a:prstGeom prst="rect">
                      <a:avLst/>
                    </a:prstGeom>
                    <a:noFill/>
                  </pic:spPr>
                </pic:pic>
              </a:graphicData>
            </a:graphic>
          </wp:anchor>
        </w:drawing>
      </w:r>
    </w:p>
    <w:p>
      <w:pPr>
        <w:spacing w:after="0" w:line="2"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color w:val="auto"/>
        </w:rPr>
        <w:t>Name: Lisa Garling</w:t>
      </w:r>
    </w:p>
    <w:p>
      <w:pPr>
        <w:spacing w:after="0" w:line="6"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color w:val="auto"/>
        </w:rPr>
        <w:t>Title: Director</w:t>
      </w:r>
    </w:p>
    <w:p>
      <w:pPr>
        <w:sectPr>
          <w:pgSz w:w="11900" w:h="16838" w:orient="portrait"/>
          <w:cols w:equalWidth="0" w:num="1">
            <w:col w:w="9019"/>
          </w:cols>
          <w:pgMar w:left="1440" w:top="14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Term Loan Credit Agreement]</w:t>
      </w:r>
    </w:p>
    <w:p>
      <w:pPr>
        <w:sectPr>
          <w:pgSz w:w="11900" w:h="16838" w:orient="portrait"/>
          <w:cols w:equalWidth="0" w:num="1">
            <w:col w:w="9019"/>
          </w:cols>
          <w:pgMar w:left="1440" w:top="1413" w:right="1440" w:bottom="1440" w:gutter="0" w:footer="0" w:header="0"/>
          <w:type w:val="continuous"/>
        </w:sectPr>
      </w:pPr>
    </w:p>
    <w:bookmarkStart w:id="271" w:name="page272"/>
    <w:bookmarkEnd w:id="271"/>
    <w:p>
      <w:pPr>
        <w:ind w:left="2780"/>
        <w:spacing w:after="0"/>
        <w:rPr>
          <w:sz w:val="20"/>
          <w:szCs w:val="20"/>
          <w:color w:val="auto"/>
        </w:rPr>
      </w:pPr>
      <w:r>
        <w:rPr>
          <w:rFonts w:ascii="Times New Roman" w:cs="Times New Roman" w:eastAsia="Times New Roman" w:hAnsi="Times New Roman"/>
          <w:sz w:val="19"/>
          <w:szCs w:val="19"/>
          <w:color w:val="auto"/>
        </w:rPr>
        <w:t>Wells Fargo Bank, National Association, as a Lender</w:t>
      </w:r>
    </w:p>
    <w:p>
      <w:pPr>
        <w:spacing w:after="0" w:line="200" w:lineRule="exact"/>
        <w:rPr>
          <w:sz w:val="20"/>
          <w:szCs w:val="20"/>
          <w:color w:val="auto"/>
        </w:rPr>
      </w:pPr>
    </w:p>
    <w:p>
      <w:pPr>
        <w:spacing w:after="0" w:line="23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/s/ Ryan Tegeler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1940560</wp:posOffset>
            </wp:positionH>
            <wp:positionV relativeFrom="paragraph">
              <wp:posOffset>-10795</wp:posOffset>
            </wp:positionV>
            <wp:extent cx="10680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068070" cy="8255"/>
                    </a:xfrm>
                    <a:prstGeom prst="rect">
                      <a:avLst/>
                    </a:prstGeom>
                    <a:noFill/>
                  </pic:spPr>
                </pic:pic>
              </a:graphicData>
            </a:graphic>
          </wp:anchor>
        </w:drawing>
      </w:r>
    </w:p>
    <w:p>
      <w:pPr>
        <w:spacing w:after="0" w:line="2"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color w:val="auto"/>
        </w:rPr>
        <w:t>Name: Ryan Tegeler</w:t>
      </w:r>
    </w:p>
    <w:p>
      <w:pPr>
        <w:spacing w:after="0" w:line="6"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color w:val="auto"/>
        </w:rPr>
        <w:t>Title: Executive Director</w:t>
      </w:r>
    </w:p>
    <w:p>
      <w:pPr>
        <w:sectPr>
          <w:pgSz w:w="11900" w:h="16838" w:orient="portrait"/>
          <w:cols w:equalWidth="0" w:num="1">
            <w:col w:w="9019"/>
          </w:cols>
          <w:pgMar w:left="1440" w:top="139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Term Loan Credit Agreement]</w:t>
      </w:r>
    </w:p>
    <w:p>
      <w:pPr>
        <w:sectPr>
          <w:pgSz w:w="11900" w:h="16838" w:orient="portrait"/>
          <w:cols w:equalWidth="0" w:num="1">
            <w:col w:w="9019"/>
          </w:cols>
          <w:pgMar w:left="1440" w:top="1399" w:right="1440" w:bottom="1440" w:gutter="0" w:footer="0" w:header="0"/>
          <w:type w:val="continuous"/>
        </w:sectPr>
      </w:pPr>
    </w:p>
    <w:bookmarkStart w:id="272" w:name="page273"/>
    <w:bookmarkEnd w:id="272"/>
    <w:p>
      <w:pPr>
        <w:jc w:val="center"/>
        <w:ind w:right="-80"/>
        <w:spacing w:after="0"/>
        <w:rPr>
          <w:sz w:val="20"/>
          <w:szCs w:val="20"/>
          <w:color w:val="auto"/>
        </w:rPr>
      </w:pPr>
      <w:r>
        <w:rPr>
          <w:rFonts w:ascii="Times New Roman" w:cs="Times New Roman" w:eastAsia="Times New Roman" w:hAnsi="Times New Roman"/>
          <w:sz w:val="19"/>
          <w:szCs w:val="19"/>
          <w:color w:val="auto"/>
        </w:rPr>
        <w:t>U.S. Bank National Association, as a Lender</w:t>
      </w:r>
    </w:p>
    <w:p>
      <w:pPr>
        <w:spacing w:after="0" w:line="200" w:lineRule="exact"/>
        <w:rPr>
          <w:sz w:val="20"/>
          <w:szCs w:val="20"/>
          <w:color w:val="auto"/>
        </w:rPr>
      </w:pPr>
    </w:p>
    <w:p>
      <w:pPr>
        <w:spacing w:after="0" w:line="23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/s/ Kenneth R. Fieler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1940560</wp:posOffset>
            </wp:positionH>
            <wp:positionV relativeFrom="paragraph">
              <wp:posOffset>-10795</wp:posOffset>
            </wp:positionV>
            <wp:extent cx="129794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97940" cy="8255"/>
                    </a:xfrm>
                    <a:prstGeom prst="rect">
                      <a:avLst/>
                    </a:prstGeom>
                    <a:noFill/>
                  </pic:spPr>
                </pic:pic>
              </a:graphicData>
            </a:graphic>
          </wp:anchor>
        </w:drawing>
      </w:r>
    </w:p>
    <w:p>
      <w:pPr>
        <w:spacing w:after="0" w:line="2"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color w:val="auto"/>
        </w:rPr>
        <w:t>Name: Kenneth R. Fieler</w:t>
      </w:r>
    </w:p>
    <w:p>
      <w:pPr>
        <w:spacing w:after="0" w:line="6"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color w:val="auto"/>
        </w:rPr>
        <w:t>Title: Senior Vice President</w:t>
      </w:r>
    </w:p>
    <w:p>
      <w:pPr>
        <w:sectPr>
          <w:pgSz w:w="11900" w:h="16838" w:orient="portrait"/>
          <w:cols w:equalWidth="0" w:num="1">
            <w:col w:w="9019"/>
          </w:cols>
          <w:pgMar w:left="1440" w:top="139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Term Loan Credit Agreement]</w:t>
      </w:r>
    </w:p>
    <w:p>
      <w:pPr>
        <w:sectPr>
          <w:pgSz w:w="11900" w:h="16838" w:orient="portrait"/>
          <w:cols w:equalWidth="0" w:num="1">
            <w:col w:w="9019"/>
          </w:cols>
          <w:pgMar w:left="1440" w:top="1399" w:right="1440" w:bottom="1440" w:gutter="0" w:footer="0" w:header="0"/>
          <w:type w:val="continuous"/>
        </w:sectPr>
      </w:pPr>
    </w:p>
    <w:bookmarkStart w:id="273" w:name="page274"/>
    <w:bookmarkEnd w:id="273"/>
    <w:p>
      <w:pPr>
        <w:ind w:left="2780"/>
        <w:spacing w:after="0"/>
        <w:rPr>
          <w:sz w:val="20"/>
          <w:szCs w:val="20"/>
          <w:color w:val="auto"/>
        </w:rPr>
      </w:pPr>
      <w:r>
        <w:rPr>
          <w:rFonts w:ascii="Times New Roman" w:cs="Times New Roman" w:eastAsia="Times New Roman" w:hAnsi="Times New Roman"/>
          <w:sz w:val="20"/>
          <w:szCs w:val="20"/>
          <w:color w:val="auto"/>
        </w:rPr>
        <w:t>BNP Paribas, as a Lender</w:t>
      </w:r>
    </w:p>
    <w:p>
      <w:pPr>
        <w:spacing w:after="0" w:line="200" w:lineRule="exact"/>
        <w:rPr>
          <w:sz w:val="20"/>
          <w:szCs w:val="20"/>
          <w:color w:val="auto"/>
        </w:rPr>
      </w:pPr>
    </w:p>
    <w:p>
      <w:pPr>
        <w:spacing w:after="0" w:line="24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/s/ Benjamin Binetter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1940560</wp:posOffset>
            </wp:positionH>
            <wp:positionV relativeFrom="paragraph">
              <wp:posOffset>-10795</wp:posOffset>
            </wp:positionV>
            <wp:extent cx="13258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2"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9"/>
          <w:szCs w:val="19"/>
          <w:color w:val="auto"/>
        </w:rPr>
        <w:t>Name: Benjamin Binetter</w:t>
      </w:r>
    </w:p>
    <w:p>
      <w:pPr>
        <w:spacing w:after="0" w:line="18"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/s/ Valentin Detry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1940560</wp:posOffset>
            </wp:positionH>
            <wp:positionV relativeFrom="paragraph">
              <wp:posOffset>-10795</wp:posOffset>
            </wp:positionV>
            <wp:extent cx="113728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137285" cy="8255"/>
                    </a:xfrm>
                    <a:prstGeom prst="rect">
                      <a:avLst/>
                    </a:prstGeom>
                    <a:noFill/>
                  </pic:spPr>
                </pic:pic>
              </a:graphicData>
            </a:graphic>
          </wp:anchor>
        </w:drawing>
      </w:r>
    </w:p>
    <w:p>
      <w:pPr>
        <w:spacing w:after="0" w:line="8"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color w:val="auto"/>
        </w:rPr>
        <w:t>Name: Valentin Detry</w:t>
      </w:r>
    </w:p>
    <w:p>
      <w:pPr>
        <w:spacing w:after="0" w:line="13"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color w:val="auto"/>
        </w:rPr>
        <w:t>Title: Vice President</w:t>
      </w:r>
    </w:p>
    <w:p>
      <w:pPr>
        <w:sectPr>
          <w:pgSz w:w="11900" w:h="16838" w:orient="portrait"/>
          <w:cols w:equalWidth="0" w:num="1">
            <w:col w:w="9019"/>
          </w:cols>
          <w:pgMar w:left="1440" w:top="14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Term Loan Credit Agreement]</w:t>
      </w:r>
    </w:p>
    <w:p>
      <w:pPr>
        <w:sectPr>
          <w:pgSz w:w="11900" w:h="16838" w:orient="portrait"/>
          <w:cols w:equalWidth="0" w:num="1">
            <w:col w:w="9019"/>
          </w:cols>
          <w:pgMar w:left="1440" w:top="1413" w:right="1440" w:bottom="1440" w:gutter="0" w:footer="0" w:header="0"/>
          <w:type w:val="continuous"/>
        </w:sectPr>
      </w:pPr>
    </w:p>
    <w:bookmarkStart w:id="274" w:name="page275"/>
    <w:bookmarkEnd w:id="274"/>
    <w:p>
      <w:pPr>
        <w:jc w:val="center"/>
        <w:ind w:right="-20"/>
        <w:spacing w:after="0"/>
        <w:rPr>
          <w:sz w:val="20"/>
          <w:szCs w:val="20"/>
          <w:color w:val="auto"/>
        </w:rPr>
      </w:pPr>
      <w:r>
        <w:rPr>
          <w:rFonts w:ascii="Times New Roman" w:cs="Times New Roman" w:eastAsia="Times New Roman" w:hAnsi="Times New Roman"/>
          <w:sz w:val="19"/>
          <w:szCs w:val="19"/>
          <w:color w:val="auto"/>
        </w:rPr>
        <w:t>National Westminster Bank plc, as a Lender</w:t>
      </w:r>
    </w:p>
    <w:p>
      <w:pPr>
        <w:spacing w:after="0" w:line="200" w:lineRule="exact"/>
        <w:rPr>
          <w:sz w:val="20"/>
          <w:szCs w:val="20"/>
          <w:color w:val="auto"/>
        </w:rPr>
      </w:pPr>
    </w:p>
    <w:p>
      <w:pPr>
        <w:spacing w:after="0" w:line="25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/s/ Jonathan Eady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1940560</wp:posOffset>
            </wp:positionH>
            <wp:positionV relativeFrom="paragraph">
              <wp:posOffset>-10795</wp:posOffset>
            </wp:positionV>
            <wp:extent cx="11690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169035" cy="8255"/>
                    </a:xfrm>
                    <a:prstGeom prst="rect">
                      <a:avLst/>
                    </a:prstGeom>
                    <a:noFill/>
                  </pic:spPr>
                </pic:pic>
              </a:graphicData>
            </a:graphic>
          </wp:anchor>
        </w:drawing>
      </w:r>
    </w:p>
    <w:p>
      <w:pPr>
        <w:spacing w:after="0" w:line="2"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color w:val="auto"/>
        </w:rPr>
        <w:t>Name: Johnathan Eady</w:t>
      </w:r>
    </w:p>
    <w:p>
      <w:pPr>
        <w:spacing w:after="0" w:line="6"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color w:val="auto"/>
        </w:rPr>
        <w:t>Title: Director</w:t>
      </w:r>
    </w:p>
    <w:p>
      <w:pPr>
        <w:sectPr>
          <w:pgSz w:w="11900" w:h="16838" w:orient="portrait"/>
          <w:cols w:equalWidth="0" w:num="1">
            <w:col w:w="9019"/>
          </w:cols>
          <w:pgMar w:left="1440" w:top="14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Term Loan Credit Agreement]</w:t>
      </w:r>
    </w:p>
    <w:p>
      <w:pPr>
        <w:sectPr>
          <w:pgSz w:w="11900" w:h="16838" w:orient="portrait"/>
          <w:cols w:equalWidth="0" w:num="1">
            <w:col w:w="9019"/>
          </w:cols>
          <w:pgMar w:left="1440" w:top="1413" w:right="1440" w:bottom="1440" w:gutter="0" w:footer="0" w:header="0"/>
          <w:type w:val="continuous"/>
        </w:sectPr>
      </w:pPr>
    </w:p>
    <w:bookmarkStart w:id="275" w:name="page276"/>
    <w:bookmarkEnd w:id="275"/>
    <w:p>
      <w:pPr>
        <w:ind w:left="2780"/>
        <w:spacing w:after="0"/>
        <w:rPr>
          <w:sz w:val="20"/>
          <w:szCs w:val="20"/>
          <w:color w:val="auto"/>
        </w:rPr>
      </w:pPr>
      <w:r>
        <w:rPr>
          <w:rFonts w:ascii="Times New Roman" w:cs="Times New Roman" w:eastAsia="Times New Roman" w:hAnsi="Times New Roman"/>
          <w:sz w:val="19"/>
          <w:szCs w:val="19"/>
          <w:color w:val="auto"/>
        </w:rPr>
        <w:t>Commerzbank AG, New York Branch, as a Lender</w:t>
      </w:r>
    </w:p>
    <w:p>
      <w:pPr>
        <w:spacing w:after="0" w:line="200" w:lineRule="exact"/>
        <w:rPr>
          <w:sz w:val="20"/>
          <w:szCs w:val="20"/>
          <w:color w:val="auto"/>
        </w:rPr>
      </w:pPr>
    </w:p>
    <w:p>
      <w:pPr>
        <w:spacing w:after="0" w:line="25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/s/ Christine MacInnes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1940560</wp:posOffset>
            </wp:positionH>
            <wp:positionV relativeFrom="paragraph">
              <wp:posOffset>-10795</wp:posOffset>
            </wp:positionV>
            <wp:extent cx="138874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spacing w:after="0" w:line="2"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color w:val="auto"/>
        </w:rPr>
        <w:t>Name: Christine MacInnes</w:t>
      </w:r>
    </w:p>
    <w:p>
      <w:pPr>
        <w:spacing w:after="0" w:line="6"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/s/ Robert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1940560</wp:posOffset>
            </wp:positionH>
            <wp:positionV relativeFrom="paragraph">
              <wp:posOffset>-10795</wp:posOffset>
            </wp:positionV>
            <wp:extent cx="122491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24915" cy="8255"/>
                    </a:xfrm>
                    <a:prstGeom prst="rect">
                      <a:avLst/>
                    </a:prstGeom>
                    <a:noFill/>
                  </pic:spPr>
                </pic:pic>
              </a:graphicData>
            </a:graphic>
          </wp:anchor>
        </w:drawing>
      </w:r>
    </w:p>
    <w:p>
      <w:pPr>
        <w:spacing w:after="0" w:line="8"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color w:val="auto"/>
        </w:rPr>
        <w:t>Name: Robert Sullivan</w:t>
      </w:r>
    </w:p>
    <w:p>
      <w:pPr>
        <w:spacing w:after="0" w:line="13"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color w:val="auto"/>
        </w:rPr>
        <w:t>Title: Director</w:t>
      </w:r>
    </w:p>
    <w:p>
      <w:pPr>
        <w:sectPr>
          <w:pgSz w:w="11900" w:h="16838" w:orient="portrait"/>
          <w:cols w:equalWidth="0" w:num="1">
            <w:col w:w="9019"/>
          </w:cols>
          <w:pgMar w:left="1440" w:top="14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Term Loan Credit Agreement]</w:t>
      </w:r>
    </w:p>
    <w:p>
      <w:pPr>
        <w:sectPr>
          <w:pgSz w:w="11900" w:h="16838" w:orient="portrait"/>
          <w:cols w:equalWidth="0" w:num="1">
            <w:col w:w="9019"/>
          </w:cols>
          <w:pgMar w:left="1440" w:top="1413" w:right="1440" w:bottom="1440" w:gutter="0" w:footer="0" w:header="0"/>
          <w:type w:val="continuous"/>
        </w:sectPr>
      </w:pPr>
    </w:p>
    <w:bookmarkStart w:id="276" w:name="page277"/>
    <w:bookmarkEnd w:id="276"/>
    <w:p>
      <w:pPr>
        <w:jc w:val="center"/>
        <w:ind w:right="-200"/>
        <w:spacing w:after="0"/>
        <w:rPr>
          <w:sz w:val="20"/>
          <w:szCs w:val="20"/>
          <w:color w:val="auto"/>
        </w:rPr>
      </w:pPr>
      <w:r>
        <w:rPr>
          <w:rFonts w:ascii="Times New Roman" w:cs="Times New Roman" w:eastAsia="Times New Roman" w:hAnsi="Times New Roman"/>
          <w:sz w:val="19"/>
          <w:szCs w:val="19"/>
          <w:color w:val="auto"/>
        </w:rPr>
        <w:t>THE BANK OF NOVA SCOTIA, as a Lender</w:t>
      </w:r>
    </w:p>
    <w:p>
      <w:pPr>
        <w:spacing w:after="0" w:line="200" w:lineRule="exact"/>
        <w:rPr>
          <w:sz w:val="20"/>
          <w:szCs w:val="20"/>
          <w:color w:val="auto"/>
        </w:rPr>
      </w:pPr>
    </w:p>
    <w:p>
      <w:pPr>
        <w:spacing w:after="0" w:line="23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/s/ Yvonne Bai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1940560</wp:posOffset>
            </wp:positionH>
            <wp:positionV relativeFrom="paragraph">
              <wp:posOffset>-10795</wp:posOffset>
            </wp:positionV>
            <wp:extent cx="99250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992505" cy="8890"/>
                    </a:xfrm>
                    <a:prstGeom prst="rect">
                      <a:avLst/>
                    </a:prstGeom>
                    <a:noFill/>
                  </pic:spPr>
                </pic:pic>
              </a:graphicData>
            </a:graphic>
          </wp:anchor>
        </w:drawing>
      </w:r>
    </w:p>
    <w:p>
      <w:pPr>
        <w:spacing w:after="0" w:line="2"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color w:val="auto"/>
        </w:rPr>
        <w:t>Name: Yvonne Bai</w:t>
      </w:r>
    </w:p>
    <w:p>
      <w:pPr>
        <w:spacing w:after="0" w:line="6"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color w:val="auto"/>
        </w:rPr>
        <w:t>Title: Director</w:t>
      </w:r>
    </w:p>
    <w:p>
      <w:pPr>
        <w:sectPr>
          <w:pgSz w:w="11900" w:h="16838" w:orient="portrait"/>
          <w:cols w:equalWidth="0" w:num="1">
            <w:col w:w="9019"/>
          </w:cols>
          <w:pgMar w:left="1440" w:top="139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Term Loan Credit Agreement]</w:t>
      </w:r>
    </w:p>
    <w:p>
      <w:pPr>
        <w:sectPr>
          <w:pgSz w:w="11900" w:h="16838" w:orient="portrait"/>
          <w:cols w:equalWidth="0" w:num="1">
            <w:col w:w="9019"/>
          </w:cols>
          <w:pgMar w:left="1440" w:top="1399" w:right="1440" w:bottom="1440" w:gutter="0" w:footer="0" w:header="0"/>
          <w:type w:val="continuous"/>
        </w:sectPr>
      </w:pPr>
    </w:p>
    <w:bookmarkStart w:id="277" w:name="page278"/>
    <w:bookmarkEnd w:id="277"/>
    <w:p>
      <w:pPr>
        <w:ind w:left="2780"/>
        <w:spacing w:after="0"/>
        <w:rPr>
          <w:sz w:val="20"/>
          <w:szCs w:val="20"/>
          <w:color w:val="auto"/>
        </w:rPr>
      </w:pPr>
      <w:r>
        <w:rPr>
          <w:rFonts w:ascii="Times New Roman" w:cs="Times New Roman" w:eastAsia="Times New Roman" w:hAnsi="Times New Roman"/>
          <w:sz w:val="19"/>
          <w:szCs w:val="19"/>
          <w:color w:val="auto"/>
        </w:rPr>
        <w:t>FIRST NATIONAL BANK OF PENNSYLVANIA, as a Lender</w:t>
      </w:r>
    </w:p>
    <w:p>
      <w:pPr>
        <w:spacing w:after="0" w:line="200" w:lineRule="exact"/>
        <w:rPr>
          <w:sz w:val="20"/>
          <w:szCs w:val="20"/>
          <w:color w:val="auto"/>
        </w:rPr>
      </w:pPr>
    </w:p>
    <w:p>
      <w:pPr>
        <w:spacing w:after="0" w:line="23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/s/ Brandon M. Wilt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1940560</wp:posOffset>
            </wp:positionH>
            <wp:positionV relativeFrom="paragraph">
              <wp:posOffset>-10795</wp:posOffset>
            </wp:positionV>
            <wp:extent cx="128968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89685" cy="8890"/>
                    </a:xfrm>
                    <a:prstGeom prst="rect">
                      <a:avLst/>
                    </a:prstGeom>
                    <a:noFill/>
                  </pic:spPr>
                </pic:pic>
              </a:graphicData>
            </a:graphic>
          </wp:anchor>
        </w:drawing>
      </w:r>
    </w:p>
    <w:p>
      <w:pPr>
        <w:spacing w:after="0" w:line="2"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color w:val="auto"/>
        </w:rPr>
        <w:t>Name: Brandon M. Wilt</w:t>
      </w:r>
    </w:p>
    <w:p>
      <w:pPr>
        <w:spacing w:after="0" w:line="6"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Term Loan Credit Agreement]</w:t>
      </w:r>
    </w:p>
    <w:sectPr>
      <w:pgSz w:w="11900" w:h="16838" w:orient="portrait"/>
      <w:cols w:equalWidth="0" w:num="1">
        <w:col w:w="9019"/>
      </w:cols>
      <w:pgMar w:left="1440" w:top="139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B594807"/>
    <w:multiLevelType w:val="hybridMultilevel"/>
    <w:lvl w:ilvl="0">
      <w:lvlJc w:val="left"/>
      <w:lvlText w:val="☐"/>
      <w:numFmt w:val="bullet"/>
      <w:start w:val="1"/>
    </w:lvl>
  </w:abstractNum>
  <w:abstractNum w:abstractNumId="1">
    <w:nsid w:val="6CAA2304"/>
    <w:multiLevelType w:val="hybridMultilevel"/>
    <w:lvl w:ilvl="0">
      <w:lvlJc w:val="left"/>
      <w:lvlText w:val="(%1)"/>
      <w:numFmt w:val="lowerLetter"/>
      <w:start w:val="2"/>
    </w:lvl>
  </w:abstractNum>
  <w:abstractNum w:abstractNumId="2">
    <w:nsid w:val="3F7C2FF4"/>
    <w:multiLevelType w:val="hybridMultilevel"/>
    <w:lvl w:ilvl="0">
      <w:lvlJc w:val="left"/>
      <w:lvlText w:val="(%1)"/>
      <w:numFmt w:val="lowerRoman"/>
      <w:start w:val="1"/>
    </w:lvl>
  </w:abstractNum>
  <w:abstractNum w:abstractNumId="3">
    <w:nsid w:val="25413BEC"/>
    <w:multiLevelType w:val="hybridMultilevel"/>
    <w:lvl w:ilvl="0">
      <w:lvlJc w:val="left"/>
      <w:lvlText w:val="(%1)"/>
      <w:numFmt w:val="decimal"/>
      <w:start w:val="1"/>
    </w:lvl>
  </w:abstractNum>
  <w:abstractNum w:abstractNumId="4">
    <w:nsid w:val="17180B0B"/>
    <w:multiLevelType w:val="hybridMultilevel"/>
    <w:lvl w:ilvl="0">
      <w:lvlJc w:val="left"/>
      <w:lvlText w:val="(%1)"/>
      <w:numFmt w:val="decimal"/>
      <w:start w:val="1"/>
    </w:lvl>
  </w:abstractNum>
  <w:abstractNum w:abstractNumId="5">
    <w:nsid w:val="579328B9"/>
    <w:multiLevelType w:val="hybridMultilevel"/>
    <w:lvl w:ilvl="0">
      <w:lvlJc w:val="left"/>
      <w:lvlText w:val="(%1)"/>
      <w:numFmt w:val="decimal"/>
      <w:start w:val="1"/>
    </w:lvl>
  </w:abstractNum>
  <w:abstractNum w:abstractNumId="6">
    <w:nsid w:val="5D205E20"/>
    <w:multiLevelType w:val="hybridMultilevel"/>
    <w:lvl w:ilvl="0">
      <w:lvlJc w:val="left"/>
      <w:lvlText w:val="(%1)"/>
      <w:numFmt w:val="decimal"/>
      <w:start w:val="3"/>
    </w:lvl>
  </w:abstractNum>
  <w:abstractNum w:abstractNumId="7">
    <w:nsid w:val="11CCA8BA"/>
    <w:multiLevelType w:val="hybridMultilevel"/>
    <w:lvl w:ilvl="0">
      <w:lvlJc w:val="left"/>
      <w:lvlText w:val="(%1)"/>
      <w:numFmt w:val="decimal"/>
      <w:start w:val="1"/>
    </w:lvl>
  </w:abstractNum>
  <w:abstractNum w:abstractNumId="8">
    <w:nsid w:val="4D32AB86"/>
    <w:multiLevelType w:val="hybridMultilevel"/>
    <w:lvl w:ilvl="0">
      <w:lvlJc w:val="left"/>
      <w:lvlText w:val="(%1)"/>
      <w:numFmt w:val="lowerRoman"/>
      <w:start w:val="5"/>
    </w:lvl>
  </w:abstractNum>
  <w:abstractNum w:abstractNumId="9">
    <w:nsid w:val="3F07ACC3"/>
    <w:multiLevelType w:val="hybridMultilevel"/>
    <w:lvl w:ilvl="0">
      <w:lvlJc w:val="left"/>
      <w:lvlText w:val="(%1)"/>
      <w:numFmt w:val="lowerLetter"/>
      <w:start w:val="3"/>
    </w:lvl>
  </w:abstractNum>
  <w:abstractNum w:abstractNumId="10">
    <w:nsid w:val="6B47F63E"/>
    <w:multiLevelType w:val="hybridMultilevel"/>
    <w:lvl w:ilvl="0">
      <w:lvlJc w:val="left"/>
      <w:lvlText w:val="(%1)"/>
      <w:numFmt w:val="lowerLetter"/>
      <w:start w:val="1"/>
    </w:lvl>
  </w:abstractNum>
  <w:abstractNum w:abstractNumId="11">
    <w:nsid w:val="5CB44A05"/>
    <w:multiLevelType w:val="hybridMultilevel"/>
    <w:lvl w:ilvl="0">
      <w:lvlJc w:val="left"/>
      <w:lvlText w:val="(%1)"/>
      <w:numFmt w:val="lowerLetter"/>
      <w:start w:val="2"/>
    </w:lvl>
  </w:abstractNum>
  <w:abstractNum w:abstractNumId="12">
    <w:nsid w:val="16CF80F1"/>
    <w:multiLevelType w:val="hybridMultilevel"/>
    <w:lvl w:ilvl="0">
      <w:lvlJc w:val="left"/>
      <w:lvlText w:val="(%1)"/>
      <w:numFmt w:val="lowerLetter"/>
      <w:start w:val="2"/>
    </w:lvl>
  </w:abstractNum>
  <w:abstractNum w:abstractNumId="13">
    <w:nsid w:val="1C695DEC"/>
    <w:multiLevelType w:val="hybridMultilevel"/>
    <w:lvl w:ilvl="0">
      <w:lvlJc w:val="left"/>
      <w:lvlText w:val="(%1)"/>
      <w:numFmt w:val="lowerRoman"/>
      <w:start w:val="4"/>
    </w:lvl>
  </w:abstractNum>
  <w:abstractNum w:abstractNumId="14">
    <w:nsid w:val="3FCFAED9"/>
    <w:multiLevelType w:val="hybridMultilevel"/>
    <w:lvl w:ilvl="0">
      <w:lvlJc w:val="left"/>
      <w:lvlText w:val="(%1)"/>
      <w:numFmt w:val="lowerRoman"/>
      <w:start w:val="1"/>
    </w:lvl>
  </w:abstractNum>
  <w:abstractNum w:abstractNumId="15">
    <w:nsid w:val="F856867"/>
    <w:multiLevelType w:val="hybridMultilevel"/>
    <w:lvl w:ilvl="0">
      <w:lvlJc w:val="left"/>
      <w:lvlText w:val="(%1)"/>
      <w:numFmt w:val="lowerRoman"/>
      <w:start w:val="7"/>
    </w:lvl>
  </w:abstractNum>
  <w:abstractNum w:abstractNumId="16">
    <w:nsid w:val="11B1CC33"/>
    <w:multiLevelType w:val="hybridMultilevel"/>
    <w:lvl w:ilvl="0">
      <w:lvlJc w:val="left"/>
      <w:lvlText w:val="(%1)"/>
      <w:numFmt w:val="lowerLetter"/>
      <w:start w:val="11"/>
    </w:lvl>
  </w:abstractNum>
  <w:abstractNum w:abstractNumId="17">
    <w:nsid w:val="2E22FBB7"/>
    <w:multiLevelType w:val="hybridMultilevel"/>
    <w:lvl w:ilvl="0">
      <w:lvlJc w:val="left"/>
      <w:lvlText w:val="(%1)"/>
      <w:numFmt w:val="lowerLetter"/>
      <w:start w:val="3"/>
    </w:lvl>
  </w:abstractNum>
  <w:abstractNum w:abstractNumId="18">
    <w:nsid w:val="29934699"/>
    <w:multiLevelType w:val="hybridMultilevel"/>
    <w:lvl w:ilvl="0">
      <w:lvlJc w:val="left"/>
      <w:lvlText w:val="(%1)"/>
      <w:numFmt w:val="lowerLetter"/>
      <w:start w:val="1"/>
    </w:lvl>
  </w:abstractNum>
  <w:abstractNum w:abstractNumId="19">
    <w:nsid w:val="77485850"/>
    <w:multiLevelType w:val="hybridMultilevel"/>
    <w:lvl w:ilvl="0">
      <w:lvlJc w:val="left"/>
      <w:lvlText w:val="(%1)"/>
      <w:numFmt w:val="lowerLetter"/>
      <w:start w:val="13"/>
    </w:lvl>
  </w:abstractNum>
  <w:abstractNum w:abstractNumId="20">
    <w:nsid w:val="744939A3"/>
    <w:multiLevelType w:val="hybridMultilevel"/>
    <w:lvl w:ilvl="0">
      <w:lvlJc w:val="left"/>
      <w:lvlText w:val="(%1)"/>
      <w:numFmt w:val="lowerRoman"/>
      <w:start w:val="1"/>
    </w:lvl>
  </w:abstractNum>
  <w:abstractNum w:abstractNumId="21">
    <w:nsid w:val="4FA0D2E3"/>
    <w:multiLevelType w:val="hybridMultilevel"/>
    <w:lvl w:ilvl="0">
      <w:lvlJc w:val="left"/>
      <w:lvlText w:val="(%1)"/>
      <w:numFmt w:val="lowerLetter"/>
      <w:start w:val="1"/>
    </w:lvl>
    <w:lvl w:ilvl="1">
      <w:lvlJc w:val="left"/>
      <w:lvlText w:val="(%2)"/>
      <w:numFmt w:val="decimal"/>
      <w:start w:val="1"/>
    </w:lvl>
  </w:abstractNum>
  <w:abstractNum w:abstractNumId="22">
    <w:nsid w:val="6B1D2C14"/>
    <w:multiLevelType w:val="hybridMultilevel"/>
    <w:lvl w:ilvl="0">
      <w:lvlJc w:val="left"/>
      <w:lvlText w:val="(%1)"/>
      <w:numFmt w:val="lowerLetter"/>
      <w:start w:val="2"/>
    </w:lvl>
    <w:lvl w:ilvl="1">
      <w:lvlJc w:val="left"/>
      <w:lvlText w:val="(%2)"/>
      <w:numFmt w:val="decimal"/>
      <w:start w:val="1"/>
    </w:lvl>
    <w:lvl w:ilvl="2">
      <w:lvlJc w:val="left"/>
      <w:lvlText w:val="(%3)"/>
      <w:numFmt w:val="lowerLetter"/>
      <w:start w:val="24"/>
    </w:lvl>
  </w:abstractNum>
  <w:abstractNum w:abstractNumId="23">
    <w:nsid w:val="68B867D3"/>
    <w:multiLevelType w:val="hybridMultilevel"/>
    <w:lvl w:ilvl="0">
      <w:lvlJc w:val="left"/>
      <w:lvlText w:val="(%1)"/>
      <w:numFmt w:val="lowerRoman"/>
      <w:start w:val="2"/>
    </w:lvl>
  </w:abstractNum>
  <w:abstractNum w:abstractNumId="24">
    <w:nsid w:val="3F7F5DD9"/>
    <w:multiLevelType w:val="hybridMultilevel"/>
    <w:lvl w:ilvl="0">
      <w:lvlJc w:val="left"/>
      <w:lvlText w:val="(%1)"/>
      <w:numFmt w:val="lowerRoman"/>
      <w:start w:val="2"/>
    </w:lvl>
  </w:abstractNum>
  <w:abstractNum w:abstractNumId="25">
    <w:nsid w:val="2AE05A34"/>
    <w:multiLevelType w:val="hybridMultilevel"/>
    <w:lvl w:ilvl="0">
      <w:lvlJc w:val="left"/>
      <w:lvlText w:val="(%1)"/>
      <w:numFmt w:val="lowerLetter"/>
      <w:start w:val="4"/>
    </w:lvl>
  </w:abstractNum>
  <w:abstractNum w:abstractNumId="26">
    <w:nsid w:val="32794FF7"/>
    <w:multiLevelType w:val="hybridMultilevel"/>
    <w:lvl w:ilvl="0">
      <w:lvlJc w:val="left"/>
      <w:lvlText w:val="(%1)"/>
      <w:numFmt w:val="lowerLetter"/>
      <w:start w:val="2"/>
    </w:lvl>
  </w:abstractNum>
  <w:abstractNum w:abstractNumId="27">
    <w:nsid w:val="5454945E"/>
    <w:multiLevelType w:val="hybridMultilevel"/>
    <w:lvl w:ilvl="0">
      <w:lvlJc w:val="left"/>
      <w:lvlText w:val="(%1)"/>
      <w:numFmt w:val="lowerLetter"/>
      <w:start w:val="1"/>
    </w:lvl>
    <w:lvl w:ilvl="1">
      <w:lvlJc w:val="left"/>
      <w:lvlText w:val="(%2)"/>
      <w:numFmt w:val="decimal"/>
      <w:start w:val="1"/>
    </w:lvl>
  </w:abstractNum>
  <w:abstractNum w:abstractNumId="28">
    <w:nsid w:val="4DEFDFA0"/>
    <w:multiLevelType w:val="hybridMultilevel"/>
    <w:lvl w:ilvl="0">
      <w:lvlJc w:val="left"/>
      <w:lvlText w:val="(%1)"/>
      <w:numFmt w:val="lowerRoman"/>
      <w:start w:val="1"/>
    </w:lvl>
  </w:abstractNum>
  <w:abstractNum w:abstractNumId="29">
    <w:nsid w:val="2123D5F2"/>
    <w:multiLevelType w:val="hybridMultilevel"/>
    <w:lvl w:ilvl="0">
      <w:lvlJc w:val="left"/>
      <w:lvlText w:val="(%1)"/>
      <w:numFmt w:val="lowerRoman"/>
      <w:start w:val="3"/>
    </w:lvl>
  </w:abstractNum>
  <w:abstractNum w:abstractNumId="30">
    <w:nsid w:val="135B8110"/>
    <w:multiLevelType w:val="hybridMultilevel"/>
    <w:lvl w:ilvl="0">
      <w:lvlJc w:val="left"/>
      <w:lvlText w:val="(%1)"/>
      <w:numFmt w:val="lowerLetter"/>
      <w:start w:val="1"/>
    </w:lvl>
  </w:abstractNum>
  <w:abstractNum w:abstractNumId="31">
    <w:nsid w:val="94927A8"/>
    <w:multiLevelType w:val="hybridMultilevel"/>
    <w:lvl w:ilvl="0">
      <w:lvlJc w:val="left"/>
      <w:lvlText w:val="(%1)"/>
      <w:numFmt w:val="lowerRoman"/>
      <w:start w:val="1"/>
    </w:lvl>
  </w:abstractNum>
  <w:abstractNum w:abstractNumId="32">
    <w:nsid w:val="DCDF8F6"/>
    <w:multiLevelType w:val="hybridMultilevel"/>
    <w:lvl w:ilvl="0">
      <w:lvlJc w:val="left"/>
      <w:lvlText w:val="(%1)"/>
      <w:numFmt w:val="lowerLetter"/>
      <w:start w:val="5"/>
    </w:lvl>
  </w:abstractNum>
  <w:abstractNum w:abstractNumId="33">
    <w:nsid w:val="52D7B105"/>
    <w:multiLevelType w:val="hybridMultilevel"/>
    <w:lvl w:ilvl="0">
      <w:lvlJc w:val="left"/>
      <w:lvlText w:val="(%1)"/>
      <w:numFmt w:val="lowerLetter"/>
      <w:start w:val="1"/>
    </w:lvl>
  </w:abstractNum>
  <w:abstractNum w:abstractNumId="34">
    <w:nsid w:val="2E8A6394"/>
    <w:multiLevelType w:val="hybridMultilevel"/>
    <w:lvl w:ilvl="0">
      <w:lvlJc w:val="left"/>
      <w:lvlText w:val="(%1)"/>
      <w:numFmt w:val="lowerLetter"/>
      <w:start w:val="8"/>
    </w:lvl>
  </w:abstractNum>
  <w:abstractNum w:abstractNumId="35">
    <w:nsid w:val="24E60401"/>
    <w:multiLevelType w:val="hybridMultilevel"/>
    <w:lvl w:ilvl="0">
      <w:lvlJc w:val="left"/>
      <w:lvlText w:val="(%1)"/>
      <w:numFmt w:val="lowerLetter"/>
      <w:start w:val="1"/>
    </w:lvl>
  </w:abstractNum>
  <w:abstractNum w:abstractNumId="36">
    <w:nsid w:val="2A6AD9BE"/>
    <w:multiLevelType w:val="hybridMultilevel"/>
    <w:lvl w:ilvl="0">
      <w:lvlJc w:val="left"/>
      <w:lvlText w:val="(%1)"/>
      <w:numFmt w:val="lowerLetter"/>
      <w:start w:val="1"/>
    </w:lvl>
  </w:abstractNum>
  <w:abstractNum w:abstractNumId="37">
    <w:nsid w:val="BAAC1B4"/>
    <w:multiLevelType w:val="hybridMultilevel"/>
    <w:lvl w:ilvl="0">
      <w:lvlJc w:val="left"/>
      <w:lvlText w:val="(%1)"/>
      <w:numFmt w:val="lowerLetter"/>
      <w:start w:val="2"/>
    </w:lvl>
  </w:abstractNum>
  <w:abstractNum w:abstractNumId="38">
    <w:nsid w:val="36B2ACBC"/>
    <w:multiLevelType w:val="hybridMultilevel"/>
    <w:lvl w:ilvl="0">
      <w:lvlJc w:val="left"/>
      <w:lvlText w:val="(%1)"/>
      <w:numFmt w:val="lowerRoman"/>
      <w:start w:val="1"/>
    </w:lvl>
  </w:abstractNum>
  <w:abstractNum w:abstractNumId="39">
    <w:nsid w:val="779D8544"/>
    <w:multiLevelType w:val="hybridMultilevel"/>
    <w:lvl w:ilvl="0">
      <w:lvlJc w:val="left"/>
      <w:lvlText w:val="(%1)"/>
      <w:numFmt w:val="lowerRoman"/>
      <w:start w:val="4"/>
    </w:lvl>
  </w:abstractNum>
  <w:abstractNum w:abstractNumId="40">
    <w:nsid w:val="4AB26E78"/>
    <w:multiLevelType w:val="hybridMultilevel"/>
    <w:lvl w:ilvl="0">
      <w:lvlJc w:val="left"/>
      <w:lvlText w:val="(%1)"/>
      <w:numFmt w:val="lowerLetter"/>
      <w:start w:val="1"/>
    </w:lvl>
  </w:abstractNum>
  <w:abstractNum w:abstractNumId="41">
    <w:nsid w:val="21FAA2FA"/>
    <w:multiLevelType w:val="hybridMultilevel"/>
    <w:lvl w:ilvl="0">
      <w:lvlJc w:val="left"/>
      <w:lvlText w:val="%1"/>
      <w:numFmt w:val="lowerLetter"/>
      <w:start w:val="1"/>
    </w:lvl>
    <w:lvl w:ilvl="1">
      <w:lvlJc w:val="left"/>
      <w:lvlText w:val="(%2)"/>
      <w:numFmt w:val="lowerLetter"/>
      <w:start w:val="1"/>
    </w:lvl>
  </w:abstractNum>
  <w:abstractNum w:abstractNumId="42">
    <w:nsid w:val="5451CF49"/>
    <w:multiLevelType w:val="hybridMultilevel"/>
    <w:lvl w:ilvl="0">
      <w:lvlJc w:val="left"/>
      <w:lvlText w:val="(%1)"/>
      <w:numFmt w:val="lowerLetter"/>
      <w:start w:val="22"/>
    </w:lvl>
    <w:lvl w:ilvl="1">
      <w:lvlJc w:val="left"/>
      <w:lvlText w:val="%2"/>
      <w:numFmt w:val="lowerLetter"/>
      <w:start w:val="1"/>
    </w:lvl>
  </w:abstractNum>
  <w:abstractNum w:abstractNumId="43">
    <w:nsid w:val="6181EF69"/>
    <w:multiLevelType w:val="hybridMultilevel"/>
    <w:lvl w:ilvl="0">
      <w:lvlJc w:val="left"/>
      <w:lvlText w:val="(%1)"/>
      <w:numFmt w:val="lowerLetter"/>
      <w:start w:val="2"/>
    </w:lvl>
  </w:abstractNum>
  <w:abstractNum w:abstractNumId="44">
    <w:nsid w:val="3E6400E6"/>
    <w:multiLevelType w:val="hybridMultilevel"/>
    <w:lvl w:ilvl="0">
      <w:lvlJc w:val="left"/>
      <w:lvlText w:val="(%1)"/>
      <w:numFmt w:val="lowerLetter"/>
      <w:start w:val="5"/>
    </w:lvl>
  </w:abstractNum>
  <w:abstractNum w:abstractNumId="45">
    <w:nsid w:val="14217E23"/>
    <w:multiLevelType w:val="hybridMultilevel"/>
    <w:lvl w:ilvl="0">
      <w:lvlJc w:val="left"/>
      <w:lvlText w:val="(%1)"/>
      <w:numFmt w:val="lowerLetter"/>
      <w:start w:val="7"/>
    </w:lvl>
    <w:lvl w:ilvl="1">
      <w:lvlJc w:val="left"/>
      <w:lvlText w:val="(%2)"/>
      <w:numFmt w:val="upperLetter"/>
      <w:start w:val="2"/>
    </w:lvl>
  </w:abstractNum>
  <w:abstractNum w:abstractNumId="46">
    <w:nsid w:val="710757D0"/>
    <w:multiLevelType w:val="hybridMultilevel"/>
    <w:lvl w:ilvl="0">
      <w:lvlJc w:val="left"/>
      <w:lvlText w:val="%1"/>
      <w:numFmt w:val="lowerLetter"/>
      <w:start w:val="1"/>
    </w:lvl>
    <w:lvl w:ilvl="1">
      <w:lvlJc w:val="left"/>
      <w:lvlText w:val="(%2)"/>
      <w:numFmt w:val="lowerLetter"/>
      <w:start w:val="10"/>
    </w:lvl>
  </w:abstractNum>
  <w:abstractNum w:abstractNumId="47">
    <w:nsid w:val="5015CD1A"/>
    <w:multiLevelType w:val="hybridMultilevel"/>
    <w:lvl w:ilvl="0">
      <w:lvlJc w:val="left"/>
      <w:lvlText w:val="(%1)"/>
      <w:numFmt w:val="lowerLetter"/>
      <w:start w:val="35"/>
    </w:lvl>
    <w:lvl w:ilvl="1">
      <w:lvlJc w:val="left"/>
      <w:lvlText w:val="%2"/>
      <w:numFmt w:val="lowerLetter"/>
      <w:start w:val="1"/>
    </w:lvl>
  </w:abstractNum>
  <w:abstractNum w:abstractNumId="48">
    <w:nsid w:val="424479DA"/>
    <w:multiLevelType w:val="hybridMultilevel"/>
    <w:lvl w:ilvl="0">
      <w:lvlJc w:val="left"/>
      <w:lvlText w:val="(%1)"/>
      <w:numFmt w:val="lowerLetter"/>
      <w:start w:val="1"/>
    </w:lvl>
  </w:abstractNum>
  <w:abstractNum w:abstractNumId="49">
    <w:nsid w:val="1A9A9E69"/>
    <w:multiLevelType w:val="hybridMultilevel"/>
    <w:lvl w:ilvl="0">
      <w:lvlJc w:val="left"/>
      <w:lvlText w:val="(%1)"/>
      <w:numFmt w:val="lowerLetter"/>
      <w:start w:val="1"/>
    </w:lvl>
  </w:abstractNum>
  <w:abstractNum w:abstractNumId="50">
    <w:nsid w:val="475E256A"/>
    <w:multiLevelType w:val="hybridMultilevel"/>
    <w:lvl w:ilvl="0">
      <w:lvlJc w:val="left"/>
      <w:lvlText w:val="(%1)"/>
      <w:numFmt w:val="lowerLetter"/>
      <w:start w:val="2"/>
    </w:lvl>
    <w:lvl w:ilvl="1">
      <w:lvlJc w:val="left"/>
      <w:lvlText w:val="(%2)"/>
      <w:numFmt w:val="lowerRoman"/>
      <w:start w:val="1"/>
    </w:lvl>
  </w:abstractNum>
  <w:abstractNum w:abstractNumId="51">
    <w:nsid w:val="368DB37E"/>
    <w:multiLevelType w:val="hybridMultilevel"/>
    <w:lvl w:ilvl="0">
      <w:lvlJc w:val="left"/>
      <w:lvlText w:val="(%1)"/>
      <w:numFmt w:val="lowerLetter"/>
      <w:start w:val="3"/>
    </w:lvl>
  </w:abstractNum>
  <w:abstractNum w:abstractNumId="52">
    <w:nsid w:val="6A3B714C"/>
    <w:multiLevelType w:val="hybridMultilevel"/>
    <w:lvl w:ilvl="0">
      <w:lvlJc w:val="left"/>
      <w:lvlText w:val="(%1)"/>
      <w:numFmt w:val="upperLetter"/>
      <w:start w:val="1"/>
    </w:lvl>
  </w:abstractNum>
  <w:abstractNum w:abstractNumId="53">
    <w:nsid w:val="327B517E"/>
    <w:multiLevelType w:val="hybridMultilevel"/>
    <w:lvl w:ilvl="0">
      <w:lvlJc w:val="left"/>
      <w:lvlText w:val="%1"/>
      <w:numFmt w:val="lowerLetter"/>
      <w:start w:val="1"/>
    </w:lvl>
    <w:lvl w:ilvl="1">
      <w:lvlJc w:val="left"/>
      <w:lvlText w:val="(%2)"/>
      <w:numFmt w:val="lowerLetter"/>
      <w:start w:val="1"/>
    </w:lvl>
  </w:abstractNum>
  <w:abstractNum w:abstractNumId="54">
    <w:nsid w:val="1F461B51"/>
    <w:multiLevelType w:val="hybridMultilevel"/>
    <w:lvl w:ilvl="0">
      <w:lvlJc w:val="left"/>
      <w:lvlText w:val="(%1)"/>
      <w:numFmt w:val="lowerLetter"/>
      <w:start w:val="35"/>
    </w:lvl>
    <w:lvl w:ilvl="1">
      <w:lvlJc w:val="left"/>
      <w:lvlText w:val="(%2)"/>
      <w:numFmt w:val="lowerLetter"/>
      <w:start w:val="2"/>
    </w:lvl>
  </w:abstractNum>
  <w:abstractNum w:abstractNumId="55">
    <w:nsid w:val="29BACF25"/>
    <w:multiLevelType w:val="hybridMultilevel"/>
    <w:lvl w:ilvl="0">
      <w:lvlJc w:val="left"/>
      <w:lvlText w:val="(%1)"/>
      <w:numFmt w:val="lowerLetter"/>
      <w:start w:val="1"/>
    </w:lvl>
  </w:abstractNum>
  <w:abstractNum w:abstractNumId="56">
    <w:nsid w:val="5D5BABB3"/>
    <w:multiLevelType w:val="hybridMultilevel"/>
    <w:lvl w:ilvl="0">
      <w:lvlJc w:val="left"/>
      <w:lvlText w:val="(%1)"/>
      <w:numFmt w:val="lowerLetter"/>
      <w:start w:val="1"/>
    </w:lvl>
  </w:abstractNum>
  <w:abstractNum w:abstractNumId="57">
    <w:nsid w:val="51BF6B48"/>
    <w:multiLevelType w:val="hybridMultilevel"/>
    <w:lvl w:ilvl="0">
      <w:lvlJc w:val="left"/>
      <w:lvlText w:val="(%1)"/>
      <w:numFmt w:val="lowerLetter"/>
      <w:start w:val="2"/>
    </w:lvl>
  </w:abstractNum>
  <w:abstractNum w:abstractNumId="58">
    <w:nsid w:val="7E0F6384"/>
    <w:multiLevelType w:val="hybridMultilevel"/>
    <w:lvl w:ilvl="0">
      <w:lvlJc w:val="left"/>
      <w:lvlText w:val="(%1)"/>
      <w:numFmt w:val="lowerLetter"/>
      <w:start w:val="1"/>
    </w:lvl>
  </w:abstractNum>
  <w:abstractNum w:abstractNumId="59">
    <w:nsid w:val="2B4B8B53"/>
    <w:multiLevelType w:val="hybridMultilevel"/>
    <w:lvl w:ilvl="0">
      <w:lvlJc w:val="left"/>
      <w:lvlText w:val="(%1)"/>
      <w:numFmt w:val="lowerLetter"/>
      <w:start w:val="2"/>
    </w:lvl>
  </w:abstractNum>
  <w:abstractNum w:abstractNumId="60">
    <w:nsid w:val="72E3413A"/>
    <w:multiLevelType w:val="hybridMultilevel"/>
    <w:lvl w:ilvl="0">
      <w:lvlJc w:val="left"/>
      <w:lvlText w:val="(%1)"/>
      <w:numFmt w:val="lowerLetter"/>
      <w:start w:val="1"/>
    </w:lvl>
  </w:abstractNum>
  <w:abstractNum w:abstractNumId="61">
    <w:nsid w:val="116AE494"/>
    <w:multiLevelType w:val="hybridMultilevel"/>
    <w:lvl w:ilvl="0">
      <w:lvlJc w:val="left"/>
      <w:lvlText w:val="(%1)"/>
      <w:numFmt w:val="lowerLetter"/>
      <w:start w:val="6"/>
    </w:lvl>
    <w:lvl w:ilvl="1">
      <w:lvlJc w:val="left"/>
      <w:lvlText w:val="(%2)"/>
      <w:numFmt w:val="lowerRoman"/>
      <w:start w:val="1"/>
    </w:lvl>
  </w:abstractNum>
  <w:abstractNum w:abstractNumId="62">
    <w:nsid w:val="3494B2FB"/>
    <w:multiLevelType w:val="hybridMultilevel"/>
    <w:lvl w:ilvl="0">
      <w:lvlJc w:val="left"/>
      <w:lvlText w:val="(%1)"/>
      <w:numFmt w:val="lowerLetter"/>
      <w:start w:val="10"/>
    </w:lvl>
  </w:abstractNum>
  <w:abstractNum w:abstractNumId="63">
    <w:nsid w:val="B13A31"/>
    <w:multiLevelType w:val="hybridMultilevel"/>
    <w:lvl w:ilvl="0">
      <w:lvlJc w:val="left"/>
      <w:lvlText w:val="(%1)"/>
      <w:numFmt w:val="lowerLetter"/>
      <w:start w:val="1"/>
    </w:lvl>
    <w:lvl w:ilvl="1">
      <w:lvlJc w:val="left"/>
      <w:lvlText w:val="(%2)"/>
      <w:numFmt w:val="lowerRoman"/>
      <w:start w:val="1"/>
    </w:lvl>
  </w:abstractNum>
  <w:abstractNum w:abstractNumId="64">
    <w:nsid w:val="64429599"/>
    <w:multiLevelType w:val="hybridMultilevel"/>
    <w:lvl w:ilvl="0">
      <w:lvlJc w:val="left"/>
      <w:lvlText w:val="(%1)"/>
      <w:numFmt w:val="lowerLetter"/>
      <w:start w:val="1"/>
    </w:lvl>
  </w:abstractNum>
  <w:abstractNum w:abstractNumId="65">
    <w:nsid w:val="631F1690"/>
    <w:multiLevelType w:val="hybridMultilevel"/>
    <w:lvl w:ilvl="0">
      <w:lvlJc w:val="left"/>
      <w:lvlText w:val="(%1)"/>
      <w:numFmt w:val="lowerLetter"/>
      <w:start w:val="2"/>
    </w:lvl>
  </w:abstractNum>
  <w:abstractNum w:abstractNumId="66">
    <w:nsid w:val="25973E32"/>
    <w:multiLevelType w:val="hybridMultilevel"/>
    <w:lvl w:ilvl="0">
      <w:lvlJc w:val="left"/>
      <w:lvlText w:val="%1"/>
      <w:numFmt w:val="lowerLetter"/>
      <w:start w:val="1"/>
    </w:lvl>
    <w:lvl w:ilvl="1">
      <w:lvlJc w:val="left"/>
      <w:lvlText w:val="(%2)"/>
      <w:numFmt w:val="lowerLetter"/>
      <w:start w:val="5"/>
    </w:lvl>
  </w:abstractNum>
  <w:abstractNum w:abstractNumId="67">
    <w:nsid w:val="EAD6F57"/>
    <w:multiLevelType w:val="hybridMultilevel"/>
    <w:lvl w:ilvl="0">
      <w:lvlJc w:val="left"/>
      <w:lvlText w:val="(%1)"/>
      <w:numFmt w:val="lowerLetter"/>
      <w:start w:val="26"/>
    </w:lvl>
    <w:lvl w:ilvl="1">
      <w:lvlJc w:val="left"/>
      <w:lvlText w:val="%2"/>
      <w:numFmt w:val="lowerLetter"/>
      <w:start w:val="1"/>
    </w:lvl>
  </w:abstractNum>
  <w:abstractNum w:abstractNumId="68">
    <w:nsid w:val="6EC9D844"/>
    <w:multiLevelType w:val="hybridMultilevel"/>
    <w:lvl w:ilvl="0">
      <w:lvlJc w:val="left"/>
      <w:lvlText w:val="(%1)"/>
      <w:numFmt w:val="decimal"/>
      <w:start w:val="1"/>
    </w:lvl>
  </w:abstractNum>
  <w:abstractNum w:abstractNumId="69">
    <w:nsid w:val="5C49EAEE"/>
    <w:multiLevelType w:val="hybridMultilevel"/>
    <w:lvl w:ilvl="0">
      <w:lvlJc w:val="left"/>
      <w:lvlText w:val="(%1)"/>
      <w:numFmt w:val="lowerRoman"/>
      <w:start w:val="1"/>
    </w:lvl>
  </w:abstractNum>
  <w:abstractNum w:abstractNumId="70">
    <w:nsid w:val="64AF49B"/>
    <w:multiLevelType w:val="hybridMultilevel"/>
    <w:lvl w:ilvl="0">
      <w:lvlJc w:val="left"/>
      <w:lvlText w:val="(%1)"/>
      <w:numFmt w:val="upperLetter"/>
      <w:start w:val="2"/>
    </w:lvl>
  </w:abstractNum>
  <w:abstractNum w:abstractNumId="71">
    <w:nsid w:val="397C46BC"/>
    <w:multiLevelType w:val="hybridMultilevel"/>
    <w:lvl w:ilvl="0">
      <w:lvlJc w:val="left"/>
      <w:lvlText w:val="(%1)"/>
      <w:numFmt w:val="lowerLetter"/>
      <w:start w:val="2"/>
    </w:lvl>
  </w:abstractNum>
  <w:abstractNum w:abstractNumId="72">
    <w:nsid w:val="7E448DE9"/>
    <w:multiLevelType w:val="hybridMultilevel"/>
    <w:lvl w:ilvl="0">
      <w:lvlJc w:val="left"/>
      <w:lvlText w:val="(%1)"/>
      <w:numFmt w:val="lowerLetter"/>
      <w:start w:val="4"/>
    </w:lvl>
  </w:abstractNum>
  <w:abstractNum w:abstractNumId="73">
    <w:nsid w:val="5A9CC3E5"/>
    <w:multiLevelType w:val="hybridMultilevel"/>
    <w:lvl w:ilvl="0">
      <w:lvlJc w:val="left"/>
      <w:lvlText w:val="%1"/>
      <w:numFmt w:val="decimal"/>
      <w:start w:val="1"/>
    </w:lvl>
    <w:lvl w:ilvl="1">
      <w:lvlJc w:val="left"/>
      <w:lvlText w:val="(%2)"/>
      <w:numFmt w:val="lowerLetter"/>
      <w:start w:val="1"/>
    </w:lvl>
  </w:abstractNum>
  <w:abstractNum w:abstractNumId="74">
    <w:nsid w:val="1AFE3625"/>
    <w:multiLevelType w:val="hybridMultilevel"/>
    <w:lvl w:ilvl="0">
      <w:lvlJc w:val="left"/>
      <w:lvlText w:val="(%1)"/>
      <w:numFmt w:val="decimal"/>
      <w:start w:val="10"/>
    </w:lvl>
    <w:lvl w:ilvl="1">
      <w:lvlJc w:val="left"/>
      <w:lvlText w:val="(%2)"/>
      <w:numFmt w:val="lowerLetter"/>
      <w:start w:val="2"/>
    </w:lvl>
  </w:abstractNum>
  <w:abstractNum w:abstractNumId="75">
    <w:nsid w:val="3CA88ECF"/>
    <w:multiLevelType w:val="hybridMultilevel"/>
    <w:lvl w:ilvl="0">
      <w:lvlJc w:val="left"/>
      <w:lvlText w:val="%1"/>
      <w:numFmt w:val="lowerLetter"/>
      <w:start w:val="1"/>
    </w:lvl>
    <w:lvl w:ilvl="1">
      <w:lvlJc w:val="left"/>
      <w:lvlText w:val="(%2)"/>
      <w:numFmt w:val="lowerLetter"/>
      <w:start w:val="1"/>
    </w:lvl>
  </w:abstractNum>
  <w:abstractNum w:abstractNumId="76">
    <w:nsid w:val="6EBE4208"/>
    <w:multiLevelType w:val="hybridMultilevel"/>
    <w:lvl w:ilvl="0">
      <w:lvlJc w:val="left"/>
      <w:lvlText w:val="(%1)"/>
      <w:numFmt w:val="lowerLetter"/>
      <w:start w:val="35"/>
    </w:lvl>
    <w:lvl w:ilvl="1">
      <w:lvlJc w:val="left"/>
      <w:lvlText w:val="(%2)"/>
      <w:numFmt w:val="lowerLetter"/>
      <w:start w:val="5"/>
    </w:lvl>
  </w:abstractNum>
  <w:abstractNum w:abstractNumId="77">
    <w:nsid w:val="C058DF5"/>
    <w:multiLevelType w:val="hybridMultilevel"/>
    <w:lvl w:ilvl="0">
      <w:lvlJc w:val="left"/>
      <w:lvlText w:val="(%1)"/>
      <w:numFmt w:val="lowerRoman"/>
      <w:start w:val="2"/>
    </w:lvl>
    <w:lvl w:ilvl="1">
      <w:lvlJc w:val="left"/>
      <w:lvlText w:val="(%2)"/>
      <w:numFmt w:val="upperLetter"/>
      <w:start w:val="1"/>
    </w:lvl>
    <w:lvl w:ilvl="2">
      <w:lvlJc w:val="left"/>
      <w:lvlText w:val="(%3)"/>
      <w:numFmt w:val="decimal"/>
      <w:start w:val="1"/>
    </w:lvl>
  </w:abstractNum>
  <w:abstractNum w:abstractNumId="78">
    <w:nsid w:val="CBE5BE9"/>
    <w:multiLevelType w:val="hybridMultilevel"/>
    <w:lvl w:ilvl="0">
      <w:lvlJc w:val="left"/>
      <w:lvlText w:val="%1"/>
      <w:numFmt w:val="upperLetter"/>
      <w:start w:val="1"/>
    </w:lvl>
    <w:lvl w:ilvl="1">
      <w:lvlJc w:val="left"/>
      <w:lvlText w:val="(%2)"/>
      <w:numFmt w:val="decimal"/>
      <w:start w:val="4"/>
    </w:lvl>
  </w:abstractNum>
  <w:abstractNum w:abstractNumId="79">
    <w:nsid w:val="3102BBE2"/>
    <w:multiLevelType w:val="hybridMultilevel"/>
    <w:lvl w:ilvl="0">
      <w:lvlJc w:val="left"/>
      <w:lvlText w:val="(%1)"/>
      <w:numFmt w:val="upperLetter"/>
      <w:start w:val="3"/>
    </w:lvl>
    <w:lvl w:ilvl="1">
      <w:lvlJc w:val="left"/>
      <w:lvlText w:val="%2"/>
      <w:numFmt w:val="decimal"/>
      <w:start w:val="1"/>
    </w:lvl>
  </w:abstractNum>
  <w:abstractNum w:abstractNumId="80">
    <w:nsid w:val="26A02C5E"/>
    <w:multiLevelType w:val="hybridMultilevel"/>
    <w:lvl w:ilvl="0">
      <w:lvlJc w:val="left"/>
      <w:lvlText w:val="(%1)"/>
      <w:numFmt w:val="lowerLetter"/>
      <w:start w:val="6"/>
    </w:lvl>
  </w:abstractNum>
  <w:abstractNum w:abstractNumId="81">
    <w:nsid w:val="541C8153"/>
    <w:multiLevelType w:val="hybridMultilevel"/>
    <w:lvl w:ilvl="0">
      <w:lvlJc w:val="left"/>
      <w:lvlText w:val="(%1)"/>
      <w:numFmt w:val="lowerLetter"/>
      <w:start w:val="1"/>
    </w:lvl>
  </w:abstractNum>
  <w:abstractNum w:abstractNumId="82">
    <w:nsid w:val="67906F60"/>
    <w:multiLevelType w:val="hybridMultilevel"/>
    <w:lvl w:ilvl="0">
      <w:lvlJc w:val="left"/>
      <w:lvlText w:val="%1"/>
      <w:numFmt w:val="lowerLetter"/>
      <w:start w:val="1"/>
    </w:lvl>
    <w:lvl w:ilvl="1">
      <w:lvlJc w:val="left"/>
      <w:lvlText w:val="(%2)"/>
      <w:numFmt w:val="lowerLetter"/>
      <w:start w:val="4"/>
    </w:lvl>
    <w:lvl w:ilvl="2">
      <w:lvlJc w:val="left"/>
      <w:lvlText w:val="(%3)"/>
      <w:numFmt w:val="upperLetter"/>
      <w:start w:val="1"/>
    </w:lvl>
    <w:lvl w:ilvl="3">
      <w:lvlJc w:val="left"/>
      <w:lvlText w:val="%4."/>
      <w:numFmt w:val="decimal"/>
      <w:start w:val="1"/>
    </w:lvl>
  </w:abstractNum>
  <w:abstractNum w:abstractNumId="83">
    <w:nsid w:val="10DB9DAA"/>
    <w:multiLevelType w:val="hybridMultilevel"/>
    <w:lvl w:ilvl="0">
      <w:lvlJc w:val="left"/>
      <w:lvlText w:val="(%1)"/>
      <w:numFmt w:val="lowerLetter"/>
      <w:start w:val="8"/>
    </w:lvl>
    <w:lvl w:ilvl="1">
      <w:lvlJc w:val="left"/>
      <w:lvlText w:val="(%2)"/>
      <w:numFmt w:val="lowerLetter"/>
      <w:start w:val="5"/>
    </w:lvl>
    <w:lvl w:ilvl="2">
      <w:lvlJc w:val="left"/>
      <w:lvlText w:val="(%3)"/>
      <w:numFmt w:val="upperLetter"/>
      <w:start w:val="4"/>
    </w:lvl>
    <w:lvl w:ilvl="3">
      <w:lvlJc w:val="left"/>
      <w:lvlText w:val="%4."/>
      <w:numFmt w:val="decimal"/>
      <w:start w:val="1"/>
    </w:lvl>
  </w:abstractNum>
  <w:abstractNum w:abstractNumId="84">
    <w:nsid w:val="697D2D2"/>
    <w:multiLevelType w:val="hybridMultilevel"/>
    <w:lvl w:ilvl="0">
      <w:lvlJc w:val="left"/>
      <w:lvlText w:val="(%1)"/>
      <w:numFmt w:val="upperLetter"/>
      <w:start w:val="1"/>
    </w:lvl>
  </w:abstractNum>
  <w:abstractNum w:abstractNumId="85">
    <w:nsid w:val="6D68AB2"/>
    <w:multiLevelType w:val="hybridMultilevel"/>
    <w:lvl w:ilvl="0">
      <w:lvlJc w:val="left"/>
      <w:lvlText w:val="%1"/>
      <w:numFmt w:val="lowerLetter"/>
      <w:start w:val="1"/>
    </w:lvl>
    <w:lvl w:ilvl="1">
      <w:lvlJc w:val="left"/>
      <w:lvlText w:val="(%2)"/>
      <w:numFmt w:val="upperLetter"/>
      <w:start w:val="2"/>
    </w:lvl>
    <w:lvl w:ilvl="2">
      <w:lvlJc w:val="left"/>
      <w:lvlText w:val="%3."/>
      <w:numFmt w:val="lowerLetter"/>
      <w:start w:val="1"/>
    </w:lvl>
  </w:abstractNum>
  <w:abstractNum w:abstractNumId="86">
    <w:nsid w:val="3A966CD0"/>
    <w:multiLevelType w:val="hybridMultilevel"/>
    <w:lvl w:ilvl="0">
      <w:lvlJc w:val="left"/>
      <w:lvlText w:val="(%1)"/>
      <w:numFmt w:val="lowerLetter"/>
      <w:start w:val="9"/>
    </w:lvl>
    <w:lvl w:ilvl="1">
      <w:lvlJc w:val="left"/>
      <w:lvlText w:val="(%2)"/>
      <w:numFmt w:val="upperLetter"/>
      <w:start w:val="1"/>
    </w:lvl>
    <w:lvl w:ilvl="2">
      <w:lvlJc w:val="left"/>
      <w:lvlText w:val="%3"/>
      <w:numFmt w:val="lowerLetter"/>
      <w:start w:val="1"/>
    </w:lvl>
  </w:abstractNum>
  <w:abstractNum w:abstractNumId="87">
    <w:nsid w:val="63F37E85"/>
    <w:multiLevelType w:val="hybridMultilevel"/>
    <w:lvl w:ilvl="0">
      <w:lvlJc w:val="left"/>
      <w:lvlText w:val="(%1)"/>
      <w:numFmt w:val="lowerLetter"/>
      <w:start w:val="11"/>
    </w:lvl>
    <w:lvl w:ilvl="1">
      <w:lvlJc w:val="left"/>
      <w:lvlText w:val="(%2)"/>
      <w:numFmt w:val="upperLetter"/>
      <w:start w:val="1"/>
    </w:lvl>
  </w:abstractNum>
  <w:abstractNum w:abstractNumId="88">
    <w:nsid w:val="5895F5FA"/>
    <w:multiLevelType w:val="hybridMultilevel"/>
    <w:lvl w:ilvl="0">
      <w:lvlJc w:val="left"/>
      <w:lvlText w:val="(%1)"/>
      <w:numFmt w:val="lowerLetter"/>
      <w:start w:val="13"/>
    </w:lvl>
    <w:lvl w:ilvl="1">
      <w:lvlJc w:val="left"/>
      <w:lvlText w:val="(%2)"/>
      <w:numFmt w:val="upperLetter"/>
      <w:start w:val="1"/>
    </w:lvl>
  </w:abstractNum>
  <w:abstractNum w:abstractNumId="89">
    <w:nsid w:val="38A5D054"/>
    <w:multiLevelType w:val="hybridMultilevel"/>
    <w:lvl w:ilvl="0">
      <w:lvlJc w:val="left"/>
      <w:lvlText w:val="(%1)"/>
      <w:numFmt w:val="lowerLetter"/>
      <w:start w:val="17"/>
    </w:lvl>
    <w:lvl w:ilvl="1">
      <w:lvlJc w:val="left"/>
      <w:lvlText w:val="(%2)"/>
      <w:numFmt w:val="upperLetter"/>
      <w:start w:val="1"/>
    </w:lvl>
  </w:abstractNum>
  <w:abstractNum w:abstractNumId="90">
    <w:nsid w:val="F3F09D8"/>
    <w:multiLevelType w:val="hybridMultilevel"/>
    <w:lvl w:ilvl="0">
      <w:lvlJc w:val="left"/>
      <w:lvlText w:val="(%1)"/>
      <w:numFmt w:val="lowerLetter"/>
      <w:start w:val="19"/>
    </w:lvl>
  </w:abstractNum>
  <w:abstractNum w:abstractNumId="91">
    <w:nsid w:val="4B793735"/>
    <w:multiLevelType w:val="hybridMultilevel"/>
    <w:lvl w:ilvl="0">
      <w:lvlJc w:val="left"/>
      <w:lvlText w:val="(%1)"/>
      <w:numFmt w:val="lowerLetter"/>
      <w:start w:val="20"/>
    </w:lvl>
  </w:abstractNum>
  <w:abstractNum w:abstractNumId="92">
    <w:nsid w:val="4A10B4E8"/>
    <w:multiLevelType w:val="hybridMultilevel"/>
    <w:lvl w:ilvl="0">
      <w:lvlJc w:val="left"/>
      <w:lvlText w:val="(%1)"/>
      <w:numFmt w:val="lowerLetter"/>
      <w:start w:val="1"/>
    </w:lvl>
  </w:abstractNum>
  <w:abstractNum w:abstractNumId="93">
    <w:nsid w:val="43D3BCD4"/>
    <w:multiLevelType w:val="hybridMultilevel"/>
    <w:lvl w:ilvl="0">
      <w:lvlJc w:val="left"/>
      <w:lvlText w:val="(%1)"/>
      <w:numFmt w:val="lowerLetter"/>
      <w:start w:val="2"/>
    </w:lvl>
  </w:abstractNum>
  <w:abstractNum w:abstractNumId="94">
    <w:nsid w:val="4C2A7166"/>
    <w:multiLevelType w:val="hybridMultilevel"/>
    <w:lvl w:ilvl="0">
      <w:lvlJc w:val="left"/>
      <w:lvlText w:val="(%1)"/>
      <w:numFmt w:val="lowerLetter"/>
      <w:start w:val="4"/>
    </w:lvl>
  </w:abstractNum>
  <w:abstractNum w:abstractNumId="95">
    <w:nsid w:val="2E534A82"/>
    <w:multiLevelType w:val="hybridMultilevel"/>
    <w:lvl w:ilvl="0">
      <w:lvlJc w:val="left"/>
      <w:lvlText w:val="%1"/>
      <w:numFmt w:val="lowerLetter"/>
      <w:start w:val="1"/>
    </w:lvl>
    <w:lvl w:ilvl="1">
      <w:lvlJc w:val="left"/>
      <w:lvlText w:val="(%2)"/>
      <w:numFmt w:val="lowerLetter"/>
      <w:start w:val="1"/>
    </w:lvl>
  </w:abstractNum>
  <w:abstractNum w:abstractNumId="96">
    <w:nsid w:val="26F2D364"/>
    <w:multiLevelType w:val="hybridMultilevel"/>
    <w:lvl w:ilvl="0">
      <w:lvlJc w:val="left"/>
      <w:lvlText w:val="(%1)"/>
      <w:numFmt w:val="lowerLetter"/>
      <w:start w:val="61"/>
    </w:lvl>
    <w:lvl w:ilvl="1">
      <w:lvlJc w:val="left"/>
      <w:lvlText w:val="%2"/>
      <w:numFmt w:val="lowerLetter"/>
      <w:start w:val="1"/>
    </w:lvl>
  </w:abstractNum>
  <w:abstractNum w:abstractNumId="97">
    <w:nsid w:val="71C1AF98"/>
    <w:multiLevelType w:val="hybridMultilevel"/>
    <w:lvl w:ilvl="0">
      <w:lvlJc w:val="left"/>
      <w:lvlText w:val="(%1)"/>
      <w:numFmt w:val="lowerLetter"/>
      <w:start w:val="9"/>
    </w:lvl>
    <w:lvl w:ilvl="1">
      <w:lvlJc w:val="left"/>
      <w:lvlText w:val="(%2)"/>
      <w:numFmt w:val="lowerLetter"/>
      <w:start w:val="1"/>
    </w:lvl>
  </w:abstractNum>
  <w:abstractNum w:abstractNumId="98">
    <w:nsid w:val="3D00B9D9"/>
    <w:multiLevelType w:val="hybridMultilevel"/>
    <w:lvl w:ilvl="0">
      <w:lvlJc w:val="left"/>
      <w:lvlText w:val="%1"/>
      <w:numFmt w:val="lowerLetter"/>
      <w:start w:val="1"/>
    </w:lvl>
    <w:lvl w:ilvl="1">
      <w:lvlJc w:val="left"/>
      <w:lvlText w:val="(%2)"/>
      <w:numFmt w:val="lowerRoman"/>
      <w:start w:val="1"/>
    </w:lvl>
  </w:abstractNum>
  <w:abstractNum w:abstractNumId="99">
    <w:nsid w:val="15BCABA8"/>
    <w:multiLevelType w:val="hybridMultilevel"/>
    <w:lvl w:ilvl="0">
      <w:lvlJc w:val="left"/>
      <w:lvlText w:val="(%1)"/>
      <w:numFmt w:val="lowerLetter"/>
      <w:start w:val="3"/>
    </w:lvl>
    <w:lvl w:ilvl="1">
      <w:lvlJc w:val="left"/>
      <w:lvlText w:val="%2"/>
      <w:numFmt w:val="lowerRoman"/>
      <w:start w:val="1"/>
    </w:lvl>
  </w:abstractNum>
  <w:abstractNum w:abstractNumId="100">
    <w:nsid w:val="4E0B9A87"/>
    <w:multiLevelType w:val="hybridMultilevel"/>
    <w:lvl w:ilvl="0">
      <w:lvlJc w:val="left"/>
      <w:lvlText w:val="(%1)"/>
      <w:numFmt w:val="lowerLetter"/>
      <w:start w:val="4"/>
    </w:lvl>
  </w:abstractNum>
  <w:abstractNum w:abstractNumId="101">
    <w:nsid w:val="434BAE75"/>
    <w:multiLevelType w:val="hybridMultilevel"/>
    <w:lvl w:ilvl="0">
      <w:lvlJc w:val="left"/>
      <w:lvlText w:val="(%1)"/>
      <w:numFmt w:val="lowerLetter"/>
      <w:start w:val="1"/>
    </w:lvl>
  </w:abstractNum>
  <w:abstractNum w:abstractNumId="102">
    <w:nsid w:val="4F38F265"/>
    <w:multiLevelType w:val="hybridMultilevel"/>
    <w:lvl w:ilvl="0">
      <w:lvlJc w:val="left"/>
      <w:lvlText w:val="(%1)"/>
      <w:numFmt w:val="lowerLetter"/>
      <w:start w:val="3"/>
    </w:lvl>
    <w:lvl w:ilvl="1">
      <w:lvlJc w:val="left"/>
      <w:lvlText w:val="(%2)"/>
      <w:numFmt w:val="lowerRoman"/>
      <w:start w:val="1"/>
    </w:lvl>
  </w:abstractNum>
  <w:abstractNum w:abstractNumId="103">
    <w:nsid w:val="4C502870"/>
    <w:multiLevelType w:val="hybridMultilevel"/>
    <w:lvl w:ilvl="0">
      <w:lvlJc w:val="left"/>
      <w:lvlText w:val="%1"/>
      <w:numFmt w:val="lowerLetter"/>
      <w:start w:val="1"/>
    </w:lvl>
    <w:lvl w:ilvl="1">
      <w:lvlJc w:val="left"/>
      <w:lvlText w:val="(%2)"/>
      <w:numFmt w:val="lowerRoman"/>
      <w:start w:val="4"/>
    </w:lvl>
  </w:abstractNum>
  <w:abstractNum w:abstractNumId="104">
    <w:nsid w:val="1DE8725A"/>
    <w:multiLevelType w:val="hybridMultilevel"/>
    <w:lvl w:ilvl="0">
      <w:lvlJc w:val="left"/>
      <w:lvlText w:val="(%1)"/>
      <w:numFmt w:val="lowerLetter"/>
      <w:start w:val="5"/>
    </w:lvl>
    <w:lvl w:ilvl="1">
      <w:lvlJc w:val="left"/>
      <w:lvlText w:val="%2"/>
      <w:numFmt w:val="lowerRoman"/>
      <w:start w:val="1"/>
    </w:lvl>
  </w:abstractNum>
  <w:abstractNum w:abstractNumId="105">
    <w:nsid w:val="6A37288A"/>
    <w:multiLevelType w:val="hybridMultilevel"/>
    <w:lvl w:ilvl="0">
      <w:lvlJc w:val="left"/>
      <w:lvlText w:val="(%1)"/>
      <w:numFmt w:val="lowerLetter"/>
      <w:start w:val="1"/>
    </w:lvl>
  </w:abstractNum>
  <w:abstractNum w:abstractNumId="106">
    <w:nsid w:val="8F8B73F"/>
    <w:multiLevelType w:val="hybridMultilevel"/>
    <w:lvl w:ilvl="0">
      <w:lvlJc w:val="left"/>
      <w:lvlText w:val="(%1)"/>
      <w:numFmt w:val="lowerLetter"/>
      <w:start w:val="1"/>
    </w:lvl>
  </w:abstractNum>
  <w:abstractNum w:abstractNumId="107">
    <w:nsid w:val="CA6B462"/>
    <w:multiLevelType w:val="hybridMultilevel"/>
    <w:lvl w:ilvl="0">
      <w:lvlJc w:val="left"/>
      <w:lvlText w:val="(%1)"/>
      <w:numFmt w:val="lowerLetter"/>
      <w:start w:val="2"/>
    </w:lvl>
  </w:abstractNum>
  <w:abstractNum w:abstractNumId="108">
    <w:nsid w:val="763CB680"/>
    <w:multiLevelType w:val="hybridMultilevel"/>
    <w:lvl w:ilvl="0">
      <w:lvlJc w:val="left"/>
      <w:lvlText w:val="(%1)"/>
      <w:numFmt w:val="lowerLetter"/>
      <w:start w:val="1"/>
    </w:lvl>
  </w:abstractNum>
  <w:abstractNum w:abstractNumId="109">
    <w:nsid w:val="15B71329"/>
    <w:multiLevelType w:val="hybridMultilevel"/>
    <w:lvl w:ilvl="0">
      <w:lvlJc w:val="left"/>
      <w:lvlText w:val="(%1)"/>
      <w:numFmt w:val="lowerLetter"/>
      <w:start w:val="1"/>
    </w:lvl>
  </w:abstractNum>
  <w:abstractNum w:abstractNumId="110">
    <w:nsid w:val="3DA97044"/>
    <w:multiLevelType w:val="hybridMultilevel"/>
    <w:lvl w:ilvl="0">
      <w:lvlJc w:val="left"/>
      <w:lvlText w:val="(%1)"/>
      <w:numFmt w:val="lowerLetter"/>
      <w:start w:val="2"/>
    </w:lvl>
  </w:abstractNum>
  <w:abstractNum w:abstractNumId="111">
    <w:nsid w:val="1CDCE2DE"/>
    <w:multiLevelType w:val="hybridMultilevel"/>
    <w:lvl w:ilvl="0">
      <w:lvlJc w:val="left"/>
      <w:lvlText w:val="(%1)"/>
      <w:numFmt w:val="lowerLetter"/>
      <w:start w:val="1"/>
    </w:lvl>
  </w:abstractNum>
  <w:abstractNum w:abstractNumId="112">
    <w:nsid w:val="69D3947C"/>
    <w:multiLevelType w:val="hybridMultilevel"/>
    <w:lvl w:ilvl="0">
      <w:lvlJc w:val="left"/>
      <w:lvlText w:val="(%1)"/>
      <w:numFmt w:val="lowerLetter"/>
      <w:start w:val="3"/>
    </w:lvl>
  </w:abstractNum>
  <w:abstractNum w:abstractNumId="113">
    <w:nsid w:val="2539DFA5"/>
    <w:multiLevelType w:val="hybridMultilevel"/>
    <w:lvl w:ilvl="0">
      <w:lvlJc w:val="left"/>
      <w:lvlText w:val="(%1)"/>
      <w:numFmt w:val="lowerLetter"/>
      <w:start w:val="1"/>
    </w:lvl>
  </w:abstractNum>
  <w:abstractNum w:abstractNumId="114">
    <w:nsid w:val="2DB88089"/>
    <w:multiLevelType w:val="hybridMultilevel"/>
    <w:lvl w:ilvl="0">
      <w:lvlJc w:val="left"/>
      <w:lvlText w:val="(%1)"/>
      <w:numFmt w:val="lowerLetter"/>
      <w:start w:val="1"/>
    </w:lvl>
  </w:abstractNum>
  <w:abstractNum w:abstractNumId="115">
    <w:nsid w:val="706B674E"/>
    <w:multiLevelType w:val="hybridMultilevel"/>
    <w:lvl w:ilvl="0">
      <w:lvlJc w:val="left"/>
      <w:lvlText w:val="(%1)"/>
      <w:numFmt w:val="lowerLetter"/>
      <w:start w:val="1"/>
    </w:lvl>
  </w:abstractNum>
  <w:abstractNum w:abstractNumId="116">
    <w:nsid w:val="2C106A57"/>
    <w:multiLevelType w:val="hybridMultilevel"/>
    <w:lvl w:ilvl="0">
      <w:lvlJc w:val="left"/>
      <w:lvlText w:val="(%1)"/>
      <w:numFmt w:val="lowerLetter"/>
      <w:start w:val="4"/>
    </w:lvl>
  </w:abstractNum>
  <w:abstractNum w:abstractNumId="117">
    <w:nsid w:val="684EED59"/>
    <w:multiLevelType w:val="hybridMultilevel"/>
    <w:lvl w:ilvl="0">
      <w:lvlJc w:val="left"/>
      <w:lvlText w:val="(%1)"/>
      <w:numFmt w:val="lowerLetter"/>
      <w:start w:val="1"/>
    </w:lvl>
  </w:abstractNum>
  <w:abstractNum w:abstractNumId="118">
    <w:nsid w:val="545EE5D3"/>
    <w:multiLevelType w:val="hybridMultilevel"/>
    <w:lvl w:ilvl="0">
      <w:lvlJc w:val="left"/>
      <w:lvlText w:val="(%1)"/>
      <w:numFmt w:val="lowerLetter"/>
      <w:start w:val="6"/>
    </w:lvl>
  </w:abstractNum>
  <w:abstractNum w:abstractNumId="119">
    <w:nsid w:val="4A66051"/>
    <w:multiLevelType w:val="hybridMultilevel"/>
    <w:lvl w:ilvl="0">
      <w:lvlJc w:val="left"/>
      <w:lvlText w:val="(%1)"/>
      <w:numFmt w:val="lowerLetter"/>
      <w:start w:val="1"/>
    </w:lvl>
  </w:abstractNum>
  <w:abstractNum w:abstractNumId="120">
    <w:nsid w:val="20F4BDAD"/>
    <w:multiLevelType w:val="hybridMultilevel"/>
    <w:lvl w:ilvl="0">
      <w:lvlJc w:val="left"/>
      <w:lvlText w:val="(%1)"/>
      <w:numFmt w:val="lowerLetter"/>
      <w:start w:val="1"/>
    </w:lvl>
    <w:lvl w:ilvl="1">
      <w:lvlJc w:val="left"/>
      <w:lvlText w:val="(%2)"/>
      <w:numFmt w:val="lowerLetter"/>
      <w:start w:val="1"/>
    </w:lvl>
  </w:abstractNum>
  <w:abstractNum w:abstractNumId="121">
    <w:nsid w:val="639DEFAC"/>
    <w:multiLevelType w:val="hybridMultilevel"/>
    <w:lvl w:ilvl="0">
      <w:lvlJc w:val="left"/>
      <w:lvlText w:val="(%1)"/>
      <w:numFmt w:val="lowerLetter"/>
      <w:start w:val="1"/>
    </w:lvl>
  </w:abstractNum>
  <w:abstractNum w:abstractNumId="122">
    <w:nsid w:val="501F9786"/>
    <w:multiLevelType w:val="hybridMultilevel"/>
    <w:lvl w:ilvl="0">
      <w:lvlJc w:val="left"/>
      <w:lvlText w:val="(%1)"/>
      <w:numFmt w:val="lowerLetter"/>
      <w:start w:val="6"/>
    </w:lvl>
  </w:abstractNum>
  <w:abstractNum w:abstractNumId="123">
    <w:nsid w:val="6B057295"/>
    <w:multiLevelType w:val="hybridMultilevel"/>
    <w:lvl w:ilvl="0">
      <w:lvlJc w:val="left"/>
      <w:lvlText w:val="(%1)"/>
      <w:numFmt w:val="lowerLetter"/>
      <w:start w:val="14"/>
    </w:lvl>
  </w:abstractNum>
  <w:abstractNum w:abstractNumId="124">
    <w:nsid w:val="2771AC80"/>
    <w:multiLevelType w:val="hybridMultilevel"/>
    <w:lvl w:ilvl="0">
      <w:lvlJc w:val="left"/>
      <w:lvlText w:val="%1"/>
      <w:numFmt w:val="lowerLetter"/>
      <w:start w:val="1"/>
    </w:lvl>
    <w:lvl w:ilvl="1">
      <w:lvlJc w:val="left"/>
      <w:lvlText w:val="(%2)"/>
      <w:numFmt w:val="lowerLetter"/>
      <w:start w:val="1"/>
    </w:lvl>
  </w:abstractNum>
  <w:abstractNum w:abstractNumId="125">
    <w:nsid w:val="1C4A08EC"/>
    <w:multiLevelType w:val="hybridMultilevel"/>
    <w:lvl w:ilvl="0">
      <w:lvlJc w:val="left"/>
      <w:lvlText w:val="(%1)"/>
      <w:numFmt w:val="lowerLetter"/>
      <w:start w:val="35"/>
    </w:lvl>
    <w:lvl w:ilvl="1">
      <w:lvlJc w:val="left"/>
      <w:lvlText w:val="(%2)"/>
      <w:numFmt w:val="lowerLetter"/>
      <w:start w:val="3"/>
    </w:lvl>
  </w:abstractNum>
  <w:abstractNum w:abstractNumId="126">
    <w:nsid w:val="1958BD17"/>
    <w:multiLevelType w:val="hybridMultilevel"/>
    <w:lvl w:ilvl="0">
      <w:lvlJc w:val="left"/>
      <w:lvlText w:val="(%1)"/>
      <w:numFmt w:val="lowerLetter"/>
      <w:start w:val="8"/>
    </w:lvl>
  </w:abstractNum>
  <w:abstractNum w:abstractNumId="127">
    <w:nsid w:val="4E647FE4"/>
    <w:multiLevelType w:val="hybridMultilevel"/>
    <w:lvl w:ilvl="0">
      <w:lvlJc w:val="left"/>
      <w:lvlText w:val="%1"/>
      <w:numFmt w:val="upperLetter"/>
      <w:start w:val="1"/>
    </w:lvl>
    <w:lvl w:ilvl="1">
      <w:lvlJc w:val="left"/>
      <w:lvlText w:val="(%2)"/>
      <w:numFmt w:val="lowerRoman"/>
      <w:start w:val="1"/>
    </w:lvl>
  </w:abstractNum>
  <w:abstractNum w:abstractNumId="128">
    <w:nsid w:val="E0BB885"/>
    <w:multiLevelType w:val="hybridMultilevel"/>
    <w:lvl w:ilvl="0">
      <w:lvlJc w:val="left"/>
      <w:lvlText w:val="(%1)"/>
      <w:numFmt w:val="upperLetter"/>
      <w:start w:val="3"/>
    </w:lvl>
    <w:lvl w:ilvl="1">
      <w:lvlJc w:val="left"/>
      <w:lvlText w:val="%2"/>
      <w:numFmt w:val="lowerRoman"/>
      <w:start w:val="1"/>
    </w:lvl>
  </w:abstractNum>
  <w:abstractNum w:abstractNumId="129">
    <w:nsid w:val="565976F1"/>
    <w:multiLevelType w:val="hybridMultilevel"/>
    <w:lvl w:ilvl="0">
      <w:lvlJc w:val="left"/>
      <w:lvlText w:val="%1"/>
      <w:numFmt w:val="lowerLetter"/>
      <w:start w:val="1"/>
    </w:lvl>
    <w:lvl w:ilvl="1">
      <w:lvlJc w:val="left"/>
      <w:lvlText w:val="(%2)"/>
      <w:numFmt w:val="lowerRoman"/>
      <w:start w:val="6"/>
    </w:lvl>
  </w:abstractNum>
  <w:abstractNum w:abstractNumId="130">
    <w:nsid w:val="64212B8C"/>
    <w:multiLevelType w:val="hybridMultilevel"/>
    <w:lvl w:ilvl="0">
      <w:lvlJc w:val="left"/>
      <w:lvlText w:val="(%1)"/>
      <w:numFmt w:val="lowerLetter"/>
      <w:start w:val="2"/>
    </w:lvl>
    <w:lvl w:ilvl="1">
      <w:lvlJc w:val="left"/>
      <w:lvlText w:val="%2"/>
      <w:numFmt w:val="lowerRoman"/>
      <w:start w:val="1"/>
    </w:lvl>
  </w:abstractNum>
  <w:abstractNum w:abstractNumId="131">
    <w:nsid w:val="5C17530C"/>
    <w:multiLevelType w:val="hybridMultilevel"/>
    <w:lvl w:ilvl="0">
      <w:lvlJc w:val="left"/>
      <w:lvlText w:val="(%1)"/>
      <w:numFmt w:val="lowerLetter"/>
      <w:start w:val="1"/>
    </w:lvl>
  </w:abstractNum>
  <w:abstractNum w:abstractNumId="132">
    <w:nsid w:val="19A52566"/>
    <w:multiLevelType w:val="hybridMultilevel"/>
    <w:lvl w:ilvl="0">
      <w:lvlJc w:val="left"/>
      <w:lvlText w:val="(%1)"/>
      <w:numFmt w:val="lowerLetter"/>
      <w:start w:val="1"/>
    </w:lvl>
  </w:abstractNum>
  <w:abstractNum w:abstractNumId="133">
    <w:nsid w:val="335A1DF1"/>
    <w:multiLevelType w:val="hybridMultilevel"/>
    <w:lvl w:ilvl="0">
      <w:lvlJc w:val="left"/>
      <w:lvlText w:val="(%1)"/>
      <w:numFmt w:val="lowerLetter"/>
      <w:start w:val="2"/>
    </w:lvl>
  </w:abstractNum>
  <w:abstractNum w:abstractNumId="134">
    <w:nsid w:val="28677B7C"/>
    <w:multiLevelType w:val="hybridMultilevel"/>
    <w:lvl w:ilvl="0">
      <w:lvlJc w:val="left"/>
      <w:lvlText w:val="(%1)"/>
      <w:numFmt w:val="lowerLetter"/>
      <w:start w:val="1"/>
    </w:lvl>
  </w:abstractNum>
  <w:abstractNum w:abstractNumId="135">
    <w:nsid w:val="378D97C0"/>
    <w:multiLevelType w:val="hybridMultilevel"/>
    <w:lvl w:ilvl="0">
      <w:lvlJc w:val="left"/>
      <w:lvlText w:val="(%1)"/>
      <w:numFmt w:val="lowerLetter"/>
      <w:start w:val="2"/>
    </w:lvl>
  </w:abstractNum>
  <w:abstractNum w:abstractNumId="136">
    <w:nsid w:val="1D91467C"/>
    <w:multiLevelType w:val="hybridMultilevel"/>
    <w:lvl w:ilvl="0">
      <w:lvlJc w:val="left"/>
      <w:lvlText w:val="(%1)"/>
      <w:numFmt w:val="lowerLetter"/>
      <w:start w:val="9"/>
    </w:lvl>
  </w:abstractNum>
  <w:abstractNum w:abstractNumId="137">
    <w:nsid w:val="316032BB"/>
    <w:multiLevelType w:val="hybridMultilevel"/>
    <w:lvl w:ilvl="0">
      <w:lvlJc w:val="left"/>
      <w:lvlText w:val="(%1)"/>
      <w:numFmt w:val="lowerLetter"/>
      <w:start w:val="16"/>
    </w:lvl>
  </w:abstractNum>
  <w:abstractNum w:abstractNumId="138">
    <w:nsid w:val="44344C22"/>
    <w:multiLevelType w:val="hybridMultilevel"/>
    <w:lvl w:ilvl="0">
      <w:lvlJc w:val="left"/>
      <w:lvlText w:val="(%1)"/>
      <w:numFmt w:val="lowerRoman"/>
      <w:start w:val="2"/>
    </w:lvl>
  </w:abstractNum>
  <w:abstractNum w:abstractNumId="139">
    <w:nsid w:val="13CDFCFC"/>
    <w:multiLevelType w:val="hybridMultilevel"/>
    <w:lvl w:ilvl="0">
      <w:lvlJc w:val="left"/>
      <w:lvlText w:val="(%1)"/>
      <w:numFmt w:val="lowerLetter"/>
      <w:start w:val="1"/>
    </w:lvl>
  </w:abstractNum>
  <w:abstractNum w:abstractNumId="140">
    <w:nsid w:val="471745E4"/>
    <w:multiLevelType w:val="hybridMultilevel"/>
    <w:lvl w:ilvl="0">
      <w:lvlJc w:val="left"/>
      <w:lvlText w:val="(%1)"/>
      <w:numFmt w:val="lowerLetter"/>
      <w:start w:val="2"/>
    </w:lvl>
    <w:lvl w:ilvl="1">
      <w:lvlJc w:val="left"/>
      <w:lvlText w:val="(%2)"/>
      <w:numFmt w:val="lowerLetter"/>
      <w:start w:val="9"/>
    </w:lvl>
  </w:abstractNum>
  <w:abstractNum w:abstractNumId="141">
    <w:nsid w:val="1DDBC66"/>
    <w:multiLevelType w:val="hybridMultilevel"/>
    <w:lvl w:ilvl="0">
      <w:lvlJc w:val="left"/>
      <w:lvlText w:val="%1"/>
      <w:numFmt w:val="lowerLetter"/>
      <w:start w:val="1"/>
    </w:lvl>
    <w:lvl w:ilvl="1">
      <w:lvlJc w:val="left"/>
      <w:lvlText w:val="(%2)"/>
      <w:numFmt w:val="lowerLetter"/>
      <w:start w:val="35"/>
    </w:lvl>
  </w:abstractNum>
  <w:abstractNum w:abstractNumId="142">
    <w:nsid w:val="30AADFDA"/>
    <w:multiLevelType w:val="hybridMultilevel"/>
    <w:lvl w:ilvl="0">
      <w:lvlJc w:val="left"/>
      <w:lvlText w:val="(%1)"/>
      <w:numFmt w:val="lowerLetter"/>
      <w:start w:val="4"/>
    </w:lvl>
    <w:lvl w:ilvl="1">
      <w:lvlJc w:val="left"/>
      <w:lvlText w:val="(%2)"/>
      <w:numFmt w:val="lowerLetter"/>
      <w:start w:val="9"/>
    </w:lvl>
  </w:abstractNum>
  <w:abstractNum w:abstractNumId="143">
    <w:nsid w:val="30EADA61"/>
    <w:multiLevelType w:val="hybridMultilevel"/>
    <w:lvl w:ilvl="0">
      <w:lvlJc w:val="left"/>
      <w:lvlText w:val="(%1)"/>
      <w:numFmt w:val="lowerRoman"/>
      <w:start w:val="2"/>
    </w:lvl>
  </w:abstractNum>
  <w:abstractNum w:abstractNumId="144">
    <w:nsid w:val="27179C0B"/>
    <w:multiLevelType w:val="hybridMultilevel"/>
    <w:lvl w:ilvl="0">
      <w:lvlJc w:val="left"/>
      <w:lvlText w:val="(%1)"/>
      <w:numFmt w:val="lowerLetter"/>
      <w:start w:val="7"/>
    </w:lvl>
  </w:abstractNum>
  <w:abstractNum w:abstractNumId="145">
    <w:nsid w:val="5E636063"/>
    <w:multiLevelType w:val="hybridMultilevel"/>
    <w:lvl w:ilvl="0">
      <w:lvlJc w:val="left"/>
      <w:lvlText w:val="(%1)"/>
      <w:numFmt w:val="lowerLetter"/>
      <w:start w:val="1"/>
    </w:lvl>
  </w:abstractNum>
  <w:abstractNum w:abstractNumId="146">
    <w:nsid w:val="215641AF"/>
    <w:multiLevelType w:val="hybridMultilevel"/>
    <w:lvl w:ilvl="0">
      <w:lvlJc w:val="left"/>
      <w:lvlText w:val="(%1)"/>
      <w:numFmt w:val="lowerLetter"/>
      <w:start w:val="3"/>
    </w:lvl>
  </w:abstractNum>
  <w:abstractNum w:abstractNumId="147">
    <w:nsid w:val="53280662"/>
    <w:multiLevelType w:val="hybridMultilevel"/>
    <w:lvl w:ilvl="0">
      <w:lvlJc w:val="left"/>
      <w:lvlText w:val="(%1)"/>
      <w:numFmt w:val="lowerLetter"/>
      <w:start w:val="1"/>
    </w:lvl>
  </w:abstractNum>
  <w:abstractNum w:abstractNumId="148">
    <w:nsid w:val="46B24DBC"/>
    <w:multiLevelType w:val="hybridMultilevel"/>
    <w:lvl w:ilvl="0">
      <w:lvlJc w:val="left"/>
      <w:lvlText w:val="(%1)"/>
      <w:numFmt w:val="lowerLetter"/>
      <w:start w:val="4"/>
    </w:lvl>
  </w:abstractNum>
  <w:abstractNum w:abstractNumId="149">
    <w:nsid w:val="75B52783"/>
    <w:multiLevelType w:val="hybridMultilevel"/>
    <w:lvl w:ilvl="0">
      <w:lvlJc w:val="left"/>
      <w:lvlText w:val="(%1)"/>
      <w:numFmt w:val="lowerLetter"/>
      <w:start w:val="1"/>
    </w:lvl>
  </w:abstractNum>
  <w:abstractNum w:abstractNumId="150">
    <w:nsid w:val="57CE66B4"/>
    <w:multiLevelType w:val="hybridMultilevel"/>
    <w:lvl w:ilvl="0">
      <w:lvlJc w:val="left"/>
      <w:lvlText w:val="(%1)"/>
      <w:numFmt w:val="lowerLetter"/>
      <w:start w:val="2"/>
    </w:lvl>
  </w:abstractNum>
  <w:abstractNum w:abstractNumId="151">
    <w:nsid w:val="67A70B69"/>
    <w:multiLevelType w:val="hybridMultilevel"/>
    <w:lvl w:ilvl="0">
      <w:lvlJc w:val="left"/>
      <w:lvlText w:val="(%1)"/>
      <w:numFmt w:val="lowerLetter"/>
      <w:start w:val="1"/>
    </w:lvl>
  </w:abstractNum>
  <w:abstractNum w:abstractNumId="152">
    <w:nsid w:val="5953172F"/>
    <w:multiLevelType w:val="hybridMultilevel"/>
    <w:lvl w:ilvl="0">
      <w:lvlJc w:val="left"/>
      <w:lvlText w:val="(%1)"/>
      <w:numFmt w:val="lowerRoman"/>
      <w:start w:val="1"/>
    </w:lvl>
  </w:abstractNum>
  <w:abstractNum w:abstractNumId="153">
    <w:nsid w:val="27EDFE3A"/>
    <w:multiLevelType w:val="hybridMultilevel"/>
    <w:lvl w:ilvl="0">
      <w:lvlJc w:val="left"/>
      <w:lvlText w:val="(%1)"/>
      <w:numFmt w:val="lowerRoman"/>
      <w:start w:val="2"/>
    </w:lvl>
  </w:abstractNum>
  <w:abstractNum w:abstractNumId="154">
    <w:nsid w:val="52AC7DFF"/>
    <w:multiLevelType w:val="hybridMultilevel"/>
    <w:lvl w:ilvl="0">
      <w:lvlJc w:val="left"/>
      <w:lvlText w:val="%1"/>
      <w:numFmt w:val="lowerLetter"/>
      <w:start w:val="1"/>
    </w:lvl>
    <w:lvl w:ilvl="1">
      <w:lvlJc w:val="left"/>
      <w:lvlText w:val="(%2)"/>
      <w:numFmt w:val="lowerRoman"/>
      <w:start w:val="4"/>
    </w:lvl>
  </w:abstractNum>
  <w:abstractNum w:abstractNumId="155">
    <w:nsid w:val="C4C3AF"/>
    <w:multiLevelType w:val="hybridMultilevel"/>
    <w:lvl w:ilvl="0">
      <w:lvlJc w:val="left"/>
      <w:lvlText w:val="(%1)"/>
      <w:numFmt w:val="lowerLetter"/>
      <w:start w:val="4"/>
    </w:lvl>
    <w:lvl w:ilvl="1">
      <w:lvlJc w:val="left"/>
      <w:lvlText w:val="%2"/>
      <w:numFmt w:val="lowerRoman"/>
      <w:start w:val="1"/>
    </w:lvl>
  </w:abstractNum>
  <w:abstractNum w:abstractNumId="156">
    <w:nsid w:val="44380727"/>
    <w:multiLevelType w:val="hybridMultilevel"/>
    <w:lvl w:ilvl="0">
      <w:lvlJc w:val="left"/>
      <w:lvlText w:val="(%1)"/>
      <w:numFmt w:val="lowerLetter"/>
      <w:start w:val="1"/>
    </w:lvl>
    <w:lvl w:ilvl="1">
      <w:lvlJc w:val="left"/>
      <w:lvlText w:val="(%2)"/>
      <w:numFmt w:val="lowerRoman"/>
      <w:start w:val="1"/>
    </w:lvl>
  </w:abstractNum>
  <w:abstractNum w:abstractNumId="157">
    <w:nsid w:val="6C053B16"/>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3"/>
    </w:lvl>
  </w:abstractNum>
  <w:abstractNum w:abstractNumId="158">
    <w:nsid w:val="4F294393"/>
    <w:multiLevelType w:val="hybridMultilevel"/>
    <w:lvl w:ilvl="0">
      <w:lvlJc w:val="left"/>
      <w:lvlText w:val="(%1)"/>
      <w:numFmt w:val="upperLetter"/>
      <w:start w:val="3"/>
    </w:lvl>
    <w:lvl w:ilvl="1">
      <w:lvlJc w:val="left"/>
      <w:lvlText w:val="(%2)"/>
      <w:numFmt w:val="lowerLetter"/>
      <w:start w:val="1"/>
    </w:lvl>
    <w:lvl w:ilvl="2">
      <w:lvlJc w:val="left"/>
      <w:lvlText w:val="(%3)"/>
      <w:numFmt w:val="lowerRoman"/>
      <w:start w:val="4"/>
    </w:lvl>
  </w:abstractNum>
  <w:abstractNum w:abstractNumId="159">
    <w:nsid w:val="5243BFAC"/>
    <w:multiLevelType w:val="hybridMultilevel"/>
    <w:lvl w:ilvl="0">
      <w:lvlJc w:val="left"/>
      <w:lvlText w:val="(%1)"/>
      <w:numFmt w:val="lowerLetter"/>
      <w:start w:val="1"/>
    </w:lvl>
  </w:abstractNum>
  <w:abstractNum w:abstractNumId="160">
    <w:nsid w:val="425EB207"/>
    <w:multiLevelType w:val="hybridMultilevel"/>
    <w:lvl w:ilvl="0">
      <w:lvlJc w:val="left"/>
      <w:lvlText w:val="(%1)"/>
      <w:numFmt w:val="lowerLetter"/>
      <w:start w:val="3"/>
    </w:lvl>
  </w:abstractNum>
  <w:abstractNum w:abstractNumId="161">
    <w:nsid w:val="334A6F1F"/>
    <w:multiLevelType w:val="hybridMultilevel"/>
    <w:lvl w:ilvl="0">
      <w:lvlJc w:val="left"/>
      <w:lvlText w:val="(%1)"/>
      <w:numFmt w:val="lowerLetter"/>
      <w:start w:val="4"/>
    </w:lvl>
  </w:abstractNum>
  <w:abstractNum w:abstractNumId="162">
    <w:nsid w:val="2E5B12B8"/>
    <w:multiLevelType w:val="hybridMultilevel"/>
    <w:lvl w:ilvl="0">
      <w:lvlJc w:val="left"/>
      <w:lvlText w:val="(%1)"/>
      <w:numFmt w:val="lowerRoman"/>
      <w:start w:val="1"/>
    </w:lvl>
  </w:abstractNum>
  <w:abstractNum w:abstractNumId="163">
    <w:nsid w:val="5C03D76D"/>
    <w:multiLevelType w:val="hybridMultilevel"/>
    <w:lvl w:ilvl="0">
      <w:lvlJc w:val="left"/>
      <w:lvlText w:val="(%1)"/>
      <w:numFmt w:val="lowerLetter"/>
      <w:start w:val="2"/>
    </w:lvl>
  </w:abstractNum>
  <w:abstractNum w:abstractNumId="164">
    <w:nsid w:val="66A48D11"/>
    <w:multiLevelType w:val="hybridMultilevel"/>
    <w:lvl w:ilvl="0">
      <w:lvlJc w:val="left"/>
      <w:lvlText w:val="(%1)"/>
      <w:numFmt w:val="lowerLetter"/>
      <w:start w:val="4"/>
    </w:lvl>
  </w:abstractNum>
  <w:abstractNum w:abstractNumId="165">
    <w:nsid w:val="56C28E34"/>
    <w:multiLevelType w:val="hybridMultilevel"/>
    <w:lvl w:ilvl="0">
      <w:lvlJc w:val="left"/>
      <w:lvlText w:val="%1"/>
      <w:numFmt w:val="lowerLetter"/>
      <w:start w:val="1"/>
    </w:lvl>
    <w:lvl w:ilvl="1">
      <w:lvlJc w:val="left"/>
      <w:lvlText w:val="(%2)"/>
      <w:numFmt w:val="lowerLetter"/>
      <w:start w:val="1"/>
    </w:lvl>
  </w:abstractNum>
  <w:abstractNum w:abstractNumId="166">
    <w:nsid w:val="13916F2D"/>
    <w:multiLevelType w:val="hybridMultilevel"/>
    <w:lvl w:ilvl="0">
      <w:lvlJc w:val="left"/>
      <w:lvlText w:val="(%1)"/>
      <w:numFmt w:val="lowerLetter"/>
      <w:start w:val="22"/>
    </w:lvl>
    <w:lvl w:ilvl="1">
      <w:lvlJc w:val="left"/>
      <w:lvlText w:val="%2"/>
      <w:numFmt w:val="lowerLetter"/>
      <w:start w:val="1"/>
    </w:lvl>
  </w:abstractNum>
  <w:abstractNum w:abstractNumId="167">
    <w:nsid w:val="435D38D"/>
    <w:multiLevelType w:val="hybridMultilevel"/>
    <w:lvl w:ilvl="0">
      <w:lvlJc w:val="left"/>
      <w:lvlText w:val="(%1)"/>
      <w:numFmt w:val="lowerLetter"/>
      <w:start w:val="2"/>
    </w:lvl>
  </w:abstractNum>
  <w:abstractNum w:abstractNumId="168">
    <w:nsid w:val="822C0EF"/>
    <w:multiLevelType w:val="hybridMultilevel"/>
    <w:lvl w:ilvl="0">
      <w:lvlJc w:val="left"/>
      <w:lvlText w:val="(%1)"/>
      <w:numFmt w:val="decimal"/>
      <w:start w:val="2"/>
    </w:lvl>
  </w:abstractNum>
  <w:abstractNum w:abstractNumId="169">
    <w:nsid w:val="57C5BB4F"/>
    <w:multiLevelType w:val="hybridMultilevel"/>
    <w:lvl w:ilvl="0">
      <w:lvlJc w:val="left"/>
      <w:lvlText w:val="(%1)"/>
      <w:numFmt w:val="lowerLetter"/>
      <w:start w:val="4"/>
    </w:lvl>
  </w:abstractNum>
  <w:abstractNum w:abstractNumId="170">
    <w:nsid w:val="1803D089"/>
    <w:multiLevelType w:val="hybridMultilevel"/>
    <w:lvl w:ilvl="0">
      <w:lvlJc w:val="left"/>
      <w:lvlText w:val="%1"/>
      <w:numFmt w:val="lowerLetter"/>
      <w:start w:val="1"/>
    </w:lvl>
    <w:lvl w:ilvl="1">
      <w:lvlJc w:val="left"/>
      <w:lvlText w:val="(%2)"/>
      <w:numFmt w:val="lowerLetter"/>
      <w:start w:val="1"/>
    </w:lvl>
  </w:abstractNum>
  <w:abstractNum w:abstractNumId="171">
    <w:nsid w:val="4F3A06D4"/>
    <w:multiLevelType w:val="hybridMultilevel"/>
    <w:lvl w:ilvl="0">
      <w:lvlJc w:val="left"/>
      <w:lvlText w:val="(%1)"/>
      <w:numFmt w:val="lowerLetter"/>
      <w:start w:val="9"/>
    </w:lvl>
    <w:lvl w:ilvl="1">
      <w:lvlJc w:val="left"/>
      <w:lvlText w:val="%2"/>
      <w:numFmt w:val="lowerLetter"/>
      <w:start w:val="1"/>
    </w:lvl>
  </w:abstractNum>
  <w:abstractNum w:abstractNumId="172">
    <w:nsid w:val="59A377B6"/>
    <w:multiLevelType w:val="hybridMultilevel"/>
    <w:lvl w:ilvl="0">
      <w:lvlJc w:val="left"/>
      <w:lvlText w:val="(%1)"/>
      <w:numFmt w:val="lowerLetter"/>
      <w:start w:val="2"/>
    </w:lvl>
  </w:abstractNum>
  <w:abstractNum w:abstractNumId="173">
    <w:nsid w:val="48AEB063"/>
    <w:multiLevelType w:val="hybridMultilevel"/>
    <w:lvl w:ilvl="0">
      <w:lvlJc w:val="left"/>
      <w:lvlText w:val="(%1)"/>
      <w:numFmt w:val="lowerLetter"/>
      <w:start w:val="1"/>
    </w:lvl>
    <w:lvl w:ilvl="1">
      <w:lvlJc w:val="left"/>
      <w:lvlText w:val="(%2)"/>
      <w:numFmt w:val="lowerLetter"/>
      <w:start w:val="11"/>
    </w:lvl>
    <w:lvl w:ilvl="2">
      <w:lvlJc w:val="left"/>
      <w:lvlText w:val="(%3)"/>
      <w:numFmt w:val="upperLetter"/>
      <w:start w:val="1"/>
    </w:lvl>
  </w:abstractNum>
  <w:abstractNum w:abstractNumId="174">
    <w:nsid w:val="24E135"/>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2"/>
    </w:lvl>
  </w:abstractNum>
  <w:abstractNum w:abstractNumId="175">
    <w:nsid w:val="BB13C1"/>
    <w:multiLevelType w:val="hybridMultilevel"/>
    <w:lvl w:ilvl="0">
      <w:lvlJc w:val="left"/>
      <w:lvlText w:val="(%1)"/>
      <w:numFmt w:val="lowerLetter"/>
      <w:start w:val="35"/>
    </w:lvl>
    <w:lvl w:ilvl="1">
      <w:lvlJc w:val="left"/>
      <w:lvlText w:val="(%2)"/>
      <w:numFmt w:val="upperLetter"/>
      <w:start w:val="1"/>
    </w:lvl>
  </w:abstractNum>
  <w:abstractNum w:abstractNumId="176">
    <w:nsid w:val="271210C7"/>
    <w:multiLevelType w:val="hybridMultilevel"/>
    <w:lvl w:ilvl="0">
      <w:lvlJc w:val="left"/>
      <w:lvlText w:val="(%1)"/>
      <w:numFmt w:val="lowerLetter"/>
      <w:start w:val="12"/>
    </w:lvl>
    <w:lvl w:ilvl="1">
      <w:lvlJc w:val="left"/>
      <w:lvlText w:val="(%2)"/>
      <w:numFmt w:val="upperLetter"/>
      <w:start w:val="2"/>
    </w:lvl>
  </w:abstractNum>
  <w:abstractNum w:abstractNumId="177">
    <w:nsid w:val="217B22E4"/>
    <w:multiLevelType w:val="hybridMultilevel"/>
    <w:lvl w:ilvl="0">
      <w:lvlJc w:val="left"/>
      <w:lvlText w:val="(%1)"/>
      <w:numFmt w:val="upperLetter"/>
      <w:start w:val="3"/>
    </w:lvl>
  </w:abstractNum>
  <w:abstractNum w:abstractNumId="178">
    <w:nsid w:val="53E31A24"/>
    <w:multiLevelType w:val="hybridMultilevel"/>
    <w:lvl w:ilvl="0">
      <w:lvlJc w:val="left"/>
      <w:lvlText w:val="(%1)"/>
      <w:numFmt w:val="lowerRoman"/>
      <w:start w:val="3"/>
    </w:lvl>
  </w:abstractNum>
  <w:abstractNum w:abstractNumId="179">
    <w:nsid w:val="6DC45E83"/>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22"/>
    </w:lvl>
  </w:abstractNum>
  <w:abstractNum w:abstractNumId="180">
    <w:nsid w:val="17304A67"/>
    <w:multiLevelType w:val="hybridMultilevel"/>
    <w:lvl w:ilvl="0">
      <w:lvlJc w:val="left"/>
      <w:lvlText w:val="%1"/>
      <w:numFmt w:val="upperLetter"/>
      <w:start w:val="1"/>
    </w:lvl>
    <w:lvl w:ilvl="1">
      <w:lvlJc w:val="left"/>
      <w:lvlText w:val="(%2)"/>
      <w:numFmt w:val="lowerLetter"/>
      <w:start w:val="2"/>
    </w:lvl>
    <w:lvl w:ilvl="2">
      <w:lvlJc w:val="left"/>
      <w:lvlText w:val="%3"/>
      <w:numFmt w:val="lowerLetter"/>
      <w:start w:val="1"/>
    </w:lvl>
  </w:abstractNum>
  <w:abstractNum w:abstractNumId="181">
    <w:nsid w:val="2BB180D8"/>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1"/>
    </w:lvl>
  </w:abstractNum>
  <w:abstractNum w:abstractNumId="182">
    <w:nsid w:val="556B69ED"/>
    <w:multiLevelType w:val="hybridMultilevel"/>
    <w:lvl w:ilvl="0">
      <w:lvlJc w:val="left"/>
      <w:lvlText w:val="(%1)"/>
      <w:numFmt w:val="lowerLetter"/>
      <w:start w:val="3"/>
    </w:lvl>
  </w:abstractNum>
  <w:abstractNum w:abstractNumId="183">
    <w:nsid w:val="70836196"/>
    <w:multiLevelType w:val="hybridMultilevel"/>
    <w:lvl w:ilvl="0">
      <w:lvlJc w:val="left"/>
      <w:lvlText w:val="(%1)"/>
      <w:numFmt w:val="lowerLetter"/>
      <w:start w:val="1"/>
    </w:lvl>
  </w:abstractNum>
  <w:abstractNum w:abstractNumId="184">
    <w:nsid w:val="539F7F12"/>
    <w:multiLevelType w:val="hybridMultilevel"/>
    <w:lvl w:ilvl="0">
      <w:lvlJc w:val="left"/>
      <w:lvlText w:val="(%1)"/>
      <w:numFmt w:val="lowerLetter"/>
      <w:start w:val="3"/>
    </w:lvl>
  </w:abstractNum>
  <w:abstractNum w:abstractNumId="185">
    <w:nsid w:val="2817E7EC"/>
    <w:multiLevelType w:val="hybridMultilevel"/>
    <w:lvl w:ilvl="0">
      <w:lvlJc w:val="left"/>
      <w:lvlText w:val="(%1)"/>
      <w:numFmt w:val="lowerLetter"/>
      <w:start w:val="7"/>
    </w:lvl>
  </w:abstractNum>
  <w:abstractNum w:abstractNumId="186">
    <w:nsid w:val="71482545"/>
    <w:multiLevelType w:val="hybridMultilevel"/>
    <w:lvl w:ilvl="0">
      <w:lvlJc w:val="left"/>
      <w:lvlText w:val="(%1)"/>
      <w:numFmt w:val="lowerLetter"/>
      <w:start w:val="1"/>
    </w:lvl>
  </w:abstractNum>
  <w:abstractNum w:abstractNumId="187">
    <w:nsid w:val="17D78639"/>
    <w:multiLevelType w:val="hybridMultilevel"/>
    <w:lvl w:ilvl="0">
      <w:lvlJc w:val="left"/>
      <w:lvlText w:val="(%1)"/>
      <w:numFmt w:val="lowerLetter"/>
      <w:start w:val="1"/>
    </w:lvl>
    <w:lvl w:ilvl="1">
      <w:lvlJc w:val="left"/>
      <w:lvlText w:val="(%2)"/>
      <w:numFmt w:val="lowerRoman"/>
      <w:start w:val="1"/>
    </w:lvl>
  </w:abstractNum>
  <w:abstractNum w:abstractNumId="188">
    <w:nsid w:val="141D2302"/>
    <w:multiLevelType w:val="hybridMultilevel"/>
    <w:lvl w:ilvl="0">
      <w:lvlJc w:val="left"/>
      <w:lvlText w:val="(%1)"/>
      <w:numFmt w:val="lowerLetter"/>
      <w:start w:val="8"/>
    </w:lvl>
  </w:abstractNum>
  <w:abstractNum w:abstractNumId="189">
    <w:nsid w:val="407168D8"/>
    <w:multiLevelType w:val="hybridMultilevel"/>
    <w:lvl w:ilvl="0">
      <w:lvlJc w:val="left"/>
      <w:lvlText w:val="(%1)"/>
      <w:numFmt w:val="lowerRoman"/>
      <w:start w:val="1"/>
    </w:lvl>
  </w:abstractNum>
  <w:abstractNum w:abstractNumId="190">
    <w:nsid w:val="6A1B45E5"/>
    <w:multiLevelType w:val="hybridMultilevel"/>
    <w:lvl w:ilvl="0">
      <w:lvlJc w:val="left"/>
      <w:lvlText w:val="(%1)"/>
      <w:numFmt w:val="lowerRoman"/>
      <w:start w:val="2"/>
    </w:lvl>
  </w:abstractNum>
  <w:abstractNum w:abstractNumId="191">
    <w:nsid w:val="567BD50A"/>
    <w:multiLevelType w:val="hybridMultilevel"/>
    <w:lvl w:ilvl="0">
      <w:lvlJc w:val="left"/>
      <w:lvlText w:val="(%1)"/>
      <w:numFmt w:val="decimal"/>
      <w:start w:val="1"/>
    </w:lvl>
  </w:abstractNum>
  <w:abstractNum w:abstractNumId="192">
    <w:nsid w:val="73BBD7F8"/>
    <w:multiLevelType w:val="hybridMultilevel"/>
    <w:lvl w:ilvl="0">
      <w:lvlJc w:val="left"/>
      <w:lvlText w:val="(%1)"/>
      <w:numFmt w:val="decimal"/>
      <w:start w:val="1"/>
    </w:lvl>
  </w:abstractNum>
  <w:abstractNum w:abstractNumId="193">
    <w:nsid w:val="1876589D"/>
    <w:multiLevelType w:val="hybridMultilevel"/>
    <w:lvl w:ilvl="0">
      <w:lvlJc w:val="left"/>
      <w:lvlText w:val="(%1)"/>
      <w:numFmt w:val="decimal"/>
      <w:start w:val="1"/>
    </w:lvl>
  </w:abstractNum>
  <w:abstractNum w:abstractNumId="194">
    <w:nsid w:val="327FAC77"/>
    <w:multiLevelType w:val="hybridMultilevel"/>
    <w:lvl w:ilvl="0">
      <w:lvlJc w:val="left"/>
      <w:lvlText w:val="(%1)"/>
      <w:numFmt w:val="decimal"/>
      <w:start w:val="1"/>
    </w:lvl>
  </w:abstractNum>
  <w:abstractNum w:abstractNumId="195">
    <w:nsid w:val="5A606509"/>
    <w:multiLevelType w:val="hybridMultilevel"/>
    <w:lvl w:ilvl="0">
      <w:lvlJc w:val="left"/>
      <w:lvlText w:val="(%1)"/>
      <w:numFmt w:val="decimal"/>
      <w:start w:val="3"/>
    </w:lvl>
  </w:abstractNum>
  <w:abstractNum w:abstractNumId="196">
    <w:nsid w:val="6F38E6D1"/>
    <w:multiLevelType w:val="hybridMultilevel"/>
    <w:lvl w:ilvl="0">
      <w:lvlJc w:val="left"/>
      <w:lvlText w:val="(%1)"/>
      <w:numFmt w:val="lowerRoman"/>
      <w:start w:val="4"/>
    </w:lvl>
  </w:abstractNum>
  <w:abstractNum w:abstractNumId="197">
    <w:nsid w:val="46111BA5"/>
    <w:multiLevelType w:val="hybridMultilevel"/>
    <w:lvl w:ilvl="0">
      <w:lvlJc w:val="left"/>
      <w:lvlText w:val="(%1)"/>
      <w:numFmt w:val="lowerRoman"/>
      <w:start w:val="1"/>
    </w:lvl>
  </w:abstractNum>
  <w:abstractNum w:abstractNumId="198">
    <w:nsid w:val="5E963896"/>
    <w:multiLevelType w:val="hybridMultilevel"/>
    <w:lvl w:ilvl="0">
      <w:lvlJc w:val="left"/>
      <w:lvlText w:val="(%1)"/>
      <w:numFmt w:val="lowerRoman"/>
      <w:start w:val="1"/>
    </w:lvl>
  </w:abstractNum>
  <w:abstractNum w:abstractNumId="199">
    <w:nsid w:val="775BA7C1"/>
    <w:multiLevelType w:val="hybridMultilevel"/>
    <w:lvl w:ilvl="0">
      <w:lvlJc w:val="left"/>
      <w:lvlText w:val="(%1)"/>
      <w:numFmt w:val="lowerLetter"/>
      <w:start w:val="11"/>
    </w:lvl>
  </w:abstractNum>
  <w:abstractNum w:abstractNumId="200">
    <w:nsid w:val="1DD6D6F4"/>
    <w:multiLevelType w:val="hybridMultilevel"/>
    <w:lvl w:ilvl="0">
      <w:lvlJc w:val="left"/>
      <w:lvlText w:val="(%1)"/>
      <w:numFmt w:val="lowerLetter"/>
      <w:start w:val="1"/>
    </w:lvl>
  </w:abstractNum>
  <w:abstractNum w:abstractNumId="201">
    <w:nsid w:val="769A091F"/>
    <w:multiLevelType w:val="hybridMultilevel"/>
    <w:lvl w:ilvl="0">
      <w:lvlJc w:val="left"/>
      <w:lvlText w:val="(%1)"/>
      <w:numFmt w:val="lowerLetter"/>
      <w:start w:val="3"/>
    </w:lvl>
  </w:abstractNum>
  <w:abstractNum w:abstractNumId="202">
    <w:nsid w:val="4695AE95"/>
    <w:multiLevelType w:val="hybridMultilevel"/>
    <w:lvl w:ilvl="0">
      <w:lvlJc w:val="left"/>
      <w:lvlText w:val="(%1)"/>
      <w:numFmt w:val="lowerLetter"/>
      <w:start w:val="1"/>
    </w:lvl>
  </w:abstractNum>
  <w:abstractNum w:abstractNumId="203">
    <w:nsid w:val="777A4EAA"/>
    <w:multiLevelType w:val="hybridMultilevel"/>
    <w:lvl w:ilvl="0">
      <w:lvlJc w:val="left"/>
      <w:lvlText w:val="(%1)"/>
      <w:numFmt w:val="lowerRoman"/>
      <w:start w:val="3"/>
    </w:lvl>
  </w:abstractNum>
  <w:abstractNum w:abstractNumId="204">
    <w:nsid w:val="3F48B982"/>
    <w:multiLevelType w:val="hybridMultilevel"/>
    <w:lvl w:ilvl="0">
      <w:lvlJc w:val="left"/>
      <w:lvlText w:val="(%1)"/>
      <w:numFmt w:val="lowerLetter"/>
      <w:start w:val="1"/>
    </w:lvl>
  </w:abstractNum>
  <w:abstractNum w:abstractNumId="205">
    <w:nsid w:val="46BA8FCA"/>
    <w:multiLevelType w:val="hybridMultilevel"/>
    <w:lvl w:ilvl="0">
      <w:lvlJc w:val="left"/>
      <w:lvlText w:val="(%1)"/>
      <w:numFmt w:val="lowerLetter"/>
      <w:start w:val="1"/>
    </w:lvl>
  </w:abstractNum>
  <w:abstractNum w:abstractNumId="206">
    <w:nsid w:val="7835626C"/>
    <w:multiLevelType w:val="hybridMultilevel"/>
    <w:lvl w:ilvl="0">
      <w:lvlJc w:val="left"/>
      <w:lvlText w:val="(%1)"/>
      <w:numFmt w:val="lowerRoman"/>
      <w:start w:val="1"/>
    </w:lvl>
  </w:abstractNum>
  <w:abstractNum w:abstractNumId="207">
    <w:nsid w:val="665ACA49"/>
    <w:multiLevelType w:val="hybridMultilevel"/>
    <w:lvl w:ilvl="0">
      <w:lvlJc w:val="left"/>
      <w:lvlText w:val="(%1)"/>
      <w:numFmt w:val="lowerLetter"/>
      <w:start w:val="1"/>
    </w:lvl>
  </w:abstractNum>
  <w:abstractNum w:abstractNumId="208">
    <w:nsid w:val="6835B2AE"/>
    <w:multiLevelType w:val="hybridMultilevel"/>
    <w:lvl w:ilvl="0">
      <w:lvlJc w:val="left"/>
      <w:lvlText w:val="(%1)"/>
      <w:numFmt w:val="lowerLetter"/>
      <w:start w:val="1"/>
    </w:lvl>
    <w:lvl w:ilvl="1">
      <w:lvlJc w:val="left"/>
      <w:lvlText w:val="(%2)"/>
      <w:numFmt w:val="lowerLetter"/>
      <w:start w:val="9"/>
    </w:lvl>
  </w:abstractNum>
  <w:abstractNum w:abstractNumId="209">
    <w:nsid w:val="4C187C90"/>
    <w:multiLevelType w:val="hybridMultilevel"/>
    <w:lvl w:ilvl="0">
      <w:lvlJc w:val="left"/>
      <w:lvlText w:val="(%1)"/>
      <w:numFmt w:val="lowerRoman"/>
      <w:start w:val="2"/>
    </w:lvl>
  </w:abstractNum>
  <w:abstractNum w:abstractNumId="210">
    <w:nsid w:val="541F28CD"/>
    <w:multiLevelType w:val="hybridMultilevel"/>
    <w:lvl w:ilvl="0">
      <w:lvlJc w:val="left"/>
      <w:lvlText w:val="(%1)"/>
      <w:numFmt w:val="lowerRoman"/>
      <w:start w:val="3"/>
    </w:lvl>
  </w:abstractNum>
  <w:abstractNum w:abstractNumId="211">
    <w:nsid w:val="7F65FD16"/>
    <w:multiLevelType w:val="hybridMultilevel"/>
    <w:lvl w:ilvl="0">
      <w:lvlJc w:val="left"/>
      <w:lvlText w:val="(%1)"/>
      <w:numFmt w:val="lowerLetter"/>
      <w:start w:val="3"/>
    </w:lvl>
  </w:abstractNum>
  <w:abstractNum w:abstractNumId="212">
    <w:nsid w:val="77C9FD68"/>
    <w:multiLevelType w:val="hybridMultilevel"/>
    <w:lvl w:ilvl="0">
      <w:lvlJc w:val="left"/>
      <w:lvlText w:val="(%1)"/>
      <w:numFmt w:val="lowerLetter"/>
      <w:start w:val="1"/>
    </w:lvl>
  </w:abstractNum>
  <w:abstractNum w:abstractNumId="213">
    <w:nsid w:val="298A92BA"/>
    <w:multiLevelType w:val="hybridMultilevel"/>
    <w:lvl w:ilvl="0">
      <w:lvlJc w:val="left"/>
      <w:lvlText w:val="(%1)"/>
      <w:numFmt w:val="lowerLetter"/>
      <w:start w:val="4"/>
    </w:lvl>
  </w:abstractNum>
  <w:abstractNum w:abstractNumId="214">
    <w:nsid w:val="6FE95EAC"/>
    <w:multiLevelType w:val="hybridMultilevel"/>
    <w:lvl w:ilvl="0">
      <w:lvlJc w:val="left"/>
      <w:lvlText w:val="(%1)"/>
      <w:numFmt w:val="lowerLetter"/>
      <w:start w:val="1"/>
    </w:lvl>
  </w:abstractNum>
  <w:abstractNum w:abstractNumId="215">
    <w:nsid w:val="4B697C7A"/>
    <w:multiLevelType w:val="hybridMultilevel"/>
    <w:lvl w:ilvl="0">
      <w:lvlJc w:val="left"/>
      <w:lvlText w:val="(%1)"/>
      <w:numFmt w:val="lowerLetter"/>
      <w:start w:val="1"/>
    </w:lvl>
  </w:abstractNum>
  <w:abstractNum w:abstractNumId="216">
    <w:nsid w:val="51A27AA6"/>
    <w:multiLevelType w:val="hybridMultilevel"/>
    <w:lvl w:ilvl="0">
      <w:lvlJc w:val="left"/>
      <w:lvlText w:val="(%1)"/>
      <w:numFmt w:val="lowerLetter"/>
      <w:start w:val="1"/>
    </w:lvl>
  </w:abstractNum>
  <w:abstractNum w:abstractNumId="217">
    <w:nsid w:val="613183F2"/>
    <w:multiLevelType w:val="hybridMultilevel"/>
    <w:lvl w:ilvl="0">
      <w:lvlJc w:val="left"/>
      <w:lvlText w:val="(%1)"/>
      <w:numFmt w:val="lowerLetter"/>
      <w:start w:val="1"/>
    </w:lvl>
  </w:abstractNum>
  <w:abstractNum w:abstractNumId="218">
    <w:nsid w:val="634102B4"/>
    <w:multiLevelType w:val="hybridMultilevel"/>
    <w:lvl w:ilvl="0">
      <w:lvlJc w:val="left"/>
      <w:lvlText w:val="(%1)"/>
      <w:numFmt w:val="lowerLetter"/>
      <w:start w:val="1"/>
    </w:lvl>
    <w:lvl w:ilvl="1">
      <w:lvlJc w:val="left"/>
      <w:lvlText w:val="(%2)"/>
      <w:numFmt w:val="lowerRoman"/>
      <w:start w:val="1"/>
    </w:lvl>
  </w:abstractNum>
  <w:abstractNum w:abstractNumId="219">
    <w:nsid w:val="65BF9DA8"/>
    <w:multiLevelType w:val="hybridMultilevel"/>
    <w:lvl w:ilvl="0">
      <w:lvlJc w:val="left"/>
      <w:lvlText w:val="(%1)"/>
      <w:numFmt w:val="lowerLetter"/>
      <w:start w:val="2"/>
    </w:lvl>
  </w:abstractNum>
  <w:abstractNum w:abstractNumId="220">
    <w:nsid w:val="21A2ECCA"/>
    <w:multiLevelType w:val="hybridMultilevel"/>
    <w:lvl w:ilvl="0">
      <w:lvlJc w:val="left"/>
      <w:lvlText w:val="(%1)"/>
      <w:numFmt w:val="lowerLetter"/>
      <w:start w:val="3"/>
    </w:lvl>
  </w:abstractNum>
  <w:abstractNum w:abstractNumId="221">
    <w:nsid w:val="4D5C4899"/>
    <w:multiLevelType w:val="hybridMultilevel"/>
    <w:lvl w:ilvl="0">
      <w:lvlJc w:val="left"/>
      <w:lvlText w:val="%1"/>
      <w:numFmt w:val="upperLetter"/>
      <w:start w:val="1"/>
    </w:lvl>
    <w:lvl w:ilvl="1">
      <w:lvlJc w:val="left"/>
      <w:lvlText w:val="(%2)"/>
      <w:numFmt w:val="lowerRoman"/>
      <w:start w:val="1"/>
    </w:lvl>
  </w:abstractNum>
  <w:abstractNum w:abstractNumId="222">
    <w:nsid w:val="3C3B72B2"/>
    <w:multiLevelType w:val="hybridMultilevel"/>
    <w:lvl w:ilvl="0">
      <w:lvlJc w:val="left"/>
      <w:lvlText w:val="(%1)"/>
      <w:numFmt w:val="upperLetter"/>
      <w:start w:val="2"/>
    </w:lvl>
    <w:lvl w:ilvl="1">
      <w:lvlJc w:val="left"/>
      <w:lvlText w:val="%2"/>
      <w:numFmt w:val="lowerRoman"/>
      <w:start w:val="1"/>
    </w:lvl>
  </w:abstractNum>
  <w:abstractNum w:abstractNumId="223">
    <w:nsid w:val="155EC4C2"/>
    <w:multiLevelType w:val="hybridMultilevel"/>
    <w:lvl w:ilvl="0">
      <w:lvlJc w:val="left"/>
      <w:lvlText w:val="%1"/>
      <w:numFmt w:val="decimal"/>
      <w:start w:val="1"/>
    </w:lvl>
    <w:lvl w:ilvl="1">
      <w:lvlJc w:val="left"/>
      <w:lvlText w:val="(%2)"/>
      <w:numFmt w:val="lowerLetter"/>
      <w:start w:val="1"/>
    </w:lvl>
  </w:abstractNum>
  <w:abstractNum w:abstractNumId="224">
    <w:nsid w:val="65D2A137"/>
    <w:multiLevelType w:val="hybridMultilevel"/>
    <w:lvl w:ilvl="0">
      <w:lvlJc w:val="left"/>
      <w:lvlText w:val="(%1)"/>
      <w:numFmt w:val="decimal"/>
      <w:start w:val="10"/>
    </w:lvl>
    <w:lvl w:ilvl="1">
      <w:lvlJc w:val="left"/>
      <w:lvlText w:val="(%2)"/>
      <w:numFmt w:val="lowerLetter"/>
      <w:start w:val="3"/>
    </w:lvl>
  </w:abstractNum>
  <w:abstractNum w:abstractNumId="225">
    <w:nsid w:val="6EBB1F2A"/>
    <w:multiLevelType w:val="hybridMultilevel"/>
    <w:lvl w:ilvl="0">
      <w:lvlJc w:val="left"/>
      <w:lvlText w:val="(%1)"/>
      <w:numFmt w:val="lowerLetter"/>
      <w:start w:val="1"/>
    </w:lvl>
  </w:abstractNum>
  <w:abstractNum w:abstractNumId="226">
    <w:nsid w:val="6FBF29CB"/>
    <w:multiLevelType w:val="hybridMultilevel"/>
    <w:lvl w:ilvl="0">
      <w:lvlJc w:val="left"/>
      <w:lvlText w:val="%1"/>
      <w:numFmt w:val="upperLetter"/>
      <w:start w:val="1"/>
    </w:lvl>
    <w:lvl w:ilvl="1">
      <w:lvlJc w:val="left"/>
      <w:lvlText w:val="(%2)"/>
      <w:numFmt w:val="lowerLetter"/>
      <w:start w:val="5"/>
    </w:lvl>
    <w:lvl w:ilvl="2">
      <w:lvlJc w:val="left"/>
      <w:lvlText w:val="%3"/>
      <w:numFmt w:val="lowerRoman"/>
      <w:start w:val="1"/>
    </w:lvl>
    <w:lvl w:ilvl="3">
      <w:lvlJc w:val="left"/>
      <w:lvlText w:val="%4"/>
      <w:numFmt w:val="upperLetter"/>
      <w:start w:val="1"/>
    </w:lvl>
  </w:abstractNum>
  <w:abstractNum w:abstractNumId="227">
    <w:nsid w:val="550B8808"/>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228">
    <w:nsid w:val="34CC3ACF"/>
    <w:multiLevelType w:val="hybridMultilevel"/>
    <w:lvl w:ilvl="0">
      <w:lvlJc w:val="left"/>
      <w:lvlText w:val="%1"/>
      <w:numFmt w:val="upperLetter"/>
      <w:start w:val="1"/>
    </w:lvl>
    <w:lvl w:ilvl="1">
      <w:lvlJc w:val="left"/>
      <w:lvlText w:val="(%2)"/>
      <w:numFmt w:val="decimal"/>
      <w:start w:val="1"/>
    </w:lvl>
  </w:abstractNum>
  <w:abstractNum w:abstractNumId="229">
    <w:nsid w:val="4E556261"/>
    <w:multiLevelType w:val="hybridMultilevel"/>
    <w:lvl w:ilvl="0">
      <w:lvlJc w:val="left"/>
      <w:lvlText w:val="(%1)"/>
      <w:numFmt w:val="upperLetter"/>
      <w:start w:val="3"/>
    </w:lvl>
    <w:lvl w:ilvl="1">
      <w:lvlJc w:val="left"/>
      <w:lvlText w:val="%2"/>
      <w:numFmt w:val="decimal"/>
      <w:start w:val="1"/>
    </w:lvl>
  </w:abstractNum>
  <w:abstractNum w:abstractNumId="230">
    <w:nsid w:val="4C672FC9"/>
    <w:multiLevelType w:val="hybridMultilevel"/>
    <w:lvl w:ilvl="0">
      <w:lvlJc w:val="left"/>
      <w:lvlText w:val="(%1)"/>
      <w:numFmt w:val="lowerLetter"/>
      <w:start w:val="6"/>
    </w:lvl>
  </w:abstractNum>
  <w:abstractNum w:abstractNumId="231">
    <w:nsid w:val="52A311C3"/>
    <w:multiLevelType w:val="hybridMultilevel"/>
    <w:lvl w:ilvl="0">
      <w:lvlJc w:val="left"/>
      <w:lvlText w:val="(%1)"/>
      <w:numFmt w:val="lowerLetter"/>
      <w:start w:val="1"/>
    </w:lvl>
  </w:abstractNum>
  <w:abstractNum w:abstractNumId="232">
    <w:nsid w:val="44EF6B80"/>
    <w:multiLevelType w:val="hybridMultilevel"/>
    <w:lvl w:ilvl="0">
      <w:lvlJc w:val="left"/>
      <w:lvlText w:val="(%1)"/>
      <w:numFmt w:val="lowerLetter"/>
      <w:start w:val="5"/>
    </w:lvl>
  </w:abstractNum>
  <w:abstractNum w:abstractNumId="233">
    <w:nsid w:val="12FCDE5E"/>
    <w:multiLevelType w:val="hybridMultilevel"/>
    <w:lvl w:ilvl="0">
      <w:lvlJc w:val="left"/>
      <w:lvlText w:val="(%1)"/>
      <w:numFmt w:val="lowerLetter"/>
      <w:start w:val="1"/>
    </w:lvl>
  </w:abstractNum>
  <w:abstractNum w:abstractNumId="234">
    <w:nsid w:val="4A1D606E"/>
    <w:multiLevelType w:val="hybridMultilevel"/>
    <w:lvl w:ilvl="0">
      <w:lvlJc w:val="left"/>
      <w:lvlText w:val="(%1)"/>
      <w:numFmt w:val="lowerLetter"/>
      <w:start w:val="1"/>
    </w:lvl>
  </w:abstractNum>
  <w:abstractNum w:abstractNumId="235">
    <w:nsid w:val="4382503"/>
    <w:multiLevelType w:val="hybridMultilevel"/>
    <w:lvl w:ilvl="0">
      <w:lvlJc w:val="left"/>
      <w:lvlText w:val="%1"/>
      <w:numFmt w:val="lowerLetter"/>
      <w:start w:val="1"/>
    </w:lvl>
    <w:lvl w:ilvl="1">
      <w:lvlJc w:val="left"/>
      <w:lvlText w:val="(%2)"/>
      <w:numFmt w:val="lowerLetter"/>
      <w:start w:val="3"/>
    </w:lvl>
  </w:abstractNum>
  <w:abstractNum w:abstractNumId="236">
    <w:nsid w:val="59B76E28"/>
    <w:multiLevelType w:val="hybridMultilevel"/>
    <w:lvl w:ilvl="0">
      <w:lvlJc w:val="left"/>
      <w:lvlText w:val="(%1)"/>
      <w:numFmt w:val="lowerLetter"/>
      <w:start w:val="4"/>
    </w:lvl>
    <w:lvl w:ilvl="1">
      <w:lvlJc w:val="left"/>
      <w:lvlText w:val="%2"/>
      <w:numFmt w:val="lowerLetter"/>
      <w:start w:val="1"/>
    </w:lvl>
  </w:abstractNum>
  <w:abstractNum w:abstractNumId="237">
    <w:nsid w:val="4252C2DA"/>
    <w:multiLevelType w:val="hybridMultilevel"/>
    <w:lvl w:ilvl="0">
      <w:lvlJc w:val="left"/>
      <w:lvlText w:val="(%1)"/>
      <w:numFmt w:val="lowerLetter"/>
      <w:start w:val="1"/>
    </w:lvl>
  </w:abstractNum>
  <w:abstractNum w:abstractNumId="238">
    <w:nsid w:val="6A92EF4C"/>
    <w:multiLevelType w:val="hybridMultilevel"/>
    <w:lvl w:ilvl="0">
      <w:lvlJc w:val="left"/>
      <w:lvlText w:val="%1"/>
      <w:numFmt w:val="lowerRoman"/>
      <w:start w:val="1"/>
    </w:lvl>
    <w:lvl w:ilvl="1">
      <w:lvlJc w:val="left"/>
      <w:lvlText w:val="(%2)"/>
      <w:numFmt w:val="lowerLetter"/>
      <w:start w:val="1"/>
    </w:lvl>
  </w:abstractNum>
  <w:abstractNum w:abstractNumId="239">
    <w:nsid w:val="41ED20D7"/>
    <w:multiLevelType w:val="hybridMultilevel"/>
    <w:lvl w:ilvl="0">
      <w:lvlJc w:val="left"/>
      <w:lvlText w:val="(%1)"/>
      <w:numFmt w:val="lowerRoman"/>
      <w:start w:val="4"/>
    </w:lvl>
    <w:lvl w:ilvl="1">
      <w:lvlJc w:val="left"/>
      <w:lvlText w:val="%2"/>
      <w:numFmt w:val="lowerLetter"/>
      <w:start w:val="1"/>
    </w:lvl>
  </w:abstractNum>
  <w:abstractNum w:abstractNumId="240">
    <w:nsid w:val="E6B3F6A"/>
    <w:multiLevelType w:val="hybridMultilevel"/>
    <w:lvl w:ilvl="0">
      <w:lvlJc w:val="left"/>
      <w:lvlText w:val="(%1)"/>
      <w:numFmt w:val="lowerLetter"/>
      <w:start w:val="1"/>
    </w:lvl>
  </w:abstractNum>
  <w:abstractNum w:abstractNumId="241">
    <w:nsid w:val="3EB21819"/>
    <w:multiLevelType w:val="hybridMultilevel"/>
    <w:lvl w:ilvl="0">
      <w:lvlJc w:val="left"/>
      <w:lvlText w:val="(%1)"/>
      <w:numFmt w:val="lowerLetter"/>
      <w:start w:val="1"/>
    </w:lvl>
  </w:abstractNum>
  <w:abstractNum w:abstractNumId="242">
    <w:nsid w:val="41531DED"/>
    <w:multiLevelType w:val="hybridMultilevel"/>
    <w:lvl w:ilvl="0">
      <w:lvlJc w:val="left"/>
      <w:lvlText w:val="(%1)"/>
      <w:numFmt w:val="lowerLetter"/>
      <w:start w:val="1"/>
    </w:lvl>
  </w:abstractNum>
  <w:abstractNum w:abstractNumId="243">
    <w:nsid w:val="6353CD2"/>
    <w:multiLevelType w:val="hybridMultilevel"/>
    <w:lvl w:ilvl="0">
      <w:lvlJc w:val="left"/>
      <w:lvlText w:val="(%1)"/>
      <w:numFmt w:val="lowerLetter"/>
      <w:start w:val="1"/>
    </w:lvl>
  </w:abstractNum>
  <w:abstractNum w:abstractNumId="244">
    <w:nsid w:val="683CAAD3"/>
    <w:multiLevelType w:val="hybridMultilevel"/>
    <w:lvl w:ilvl="0">
      <w:lvlJc w:val="left"/>
      <w:lvlText w:val="(%1)"/>
      <w:numFmt w:val="lowerLetter"/>
      <w:start w:val="4"/>
    </w:lvl>
  </w:abstractNum>
  <w:abstractNum w:abstractNumId="245">
    <w:nsid w:val="313C7C99"/>
    <w:multiLevelType w:val="hybridMultilevel"/>
    <w:lvl w:ilvl="0">
      <w:lvlJc w:val="left"/>
      <w:lvlText w:val="(%1)"/>
      <w:numFmt w:val="lowerLetter"/>
      <w:start w:val="1"/>
    </w:lvl>
  </w:abstractNum>
  <w:abstractNum w:abstractNumId="246">
    <w:nsid w:val="519EB94C"/>
    <w:multiLevelType w:val="hybridMultilevel"/>
    <w:lvl w:ilvl="0">
      <w:lvlJc w:val="left"/>
      <w:lvlText w:val="(%1)"/>
      <w:numFmt w:val="lowerLetter"/>
      <w:start w:val="3"/>
    </w:lvl>
  </w:abstractNum>
  <w:abstractNum w:abstractNumId="247">
    <w:nsid w:val="39DF2579"/>
    <w:multiLevelType w:val="hybridMultilevel"/>
    <w:lvl w:ilvl="0">
      <w:lvlJc w:val="left"/>
      <w:lvlText w:val="(%1)"/>
      <w:numFmt w:val="lowerLetter"/>
      <w:start w:val="8"/>
    </w:lvl>
  </w:abstractNum>
  <w:abstractNum w:abstractNumId="248">
    <w:nsid w:val="126E008B"/>
    <w:multiLevelType w:val="hybridMultilevel"/>
    <w:lvl w:ilvl="0">
      <w:lvlJc w:val="left"/>
      <w:lvlText w:val="(%1)"/>
      <w:numFmt w:val="lowerLetter"/>
      <w:start w:val="1"/>
    </w:lvl>
  </w:abstractNum>
  <w:abstractNum w:abstractNumId="249">
    <w:nsid w:val="34DFBC00"/>
    <w:multiLevelType w:val="hybridMultilevel"/>
    <w:lvl w:ilvl="0">
      <w:lvlJc w:val="left"/>
      <w:lvlText w:val="(%1)"/>
      <w:numFmt w:val="lowerLetter"/>
      <w:start w:val="4"/>
    </w:lvl>
  </w:abstractNum>
  <w:abstractNum w:abstractNumId="250">
    <w:nsid w:val="1F9EC322"/>
    <w:multiLevelType w:val="hybridMultilevel"/>
    <w:lvl w:ilvl="0">
      <w:lvlJc w:val="left"/>
      <w:lvlText w:val="%1"/>
      <w:numFmt w:val="lowerLetter"/>
      <w:start w:val="1"/>
    </w:lvl>
    <w:lvl w:ilvl="1">
      <w:lvlJc w:val="left"/>
      <w:lvlText w:val="(%2)"/>
      <w:numFmt w:val="lowerLetter"/>
      <w:start w:val="1"/>
    </w:lvl>
  </w:abstractNum>
  <w:abstractNum w:abstractNumId="251">
    <w:nsid w:val="3410ED56"/>
    <w:multiLevelType w:val="hybridMultilevel"/>
    <w:lvl w:ilvl="0">
      <w:lvlJc w:val="left"/>
      <w:lvlText w:val="(%1)"/>
      <w:numFmt w:val="lowerLetter"/>
      <w:start w:val="35"/>
    </w:lvl>
    <w:lvl w:ilvl="1">
      <w:lvlJc w:val="left"/>
      <w:lvlText w:val="%2"/>
      <w:numFmt w:val="lowerLetter"/>
      <w:start w:val="1"/>
    </w:lvl>
  </w:abstractNum>
  <w:abstractNum w:abstractNumId="252">
    <w:nsid w:val="23C049A"/>
    <w:multiLevelType w:val="hybridMultilevel"/>
    <w:lvl w:ilvl="0">
      <w:lvlJc w:val="left"/>
      <w:lvlText w:val="(%1)"/>
      <w:numFmt w:val="lowerLetter"/>
      <w:start w:val="1"/>
    </w:lvl>
  </w:abstractNum>
  <w:abstractNum w:abstractNumId="253">
    <w:nsid w:val="5BDA35D4"/>
    <w:multiLevelType w:val="hybridMultilevel"/>
    <w:lvl w:ilvl="0">
      <w:lvlJc w:val="left"/>
      <w:lvlText w:val="(%1)"/>
      <w:numFmt w:val="lowerLetter"/>
      <w:start w:val="1"/>
    </w:lvl>
  </w:abstractNum>
  <w:abstractNum w:abstractNumId="254">
    <w:nsid w:val="496FB218"/>
    <w:multiLevelType w:val="hybridMultilevel"/>
    <w:lvl w:ilvl="0">
      <w:lvlJc w:val="left"/>
      <w:lvlText w:val="(%1)"/>
      <w:numFmt w:val="lowerLetter"/>
      <w:start w:val="6"/>
    </w:lvl>
  </w:abstractNum>
  <w:abstractNum w:abstractNumId="255">
    <w:nsid w:val="680EA5D1"/>
    <w:multiLevelType w:val="hybridMultilevel"/>
    <w:lvl w:ilvl="0">
      <w:lvlJc w:val="left"/>
      <w:lvlText w:val="(%1)"/>
      <w:numFmt w:val="lowerLetter"/>
      <w:start w:val="14"/>
    </w:lvl>
  </w:abstractNum>
  <w:abstractNum w:abstractNumId="256">
    <w:nsid w:val="4A9554FE"/>
    <w:multiLevelType w:val="hybridMultilevel"/>
    <w:lvl w:ilvl="0">
      <w:lvlJc w:val="left"/>
      <w:lvlText w:val="(%1)"/>
      <w:numFmt w:val="lowerLetter"/>
      <w:start w:val="1"/>
    </w:lvl>
  </w:abstractNum>
  <w:abstractNum w:abstractNumId="257">
    <w:nsid w:val="392EDBE4"/>
    <w:multiLevelType w:val="hybridMultilevel"/>
    <w:lvl w:ilvl="0">
      <w:lvlJc w:val="left"/>
      <w:lvlText w:val="(%1)"/>
      <w:numFmt w:val="lowerLetter"/>
      <w:start w:val="35"/>
    </w:lvl>
    <w:lvl w:ilvl="1">
      <w:lvlJc w:val="left"/>
      <w:lvlText w:val="(%2)"/>
      <w:numFmt w:val="lowerLetter"/>
      <w:start w:val="3"/>
    </w:lvl>
  </w:abstractNum>
  <w:abstractNum w:abstractNumId="258">
    <w:nsid w:val="3D1A2DD9"/>
    <w:multiLevelType w:val="hybridMultilevel"/>
    <w:lvl w:ilvl="0">
      <w:lvlJc w:val="left"/>
      <w:lvlText w:val="(%1)"/>
      <w:numFmt w:val="lowerLetter"/>
      <w:start w:val="11"/>
    </w:lvl>
  </w:abstractNum>
  <w:abstractNum w:abstractNumId="259">
    <w:nsid w:val="7F618FCD"/>
    <w:multiLevelType w:val="hybridMultilevel"/>
    <w:lvl w:ilvl="0">
      <w:lvlJc w:val="left"/>
      <w:lvlText w:val="(%1)"/>
      <w:numFmt w:val="lowerLetter"/>
      <w:start w:val="1"/>
    </w:lvl>
    <w:lvl w:ilvl="1">
      <w:lvlJc w:val="left"/>
      <w:lvlText w:val="(%2)"/>
      <w:numFmt w:val="lowerRoman"/>
      <w:start w:val="1"/>
    </w:lvl>
  </w:abstractNum>
  <w:abstractNum w:abstractNumId="260">
    <w:nsid w:val="7843E45"/>
    <w:multiLevelType w:val="hybridMultilevel"/>
    <w:lvl w:ilvl="0">
      <w:lvlJc w:val="left"/>
      <w:lvlText w:val="%1"/>
      <w:numFmt w:val="lowerLetter"/>
      <w:start w:val="1"/>
    </w:lvl>
    <w:lvl w:ilvl="1">
      <w:lvlJc w:val="left"/>
      <w:lvlText w:val="(%2)"/>
      <w:numFmt w:val="lowerRoman"/>
      <w:start w:val="6"/>
    </w:lvl>
  </w:abstractNum>
  <w:abstractNum w:abstractNumId="261">
    <w:nsid w:val="9815DA3"/>
    <w:multiLevelType w:val="hybridMultilevel"/>
    <w:lvl w:ilvl="0">
      <w:lvlJc w:val="left"/>
      <w:lvlText w:val="(%1)"/>
      <w:numFmt w:val="lowerLetter"/>
      <w:start w:val="2"/>
    </w:lvl>
    <w:lvl w:ilvl="1">
      <w:lvlJc w:val="left"/>
      <w:lvlText w:val="%2"/>
      <w:numFmt w:val="lowerRoman"/>
      <w:start w:val="1"/>
    </w:lvl>
  </w:abstractNum>
  <w:abstractNum w:abstractNumId="262">
    <w:nsid w:val="5204A191"/>
    <w:multiLevelType w:val="hybridMultilevel"/>
    <w:lvl w:ilvl="0">
      <w:lvlJc w:val="left"/>
      <w:lvlText w:val="(%1)"/>
      <w:numFmt w:val="lowerLetter"/>
      <w:start w:val="1"/>
    </w:lvl>
  </w:abstractNum>
  <w:abstractNum w:abstractNumId="263">
    <w:nsid w:val="4C73A9C6"/>
    <w:multiLevelType w:val="hybridMultilevel"/>
    <w:lvl w:ilvl="0">
      <w:lvlJc w:val="left"/>
      <w:lvlText w:val="(%1)"/>
      <w:numFmt w:val="lowerLetter"/>
      <w:start w:val="2"/>
    </w:lvl>
  </w:abstractNum>
  <w:abstractNum w:abstractNumId="264">
    <w:nsid w:val="1C7E3C01"/>
    <w:multiLevelType w:val="hybridMultilevel"/>
    <w:lvl w:ilvl="0">
      <w:lvlJc w:val="left"/>
      <w:lvlText w:val="(%1)"/>
      <w:numFmt w:val="lowerLetter"/>
      <w:start w:val="1"/>
    </w:lvl>
  </w:abstractNum>
  <w:abstractNum w:abstractNumId="265">
    <w:nsid w:val="1C2201FF"/>
    <w:multiLevelType w:val="hybridMultilevel"/>
    <w:lvl w:ilvl="0">
      <w:lvlJc w:val="left"/>
      <w:lvlText w:val="(%1)"/>
      <w:numFmt w:val="lowerLetter"/>
      <w:start w:val="1"/>
    </w:lvl>
  </w:abstractNum>
  <w:abstractNum w:abstractNumId="266">
    <w:nsid w:val="50ABCEC9"/>
    <w:multiLevelType w:val="hybridMultilevel"/>
    <w:lvl w:ilvl="0">
      <w:lvlJc w:val="left"/>
      <w:lvlText w:val="%1"/>
      <w:numFmt w:val="lowerRoman"/>
      <w:start w:val="1"/>
    </w:lvl>
    <w:lvl w:ilvl="1">
      <w:lvlJc w:val="left"/>
      <w:lvlText w:val="(%2)"/>
      <w:numFmt w:val="lowerLetter"/>
      <w:start w:val="4"/>
    </w:lvl>
  </w:abstractNum>
  <w:abstractNum w:abstractNumId="267">
    <w:nsid w:val="7635AA2A"/>
    <w:multiLevelType w:val="hybridMultilevel"/>
    <w:lvl w:ilvl="0">
      <w:lvlJc w:val="left"/>
      <w:lvlText w:val="(%1)"/>
      <w:numFmt w:val="lowerRoman"/>
      <w:start w:val="4"/>
    </w:lvl>
    <w:lvl w:ilvl="1">
      <w:lvlJc w:val="left"/>
      <w:lvlText w:val="(%2)"/>
      <w:numFmt w:val="lowerLetter"/>
      <w:start w:val="10"/>
    </w:lvl>
  </w:abstractNum>
  <w:abstractNum w:abstractNumId="268">
    <w:nsid w:val="5E74C4D9"/>
    <w:multiLevelType w:val="hybridMultilevel"/>
    <w:lvl w:ilvl="0">
      <w:lvlJc w:val="left"/>
      <w:lvlText w:val="(%1)"/>
      <w:numFmt w:val="lowerLetter"/>
      <w:start w:val="12"/>
    </w:lvl>
  </w:abstractNum>
  <w:abstractNum w:abstractNumId="269">
    <w:nsid w:val="3B3EBE15"/>
    <w:multiLevelType w:val="hybridMultilevel"/>
    <w:lvl w:ilvl="0">
      <w:lvlJc w:val="left"/>
      <w:lvlText w:val="(%1)"/>
      <w:numFmt w:val="lowerLetter"/>
      <w:start w:val="12"/>
    </w:lvl>
  </w:abstractNum>
  <w:abstractNum w:abstractNumId="270">
    <w:nsid w:val="3822CB01"/>
    <w:multiLevelType w:val="hybridMultilevel"/>
    <w:lvl w:ilvl="0">
      <w:lvlJc w:val="left"/>
      <w:lvlText w:val="(%1)"/>
      <w:numFmt w:val="lowerLetter"/>
      <w:start w:val="1"/>
    </w:lvl>
  </w:abstractNum>
  <w:abstractNum w:abstractNumId="271">
    <w:nsid w:val="6CE00443"/>
    <w:multiLevelType w:val="hybridMultilevel"/>
    <w:lvl w:ilvl="0">
      <w:lvlJc w:val="left"/>
      <w:lvlText w:val="(%1)"/>
      <w:numFmt w:val="lowerLetter"/>
      <w:start w:val="3"/>
    </w:lvl>
    <w:lvl w:ilvl="1">
      <w:lvlJc w:val="left"/>
      <w:lvlText w:val="(%2)"/>
      <w:numFmt w:val="lowerRoman"/>
      <w:start w:val="1"/>
    </w:lvl>
  </w:abstractNum>
  <w:abstractNum w:abstractNumId="272">
    <w:nsid w:val="79F0D62F"/>
    <w:multiLevelType w:val="hybridMultilevel"/>
    <w:lvl w:ilvl="0">
      <w:lvlJc w:val="left"/>
      <w:lvlText w:val="(%1)"/>
      <w:numFmt w:val="lowerRoman"/>
      <w:start w:val="2"/>
    </w:lvl>
  </w:abstractNum>
  <w:abstractNum w:abstractNumId="273">
    <w:nsid w:val="7975E8EE"/>
    <w:multiLevelType w:val="hybridMultilevel"/>
    <w:lvl w:ilvl="0">
      <w:lvlJc w:val="left"/>
      <w:lvlText w:val="(%1)"/>
      <w:numFmt w:val="lowerLetter"/>
      <w:start w:val="7"/>
    </w:lvl>
  </w:abstractNum>
  <w:abstractNum w:abstractNumId="274">
    <w:nsid w:val="73154115"/>
    <w:multiLevelType w:val="hybridMultilevel"/>
    <w:lvl w:ilvl="0">
      <w:lvlJc w:val="left"/>
      <w:lvlText w:val="(%1)"/>
      <w:numFmt w:val="lowerLetter"/>
      <w:start w:val="1"/>
    </w:lvl>
  </w:abstractNum>
  <w:abstractNum w:abstractNumId="275">
    <w:nsid w:val="622D8102"/>
    <w:multiLevelType w:val="hybridMultilevel"/>
    <w:lvl w:ilvl="0">
      <w:lvlJc w:val="left"/>
      <w:lvlText w:val="(%1)"/>
      <w:numFmt w:val="lowerLetter"/>
      <w:start w:val="3"/>
    </w:lvl>
  </w:abstractNum>
  <w:abstractNum w:abstractNumId="276">
    <w:nsid w:val="2AB26587"/>
    <w:multiLevelType w:val="hybridMultilevel"/>
    <w:lvl w:ilvl="0">
      <w:lvlJc w:val="left"/>
      <w:lvlText w:val="(%1)"/>
      <w:numFmt w:val="lowerLetter"/>
      <w:start w:val="1"/>
    </w:lvl>
  </w:abstractNum>
  <w:abstractNum w:abstractNumId="277">
    <w:nsid w:val="44B3FA61"/>
    <w:multiLevelType w:val="hybridMultilevel"/>
    <w:lvl w:ilvl="0">
      <w:lvlJc w:val="left"/>
      <w:lvlText w:val="%1"/>
      <w:numFmt w:val="lowerLetter"/>
      <w:start w:val="1"/>
    </w:lvl>
    <w:lvl w:ilvl="1">
      <w:lvlJc w:val="left"/>
      <w:lvlText w:val="(%2)"/>
      <w:numFmt w:val="lowerLetter"/>
      <w:start w:val="3"/>
    </w:lvl>
  </w:abstractNum>
  <w:abstractNum w:abstractNumId="278">
    <w:nsid w:val="1C0CA67C"/>
    <w:multiLevelType w:val="hybridMultilevel"/>
    <w:lvl w:ilvl="0">
      <w:lvlJc w:val="left"/>
      <w:lvlText w:val="(%1)"/>
      <w:numFmt w:val="lowerLetter"/>
      <w:start w:val="35"/>
    </w:lvl>
    <w:lvl w:ilvl="1">
      <w:lvlJc w:val="left"/>
      <w:lvlText w:val="(%2)"/>
      <w:numFmt w:val="lowerLetter"/>
      <w:start w:val="5"/>
    </w:lvl>
  </w:abstractNum>
  <w:abstractNum w:abstractNumId="279">
    <w:nsid w:val="3D206613"/>
    <w:multiLevelType w:val="hybridMultilevel"/>
    <w:lvl w:ilvl="0">
      <w:lvlJc w:val="left"/>
      <w:lvlText w:val="(%1)"/>
      <w:numFmt w:val="lowerLetter"/>
      <w:start w:val="1"/>
    </w:lvl>
  </w:abstractNum>
  <w:abstractNum w:abstractNumId="280">
    <w:nsid w:val="7993B662"/>
    <w:multiLevelType w:val="hybridMultilevel"/>
    <w:lvl w:ilvl="0">
      <w:lvlJc w:val="left"/>
      <w:lvlText w:val="(%1)"/>
      <w:numFmt w:val="lowerLetter"/>
      <w:start w:val="1"/>
    </w:lvl>
  </w:abstractNum>
  <w:abstractNum w:abstractNumId="281">
    <w:nsid w:val="3BAB699E"/>
    <w:multiLevelType w:val="hybridMultilevel"/>
    <w:lvl w:ilvl="0">
      <w:lvlJc w:val="left"/>
      <w:lvlText w:val="(%1)"/>
      <w:numFmt w:val="lowerLetter"/>
      <w:start w:val="2"/>
    </w:lvl>
  </w:abstractNum>
  <w:abstractNum w:abstractNumId="282">
    <w:nsid w:val="71315369"/>
    <w:multiLevelType w:val="hybridMultilevel"/>
    <w:lvl w:ilvl="0">
      <w:lvlJc w:val="left"/>
      <w:lvlText w:val="%1"/>
      <w:numFmt w:val="lowerLetter"/>
      <w:start w:val="1"/>
    </w:lvl>
    <w:lvl w:ilvl="1">
      <w:lvlJc w:val="left"/>
      <w:lvlText w:val="(%2)"/>
      <w:numFmt w:val="lowerLetter"/>
      <w:start w:val="9"/>
    </w:lvl>
  </w:abstractNum>
  <w:abstractNum w:abstractNumId="283">
    <w:nsid w:val="7BCFBAFC"/>
    <w:multiLevelType w:val="hybridMultilevel"/>
    <w:lvl w:ilvl="0">
      <w:lvlJc w:val="left"/>
      <w:lvlText w:val="(%1)"/>
      <w:numFmt w:val="lowerLetter"/>
      <w:start w:val="25"/>
    </w:lvl>
    <w:lvl w:ilvl="1">
      <w:lvlJc w:val="left"/>
      <w:lvlText w:val="%2"/>
      <w:numFmt w:val="lowerLetter"/>
      <w:start w:val="1"/>
    </w:lvl>
  </w:abstractNum>
  <w:abstractNum w:abstractNumId="284">
    <w:nsid w:val="17859F72"/>
    <w:multiLevelType w:val="hybridMultilevel"/>
    <w:lvl w:ilvl="0">
      <w:lvlJc w:val="left"/>
      <w:lvlText w:val="(%1)"/>
      <w:numFmt w:val="lowerRoman"/>
      <w:start w:val="2"/>
    </w:lvl>
  </w:abstractNum>
  <w:abstractNum w:abstractNumId="285">
    <w:nsid w:val="3AA10581"/>
    <w:multiLevelType w:val="hybridMultilevel"/>
    <w:lvl w:ilvl="0">
      <w:lvlJc w:val="left"/>
      <w:lvlText w:val="(%1)"/>
      <w:numFmt w:val="lowerRoman"/>
      <w:start w:val="3"/>
    </w:lvl>
  </w:abstractNum>
  <w:abstractNum w:abstractNumId="286">
    <w:nsid w:val="63DE60CD"/>
    <w:multiLevelType w:val="hybridMultilevel"/>
    <w:lvl w:ilvl="0">
      <w:lvlJc w:val="left"/>
      <w:lvlText w:val="(%1)"/>
      <w:numFmt w:val="lowerLetter"/>
      <w:start w:val="1"/>
    </w:lvl>
    <w:lvl w:ilvl="1">
      <w:lvlJc w:val="left"/>
      <w:lvlText w:val="(%2)"/>
      <w:numFmt w:val="lowerRoman"/>
      <w:start w:val="1"/>
    </w:lvl>
  </w:abstractNum>
  <w:abstractNum w:abstractNumId="287">
    <w:nsid w:val="621AF471"/>
    <w:multiLevelType w:val="hybridMultilevel"/>
    <w:lvl w:ilvl="0">
      <w:lvlJc w:val="left"/>
      <w:lvlText w:val="%1"/>
      <w:numFmt w:val="lowerLetter"/>
      <w:start w:val="1"/>
    </w:lvl>
    <w:lvl w:ilvl="1">
      <w:lvlJc w:val="left"/>
      <w:lvlText w:val="(%2)"/>
      <w:numFmt w:val="lowerRoman"/>
      <w:start w:val="4"/>
    </w:lvl>
  </w:abstractNum>
  <w:abstractNum w:abstractNumId="288">
    <w:nsid w:val="73CFE165"/>
    <w:multiLevelType w:val="hybridMultilevel"/>
    <w:lvl w:ilvl="0">
      <w:lvlJc w:val="left"/>
      <w:lvlText w:val="(%1)"/>
      <w:numFmt w:val="lowerLetter"/>
      <w:start w:val="2"/>
    </w:lvl>
    <w:lvl w:ilvl="1">
      <w:lvlJc w:val="left"/>
      <w:lvlText w:val="%2"/>
      <w:numFmt w:val="lowerRoman"/>
      <w:start w:val="1"/>
    </w:lvl>
  </w:abstractNum>
  <w:abstractNum w:abstractNumId="289">
    <w:nsid w:val="20F88EA6"/>
    <w:multiLevelType w:val="hybridMultilevel"/>
    <w:lvl w:ilvl="0">
      <w:lvlJc w:val="left"/>
      <w:lvlText w:val="(%1)"/>
      <w:numFmt w:val="lowerLetter"/>
      <w:start w:val="1"/>
    </w:lvl>
    <w:lvl w:ilvl="1">
      <w:lvlJc w:val="left"/>
      <w:lvlText w:val="(%2)"/>
      <w:numFmt w:val="lowerRoman"/>
      <w:start w:val="1"/>
    </w:lvl>
  </w:abstractNum>
  <w:abstractNum w:abstractNumId="290">
    <w:nsid w:val="617C843E"/>
    <w:multiLevelType w:val="hybridMultilevel"/>
    <w:lvl w:ilvl="0">
      <w:lvlJc w:val="left"/>
      <w:lvlText w:val="(%1)"/>
      <w:numFmt w:val="lowerRoman"/>
      <w:start w:val="3"/>
    </w:lvl>
  </w:abstractNum>
  <w:abstractNum w:abstractNumId="291">
    <w:nsid w:val="7B541FAB"/>
    <w:multiLevelType w:val="hybridMultilevel"/>
    <w:lvl w:ilvl="0">
      <w:lvlJc w:val="left"/>
      <w:lvlText w:val="(%1)"/>
      <w:numFmt w:val="lowerLetter"/>
      <w:start w:val="2"/>
    </w:lvl>
  </w:abstractNum>
  <w:abstractNum w:abstractNumId="292">
    <w:nsid w:val="2A79EC49"/>
    <w:multiLevelType w:val="hybridMultilevel"/>
    <w:lvl w:ilvl="0">
      <w:lvlJc w:val="left"/>
      <w:lvlText w:val="%1"/>
      <w:numFmt w:val="lowerRoman"/>
      <w:start w:val="1"/>
    </w:lvl>
    <w:lvl w:ilvl="1">
      <w:lvlJc w:val="left"/>
      <w:lvlText w:val="(%2)"/>
      <w:numFmt w:val="lowerLetter"/>
      <w:start w:val="1"/>
    </w:lvl>
  </w:abstractNum>
  <w:abstractNum w:abstractNumId="293">
    <w:nsid w:val="338125CF"/>
    <w:multiLevelType w:val="hybridMultilevel"/>
    <w:lvl w:ilvl="0">
      <w:lvlJc w:val="left"/>
      <w:lvlText w:val="(%1)"/>
      <w:numFmt w:val="lowerRoman"/>
      <w:start w:val="4"/>
    </w:lvl>
    <w:lvl w:ilvl="1">
      <w:lvlJc w:val="left"/>
      <w:lvlText w:val="(%2)"/>
      <w:numFmt w:val="lowerLetter"/>
      <w:start w:val="2"/>
    </w:lvl>
  </w:abstractNum>
  <w:abstractNum w:abstractNumId="294">
    <w:nsid w:val="47C7C971"/>
    <w:multiLevelType w:val="hybridMultilevel"/>
    <w:lvl w:ilvl="0">
      <w:lvlJc w:val="left"/>
      <w:lvlText w:val="(%1)"/>
      <w:numFmt w:val="lowerLetter"/>
      <w:start w:val="3"/>
    </w:lvl>
  </w:abstractNum>
  <w:abstractNum w:abstractNumId="295">
    <w:nsid w:val="46F8284B"/>
    <w:multiLevelType w:val="hybridMultilevel"/>
    <w:lvl w:ilvl="0">
      <w:lvlJc w:val="left"/>
      <w:lvlText w:val="(%1)"/>
      <w:numFmt w:val="lowerRoman"/>
      <w:start w:val="2"/>
    </w:lvl>
  </w:abstractNum>
  <w:abstractNum w:abstractNumId="296">
    <w:nsid w:val="4FA327CE"/>
    <w:multiLevelType w:val="hybridMultilevel"/>
    <w:lvl w:ilvl="0">
      <w:lvlJc w:val="left"/>
      <w:lvlText w:val="(%1)"/>
      <w:numFmt w:val="lowerLetter"/>
      <w:start w:val="1"/>
    </w:lvl>
  </w:abstractNum>
  <w:abstractNum w:abstractNumId="297">
    <w:nsid w:val="1873983A"/>
    <w:multiLevelType w:val="hybridMultilevel"/>
    <w:lvl w:ilvl="0">
      <w:lvlJc w:val="left"/>
      <w:lvlText w:val="(%1)"/>
      <w:numFmt w:val="lowerLetter"/>
      <w:start w:val="4"/>
    </w:lvl>
  </w:abstractNum>
  <w:abstractNum w:abstractNumId="298">
    <w:nsid w:val="3D2DD275"/>
    <w:multiLevelType w:val="hybridMultilevel"/>
    <w:lvl w:ilvl="0">
      <w:lvlJc w:val="left"/>
      <w:lvlText w:val="(%1)"/>
      <w:numFmt w:val="lowerLetter"/>
      <w:start w:val="1"/>
    </w:lvl>
    <w:lvl w:ilvl="1">
      <w:lvlJc w:val="left"/>
      <w:lvlText w:val="(%2)"/>
      <w:numFmt w:val="lowerLetter"/>
      <w:start w:val="8"/>
    </w:lvl>
    <w:lvl w:ilvl="2">
      <w:lvlJc w:val="left"/>
      <w:lvlText w:val="(%3)"/>
      <w:numFmt w:val="upperLetter"/>
      <w:start w:val="1"/>
    </w:lvl>
  </w:abstractNum>
  <w:abstractNum w:abstractNumId="299">
    <w:nsid w:val="2E17ECA7"/>
    <w:multiLevelType w:val="hybridMultilevel"/>
    <w:lvl w:ilvl="0">
      <w:lvlJc w:val="left"/>
      <w:lvlText w:val="%1"/>
      <w:numFmt w:val="lowerLetter"/>
      <w:start w:val="1"/>
    </w:lvl>
    <w:lvl w:ilvl="1">
      <w:lvlJc w:val="left"/>
      <w:lvlText w:val="(%2)"/>
      <w:numFmt w:val="lowerLetter"/>
      <w:start w:val="12"/>
    </w:lvl>
    <w:lvl w:ilvl="2">
      <w:lvlJc w:val="left"/>
      <w:lvlText w:val="(%3)"/>
      <w:numFmt w:val="upperLetter"/>
      <w:start w:val="2"/>
    </w:lvl>
  </w:abstractNum>
  <w:abstractNum w:abstractNumId="300">
    <w:nsid w:val="53B2564F"/>
    <w:multiLevelType w:val="hybridMultilevel"/>
    <w:lvl w:ilvl="0">
      <w:lvlJc w:val="left"/>
      <w:lvlText w:val="(%1)"/>
      <w:numFmt w:val="upperLetter"/>
      <w:start w:val="4"/>
    </w:lvl>
  </w:abstractNum>
  <w:abstractNum w:abstractNumId="301">
    <w:nsid w:val="75509D76"/>
    <w:multiLevelType w:val="hybridMultilevel"/>
    <w:lvl w:ilvl="0">
      <w:lvlJc w:val="left"/>
      <w:lvlText w:val="(%1)"/>
      <w:numFmt w:val="lowerRoman"/>
      <w:start w:val="2"/>
    </w:lvl>
  </w:abstractNum>
  <w:abstractNum w:abstractNumId="302">
    <w:nsid w:val="1AF7F0EA"/>
    <w:multiLevelType w:val="hybridMultilevel"/>
    <w:lvl w:ilvl="0">
      <w:lvlJc w:val="left"/>
      <w:lvlText w:val="%1"/>
      <w:numFmt w:val="upperLetter"/>
      <w:start w:val="1"/>
    </w:lvl>
    <w:lvl w:ilvl="1">
      <w:lvlJc w:val="left"/>
      <w:lvlText w:val="(%2)"/>
      <w:numFmt w:val="lowerLetter"/>
      <w:start w:val="2"/>
    </w:lvl>
  </w:abstractNum>
  <w:abstractNum w:abstractNumId="303">
    <w:nsid w:val="4DA32C7E"/>
    <w:multiLevelType w:val="hybridMultilevel"/>
    <w:lvl w:ilvl="0">
      <w:lvlJc w:val="left"/>
      <w:lvlText w:val="(%1)"/>
      <w:numFmt w:val="upperLetter"/>
      <w:start w:val="1"/>
    </w:lvl>
    <w:lvl w:ilvl="1">
      <w:lvlJc w:val="left"/>
      <w:lvlText w:val="%2"/>
      <w:numFmt w:val="lowerLetter"/>
      <w:start w:val="1"/>
    </w:lvl>
  </w:abstractNum>
  <w:abstractNum w:abstractNumId="304">
    <w:nsid w:val="6EC68664"/>
    <w:multiLevelType w:val="hybridMultilevel"/>
    <w:lvl w:ilvl="0">
      <w:lvlJc w:val="left"/>
      <w:lvlText w:val="(%1)"/>
      <w:numFmt w:val="lowerLetter"/>
      <w:start w:val="3"/>
    </w:lvl>
  </w:abstractNum>
  <w:abstractNum w:abstractNumId="305">
    <w:nsid w:val="E0D31FF"/>
    <w:multiLevelType w:val="hybridMultilevel"/>
    <w:lvl w:ilvl="0">
      <w:lvlJc w:val="left"/>
      <w:lvlText w:val="(%1)"/>
      <w:numFmt w:val="lowerLetter"/>
      <w:start w:val="1"/>
    </w:lvl>
  </w:abstractNum>
  <w:abstractNum w:abstractNumId="306">
    <w:nsid w:val="2FD0AD81"/>
    <w:multiLevelType w:val="hybridMultilevel"/>
    <w:lvl w:ilvl="0">
      <w:lvlJc w:val="left"/>
      <w:lvlText w:val="(%1)"/>
      <w:numFmt w:val="lowerLetter"/>
      <w:start w:val="3"/>
    </w:lvl>
  </w:abstractNum>
  <w:abstractNum w:abstractNumId="307">
    <w:nsid w:val="1978EBEB"/>
    <w:multiLevelType w:val="hybridMultilevel"/>
    <w:lvl w:ilvl="0">
      <w:lvlJc w:val="left"/>
      <w:lvlText w:val="(%1)"/>
      <w:numFmt w:val="lowerLetter"/>
      <w:start w:val="7"/>
    </w:lvl>
  </w:abstractNum>
  <w:abstractNum w:abstractNumId="308">
    <w:nsid w:val="52C12C61"/>
    <w:multiLevelType w:val="hybridMultilevel"/>
    <w:lvl w:ilvl="0">
      <w:lvlJc w:val="left"/>
      <w:lvlText w:val="(%1)"/>
      <w:numFmt w:val="lowerLetter"/>
      <w:start w:val="1"/>
    </w:lvl>
  </w:abstractNum>
  <w:abstractNum w:abstractNumId="309">
    <w:nsid w:val="4BDD53FD"/>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2026-06-12T14:02:57Z</dcterms:created>
  <dcterms:modified xsi:type="dcterms:W3CDTF">2026-06-12T14:02:57Z</dcterms:modified>
</cp:coreProperties>
</file>